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CF3A2" w14:textId="40C98917" w:rsidR="0061599A" w:rsidRPr="006E3F10" w:rsidRDefault="006E3F10" w:rsidP="00E56313">
      <w:pPr>
        <w:pStyle w:val="Title"/>
        <w:rPr>
          <w:lang w:val="en-GB"/>
        </w:rPr>
      </w:pPr>
      <w:r w:rsidRPr="006E3F10">
        <w:rPr>
          <w:lang w:val="en-GB"/>
        </w:rPr>
        <w:t>Victorian Public Sector Commissioner</w:t>
      </w:r>
      <w:r>
        <w:rPr>
          <w:lang w:val="en-GB"/>
        </w:rPr>
        <w:t xml:space="preserve"> </w:t>
      </w:r>
      <w:r>
        <w:rPr>
          <w:color w:val="000000"/>
        </w:rPr>
        <w:t>Annual Report 2016-2017</w:t>
      </w:r>
    </w:p>
    <w:p w14:paraId="7B87CA64" w14:textId="77777777" w:rsidR="004B3217" w:rsidRDefault="004B3217">
      <w:pPr>
        <w:pStyle w:val="TOC1"/>
        <w:tabs>
          <w:tab w:val="right" w:leader="dot" w:pos="10456"/>
        </w:tabs>
        <w:rPr>
          <w:rFonts w:asciiTheme="minorHAnsi" w:eastAsiaTheme="minorEastAsia" w:hAnsiTheme="minorHAnsi" w:cstheme="minorBidi"/>
          <w:b w:val="0"/>
          <w:noProof/>
          <w:spacing w:val="0"/>
          <w:sz w:val="24"/>
          <w:lang w:val="en-GB" w:eastAsia="en-GB"/>
        </w:rPr>
      </w:pPr>
      <w:r>
        <w:rPr>
          <w:bCs/>
          <w:lang w:val="en-GB"/>
        </w:rPr>
        <w:fldChar w:fldCharType="begin"/>
      </w:r>
      <w:r>
        <w:rPr>
          <w:bCs/>
          <w:lang w:val="en-GB"/>
        </w:rPr>
        <w:instrText xml:space="preserve"> TOC \o "1-3" </w:instrText>
      </w:r>
      <w:r>
        <w:rPr>
          <w:bCs/>
          <w:lang w:val="en-GB"/>
        </w:rPr>
        <w:fldChar w:fldCharType="separate"/>
      </w:r>
      <w:r w:rsidRPr="00C57A74">
        <w:rPr>
          <w:noProof/>
          <w:lang w:val="en-GB"/>
        </w:rPr>
        <w:t>Section 1 – Year in Review</w:t>
      </w:r>
      <w:r>
        <w:rPr>
          <w:noProof/>
        </w:rPr>
        <w:tab/>
      </w:r>
      <w:r>
        <w:rPr>
          <w:noProof/>
        </w:rPr>
        <w:fldChar w:fldCharType="begin"/>
      </w:r>
      <w:r>
        <w:rPr>
          <w:noProof/>
        </w:rPr>
        <w:instrText xml:space="preserve"> PAGEREF _Toc494111928 \h </w:instrText>
      </w:r>
      <w:r>
        <w:rPr>
          <w:noProof/>
        </w:rPr>
      </w:r>
      <w:r>
        <w:rPr>
          <w:noProof/>
        </w:rPr>
        <w:fldChar w:fldCharType="separate"/>
      </w:r>
      <w:r>
        <w:rPr>
          <w:noProof/>
        </w:rPr>
        <w:t>4</w:t>
      </w:r>
      <w:r>
        <w:rPr>
          <w:noProof/>
        </w:rPr>
        <w:fldChar w:fldCharType="end"/>
      </w:r>
    </w:p>
    <w:p w14:paraId="236C5B9C"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From The Victorian Public Sector Commissioner</w:t>
      </w:r>
      <w:r>
        <w:rPr>
          <w:noProof/>
        </w:rPr>
        <w:tab/>
      </w:r>
      <w:r>
        <w:rPr>
          <w:noProof/>
        </w:rPr>
        <w:fldChar w:fldCharType="begin"/>
      </w:r>
      <w:r>
        <w:rPr>
          <w:noProof/>
        </w:rPr>
        <w:instrText xml:space="preserve"> PAGEREF _Toc494111929 \h </w:instrText>
      </w:r>
      <w:r>
        <w:rPr>
          <w:noProof/>
        </w:rPr>
      </w:r>
      <w:r>
        <w:rPr>
          <w:noProof/>
        </w:rPr>
        <w:fldChar w:fldCharType="separate"/>
      </w:r>
      <w:r>
        <w:rPr>
          <w:noProof/>
        </w:rPr>
        <w:t>4</w:t>
      </w:r>
      <w:r>
        <w:rPr>
          <w:noProof/>
        </w:rPr>
        <w:fldChar w:fldCharType="end"/>
      </w:r>
    </w:p>
    <w:p w14:paraId="0F033E20"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Victorian Leadership Academy</w:t>
      </w:r>
      <w:r>
        <w:rPr>
          <w:noProof/>
        </w:rPr>
        <w:tab/>
      </w:r>
      <w:r>
        <w:rPr>
          <w:noProof/>
        </w:rPr>
        <w:fldChar w:fldCharType="begin"/>
      </w:r>
      <w:r>
        <w:rPr>
          <w:noProof/>
        </w:rPr>
        <w:instrText xml:space="preserve"> PAGEREF _Toc494111930 \h </w:instrText>
      </w:r>
      <w:r>
        <w:rPr>
          <w:noProof/>
        </w:rPr>
      </w:r>
      <w:r>
        <w:rPr>
          <w:noProof/>
        </w:rPr>
        <w:fldChar w:fldCharType="separate"/>
      </w:r>
      <w:r>
        <w:rPr>
          <w:noProof/>
        </w:rPr>
        <w:t>4</w:t>
      </w:r>
      <w:r>
        <w:rPr>
          <w:noProof/>
        </w:rPr>
        <w:fldChar w:fldCharType="end"/>
      </w:r>
    </w:p>
    <w:p w14:paraId="0A730BEC"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Aboriginal Employment Unit</w:t>
      </w:r>
      <w:r>
        <w:rPr>
          <w:noProof/>
        </w:rPr>
        <w:tab/>
      </w:r>
      <w:r>
        <w:rPr>
          <w:noProof/>
        </w:rPr>
        <w:fldChar w:fldCharType="begin"/>
      </w:r>
      <w:r>
        <w:rPr>
          <w:noProof/>
        </w:rPr>
        <w:instrText xml:space="preserve"> PAGEREF _Toc494111931 \h </w:instrText>
      </w:r>
      <w:r>
        <w:rPr>
          <w:noProof/>
        </w:rPr>
      </w:r>
      <w:r>
        <w:rPr>
          <w:noProof/>
        </w:rPr>
        <w:fldChar w:fldCharType="separate"/>
      </w:r>
      <w:r>
        <w:rPr>
          <w:noProof/>
        </w:rPr>
        <w:t>4</w:t>
      </w:r>
      <w:r>
        <w:rPr>
          <w:noProof/>
        </w:rPr>
        <w:fldChar w:fldCharType="end"/>
      </w:r>
    </w:p>
    <w:p w14:paraId="7A9D1C58"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Integrity Strategy</w:t>
      </w:r>
      <w:r>
        <w:rPr>
          <w:noProof/>
        </w:rPr>
        <w:tab/>
      </w:r>
      <w:r>
        <w:rPr>
          <w:noProof/>
        </w:rPr>
        <w:fldChar w:fldCharType="begin"/>
      </w:r>
      <w:r>
        <w:rPr>
          <w:noProof/>
        </w:rPr>
        <w:instrText xml:space="preserve"> PAGEREF _Toc494111932 \h </w:instrText>
      </w:r>
      <w:r>
        <w:rPr>
          <w:noProof/>
        </w:rPr>
      </w:r>
      <w:r>
        <w:rPr>
          <w:noProof/>
        </w:rPr>
        <w:fldChar w:fldCharType="separate"/>
      </w:r>
      <w:r>
        <w:rPr>
          <w:noProof/>
        </w:rPr>
        <w:t>5</w:t>
      </w:r>
      <w:r>
        <w:rPr>
          <w:noProof/>
        </w:rPr>
        <w:fldChar w:fldCharType="end"/>
      </w:r>
    </w:p>
    <w:p w14:paraId="78556456"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About The Victorian Public Sector Commission</w:t>
      </w:r>
      <w:r>
        <w:rPr>
          <w:noProof/>
        </w:rPr>
        <w:tab/>
      </w:r>
      <w:r>
        <w:rPr>
          <w:noProof/>
        </w:rPr>
        <w:fldChar w:fldCharType="begin"/>
      </w:r>
      <w:r>
        <w:rPr>
          <w:noProof/>
        </w:rPr>
        <w:instrText xml:space="preserve"> PAGEREF _Toc494111933 \h </w:instrText>
      </w:r>
      <w:r>
        <w:rPr>
          <w:noProof/>
        </w:rPr>
      </w:r>
      <w:r>
        <w:rPr>
          <w:noProof/>
        </w:rPr>
        <w:fldChar w:fldCharType="separate"/>
      </w:r>
      <w:r>
        <w:rPr>
          <w:noProof/>
        </w:rPr>
        <w:t>5</w:t>
      </w:r>
      <w:r>
        <w:rPr>
          <w:noProof/>
        </w:rPr>
        <w:fldChar w:fldCharType="end"/>
      </w:r>
    </w:p>
    <w:p w14:paraId="7EF7278E"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Victorian Public Sector Commission 2016-17 Strategic Plan</w:t>
      </w:r>
      <w:r>
        <w:rPr>
          <w:noProof/>
        </w:rPr>
        <w:tab/>
      </w:r>
      <w:r>
        <w:rPr>
          <w:noProof/>
        </w:rPr>
        <w:fldChar w:fldCharType="begin"/>
      </w:r>
      <w:r>
        <w:rPr>
          <w:noProof/>
        </w:rPr>
        <w:instrText xml:space="preserve"> PAGEREF _Toc494111934 \h </w:instrText>
      </w:r>
      <w:r>
        <w:rPr>
          <w:noProof/>
        </w:rPr>
      </w:r>
      <w:r>
        <w:rPr>
          <w:noProof/>
        </w:rPr>
        <w:fldChar w:fldCharType="separate"/>
      </w:r>
      <w:r>
        <w:rPr>
          <w:noProof/>
        </w:rPr>
        <w:t>6</w:t>
      </w:r>
      <w:r>
        <w:rPr>
          <w:noProof/>
        </w:rPr>
        <w:fldChar w:fldCharType="end"/>
      </w:r>
    </w:p>
    <w:p w14:paraId="6AB57D93" w14:textId="77777777" w:rsidR="004B3217" w:rsidRDefault="004B3217">
      <w:pPr>
        <w:pStyle w:val="TOC1"/>
        <w:tabs>
          <w:tab w:val="right" w:leader="dot" w:pos="10456"/>
        </w:tabs>
        <w:rPr>
          <w:rFonts w:asciiTheme="minorHAnsi" w:eastAsiaTheme="minorEastAsia" w:hAnsiTheme="minorHAnsi" w:cstheme="minorBidi"/>
          <w:b w:val="0"/>
          <w:noProof/>
          <w:spacing w:val="0"/>
          <w:sz w:val="24"/>
          <w:lang w:val="en-GB" w:eastAsia="en-GB"/>
        </w:rPr>
      </w:pPr>
      <w:r w:rsidRPr="00C57A74">
        <w:rPr>
          <w:noProof/>
          <w:lang w:val="en-GB"/>
        </w:rPr>
        <w:t>Performance Reporting – non-financial</w:t>
      </w:r>
      <w:r>
        <w:rPr>
          <w:noProof/>
        </w:rPr>
        <w:tab/>
      </w:r>
      <w:r>
        <w:rPr>
          <w:noProof/>
        </w:rPr>
        <w:fldChar w:fldCharType="begin"/>
      </w:r>
      <w:r>
        <w:rPr>
          <w:noProof/>
        </w:rPr>
        <w:instrText xml:space="preserve"> PAGEREF _Toc494111935 \h </w:instrText>
      </w:r>
      <w:r>
        <w:rPr>
          <w:noProof/>
        </w:rPr>
      </w:r>
      <w:r>
        <w:rPr>
          <w:noProof/>
        </w:rPr>
        <w:fldChar w:fldCharType="separate"/>
      </w:r>
      <w:r>
        <w:rPr>
          <w:noProof/>
        </w:rPr>
        <w:t>6</w:t>
      </w:r>
      <w:r>
        <w:rPr>
          <w:noProof/>
        </w:rPr>
        <w:fldChar w:fldCharType="end"/>
      </w:r>
    </w:p>
    <w:p w14:paraId="4F9F6E82"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Strengthen the efficiency, effectiveness and capability of the public sector</w:t>
      </w:r>
      <w:r>
        <w:rPr>
          <w:noProof/>
        </w:rPr>
        <w:tab/>
      </w:r>
      <w:r>
        <w:rPr>
          <w:noProof/>
        </w:rPr>
        <w:fldChar w:fldCharType="begin"/>
      </w:r>
      <w:r>
        <w:rPr>
          <w:noProof/>
        </w:rPr>
        <w:instrText xml:space="preserve"> PAGEREF _Toc494111936 \h </w:instrText>
      </w:r>
      <w:r>
        <w:rPr>
          <w:noProof/>
        </w:rPr>
      </w:r>
      <w:r>
        <w:rPr>
          <w:noProof/>
        </w:rPr>
        <w:fldChar w:fldCharType="separate"/>
      </w:r>
      <w:r>
        <w:rPr>
          <w:noProof/>
        </w:rPr>
        <w:t>6</w:t>
      </w:r>
      <w:r>
        <w:rPr>
          <w:noProof/>
        </w:rPr>
        <w:fldChar w:fldCharType="end"/>
      </w:r>
    </w:p>
    <w:p w14:paraId="325F3F9A"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Victorian Leadership Academy</w:t>
      </w:r>
      <w:r>
        <w:rPr>
          <w:noProof/>
        </w:rPr>
        <w:tab/>
      </w:r>
      <w:r>
        <w:rPr>
          <w:noProof/>
        </w:rPr>
        <w:fldChar w:fldCharType="begin"/>
      </w:r>
      <w:r>
        <w:rPr>
          <w:noProof/>
        </w:rPr>
        <w:instrText xml:space="preserve"> PAGEREF _Toc494111937 \h </w:instrText>
      </w:r>
      <w:r>
        <w:rPr>
          <w:noProof/>
        </w:rPr>
      </w:r>
      <w:r>
        <w:rPr>
          <w:noProof/>
        </w:rPr>
        <w:fldChar w:fldCharType="separate"/>
      </w:r>
      <w:r>
        <w:rPr>
          <w:noProof/>
        </w:rPr>
        <w:t>6</w:t>
      </w:r>
      <w:r>
        <w:rPr>
          <w:noProof/>
        </w:rPr>
        <w:fldChar w:fldCharType="end"/>
      </w:r>
    </w:p>
    <w:p w14:paraId="0B17D0A3"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Executive Officer Reform Program – Classification &amp; Remuneration Framework</w:t>
      </w:r>
      <w:r>
        <w:rPr>
          <w:noProof/>
        </w:rPr>
        <w:tab/>
      </w:r>
      <w:r>
        <w:rPr>
          <w:noProof/>
        </w:rPr>
        <w:fldChar w:fldCharType="begin"/>
      </w:r>
      <w:r>
        <w:rPr>
          <w:noProof/>
        </w:rPr>
        <w:instrText xml:space="preserve"> PAGEREF _Toc494111938 \h </w:instrText>
      </w:r>
      <w:r>
        <w:rPr>
          <w:noProof/>
        </w:rPr>
      </w:r>
      <w:r>
        <w:rPr>
          <w:noProof/>
        </w:rPr>
        <w:fldChar w:fldCharType="separate"/>
      </w:r>
      <w:r>
        <w:rPr>
          <w:noProof/>
        </w:rPr>
        <w:t>7</w:t>
      </w:r>
      <w:r>
        <w:rPr>
          <w:noProof/>
        </w:rPr>
        <w:fldChar w:fldCharType="end"/>
      </w:r>
    </w:p>
    <w:p w14:paraId="2BABC0F4"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Workforce Data Collection</w:t>
      </w:r>
      <w:r>
        <w:rPr>
          <w:noProof/>
        </w:rPr>
        <w:tab/>
      </w:r>
      <w:r>
        <w:rPr>
          <w:noProof/>
        </w:rPr>
        <w:fldChar w:fldCharType="begin"/>
      </w:r>
      <w:r>
        <w:rPr>
          <w:noProof/>
        </w:rPr>
        <w:instrText xml:space="preserve"> PAGEREF _Toc494111939 \h </w:instrText>
      </w:r>
      <w:r>
        <w:rPr>
          <w:noProof/>
        </w:rPr>
      </w:r>
      <w:r>
        <w:rPr>
          <w:noProof/>
        </w:rPr>
        <w:fldChar w:fldCharType="separate"/>
      </w:r>
      <w:r>
        <w:rPr>
          <w:noProof/>
        </w:rPr>
        <w:t>7</w:t>
      </w:r>
      <w:r>
        <w:rPr>
          <w:noProof/>
        </w:rPr>
        <w:fldChar w:fldCharType="end"/>
      </w:r>
    </w:p>
    <w:p w14:paraId="77160BE8"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The State of the Public Sector in Victoria Report</w:t>
      </w:r>
      <w:r>
        <w:rPr>
          <w:noProof/>
        </w:rPr>
        <w:tab/>
      </w:r>
      <w:r>
        <w:rPr>
          <w:noProof/>
        </w:rPr>
        <w:fldChar w:fldCharType="begin"/>
      </w:r>
      <w:r>
        <w:rPr>
          <w:noProof/>
        </w:rPr>
        <w:instrText xml:space="preserve"> PAGEREF _Toc494111940 \h </w:instrText>
      </w:r>
      <w:r>
        <w:rPr>
          <w:noProof/>
        </w:rPr>
      </w:r>
      <w:r>
        <w:rPr>
          <w:noProof/>
        </w:rPr>
        <w:fldChar w:fldCharType="separate"/>
      </w:r>
      <w:r>
        <w:rPr>
          <w:noProof/>
        </w:rPr>
        <w:t>7</w:t>
      </w:r>
      <w:r>
        <w:rPr>
          <w:noProof/>
        </w:rPr>
        <w:fldChar w:fldCharType="end"/>
      </w:r>
    </w:p>
    <w:p w14:paraId="23D3B71F"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Government Sector Executive Remuneration Panel</w:t>
      </w:r>
      <w:r>
        <w:rPr>
          <w:noProof/>
        </w:rPr>
        <w:tab/>
      </w:r>
      <w:r>
        <w:rPr>
          <w:noProof/>
        </w:rPr>
        <w:fldChar w:fldCharType="begin"/>
      </w:r>
      <w:r>
        <w:rPr>
          <w:noProof/>
        </w:rPr>
        <w:instrText xml:space="preserve"> PAGEREF _Toc494111941 \h </w:instrText>
      </w:r>
      <w:r>
        <w:rPr>
          <w:noProof/>
        </w:rPr>
      </w:r>
      <w:r>
        <w:rPr>
          <w:noProof/>
        </w:rPr>
        <w:fldChar w:fldCharType="separate"/>
      </w:r>
      <w:r>
        <w:rPr>
          <w:noProof/>
        </w:rPr>
        <w:t>8</w:t>
      </w:r>
      <w:r>
        <w:rPr>
          <w:noProof/>
        </w:rPr>
        <w:fldChar w:fldCharType="end"/>
      </w:r>
    </w:p>
    <w:p w14:paraId="0C24F336"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Aboriginal Employment Strategy</w:t>
      </w:r>
      <w:r>
        <w:rPr>
          <w:noProof/>
        </w:rPr>
        <w:tab/>
      </w:r>
      <w:r>
        <w:rPr>
          <w:noProof/>
        </w:rPr>
        <w:fldChar w:fldCharType="begin"/>
      </w:r>
      <w:r>
        <w:rPr>
          <w:noProof/>
        </w:rPr>
        <w:instrText xml:space="preserve"> PAGEREF _Toc494111942 \h </w:instrText>
      </w:r>
      <w:r>
        <w:rPr>
          <w:noProof/>
        </w:rPr>
      </w:r>
      <w:r>
        <w:rPr>
          <w:noProof/>
        </w:rPr>
        <w:fldChar w:fldCharType="separate"/>
      </w:r>
      <w:r>
        <w:rPr>
          <w:noProof/>
        </w:rPr>
        <w:t>8</w:t>
      </w:r>
      <w:r>
        <w:rPr>
          <w:noProof/>
        </w:rPr>
        <w:fldChar w:fldCharType="end"/>
      </w:r>
    </w:p>
    <w:p w14:paraId="00931505"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e-Recruitment</w:t>
      </w:r>
      <w:r>
        <w:rPr>
          <w:noProof/>
        </w:rPr>
        <w:tab/>
      </w:r>
      <w:r>
        <w:rPr>
          <w:noProof/>
        </w:rPr>
        <w:fldChar w:fldCharType="begin"/>
      </w:r>
      <w:r>
        <w:rPr>
          <w:noProof/>
        </w:rPr>
        <w:instrText xml:space="preserve"> PAGEREF _Toc494111943 \h </w:instrText>
      </w:r>
      <w:r>
        <w:rPr>
          <w:noProof/>
        </w:rPr>
      </w:r>
      <w:r>
        <w:rPr>
          <w:noProof/>
        </w:rPr>
        <w:fldChar w:fldCharType="separate"/>
      </w:r>
      <w:r>
        <w:rPr>
          <w:noProof/>
        </w:rPr>
        <w:t>9</w:t>
      </w:r>
      <w:r>
        <w:rPr>
          <w:noProof/>
        </w:rPr>
        <w:fldChar w:fldCharType="end"/>
      </w:r>
    </w:p>
    <w:p w14:paraId="259A0F59"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Government Appointments and Public Entities Data Base</w:t>
      </w:r>
      <w:r>
        <w:rPr>
          <w:noProof/>
        </w:rPr>
        <w:tab/>
      </w:r>
      <w:r>
        <w:rPr>
          <w:noProof/>
        </w:rPr>
        <w:fldChar w:fldCharType="begin"/>
      </w:r>
      <w:r>
        <w:rPr>
          <w:noProof/>
        </w:rPr>
        <w:instrText xml:space="preserve"> PAGEREF _Toc494111944 \h </w:instrText>
      </w:r>
      <w:r>
        <w:rPr>
          <w:noProof/>
        </w:rPr>
      </w:r>
      <w:r>
        <w:rPr>
          <w:noProof/>
        </w:rPr>
        <w:fldChar w:fldCharType="separate"/>
      </w:r>
      <w:r>
        <w:rPr>
          <w:noProof/>
        </w:rPr>
        <w:t>9</w:t>
      </w:r>
      <w:r>
        <w:rPr>
          <w:noProof/>
        </w:rPr>
        <w:fldChar w:fldCharType="end"/>
      </w:r>
    </w:p>
    <w:p w14:paraId="224B9B75"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GRADS Program</w:t>
      </w:r>
      <w:r>
        <w:rPr>
          <w:noProof/>
        </w:rPr>
        <w:tab/>
      </w:r>
      <w:r>
        <w:rPr>
          <w:noProof/>
        </w:rPr>
        <w:fldChar w:fldCharType="begin"/>
      </w:r>
      <w:r>
        <w:rPr>
          <w:noProof/>
        </w:rPr>
        <w:instrText xml:space="preserve"> PAGEREF _Toc494111945 \h </w:instrText>
      </w:r>
      <w:r>
        <w:rPr>
          <w:noProof/>
        </w:rPr>
      </w:r>
      <w:r>
        <w:rPr>
          <w:noProof/>
        </w:rPr>
        <w:fldChar w:fldCharType="separate"/>
      </w:r>
      <w:r>
        <w:rPr>
          <w:noProof/>
        </w:rPr>
        <w:t>10</w:t>
      </w:r>
      <w:r>
        <w:rPr>
          <w:noProof/>
        </w:rPr>
        <w:fldChar w:fldCharType="end"/>
      </w:r>
    </w:p>
    <w:p w14:paraId="4997997A"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Capability Framework</w:t>
      </w:r>
      <w:r>
        <w:rPr>
          <w:noProof/>
        </w:rPr>
        <w:tab/>
      </w:r>
      <w:r>
        <w:rPr>
          <w:noProof/>
        </w:rPr>
        <w:fldChar w:fldCharType="begin"/>
      </w:r>
      <w:r>
        <w:rPr>
          <w:noProof/>
        </w:rPr>
        <w:instrText xml:space="preserve"> PAGEREF _Toc494111946 \h </w:instrText>
      </w:r>
      <w:r>
        <w:rPr>
          <w:noProof/>
        </w:rPr>
      </w:r>
      <w:r>
        <w:rPr>
          <w:noProof/>
        </w:rPr>
        <w:fldChar w:fldCharType="separate"/>
      </w:r>
      <w:r>
        <w:rPr>
          <w:noProof/>
        </w:rPr>
        <w:t>10</w:t>
      </w:r>
      <w:r>
        <w:rPr>
          <w:noProof/>
        </w:rPr>
        <w:fldChar w:fldCharType="end"/>
      </w:r>
    </w:p>
    <w:p w14:paraId="57E7C7D4"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Flexible Work Policy</w:t>
      </w:r>
      <w:r>
        <w:rPr>
          <w:noProof/>
        </w:rPr>
        <w:tab/>
      </w:r>
      <w:r>
        <w:rPr>
          <w:noProof/>
        </w:rPr>
        <w:fldChar w:fldCharType="begin"/>
      </w:r>
      <w:r>
        <w:rPr>
          <w:noProof/>
        </w:rPr>
        <w:instrText xml:space="preserve"> PAGEREF _Toc494111947 \h </w:instrText>
      </w:r>
      <w:r>
        <w:rPr>
          <w:noProof/>
        </w:rPr>
      </w:r>
      <w:r>
        <w:rPr>
          <w:noProof/>
        </w:rPr>
        <w:fldChar w:fldCharType="separate"/>
      </w:r>
      <w:r>
        <w:rPr>
          <w:noProof/>
        </w:rPr>
        <w:t>10</w:t>
      </w:r>
      <w:r>
        <w:rPr>
          <w:noProof/>
        </w:rPr>
        <w:fldChar w:fldCharType="end"/>
      </w:r>
    </w:p>
    <w:p w14:paraId="71EA04C0"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Anti-bullying Reform Agenda</w:t>
      </w:r>
      <w:r>
        <w:rPr>
          <w:noProof/>
        </w:rPr>
        <w:tab/>
      </w:r>
      <w:r>
        <w:rPr>
          <w:noProof/>
        </w:rPr>
        <w:fldChar w:fldCharType="begin"/>
      </w:r>
      <w:r>
        <w:rPr>
          <w:noProof/>
        </w:rPr>
        <w:instrText xml:space="preserve"> PAGEREF _Toc494111948 \h </w:instrText>
      </w:r>
      <w:r>
        <w:rPr>
          <w:noProof/>
        </w:rPr>
      </w:r>
      <w:r>
        <w:rPr>
          <w:noProof/>
        </w:rPr>
        <w:fldChar w:fldCharType="separate"/>
      </w:r>
      <w:r>
        <w:rPr>
          <w:noProof/>
        </w:rPr>
        <w:t>11</w:t>
      </w:r>
      <w:r>
        <w:rPr>
          <w:noProof/>
        </w:rPr>
        <w:fldChar w:fldCharType="end"/>
      </w:r>
    </w:p>
    <w:p w14:paraId="39C539CE"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Economic Participation Strategy Recommendations</w:t>
      </w:r>
      <w:r>
        <w:rPr>
          <w:noProof/>
        </w:rPr>
        <w:tab/>
      </w:r>
      <w:r>
        <w:rPr>
          <w:noProof/>
        </w:rPr>
        <w:fldChar w:fldCharType="begin"/>
      </w:r>
      <w:r>
        <w:rPr>
          <w:noProof/>
        </w:rPr>
        <w:instrText xml:space="preserve"> PAGEREF _Toc494111949 \h </w:instrText>
      </w:r>
      <w:r>
        <w:rPr>
          <w:noProof/>
        </w:rPr>
      </w:r>
      <w:r>
        <w:rPr>
          <w:noProof/>
        </w:rPr>
        <w:fldChar w:fldCharType="separate"/>
      </w:r>
      <w:r>
        <w:rPr>
          <w:noProof/>
        </w:rPr>
        <w:t>11</w:t>
      </w:r>
      <w:r>
        <w:rPr>
          <w:noProof/>
        </w:rPr>
        <w:fldChar w:fldCharType="end"/>
      </w:r>
    </w:p>
    <w:p w14:paraId="5E4757A5"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Maintain and advocate for public sector professionalism and integrity</w:t>
      </w:r>
      <w:r>
        <w:rPr>
          <w:noProof/>
        </w:rPr>
        <w:tab/>
      </w:r>
      <w:r>
        <w:rPr>
          <w:noProof/>
        </w:rPr>
        <w:fldChar w:fldCharType="begin"/>
      </w:r>
      <w:r>
        <w:rPr>
          <w:noProof/>
        </w:rPr>
        <w:instrText xml:space="preserve"> PAGEREF _Toc494111950 \h </w:instrText>
      </w:r>
      <w:r>
        <w:rPr>
          <w:noProof/>
        </w:rPr>
      </w:r>
      <w:r>
        <w:rPr>
          <w:noProof/>
        </w:rPr>
        <w:fldChar w:fldCharType="separate"/>
      </w:r>
      <w:r>
        <w:rPr>
          <w:noProof/>
        </w:rPr>
        <w:t>11</w:t>
      </w:r>
      <w:r>
        <w:rPr>
          <w:noProof/>
        </w:rPr>
        <w:fldChar w:fldCharType="end"/>
      </w:r>
    </w:p>
    <w:p w14:paraId="71FA3D8A"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Integrity Strategy</w:t>
      </w:r>
      <w:r>
        <w:rPr>
          <w:noProof/>
        </w:rPr>
        <w:tab/>
      </w:r>
      <w:r>
        <w:rPr>
          <w:noProof/>
        </w:rPr>
        <w:fldChar w:fldCharType="begin"/>
      </w:r>
      <w:r>
        <w:rPr>
          <w:noProof/>
        </w:rPr>
        <w:instrText xml:space="preserve"> PAGEREF _Toc494111951 \h </w:instrText>
      </w:r>
      <w:r>
        <w:rPr>
          <w:noProof/>
        </w:rPr>
      </w:r>
      <w:r>
        <w:rPr>
          <w:noProof/>
        </w:rPr>
        <w:fldChar w:fldCharType="separate"/>
      </w:r>
      <w:r>
        <w:rPr>
          <w:noProof/>
        </w:rPr>
        <w:t>11</w:t>
      </w:r>
      <w:r>
        <w:rPr>
          <w:noProof/>
        </w:rPr>
        <w:fldChar w:fldCharType="end"/>
      </w:r>
    </w:p>
    <w:p w14:paraId="2817C6DA"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Gifts, Benefits and Hospitality Policy Framework</w:t>
      </w:r>
      <w:r>
        <w:rPr>
          <w:noProof/>
        </w:rPr>
        <w:tab/>
      </w:r>
      <w:r>
        <w:rPr>
          <w:noProof/>
        </w:rPr>
        <w:fldChar w:fldCharType="begin"/>
      </w:r>
      <w:r>
        <w:rPr>
          <w:noProof/>
        </w:rPr>
        <w:instrText xml:space="preserve"> PAGEREF _Toc494111952 \h </w:instrText>
      </w:r>
      <w:r>
        <w:rPr>
          <w:noProof/>
        </w:rPr>
      </w:r>
      <w:r>
        <w:rPr>
          <w:noProof/>
        </w:rPr>
        <w:fldChar w:fldCharType="separate"/>
      </w:r>
      <w:r>
        <w:rPr>
          <w:noProof/>
        </w:rPr>
        <w:t>11</w:t>
      </w:r>
      <w:r>
        <w:rPr>
          <w:noProof/>
        </w:rPr>
        <w:fldChar w:fldCharType="end"/>
      </w:r>
    </w:p>
    <w:p w14:paraId="33346C71"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Managing Poor Behaviour in the Workplace</w:t>
      </w:r>
      <w:r>
        <w:rPr>
          <w:noProof/>
        </w:rPr>
        <w:tab/>
      </w:r>
      <w:r>
        <w:rPr>
          <w:noProof/>
        </w:rPr>
        <w:fldChar w:fldCharType="begin"/>
      </w:r>
      <w:r>
        <w:rPr>
          <w:noProof/>
        </w:rPr>
        <w:instrText xml:space="preserve"> PAGEREF _Toc494111953 \h </w:instrText>
      </w:r>
      <w:r>
        <w:rPr>
          <w:noProof/>
        </w:rPr>
      </w:r>
      <w:r>
        <w:rPr>
          <w:noProof/>
        </w:rPr>
        <w:fldChar w:fldCharType="separate"/>
      </w:r>
      <w:r>
        <w:rPr>
          <w:noProof/>
        </w:rPr>
        <w:t>12</w:t>
      </w:r>
      <w:r>
        <w:rPr>
          <w:noProof/>
        </w:rPr>
        <w:fldChar w:fldCharType="end"/>
      </w:r>
    </w:p>
    <w:p w14:paraId="7D30FD52"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Employment Standards</w:t>
      </w:r>
      <w:r>
        <w:rPr>
          <w:noProof/>
        </w:rPr>
        <w:tab/>
      </w:r>
      <w:r>
        <w:rPr>
          <w:noProof/>
        </w:rPr>
        <w:fldChar w:fldCharType="begin"/>
      </w:r>
      <w:r>
        <w:rPr>
          <w:noProof/>
        </w:rPr>
        <w:instrText xml:space="preserve"> PAGEREF _Toc494111954 \h </w:instrText>
      </w:r>
      <w:r>
        <w:rPr>
          <w:noProof/>
        </w:rPr>
      </w:r>
      <w:r>
        <w:rPr>
          <w:noProof/>
        </w:rPr>
        <w:fldChar w:fldCharType="separate"/>
      </w:r>
      <w:r>
        <w:rPr>
          <w:noProof/>
        </w:rPr>
        <w:t>12</w:t>
      </w:r>
      <w:r>
        <w:rPr>
          <w:noProof/>
        </w:rPr>
        <w:fldChar w:fldCharType="end"/>
      </w:r>
    </w:p>
    <w:p w14:paraId="5B731D8F"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Monitoring Integrity Standards</w:t>
      </w:r>
      <w:r>
        <w:rPr>
          <w:noProof/>
        </w:rPr>
        <w:tab/>
      </w:r>
      <w:r>
        <w:rPr>
          <w:noProof/>
        </w:rPr>
        <w:fldChar w:fldCharType="begin"/>
      </w:r>
      <w:r>
        <w:rPr>
          <w:noProof/>
        </w:rPr>
        <w:instrText xml:space="preserve"> PAGEREF _Toc494111955 \h </w:instrText>
      </w:r>
      <w:r>
        <w:rPr>
          <w:noProof/>
        </w:rPr>
      </w:r>
      <w:r>
        <w:rPr>
          <w:noProof/>
        </w:rPr>
        <w:fldChar w:fldCharType="separate"/>
      </w:r>
      <w:r>
        <w:rPr>
          <w:noProof/>
        </w:rPr>
        <w:t>12</w:t>
      </w:r>
      <w:r>
        <w:rPr>
          <w:noProof/>
        </w:rPr>
        <w:fldChar w:fldCharType="end"/>
      </w:r>
    </w:p>
    <w:p w14:paraId="6A41F101"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Monitoring Integrity Reform in the Department of Education and Training</w:t>
      </w:r>
      <w:r>
        <w:rPr>
          <w:noProof/>
        </w:rPr>
        <w:tab/>
      </w:r>
      <w:r>
        <w:rPr>
          <w:noProof/>
        </w:rPr>
        <w:fldChar w:fldCharType="begin"/>
      </w:r>
      <w:r>
        <w:rPr>
          <w:noProof/>
        </w:rPr>
        <w:instrText xml:space="preserve"> PAGEREF _Toc494111956 \h </w:instrText>
      </w:r>
      <w:r>
        <w:rPr>
          <w:noProof/>
        </w:rPr>
      </w:r>
      <w:r>
        <w:rPr>
          <w:noProof/>
        </w:rPr>
        <w:fldChar w:fldCharType="separate"/>
      </w:r>
      <w:r>
        <w:rPr>
          <w:noProof/>
        </w:rPr>
        <w:t>13</w:t>
      </w:r>
      <w:r>
        <w:rPr>
          <w:noProof/>
        </w:rPr>
        <w:fldChar w:fldCharType="end"/>
      </w:r>
    </w:p>
    <w:p w14:paraId="7EC7AF71"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Lobbyist Register</w:t>
      </w:r>
      <w:r>
        <w:rPr>
          <w:noProof/>
        </w:rPr>
        <w:tab/>
      </w:r>
      <w:r>
        <w:rPr>
          <w:noProof/>
        </w:rPr>
        <w:fldChar w:fldCharType="begin"/>
      </w:r>
      <w:r>
        <w:rPr>
          <w:noProof/>
        </w:rPr>
        <w:instrText xml:space="preserve"> PAGEREF _Toc494111957 \h </w:instrText>
      </w:r>
      <w:r>
        <w:rPr>
          <w:noProof/>
        </w:rPr>
      </w:r>
      <w:r>
        <w:rPr>
          <w:noProof/>
        </w:rPr>
        <w:fldChar w:fldCharType="separate"/>
      </w:r>
      <w:r>
        <w:rPr>
          <w:noProof/>
        </w:rPr>
        <w:t>13</w:t>
      </w:r>
      <w:r>
        <w:rPr>
          <w:noProof/>
        </w:rPr>
        <w:fldChar w:fldCharType="end"/>
      </w:r>
    </w:p>
    <w:p w14:paraId="4DA27A76"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People Matter Survey</w:t>
      </w:r>
      <w:r>
        <w:rPr>
          <w:noProof/>
        </w:rPr>
        <w:tab/>
      </w:r>
      <w:r>
        <w:rPr>
          <w:noProof/>
        </w:rPr>
        <w:fldChar w:fldCharType="begin"/>
      </w:r>
      <w:r>
        <w:rPr>
          <w:noProof/>
        </w:rPr>
        <w:instrText xml:space="preserve"> PAGEREF _Toc494111958 \h </w:instrText>
      </w:r>
      <w:r>
        <w:rPr>
          <w:noProof/>
        </w:rPr>
      </w:r>
      <w:r>
        <w:rPr>
          <w:noProof/>
        </w:rPr>
        <w:fldChar w:fldCharType="separate"/>
      </w:r>
      <w:r>
        <w:rPr>
          <w:noProof/>
        </w:rPr>
        <w:t>13</w:t>
      </w:r>
      <w:r>
        <w:rPr>
          <w:noProof/>
        </w:rPr>
        <w:fldChar w:fldCharType="end"/>
      </w:r>
    </w:p>
    <w:p w14:paraId="6D40D6CF"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Data Insights</w:t>
      </w:r>
      <w:r>
        <w:rPr>
          <w:noProof/>
        </w:rPr>
        <w:tab/>
      </w:r>
      <w:r>
        <w:rPr>
          <w:noProof/>
        </w:rPr>
        <w:fldChar w:fldCharType="begin"/>
      </w:r>
      <w:r>
        <w:rPr>
          <w:noProof/>
        </w:rPr>
        <w:instrText xml:space="preserve"> PAGEREF _Toc494111959 \h </w:instrText>
      </w:r>
      <w:r>
        <w:rPr>
          <w:noProof/>
        </w:rPr>
      </w:r>
      <w:r>
        <w:rPr>
          <w:noProof/>
        </w:rPr>
        <w:fldChar w:fldCharType="separate"/>
      </w:r>
      <w:r>
        <w:rPr>
          <w:noProof/>
        </w:rPr>
        <w:t>14</w:t>
      </w:r>
      <w:r>
        <w:rPr>
          <w:noProof/>
        </w:rPr>
        <w:fldChar w:fldCharType="end"/>
      </w:r>
    </w:p>
    <w:p w14:paraId="6B7DAA26" w14:textId="77777777" w:rsidR="004B3217" w:rsidRDefault="004B3217">
      <w:pPr>
        <w:pStyle w:val="TOC1"/>
        <w:tabs>
          <w:tab w:val="right" w:leader="dot" w:pos="10456"/>
        </w:tabs>
        <w:rPr>
          <w:rFonts w:asciiTheme="minorHAnsi" w:eastAsiaTheme="minorEastAsia" w:hAnsiTheme="minorHAnsi" w:cstheme="minorBidi"/>
          <w:b w:val="0"/>
          <w:noProof/>
          <w:spacing w:val="0"/>
          <w:sz w:val="24"/>
          <w:lang w:val="en-GB" w:eastAsia="en-GB"/>
        </w:rPr>
      </w:pPr>
      <w:r w:rsidRPr="00C57A74">
        <w:rPr>
          <w:noProof/>
          <w:lang w:val="en-GB"/>
        </w:rPr>
        <w:lastRenderedPageBreak/>
        <w:t>Section 2 – Governance and Organisational Structure</w:t>
      </w:r>
      <w:r>
        <w:rPr>
          <w:noProof/>
        </w:rPr>
        <w:tab/>
      </w:r>
      <w:r>
        <w:rPr>
          <w:noProof/>
        </w:rPr>
        <w:fldChar w:fldCharType="begin"/>
      </w:r>
      <w:r>
        <w:rPr>
          <w:noProof/>
        </w:rPr>
        <w:instrText xml:space="preserve"> PAGEREF _Toc494111960 \h </w:instrText>
      </w:r>
      <w:r>
        <w:rPr>
          <w:noProof/>
        </w:rPr>
      </w:r>
      <w:r>
        <w:rPr>
          <w:noProof/>
        </w:rPr>
        <w:fldChar w:fldCharType="separate"/>
      </w:r>
      <w:r>
        <w:rPr>
          <w:noProof/>
        </w:rPr>
        <w:t>14</w:t>
      </w:r>
      <w:r>
        <w:rPr>
          <w:noProof/>
        </w:rPr>
        <w:fldChar w:fldCharType="end"/>
      </w:r>
    </w:p>
    <w:p w14:paraId="4EF563D2"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Organisational Structure</w:t>
      </w:r>
      <w:r>
        <w:rPr>
          <w:noProof/>
        </w:rPr>
        <w:tab/>
      </w:r>
      <w:r>
        <w:rPr>
          <w:noProof/>
        </w:rPr>
        <w:fldChar w:fldCharType="begin"/>
      </w:r>
      <w:r>
        <w:rPr>
          <w:noProof/>
        </w:rPr>
        <w:instrText xml:space="preserve"> PAGEREF _Toc494111961 \h </w:instrText>
      </w:r>
      <w:r>
        <w:rPr>
          <w:noProof/>
        </w:rPr>
      </w:r>
      <w:r>
        <w:rPr>
          <w:noProof/>
        </w:rPr>
        <w:fldChar w:fldCharType="separate"/>
      </w:r>
      <w:r>
        <w:rPr>
          <w:noProof/>
        </w:rPr>
        <w:t>14</w:t>
      </w:r>
      <w:r>
        <w:rPr>
          <w:noProof/>
        </w:rPr>
        <w:fldChar w:fldCharType="end"/>
      </w:r>
    </w:p>
    <w:p w14:paraId="37035E69"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Belinda Clark – Commissioner</w:t>
      </w:r>
      <w:r>
        <w:rPr>
          <w:noProof/>
        </w:rPr>
        <w:tab/>
      </w:r>
      <w:r>
        <w:rPr>
          <w:noProof/>
        </w:rPr>
        <w:fldChar w:fldCharType="begin"/>
      </w:r>
      <w:r>
        <w:rPr>
          <w:noProof/>
        </w:rPr>
        <w:instrText xml:space="preserve"> PAGEREF _Toc494111962 \h </w:instrText>
      </w:r>
      <w:r>
        <w:rPr>
          <w:noProof/>
        </w:rPr>
      </w:r>
      <w:r>
        <w:rPr>
          <w:noProof/>
        </w:rPr>
        <w:fldChar w:fldCharType="separate"/>
      </w:r>
      <w:r>
        <w:rPr>
          <w:noProof/>
        </w:rPr>
        <w:t>14</w:t>
      </w:r>
      <w:r>
        <w:rPr>
          <w:noProof/>
        </w:rPr>
        <w:fldChar w:fldCharType="end"/>
      </w:r>
    </w:p>
    <w:p w14:paraId="1749A3EF"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Dr Damian West – Deputy Commissioner</w:t>
      </w:r>
      <w:r>
        <w:rPr>
          <w:noProof/>
        </w:rPr>
        <w:tab/>
      </w:r>
      <w:r>
        <w:rPr>
          <w:noProof/>
        </w:rPr>
        <w:fldChar w:fldCharType="begin"/>
      </w:r>
      <w:r>
        <w:rPr>
          <w:noProof/>
        </w:rPr>
        <w:instrText xml:space="preserve"> PAGEREF _Toc494111963 \h </w:instrText>
      </w:r>
      <w:r>
        <w:rPr>
          <w:noProof/>
        </w:rPr>
      </w:r>
      <w:r>
        <w:rPr>
          <w:noProof/>
        </w:rPr>
        <w:fldChar w:fldCharType="separate"/>
      </w:r>
      <w:r>
        <w:rPr>
          <w:noProof/>
        </w:rPr>
        <w:t>14</w:t>
      </w:r>
      <w:r>
        <w:rPr>
          <w:noProof/>
        </w:rPr>
        <w:fldChar w:fldCharType="end"/>
      </w:r>
    </w:p>
    <w:p w14:paraId="7F22CDBB"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Linda Holmes – Executive Director, Leadership and Workforce</w:t>
      </w:r>
      <w:r>
        <w:rPr>
          <w:noProof/>
        </w:rPr>
        <w:tab/>
      </w:r>
      <w:r>
        <w:rPr>
          <w:noProof/>
        </w:rPr>
        <w:fldChar w:fldCharType="begin"/>
      </w:r>
      <w:r>
        <w:rPr>
          <w:noProof/>
        </w:rPr>
        <w:instrText xml:space="preserve"> PAGEREF _Toc494111964 \h </w:instrText>
      </w:r>
      <w:r>
        <w:rPr>
          <w:noProof/>
        </w:rPr>
      </w:r>
      <w:r>
        <w:rPr>
          <w:noProof/>
        </w:rPr>
        <w:fldChar w:fldCharType="separate"/>
      </w:r>
      <w:r>
        <w:rPr>
          <w:noProof/>
        </w:rPr>
        <w:t>14</w:t>
      </w:r>
      <w:r>
        <w:rPr>
          <w:noProof/>
        </w:rPr>
        <w:fldChar w:fldCharType="end"/>
      </w:r>
    </w:p>
    <w:p w14:paraId="753B6AD4"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Karen Lau – Executive Director, Performance and Integrity</w:t>
      </w:r>
      <w:r>
        <w:rPr>
          <w:noProof/>
        </w:rPr>
        <w:tab/>
      </w:r>
      <w:r>
        <w:rPr>
          <w:noProof/>
        </w:rPr>
        <w:fldChar w:fldCharType="begin"/>
      </w:r>
      <w:r>
        <w:rPr>
          <w:noProof/>
        </w:rPr>
        <w:instrText xml:space="preserve"> PAGEREF _Toc494111965 \h </w:instrText>
      </w:r>
      <w:r>
        <w:rPr>
          <w:noProof/>
        </w:rPr>
      </w:r>
      <w:r>
        <w:rPr>
          <w:noProof/>
        </w:rPr>
        <w:fldChar w:fldCharType="separate"/>
      </w:r>
      <w:r>
        <w:rPr>
          <w:noProof/>
        </w:rPr>
        <w:t>14</w:t>
      </w:r>
      <w:r>
        <w:rPr>
          <w:noProof/>
        </w:rPr>
        <w:fldChar w:fldCharType="end"/>
      </w:r>
    </w:p>
    <w:p w14:paraId="037E3670"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Victorian Public Sector Commission organisational chart 2016-17</w:t>
      </w:r>
      <w:r>
        <w:rPr>
          <w:noProof/>
        </w:rPr>
        <w:tab/>
      </w:r>
      <w:r>
        <w:rPr>
          <w:noProof/>
        </w:rPr>
        <w:fldChar w:fldCharType="begin"/>
      </w:r>
      <w:r>
        <w:rPr>
          <w:noProof/>
        </w:rPr>
        <w:instrText xml:space="preserve"> PAGEREF _Toc494111966 \h </w:instrText>
      </w:r>
      <w:r>
        <w:rPr>
          <w:noProof/>
        </w:rPr>
      </w:r>
      <w:r>
        <w:rPr>
          <w:noProof/>
        </w:rPr>
        <w:fldChar w:fldCharType="separate"/>
      </w:r>
      <w:r>
        <w:rPr>
          <w:noProof/>
        </w:rPr>
        <w:t>15</w:t>
      </w:r>
      <w:r>
        <w:rPr>
          <w:noProof/>
        </w:rPr>
        <w:fldChar w:fldCharType="end"/>
      </w:r>
    </w:p>
    <w:p w14:paraId="1BFB1E10"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Governance</w:t>
      </w:r>
      <w:r>
        <w:rPr>
          <w:noProof/>
        </w:rPr>
        <w:tab/>
      </w:r>
      <w:r>
        <w:rPr>
          <w:noProof/>
        </w:rPr>
        <w:fldChar w:fldCharType="begin"/>
      </w:r>
      <w:r>
        <w:rPr>
          <w:noProof/>
        </w:rPr>
        <w:instrText xml:space="preserve"> PAGEREF _Toc494111967 \h </w:instrText>
      </w:r>
      <w:r>
        <w:rPr>
          <w:noProof/>
        </w:rPr>
      </w:r>
      <w:r>
        <w:rPr>
          <w:noProof/>
        </w:rPr>
        <w:fldChar w:fldCharType="separate"/>
      </w:r>
      <w:r>
        <w:rPr>
          <w:noProof/>
        </w:rPr>
        <w:t>16</w:t>
      </w:r>
      <w:r>
        <w:rPr>
          <w:noProof/>
        </w:rPr>
        <w:fldChar w:fldCharType="end"/>
      </w:r>
    </w:p>
    <w:p w14:paraId="0BBD0835"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Audit and Risk Management Committee Membership and Roles</w:t>
      </w:r>
      <w:r>
        <w:rPr>
          <w:noProof/>
        </w:rPr>
        <w:tab/>
      </w:r>
      <w:r>
        <w:rPr>
          <w:noProof/>
        </w:rPr>
        <w:fldChar w:fldCharType="begin"/>
      </w:r>
      <w:r>
        <w:rPr>
          <w:noProof/>
        </w:rPr>
        <w:instrText xml:space="preserve"> PAGEREF _Toc494111968 \h </w:instrText>
      </w:r>
      <w:r>
        <w:rPr>
          <w:noProof/>
        </w:rPr>
      </w:r>
      <w:r>
        <w:rPr>
          <w:noProof/>
        </w:rPr>
        <w:fldChar w:fldCharType="separate"/>
      </w:r>
      <w:r>
        <w:rPr>
          <w:noProof/>
        </w:rPr>
        <w:t>16</w:t>
      </w:r>
      <w:r>
        <w:rPr>
          <w:noProof/>
        </w:rPr>
        <w:fldChar w:fldCharType="end"/>
      </w:r>
    </w:p>
    <w:p w14:paraId="6DF09C2A"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Advisory Board</w:t>
      </w:r>
      <w:r>
        <w:rPr>
          <w:noProof/>
        </w:rPr>
        <w:tab/>
      </w:r>
      <w:r>
        <w:rPr>
          <w:noProof/>
        </w:rPr>
        <w:fldChar w:fldCharType="begin"/>
      </w:r>
      <w:r>
        <w:rPr>
          <w:noProof/>
        </w:rPr>
        <w:instrText xml:space="preserve"> PAGEREF _Toc494111969 \h </w:instrText>
      </w:r>
      <w:r>
        <w:rPr>
          <w:noProof/>
        </w:rPr>
      </w:r>
      <w:r>
        <w:rPr>
          <w:noProof/>
        </w:rPr>
        <w:fldChar w:fldCharType="separate"/>
      </w:r>
      <w:r>
        <w:rPr>
          <w:noProof/>
        </w:rPr>
        <w:t>16</w:t>
      </w:r>
      <w:r>
        <w:rPr>
          <w:noProof/>
        </w:rPr>
        <w:fldChar w:fldCharType="end"/>
      </w:r>
    </w:p>
    <w:p w14:paraId="42A3D8F7"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Occupational Health &amp; Safety</w:t>
      </w:r>
      <w:r>
        <w:rPr>
          <w:noProof/>
        </w:rPr>
        <w:tab/>
      </w:r>
      <w:r>
        <w:rPr>
          <w:noProof/>
        </w:rPr>
        <w:fldChar w:fldCharType="begin"/>
      </w:r>
      <w:r>
        <w:rPr>
          <w:noProof/>
        </w:rPr>
        <w:instrText xml:space="preserve"> PAGEREF _Toc494111970 \h </w:instrText>
      </w:r>
      <w:r>
        <w:rPr>
          <w:noProof/>
        </w:rPr>
      </w:r>
      <w:r>
        <w:rPr>
          <w:noProof/>
        </w:rPr>
        <w:fldChar w:fldCharType="separate"/>
      </w:r>
      <w:r>
        <w:rPr>
          <w:noProof/>
        </w:rPr>
        <w:t>17</w:t>
      </w:r>
      <w:r>
        <w:rPr>
          <w:noProof/>
        </w:rPr>
        <w:fldChar w:fldCharType="end"/>
      </w:r>
    </w:p>
    <w:p w14:paraId="22C7502D"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Incident Management**</w:t>
      </w:r>
      <w:r>
        <w:rPr>
          <w:noProof/>
        </w:rPr>
        <w:tab/>
      </w:r>
      <w:r>
        <w:rPr>
          <w:noProof/>
        </w:rPr>
        <w:fldChar w:fldCharType="begin"/>
      </w:r>
      <w:r>
        <w:rPr>
          <w:noProof/>
        </w:rPr>
        <w:instrText xml:space="preserve"> PAGEREF _Toc494111971 \h </w:instrText>
      </w:r>
      <w:r>
        <w:rPr>
          <w:noProof/>
        </w:rPr>
      </w:r>
      <w:r>
        <w:rPr>
          <w:noProof/>
        </w:rPr>
        <w:fldChar w:fldCharType="separate"/>
      </w:r>
      <w:r>
        <w:rPr>
          <w:noProof/>
        </w:rPr>
        <w:t>17</w:t>
      </w:r>
      <w:r>
        <w:rPr>
          <w:noProof/>
        </w:rPr>
        <w:fldChar w:fldCharType="end"/>
      </w:r>
    </w:p>
    <w:p w14:paraId="535B9D06"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Employment &amp; Conduct Principles</w:t>
      </w:r>
      <w:r>
        <w:rPr>
          <w:noProof/>
        </w:rPr>
        <w:tab/>
      </w:r>
      <w:r>
        <w:rPr>
          <w:noProof/>
        </w:rPr>
        <w:fldChar w:fldCharType="begin"/>
      </w:r>
      <w:r>
        <w:rPr>
          <w:noProof/>
        </w:rPr>
        <w:instrText xml:space="preserve"> PAGEREF _Toc494111972 \h </w:instrText>
      </w:r>
      <w:r>
        <w:rPr>
          <w:noProof/>
        </w:rPr>
      </w:r>
      <w:r>
        <w:rPr>
          <w:noProof/>
        </w:rPr>
        <w:fldChar w:fldCharType="separate"/>
      </w:r>
      <w:r>
        <w:rPr>
          <w:noProof/>
        </w:rPr>
        <w:t>17</w:t>
      </w:r>
      <w:r>
        <w:rPr>
          <w:noProof/>
        </w:rPr>
        <w:fldChar w:fldCharType="end"/>
      </w:r>
    </w:p>
    <w:p w14:paraId="7CA3BE60"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Merit Selection Policy</w:t>
      </w:r>
      <w:r>
        <w:rPr>
          <w:noProof/>
        </w:rPr>
        <w:tab/>
      </w:r>
      <w:r>
        <w:rPr>
          <w:noProof/>
        </w:rPr>
        <w:fldChar w:fldCharType="begin"/>
      </w:r>
      <w:r>
        <w:rPr>
          <w:noProof/>
        </w:rPr>
        <w:instrText xml:space="preserve"> PAGEREF _Toc494111973 \h </w:instrText>
      </w:r>
      <w:r>
        <w:rPr>
          <w:noProof/>
        </w:rPr>
      </w:r>
      <w:r>
        <w:rPr>
          <w:noProof/>
        </w:rPr>
        <w:fldChar w:fldCharType="separate"/>
      </w:r>
      <w:r>
        <w:rPr>
          <w:noProof/>
        </w:rPr>
        <w:t>17</w:t>
      </w:r>
      <w:r>
        <w:rPr>
          <w:noProof/>
        </w:rPr>
        <w:fldChar w:fldCharType="end"/>
      </w:r>
    </w:p>
    <w:p w14:paraId="30CB68DB" w14:textId="77777777" w:rsidR="004B3217" w:rsidRDefault="004B3217">
      <w:pPr>
        <w:pStyle w:val="TOC1"/>
        <w:tabs>
          <w:tab w:val="right" w:leader="dot" w:pos="10456"/>
        </w:tabs>
        <w:rPr>
          <w:rFonts w:asciiTheme="minorHAnsi" w:eastAsiaTheme="minorEastAsia" w:hAnsiTheme="minorHAnsi" w:cstheme="minorBidi"/>
          <w:b w:val="0"/>
          <w:noProof/>
          <w:spacing w:val="0"/>
          <w:sz w:val="24"/>
          <w:lang w:val="en-GB" w:eastAsia="en-GB"/>
        </w:rPr>
      </w:pPr>
      <w:r w:rsidRPr="00C57A74">
        <w:rPr>
          <w:noProof/>
          <w:lang w:val="en-GB"/>
        </w:rPr>
        <w:t>Section 3 – Workforce Data</w:t>
      </w:r>
      <w:r>
        <w:rPr>
          <w:noProof/>
        </w:rPr>
        <w:tab/>
      </w:r>
      <w:r>
        <w:rPr>
          <w:noProof/>
        </w:rPr>
        <w:fldChar w:fldCharType="begin"/>
      </w:r>
      <w:r>
        <w:rPr>
          <w:noProof/>
        </w:rPr>
        <w:instrText xml:space="preserve"> PAGEREF _Toc494111974 \h </w:instrText>
      </w:r>
      <w:r>
        <w:rPr>
          <w:noProof/>
        </w:rPr>
      </w:r>
      <w:r>
        <w:rPr>
          <w:noProof/>
        </w:rPr>
        <w:fldChar w:fldCharType="separate"/>
      </w:r>
      <w:r>
        <w:rPr>
          <w:noProof/>
        </w:rPr>
        <w:t>17</w:t>
      </w:r>
      <w:r>
        <w:rPr>
          <w:noProof/>
        </w:rPr>
        <w:fldChar w:fldCharType="end"/>
      </w:r>
    </w:p>
    <w:p w14:paraId="06825654"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Public Administration Values and Employment Principles</w:t>
      </w:r>
      <w:r>
        <w:rPr>
          <w:noProof/>
        </w:rPr>
        <w:tab/>
      </w:r>
      <w:r>
        <w:rPr>
          <w:noProof/>
        </w:rPr>
        <w:fldChar w:fldCharType="begin"/>
      </w:r>
      <w:r>
        <w:rPr>
          <w:noProof/>
        </w:rPr>
        <w:instrText xml:space="preserve"> PAGEREF _Toc494111975 \h </w:instrText>
      </w:r>
      <w:r>
        <w:rPr>
          <w:noProof/>
        </w:rPr>
      </w:r>
      <w:r>
        <w:rPr>
          <w:noProof/>
        </w:rPr>
        <w:fldChar w:fldCharType="separate"/>
      </w:r>
      <w:r>
        <w:rPr>
          <w:noProof/>
        </w:rPr>
        <w:t>17</w:t>
      </w:r>
      <w:r>
        <w:rPr>
          <w:noProof/>
        </w:rPr>
        <w:fldChar w:fldCharType="end"/>
      </w:r>
    </w:p>
    <w:p w14:paraId="513693E7"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Comparative Workforce Data</w:t>
      </w:r>
      <w:r>
        <w:rPr>
          <w:noProof/>
        </w:rPr>
        <w:tab/>
      </w:r>
      <w:r>
        <w:rPr>
          <w:noProof/>
        </w:rPr>
        <w:fldChar w:fldCharType="begin"/>
      </w:r>
      <w:r>
        <w:rPr>
          <w:noProof/>
        </w:rPr>
        <w:instrText xml:space="preserve"> PAGEREF _Toc494111976 \h </w:instrText>
      </w:r>
      <w:r>
        <w:rPr>
          <w:noProof/>
        </w:rPr>
      </w:r>
      <w:r>
        <w:rPr>
          <w:noProof/>
        </w:rPr>
        <w:fldChar w:fldCharType="separate"/>
      </w:r>
      <w:r>
        <w:rPr>
          <w:noProof/>
        </w:rPr>
        <w:t>18</w:t>
      </w:r>
      <w:r>
        <w:rPr>
          <w:noProof/>
        </w:rPr>
        <w:fldChar w:fldCharType="end"/>
      </w:r>
    </w:p>
    <w:p w14:paraId="35D4F862"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Staffing Trends from 2015 – 2017</w:t>
      </w:r>
      <w:r>
        <w:rPr>
          <w:noProof/>
        </w:rPr>
        <w:tab/>
      </w:r>
      <w:r>
        <w:rPr>
          <w:noProof/>
        </w:rPr>
        <w:fldChar w:fldCharType="begin"/>
      </w:r>
      <w:r>
        <w:rPr>
          <w:noProof/>
        </w:rPr>
        <w:instrText xml:space="preserve"> PAGEREF _Toc494111977 \h </w:instrText>
      </w:r>
      <w:r>
        <w:rPr>
          <w:noProof/>
        </w:rPr>
      </w:r>
      <w:r>
        <w:rPr>
          <w:noProof/>
        </w:rPr>
        <w:fldChar w:fldCharType="separate"/>
      </w:r>
      <w:r>
        <w:rPr>
          <w:noProof/>
        </w:rPr>
        <w:t>18</w:t>
      </w:r>
      <w:r>
        <w:rPr>
          <w:noProof/>
        </w:rPr>
        <w:fldChar w:fldCharType="end"/>
      </w:r>
    </w:p>
    <w:p w14:paraId="46499DEB"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Summary of Employment Levels (30 June 2016 and 30 June 2017)</w:t>
      </w:r>
      <w:r>
        <w:rPr>
          <w:noProof/>
        </w:rPr>
        <w:tab/>
      </w:r>
      <w:r>
        <w:rPr>
          <w:noProof/>
        </w:rPr>
        <w:fldChar w:fldCharType="begin"/>
      </w:r>
      <w:r>
        <w:rPr>
          <w:noProof/>
        </w:rPr>
        <w:instrText xml:space="preserve"> PAGEREF _Toc494111978 \h </w:instrText>
      </w:r>
      <w:r>
        <w:rPr>
          <w:noProof/>
        </w:rPr>
      </w:r>
      <w:r>
        <w:rPr>
          <w:noProof/>
        </w:rPr>
        <w:fldChar w:fldCharType="separate"/>
      </w:r>
      <w:r>
        <w:rPr>
          <w:noProof/>
        </w:rPr>
        <w:t>18</w:t>
      </w:r>
      <w:r>
        <w:rPr>
          <w:noProof/>
        </w:rPr>
        <w:fldChar w:fldCharType="end"/>
      </w:r>
    </w:p>
    <w:p w14:paraId="113C23CE"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Workforce Data – VPSC Staff as at 30 June 2016 and 30 June 2017</w:t>
      </w:r>
      <w:r>
        <w:rPr>
          <w:noProof/>
        </w:rPr>
        <w:tab/>
      </w:r>
      <w:r>
        <w:rPr>
          <w:noProof/>
        </w:rPr>
        <w:fldChar w:fldCharType="begin"/>
      </w:r>
      <w:r>
        <w:rPr>
          <w:noProof/>
        </w:rPr>
        <w:instrText xml:space="preserve"> PAGEREF _Toc494111979 \h </w:instrText>
      </w:r>
      <w:r>
        <w:rPr>
          <w:noProof/>
        </w:rPr>
      </w:r>
      <w:r>
        <w:rPr>
          <w:noProof/>
        </w:rPr>
        <w:fldChar w:fldCharType="separate"/>
      </w:r>
      <w:r>
        <w:rPr>
          <w:noProof/>
        </w:rPr>
        <w:t>18</w:t>
      </w:r>
      <w:r>
        <w:rPr>
          <w:noProof/>
        </w:rPr>
        <w:fldChar w:fldCharType="end"/>
      </w:r>
    </w:p>
    <w:p w14:paraId="4B364ABC"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Workforce Inclusion Policy</w:t>
      </w:r>
      <w:r>
        <w:rPr>
          <w:noProof/>
        </w:rPr>
        <w:tab/>
      </w:r>
      <w:r>
        <w:rPr>
          <w:noProof/>
        </w:rPr>
        <w:fldChar w:fldCharType="begin"/>
      </w:r>
      <w:r>
        <w:rPr>
          <w:noProof/>
        </w:rPr>
        <w:instrText xml:space="preserve"> PAGEREF _Toc494111980 \h </w:instrText>
      </w:r>
      <w:r>
        <w:rPr>
          <w:noProof/>
        </w:rPr>
      </w:r>
      <w:r>
        <w:rPr>
          <w:noProof/>
        </w:rPr>
        <w:fldChar w:fldCharType="separate"/>
      </w:r>
      <w:r>
        <w:rPr>
          <w:noProof/>
        </w:rPr>
        <w:t>19</w:t>
      </w:r>
      <w:r>
        <w:rPr>
          <w:noProof/>
        </w:rPr>
        <w:fldChar w:fldCharType="end"/>
      </w:r>
    </w:p>
    <w:p w14:paraId="7CDDF146"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Executive Officer Data</w:t>
      </w:r>
      <w:r>
        <w:rPr>
          <w:noProof/>
        </w:rPr>
        <w:tab/>
      </w:r>
      <w:r>
        <w:rPr>
          <w:noProof/>
        </w:rPr>
        <w:fldChar w:fldCharType="begin"/>
      </w:r>
      <w:r>
        <w:rPr>
          <w:noProof/>
        </w:rPr>
        <w:instrText xml:space="preserve"> PAGEREF _Toc494111981 \h </w:instrText>
      </w:r>
      <w:r>
        <w:rPr>
          <w:noProof/>
        </w:rPr>
      </w:r>
      <w:r>
        <w:rPr>
          <w:noProof/>
        </w:rPr>
        <w:fldChar w:fldCharType="separate"/>
      </w:r>
      <w:r>
        <w:rPr>
          <w:noProof/>
        </w:rPr>
        <w:t>19</w:t>
      </w:r>
      <w:r>
        <w:rPr>
          <w:noProof/>
        </w:rPr>
        <w:fldChar w:fldCharType="end"/>
      </w:r>
    </w:p>
    <w:p w14:paraId="697E089B"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VPSC Executive Officer Data</w:t>
      </w:r>
      <w:r>
        <w:rPr>
          <w:noProof/>
        </w:rPr>
        <w:tab/>
      </w:r>
      <w:r>
        <w:rPr>
          <w:noProof/>
        </w:rPr>
        <w:fldChar w:fldCharType="begin"/>
      </w:r>
      <w:r>
        <w:rPr>
          <w:noProof/>
        </w:rPr>
        <w:instrText xml:space="preserve"> PAGEREF _Toc494111982 \h </w:instrText>
      </w:r>
      <w:r>
        <w:rPr>
          <w:noProof/>
        </w:rPr>
      </w:r>
      <w:r>
        <w:rPr>
          <w:noProof/>
        </w:rPr>
        <w:fldChar w:fldCharType="separate"/>
      </w:r>
      <w:r>
        <w:rPr>
          <w:noProof/>
        </w:rPr>
        <w:t>19</w:t>
      </w:r>
      <w:r>
        <w:rPr>
          <w:noProof/>
        </w:rPr>
        <w:fldChar w:fldCharType="end"/>
      </w:r>
    </w:p>
    <w:p w14:paraId="231D1E04" w14:textId="77777777" w:rsidR="004B3217" w:rsidRDefault="004B3217">
      <w:pPr>
        <w:pStyle w:val="TOC1"/>
        <w:tabs>
          <w:tab w:val="right" w:leader="dot" w:pos="10456"/>
        </w:tabs>
        <w:rPr>
          <w:rFonts w:asciiTheme="minorHAnsi" w:eastAsiaTheme="minorEastAsia" w:hAnsiTheme="minorHAnsi" w:cstheme="minorBidi"/>
          <w:b w:val="0"/>
          <w:noProof/>
          <w:spacing w:val="0"/>
          <w:sz w:val="24"/>
          <w:lang w:val="en-GB" w:eastAsia="en-GB"/>
        </w:rPr>
      </w:pPr>
      <w:r w:rsidRPr="00C57A74">
        <w:rPr>
          <w:noProof/>
          <w:lang w:val="en-GB"/>
        </w:rPr>
        <w:t>Section 4 – Other Disclosures</w:t>
      </w:r>
      <w:r>
        <w:rPr>
          <w:noProof/>
        </w:rPr>
        <w:tab/>
      </w:r>
      <w:r>
        <w:rPr>
          <w:noProof/>
        </w:rPr>
        <w:fldChar w:fldCharType="begin"/>
      </w:r>
      <w:r>
        <w:rPr>
          <w:noProof/>
        </w:rPr>
        <w:instrText xml:space="preserve"> PAGEREF _Toc494111983 \h </w:instrText>
      </w:r>
      <w:r>
        <w:rPr>
          <w:noProof/>
        </w:rPr>
      </w:r>
      <w:r>
        <w:rPr>
          <w:noProof/>
        </w:rPr>
        <w:fldChar w:fldCharType="separate"/>
      </w:r>
      <w:r>
        <w:rPr>
          <w:noProof/>
        </w:rPr>
        <w:t>19</w:t>
      </w:r>
      <w:r>
        <w:rPr>
          <w:noProof/>
        </w:rPr>
        <w:fldChar w:fldCharType="end"/>
      </w:r>
    </w:p>
    <w:p w14:paraId="2F155506"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Local Jobs First – Victorian Industry Participation Policy (VIPP)</w:t>
      </w:r>
      <w:r>
        <w:rPr>
          <w:noProof/>
        </w:rPr>
        <w:tab/>
      </w:r>
      <w:r>
        <w:rPr>
          <w:noProof/>
        </w:rPr>
        <w:fldChar w:fldCharType="begin"/>
      </w:r>
      <w:r>
        <w:rPr>
          <w:noProof/>
        </w:rPr>
        <w:instrText xml:space="preserve"> PAGEREF _Toc494111984 \h </w:instrText>
      </w:r>
      <w:r>
        <w:rPr>
          <w:noProof/>
        </w:rPr>
      </w:r>
      <w:r>
        <w:rPr>
          <w:noProof/>
        </w:rPr>
        <w:fldChar w:fldCharType="separate"/>
      </w:r>
      <w:r>
        <w:rPr>
          <w:noProof/>
        </w:rPr>
        <w:t>19</w:t>
      </w:r>
      <w:r>
        <w:rPr>
          <w:noProof/>
        </w:rPr>
        <w:fldChar w:fldCharType="end"/>
      </w:r>
    </w:p>
    <w:p w14:paraId="606B8B4A"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Changes in Financial Position</w:t>
      </w:r>
      <w:r>
        <w:rPr>
          <w:noProof/>
        </w:rPr>
        <w:tab/>
      </w:r>
      <w:r>
        <w:rPr>
          <w:noProof/>
        </w:rPr>
        <w:fldChar w:fldCharType="begin"/>
      </w:r>
      <w:r>
        <w:rPr>
          <w:noProof/>
        </w:rPr>
        <w:instrText xml:space="preserve"> PAGEREF _Toc494111985 \h </w:instrText>
      </w:r>
      <w:r>
        <w:rPr>
          <w:noProof/>
        </w:rPr>
      </w:r>
      <w:r>
        <w:rPr>
          <w:noProof/>
        </w:rPr>
        <w:fldChar w:fldCharType="separate"/>
      </w:r>
      <w:r>
        <w:rPr>
          <w:noProof/>
        </w:rPr>
        <w:t>20</w:t>
      </w:r>
      <w:r>
        <w:rPr>
          <w:noProof/>
        </w:rPr>
        <w:fldChar w:fldCharType="end"/>
      </w:r>
    </w:p>
    <w:p w14:paraId="18CB73FF"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Consultancies</w:t>
      </w:r>
      <w:r>
        <w:rPr>
          <w:noProof/>
        </w:rPr>
        <w:tab/>
      </w:r>
      <w:r>
        <w:rPr>
          <w:noProof/>
        </w:rPr>
        <w:fldChar w:fldCharType="begin"/>
      </w:r>
      <w:r>
        <w:rPr>
          <w:noProof/>
        </w:rPr>
        <w:instrText xml:space="preserve"> PAGEREF _Toc494111986 \h </w:instrText>
      </w:r>
      <w:r>
        <w:rPr>
          <w:noProof/>
        </w:rPr>
      </w:r>
      <w:r>
        <w:rPr>
          <w:noProof/>
        </w:rPr>
        <w:fldChar w:fldCharType="separate"/>
      </w:r>
      <w:r>
        <w:rPr>
          <w:noProof/>
        </w:rPr>
        <w:t>20</w:t>
      </w:r>
      <w:r>
        <w:rPr>
          <w:noProof/>
        </w:rPr>
        <w:fldChar w:fldCharType="end"/>
      </w:r>
    </w:p>
    <w:p w14:paraId="502DB682"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Information and Communication Technology Expenditure</w:t>
      </w:r>
      <w:r>
        <w:rPr>
          <w:noProof/>
        </w:rPr>
        <w:tab/>
      </w:r>
      <w:r>
        <w:rPr>
          <w:noProof/>
        </w:rPr>
        <w:fldChar w:fldCharType="begin"/>
      </w:r>
      <w:r>
        <w:rPr>
          <w:noProof/>
        </w:rPr>
        <w:instrText xml:space="preserve"> PAGEREF _Toc494111987 \h </w:instrText>
      </w:r>
      <w:r>
        <w:rPr>
          <w:noProof/>
        </w:rPr>
      </w:r>
      <w:r>
        <w:rPr>
          <w:noProof/>
        </w:rPr>
        <w:fldChar w:fldCharType="separate"/>
      </w:r>
      <w:r>
        <w:rPr>
          <w:noProof/>
        </w:rPr>
        <w:t>21</w:t>
      </w:r>
      <w:r>
        <w:rPr>
          <w:noProof/>
        </w:rPr>
        <w:fldChar w:fldCharType="end"/>
      </w:r>
    </w:p>
    <w:p w14:paraId="04BF6DE6"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Environmental Reporting</w:t>
      </w:r>
      <w:r>
        <w:rPr>
          <w:noProof/>
        </w:rPr>
        <w:tab/>
      </w:r>
      <w:r>
        <w:rPr>
          <w:noProof/>
        </w:rPr>
        <w:fldChar w:fldCharType="begin"/>
      </w:r>
      <w:r>
        <w:rPr>
          <w:noProof/>
        </w:rPr>
        <w:instrText xml:space="preserve"> PAGEREF _Toc494111988 \h </w:instrText>
      </w:r>
      <w:r>
        <w:rPr>
          <w:noProof/>
        </w:rPr>
      </w:r>
      <w:r>
        <w:rPr>
          <w:noProof/>
        </w:rPr>
        <w:fldChar w:fldCharType="separate"/>
      </w:r>
      <w:r>
        <w:rPr>
          <w:noProof/>
        </w:rPr>
        <w:t>21</w:t>
      </w:r>
      <w:r>
        <w:rPr>
          <w:noProof/>
        </w:rPr>
        <w:fldChar w:fldCharType="end"/>
      </w:r>
    </w:p>
    <w:p w14:paraId="3EE7CDC6"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Reporting of office-based environment impacts based on information provided by Cushman and Wakefield</w:t>
      </w:r>
      <w:r>
        <w:rPr>
          <w:noProof/>
        </w:rPr>
        <w:tab/>
      </w:r>
      <w:r>
        <w:rPr>
          <w:noProof/>
        </w:rPr>
        <w:fldChar w:fldCharType="begin"/>
      </w:r>
      <w:r>
        <w:rPr>
          <w:noProof/>
        </w:rPr>
        <w:instrText xml:space="preserve"> PAGEREF _Toc494111989 \h </w:instrText>
      </w:r>
      <w:r>
        <w:rPr>
          <w:noProof/>
        </w:rPr>
      </w:r>
      <w:r>
        <w:rPr>
          <w:noProof/>
        </w:rPr>
        <w:fldChar w:fldCharType="separate"/>
      </w:r>
      <w:r>
        <w:rPr>
          <w:noProof/>
        </w:rPr>
        <w:t>21</w:t>
      </w:r>
      <w:r>
        <w:rPr>
          <w:noProof/>
        </w:rPr>
        <w:fldChar w:fldCharType="end"/>
      </w:r>
    </w:p>
    <w:p w14:paraId="5DCDE7C4"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Compliance</w:t>
      </w:r>
      <w:r>
        <w:rPr>
          <w:noProof/>
        </w:rPr>
        <w:tab/>
      </w:r>
      <w:r>
        <w:rPr>
          <w:noProof/>
        </w:rPr>
        <w:fldChar w:fldCharType="begin"/>
      </w:r>
      <w:r>
        <w:rPr>
          <w:noProof/>
        </w:rPr>
        <w:instrText xml:space="preserve"> PAGEREF _Toc494111990 \h </w:instrText>
      </w:r>
      <w:r>
        <w:rPr>
          <w:noProof/>
        </w:rPr>
      </w:r>
      <w:r>
        <w:rPr>
          <w:noProof/>
        </w:rPr>
        <w:fldChar w:fldCharType="separate"/>
      </w:r>
      <w:r>
        <w:rPr>
          <w:noProof/>
        </w:rPr>
        <w:t>22</w:t>
      </w:r>
      <w:r>
        <w:rPr>
          <w:noProof/>
        </w:rPr>
        <w:fldChar w:fldCharType="end"/>
      </w:r>
    </w:p>
    <w:p w14:paraId="3F4124F1"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 xml:space="preserve">The </w:t>
      </w:r>
      <w:r w:rsidRPr="00C57A74">
        <w:rPr>
          <w:i/>
          <w:noProof/>
          <w:lang w:val="en-GB"/>
        </w:rPr>
        <w:t>Building Act 1993</w:t>
      </w:r>
      <w:r>
        <w:rPr>
          <w:noProof/>
        </w:rPr>
        <w:tab/>
      </w:r>
      <w:r>
        <w:rPr>
          <w:noProof/>
        </w:rPr>
        <w:fldChar w:fldCharType="begin"/>
      </w:r>
      <w:r>
        <w:rPr>
          <w:noProof/>
        </w:rPr>
        <w:instrText xml:space="preserve"> PAGEREF _Toc494111991 \h </w:instrText>
      </w:r>
      <w:r>
        <w:rPr>
          <w:noProof/>
        </w:rPr>
      </w:r>
      <w:r>
        <w:rPr>
          <w:noProof/>
        </w:rPr>
        <w:fldChar w:fldCharType="separate"/>
      </w:r>
      <w:r>
        <w:rPr>
          <w:noProof/>
        </w:rPr>
        <w:t>22</w:t>
      </w:r>
      <w:r>
        <w:rPr>
          <w:noProof/>
        </w:rPr>
        <w:fldChar w:fldCharType="end"/>
      </w:r>
    </w:p>
    <w:p w14:paraId="41330A1E"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 xml:space="preserve">The </w:t>
      </w:r>
      <w:r w:rsidRPr="00C57A74">
        <w:rPr>
          <w:i/>
          <w:noProof/>
          <w:lang w:val="en-GB"/>
        </w:rPr>
        <w:t>Freedom of Information Act 1982</w:t>
      </w:r>
      <w:r>
        <w:rPr>
          <w:noProof/>
        </w:rPr>
        <w:tab/>
      </w:r>
      <w:r>
        <w:rPr>
          <w:noProof/>
        </w:rPr>
        <w:fldChar w:fldCharType="begin"/>
      </w:r>
      <w:r>
        <w:rPr>
          <w:noProof/>
        </w:rPr>
        <w:instrText xml:space="preserve"> PAGEREF _Toc494111992 \h </w:instrText>
      </w:r>
      <w:r>
        <w:rPr>
          <w:noProof/>
        </w:rPr>
      </w:r>
      <w:r>
        <w:rPr>
          <w:noProof/>
        </w:rPr>
        <w:fldChar w:fldCharType="separate"/>
      </w:r>
      <w:r>
        <w:rPr>
          <w:noProof/>
        </w:rPr>
        <w:t>22</w:t>
      </w:r>
      <w:r>
        <w:rPr>
          <w:noProof/>
        </w:rPr>
        <w:fldChar w:fldCharType="end"/>
      </w:r>
    </w:p>
    <w:p w14:paraId="5E17EF32"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National Competition Policy</w:t>
      </w:r>
      <w:r>
        <w:rPr>
          <w:noProof/>
        </w:rPr>
        <w:tab/>
      </w:r>
      <w:r>
        <w:rPr>
          <w:noProof/>
        </w:rPr>
        <w:fldChar w:fldCharType="begin"/>
      </w:r>
      <w:r>
        <w:rPr>
          <w:noProof/>
        </w:rPr>
        <w:instrText xml:space="preserve"> PAGEREF _Toc494111993 \h </w:instrText>
      </w:r>
      <w:r>
        <w:rPr>
          <w:noProof/>
        </w:rPr>
      </w:r>
      <w:r>
        <w:rPr>
          <w:noProof/>
        </w:rPr>
        <w:fldChar w:fldCharType="separate"/>
      </w:r>
      <w:r>
        <w:rPr>
          <w:noProof/>
        </w:rPr>
        <w:t>23</w:t>
      </w:r>
      <w:r>
        <w:rPr>
          <w:noProof/>
        </w:rPr>
        <w:fldChar w:fldCharType="end"/>
      </w:r>
    </w:p>
    <w:p w14:paraId="57404A3F"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 xml:space="preserve">The </w:t>
      </w:r>
      <w:r w:rsidRPr="00C57A74">
        <w:rPr>
          <w:i/>
          <w:noProof/>
          <w:lang w:val="en-GB"/>
        </w:rPr>
        <w:t>Protected Disclosure Act 2012</w:t>
      </w:r>
      <w:r w:rsidRPr="00C57A74">
        <w:rPr>
          <w:noProof/>
          <w:lang w:val="en-GB"/>
        </w:rPr>
        <w:t xml:space="preserve"> (formerly </w:t>
      </w:r>
      <w:r w:rsidRPr="00C57A74">
        <w:rPr>
          <w:i/>
          <w:noProof/>
          <w:lang w:val="en-GB"/>
        </w:rPr>
        <w:t>Whistleblowers Protection Act 2001</w:t>
      </w:r>
      <w:r w:rsidRPr="00C57A74">
        <w:rPr>
          <w:noProof/>
          <w:lang w:val="en-GB"/>
        </w:rPr>
        <w:t>)</w:t>
      </w:r>
      <w:r>
        <w:rPr>
          <w:noProof/>
        </w:rPr>
        <w:tab/>
      </w:r>
      <w:r>
        <w:rPr>
          <w:noProof/>
        </w:rPr>
        <w:fldChar w:fldCharType="begin"/>
      </w:r>
      <w:r>
        <w:rPr>
          <w:noProof/>
        </w:rPr>
        <w:instrText xml:space="preserve"> PAGEREF _Toc494111994 \h </w:instrText>
      </w:r>
      <w:r>
        <w:rPr>
          <w:noProof/>
        </w:rPr>
      </w:r>
      <w:r>
        <w:rPr>
          <w:noProof/>
        </w:rPr>
        <w:fldChar w:fldCharType="separate"/>
      </w:r>
      <w:r>
        <w:rPr>
          <w:noProof/>
        </w:rPr>
        <w:t>23</w:t>
      </w:r>
      <w:r>
        <w:rPr>
          <w:noProof/>
        </w:rPr>
        <w:fldChar w:fldCharType="end"/>
      </w:r>
    </w:p>
    <w:p w14:paraId="586D411B"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 xml:space="preserve">Disclosures under the </w:t>
      </w:r>
      <w:r w:rsidRPr="00C57A74">
        <w:rPr>
          <w:i/>
          <w:noProof/>
          <w:lang w:val="en-GB"/>
        </w:rPr>
        <w:t>Protected Disclosure Act 2012</w:t>
      </w:r>
      <w:r>
        <w:rPr>
          <w:noProof/>
        </w:rPr>
        <w:tab/>
      </w:r>
      <w:r>
        <w:rPr>
          <w:noProof/>
        </w:rPr>
        <w:fldChar w:fldCharType="begin"/>
      </w:r>
      <w:r>
        <w:rPr>
          <w:noProof/>
        </w:rPr>
        <w:instrText xml:space="preserve"> PAGEREF _Toc494111995 \h </w:instrText>
      </w:r>
      <w:r>
        <w:rPr>
          <w:noProof/>
        </w:rPr>
      </w:r>
      <w:r>
        <w:rPr>
          <w:noProof/>
        </w:rPr>
        <w:fldChar w:fldCharType="separate"/>
      </w:r>
      <w:r>
        <w:rPr>
          <w:noProof/>
        </w:rPr>
        <w:t>23</w:t>
      </w:r>
      <w:r>
        <w:rPr>
          <w:noProof/>
        </w:rPr>
        <w:fldChar w:fldCharType="end"/>
      </w:r>
    </w:p>
    <w:p w14:paraId="72678A10"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 xml:space="preserve">The </w:t>
      </w:r>
      <w:r w:rsidRPr="00C57A74">
        <w:rPr>
          <w:i/>
          <w:noProof/>
          <w:lang w:val="en-GB"/>
        </w:rPr>
        <w:t>Carers Recognition Act 2012</w:t>
      </w:r>
      <w:r>
        <w:rPr>
          <w:noProof/>
        </w:rPr>
        <w:tab/>
      </w:r>
      <w:r>
        <w:rPr>
          <w:noProof/>
        </w:rPr>
        <w:fldChar w:fldCharType="begin"/>
      </w:r>
      <w:r>
        <w:rPr>
          <w:noProof/>
        </w:rPr>
        <w:instrText xml:space="preserve"> PAGEREF _Toc494111996 \h </w:instrText>
      </w:r>
      <w:r>
        <w:rPr>
          <w:noProof/>
        </w:rPr>
      </w:r>
      <w:r>
        <w:rPr>
          <w:noProof/>
        </w:rPr>
        <w:fldChar w:fldCharType="separate"/>
      </w:r>
      <w:r>
        <w:rPr>
          <w:noProof/>
        </w:rPr>
        <w:t>23</w:t>
      </w:r>
      <w:r>
        <w:rPr>
          <w:noProof/>
        </w:rPr>
        <w:fldChar w:fldCharType="end"/>
      </w:r>
    </w:p>
    <w:p w14:paraId="09287F2D"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Other Information</w:t>
      </w:r>
      <w:r>
        <w:rPr>
          <w:noProof/>
        </w:rPr>
        <w:tab/>
      </w:r>
      <w:r>
        <w:rPr>
          <w:noProof/>
        </w:rPr>
        <w:fldChar w:fldCharType="begin"/>
      </w:r>
      <w:r>
        <w:rPr>
          <w:noProof/>
        </w:rPr>
        <w:instrText xml:space="preserve"> PAGEREF _Toc494111997 \h </w:instrText>
      </w:r>
      <w:r>
        <w:rPr>
          <w:noProof/>
        </w:rPr>
      </w:r>
      <w:r>
        <w:rPr>
          <w:noProof/>
        </w:rPr>
        <w:fldChar w:fldCharType="separate"/>
      </w:r>
      <w:r>
        <w:rPr>
          <w:noProof/>
        </w:rPr>
        <w:t>23</w:t>
      </w:r>
      <w:r>
        <w:rPr>
          <w:noProof/>
        </w:rPr>
        <w:fldChar w:fldCharType="end"/>
      </w:r>
    </w:p>
    <w:p w14:paraId="71A3A275"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Disclosure Index</w:t>
      </w:r>
      <w:r>
        <w:rPr>
          <w:noProof/>
        </w:rPr>
        <w:tab/>
      </w:r>
      <w:r>
        <w:rPr>
          <w:noProof/>
        </w:rPr>
        <w:fldChar w:fldCharType="begin"/>
      </w:r>
      <w:r>
        <w:rPr>
          <w:noProof/>
        </w:rPr>
        <w:instrText xml:space="preserve"> PAGEREF _Toc494111998 \h </w:instrText>
      </w:r>
      <w:r>
        <w:rPr>
          <w:noProof/>
        </w:rPr>
      </w:r>
      <w:r>
        <w:rPr>
          <w:noProof/>
        </w:rPr>
        <w:fldChar w:fldCharType="separate"/>
      </w:r>
      <w:r>
        <w:rPr>
          <w:noProof/>
        </w:rPr>
        <w:t>24</w:t>
      </w:r>
      <w:r>
        <w:rPr>
          <w:noProof/>
        </w:rPr>
        <w:fldChar w:fldCharType="end"/>
      </w:r>
    </w:p>
    <w:p w14:paraId="2D9C5CCA" w14:textId="77777777" w:rsidR="004B3217" w:rsidRDefault="004B3217">
      <w:pPr>
        <w:pStyle w:val="TOC1"/>
        <w:tabs>
          <w:tab w:val="right" w:leader="dot" w:pos="10456"/>
        </w:tabs>
        <w:rPr>
          <w:rFonts w:asciiTheme="minorHAnsi" w:eastAsiaTheme="minorEastAsia" w:hAnsiTheme="minorHAnsi" w:cstheme="minorBidi"/>
          <w:b w:val="0"/>
          <w:noProof/>
          <w:spacing w:val="0"/>
          <w:sz w:val="24"/>
          <w:lang w:val="en-GB" w:eastAsia="en-GB"/>
        </w:rPr>
      </w:pPr>
      <w:r w:rsidRPr="00C57A74">
        <w:rPr>
          <w:noProof/>
          <w:lang w:val="en-GB"/>
        </w:rPr>
        <w:lastRenderedPageBreak/>
        <w:t>VPSC Financial Statements for the year ended 30 June 2017</w:t>
      </w:r>
      <w:r>
        <w:rPr>
          <w:noProof/>
        </w:rPr>
        <w:tab/>
      </w:r>
      <w:r>
        <w:rPr>
          <w:noProof/>
        </w:rPr>
        <w:fldChar w:fldCharType="begin"/>
      </w:r>
      <w:r>
        <w:rPr>
          <w:noProof/>
        </w:rPr>
        <w:instrText xml:space="preserve"> PAGEREF _Toc494111999 \h </w:instrText>
      </w:r>
      <w:r>
        <w:rPr>
          <w:noProof/>
        </w:rPr>
      </w:r>
      <w:r>
        <w:rPr>
          <w:noProof/>
        </w:rPr>
        <w:fldChar w:fldCharType="separate"/>
      </w:r>
      <w:r>
        <w:rPr>
          <w:noProof/>
        </w:rPr>
        <w:t>26</w:t>
      </w:r>
      <w:r>
        <w:rPr>
          <w:noProof/>
        </w:rPr>
        <w:fldChar w:fldCharType="end"/>
      </w:r>
    </w:p>
    <w:p w14:paraId="62A075A4"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Comprehensive operating statement for the financial year ended 30 June 2017</w:t>
      </w:r>
      <w:r>
        <w:rPr>
          <w:noProof/>
        </w:rPr>
        <w:tab/>
      </w:r>
      <w:r>
        <w:rPr>
          <w:noProof/>
        </w:rPr>
        <w:fldChar w:fldCharType="begin"/>
      </w:r>
      <w:r>
        <w:rPr>
          <w:noProof/>
        </w:rPr>
        <w:instrText xml:space="preserve"> PAGEREF _Toc494112000 \h </w:instrText>
      </w:r>
      <w:r>
        <w:rPr>
          <w:noProof/>
        </w:rPr>
      </w:r>
      <w:r>
        <w:rPr>
          <w:noProof/>
        </w:rPr>
        <w:fldChar w:fldCharType="separate"/>
      </w:r>
      <w:r>
        <w:rPr>
          <w:noProof/>
        </w:rPr>
        <w:t>26</w:t>
      </w:r>
      <w:r>
        <w:rPr>
          <w:noProof/>
        </w:rPr>
        <w:fldChar w:fldCharType="end"/>
      </w:r>
    </w:p>
    <w:p w14:paraId="40CE00A0"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Balance sheet as at 30 June 2017</w:t>
      </w:r>
      <w:r>
        <w:rPr>
          <w:noProof/>
        </w:rPr>
        <w:tab/>
      </w:r>
      <w:r>
        <w:rPr>
          <w:noProof/>
        </w:rPr>
        <w:fldChar w:fldCharType="begin"/>
      </w:r>
      <w:r>
        <w:rPr>
          <w:noProof/>
        </w:rPr>
        <w:instrText xml:space="preserve"> PAGEREF _Toc494112001 \h </w:instrText>
      </w:r>
      <w:r>
        <w:rPr>
          <w:noProof/>
        </w:rPr>
      </w:r>
      <w:r>
        <w:rPr>
          <w:noProof/>
        </w:rPr>
        <w:fldChar w:fldCharType="separate"/>
      </w:r>
      <w:r>
        <w:rPr>
          <w:noProof/>
        </w:rPr>
        <w:t>27</w:t>
      </w:r>
      <w:r>
        <w:rPr>
          <w:noProof/>
        </w:rPr>
        <w:fldChar w:fldCharType="end"/>
      </w:r>
    </w:p>
    <w:p w14:paraId="39FAD11E"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Cash flow statement for the financial year ended 30 June 2017</w:t>
      </w:r>
      <w:r>
        <w:rPr>
          <w:noProof/>
        </w:rPr>
        <w:tab/>
      </w:r>
      <w:r>
        <w:rPr>
          <w:noProof/>
        </w:rPr>
        <w:fldChar w:fldCharType="begin"/>
      </w:r>
      <w:r>
        <w:rPr>
          <w:noProof/>
        </w:rPr>
        <w:instrText xml:space="preserve"> PAGEREF _Toc494112002 \h </w:instrText>
      </w:r>
      <w:r>
        <w:rPr>
          <w:noProof/>
        </w:rPr>
      </w:r>
      <w:r>
        <w:rPr>
          <w:noProof/>
        </w:rPr>
        <w:fldChar w:fldCharType="separate"/>
      </w:r>
      <w:r>
        <w:rPr>
          <w:noProof/>
        </w:rPr>
        <w:t>28</w:t>
      </w:r>
      <w:r>
        <w:rPr>
          <w:noProof/>
        </w:rPr>
        <w:fldChar w:fldCharType="end"/>
      </w:r>
    </w:p>
    <w:p w14:paraId="66354151"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Statement of changes in equity for the financial year ended 30 June 2017</w:t>
      </w:r>
      <w:r>
        <w:rPr>
          <w:noProof/>
        </w:rPr>
        <w:tab/>
      </w:r>
      <w:r>
        <w:rPr>
          <w:noProof/>
        </w:rPr>
        <w:fldChar w:fldCharType="begin"/>
      </w:r>
      <w:r>
        <w:rPr>
          <w:noProof/>
        </w:rPr>
        <w:instrText xml:space="preserve"> PAGEREF _Toc494112003 \h </w:instrText>
      </w:r>
      <w:r>
        <w:rPr>
          <w:noProof/>
        </w:rPr>
      </w:r>
      <w:r>
        <w:rPr>
          <w:noProof/>
        </w:rPr>
        <w:fldChar w:fldCharType="separate"/>
      </w:r>
      <w:r>
        <w:rPr>
          <w:noProof/>
        </w:rPr>
        <w:t>29</w:t>
      </w:r>
      <w:r>
        <w:rPr>
          <w:noProof/>
        </w:rPr>
        <w:fldChar w:fldCharType="end"/>
      </w:r>
    </w:p>
    <w:p w14:paraId="24179CF7" w14:textId="77777777" w:rsidR="004B3217" w:rsidRDefault="004B3217">
      <w:pPr>
        <w:pStyle w:val="TOC2"/>
        <w:tabs>
          <w:tab w:val="left" w:pos="600"/>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1.</w:t>
      </w:r>
      <w:r>
        <w:rPr>
          <w:rFonts w:asciiTheme="minorHAnsi" w:eastAsiaTheme="minorEastAsia" w:hAnsiTheme="minorHAnsi" w:cstheme="minorBidi"/>
          <w:noProof/>
          <w:spacing w:val="0"/>
          <w:sz w:val="24"/>
          <w:szCs w:val="24"/>
          <w:lang w:val="en-GB" w:eastAsia="en-GB"/>
        </w:rPr>
        <w:tab/>
      </w:r>
      <w:r w:rsidRPr="00C57A74">
        <w:rPr>
          <w:noProof/>
          <w:lang w:val="en-GB"/>
        </w:rPr>
        <w:t>About this report</w:t>
      </w:r>
      <w:r>
        <w:rPr>
          <w:noProof/>
        </w:rPr>
        <w:tab/>
      </w:r>
      <w:r>
        <w:rPr>
          <w:noProof/>
        </w:rPr>
        <w:fldChar w:fldCharType="begin"/>
      </w:r>
      <w:r>
        <w:rPr>
          <w:noProof/>
        </w:rPr>
        <w:instrText xml:space="preserve"> PAGEREF _Toc494112004 \h </w:instrText>
      </w:r>
      <w:r>
        <w:rPr>
          <w:noProof/>
        </w:rPr>
      </w:r>
      <w:r>
        <w:rPr>
          <w:noProof/>
        </w:rPr>
        <w:fldChar w:fldCharType="separate"/>
      </w:r>
      <w:r>
        <w:rPr>
          <w:noProof/>
        </w:rPr>
        <w:t>29</w:t>
      </w:r>
      <w:r>
        <w:rPr>
          <w:noProof/>
        </w:rPr>
        <w:fldChar w:fldCharType="end"/>
      </w:r>
    </w:p>
    <w:p w14:paraId="38ED6FB8"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Basis of preparation</w:t>
      </w:r>
      <w:r>
        <w:rPr>
          <w:noProof/>
        </w:rPr>
        <w:tab/>
      </w:r>
      <w:r>
        <w:rPr>
          <w:noProof/>
        </w:rPr>
        <w:fldChar w:fldCharType="begin"/>
      </w:r>
      <w:r>
        <w:rPr>
          <w:noProof/>
        </w:rPr>
        <w:instrText xml:space="preserve"> PAGEREF _Toc494112005 \h </w:instrText>
      </w:r>
      <w:r>
        <w:rPr>
          <w:noProof/>
        </w:rPr>
      </w:r>
      <w:r>
        <w:rPr>
          <w:noProof/>
        </w:rPr>
        <w:fldChar w:fldCharType="separate"/>
      </w:r>
      <w:r>
        <w:rPr>
          <w:noProof/>
        </w:rPr>
        <w:t>29</w:t>
      </w:r>
      <w:r>
        <w:rPr>
          <w:noProof/>
        </w:rPr>
        <w:fldChar w:fldCharType="end"/>
      </w:r>
    </w:p>
    <w:p w14:paraId="07E3C455"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Compliance</w:t>
      </w:r>
      <w:r>
        <w:rPr>
          <w:noProof/>
        </w:rPr>
        <w:tab/>
      </w:r>
      <w:r>
        <w:rPr>
          <w:noProof/>
        </w:rPr>
        <w:fldChar w:fldCharType="begin"/>
      </w:r>
      <w:r>
        <w:rPr>
          <w:noProof/>
        </w:rPr>
        <w:instrText xml:space="preserve"> PAGEREF _Toc494112006 \h </w:instrText>
      </w:r>
      <w:r>
        <w:rPr>
          <w:noProof/>
        </w:rPr>
      </w:r>
      <w:r>
        <w:rPr>
          <w:noProof/>
        </w:rPr>
        <w:fldChar w:fldCharType="separate"/>
      </w:r>
      <w:r>
        <w:rPr>
          <w:noProof/>
        </w:rPr>
        <w:t>29</w:t>
      </w:r>
      <w:r>
        <w:rPr>
          <w:noProof/>
        </w:rPr>
        <w:fldChar w:fldCharType="end"/>
      </w:r>
    </w:p>
    <w:p w14:paraId="47EFA63A"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2.Funding delivery of our services</w:t>
      </w:r>
      <w:r>
        <w:rPr>
          <w:noProof/>
        </w:rPr>
        <w:tab/>
      </w:r>
      <w:r>
        <w:rPr>
          <w:noProof/>
        </w:rPr>
        <w:fldChar w:fldCharType="begin"/>
      </w:r>
      <w:r>
        <w:rPr>
          <w:noProof/>
        </w:rPr>
        <w:instrText xml:space="preserve"> PAGEREF _Toc494112007 \h </w:instrText>
      </w:r>
      <w:r>
        <w:rPr>
          <w:noProof/>
        </w:rPr>
      </w:r>
      <w:r>
        <w:rPr>
          <w:noProof/>
        </w:rPr>
        <w:fldChar w:fldCharType="separate"/>
      </w:r>
      <w:r>
        <w:rPr>
          <w:noProof/>
        </w:rPr>
        <w:t>30</w:t>
      </w:r>
      <w:r>
        <w:rPr>
          <w:noProof/>
        </w:rPr>
        <w:fldChar w:fldCharType="end"/>
      </w:r>
    </w:p>
    <w:p w14:paraId="4FC8E57F"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Introduction</w:t>
      </w:r>
      <w:r>
        <w:rPr>
          <w:noProof/>
        </w:rPr>
        <w:tab/>
      </w:r>
      <w:r>
        <w:rPr>
          <w:noProof/>
        </w:rPr>
        <w:fldChar w:fldCharType="begin"/>
      </w:r>
      <w:r>
        <w:rPr>
          <w:noProof/>
        </w:rPr>
        <w:instrText xml:space="preserve"> PAGEREF _Toc494112008 \h </w:instrText>
      </w:r>
      <w:r>
        <w:rPr>
          <w:noProof/>
        </w:rPr>
      </w:r>
      <w:r>
        <w:rPr>
          <w:noProof/>
        </w:rPr>
        <w:fldChar w:fldCharType="separate"/>
      </w:r>
      <w:r>
        <w:rPr>
          <w:noProof/>
        </w:rPr>
        <w:t>30</w:t>
      </w:r>
      <w:r>
        <w:rPr>
          <w:noProof/>
        </w:rPr>
        <w:fldChar w:fldCharType="end"/>
      </w:r>
    </w:p>
    <w:p w14:paraId="69191E96"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Structure</w:t>
      </w:r>
      <w:r>
        <w:rPr>
          <w:noProof/>
        </w:rPr>
        <w:tab/>
      </w:r>
      <w:r>
        <w:rPr>
          <w:noProof/>
        </w:rPr>
        <w:fldChar w:fldCharType="begin"/>
      </w:r>
      <w:r>
        <w:rPr>
          <w:noProof/>
        </w:rPr>
        <w:instrText xml:space="preserve"> PAGEREF _Toc494112009 \h </w:instrText>
      </w:r>
      <w:r>
        <w:rPr>
          <w:noProof/>
        </w:rPr>
      </w:r>
      <w:r>
        <w:rPr>
          <w:noProof/>
        </w:rPr>
        <w:fldChar w:fldCharType="separate"/>
      </w:r>
      <w:r>
        <w:rPr>
          <w:noProof/>
        </w:rPr>
        <w:t>30</w:t>
      </w:r>
      <w:r>
        <w:rPr>
          <w:noProof/>
        </w:rPr>
        <w:fldChar w:fldCharType="end"/>
      </w:r>
    </w:p>
    <w:p w14:paraId="03B75E73"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3.The cost of delivering services</w:t>
      </w:r>
      <w:r>
        <w:rPr>
          <w:noProof/>
        </w:rPr>
        <w:tab/>
      </w:r>
      <w:r>
        <w:rPr>
          <w:noProof/>
        </w:rPr>
        <w:fldChar w:fldCharType="begin"/>
      </w:r>
      <w:r>
        <w:rPr>
          <w:noProof/>
        </w:rPr>
        <w:instrText xml:space="preserve"> PAGEREF _Toc494112010 \h </w:instrText>
      </w:r>
      <w:r>
        <w:rPr>
          <w:noProof/>
        </w:rPr>
      </w:r>
      <w:r>
        <w:rPr>
          <w:noProof/>
        </w:rPr>
        <w:fldChar w:fldCharType="separate"/>
      </w:r>
      <w:r>
        <w:rPr>
          <w:noProof/>
        </w:rPr>
        <w:t>31</w:t>
      </w:r>
      <w:r>
        <w:rPr>
          <w:noProof/>
        </w:rPr>
        <w:fldChar w:fldCharType="end"/>
      </w:r>
    </w:p>
    <w:p w14:paraId="2CAF2238"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Introduction</w:t>
      </w:r>
      <w:r>
        <w:rPr>
          <w:noProof/>
        </w:rPr>
        <w:tab/>
      </w:r>
      <w:r>
        <w:rPr>
          <w:noProof/>
        </w:rPr>
        <w:fldChar w:fldCharType="begin"/>
      </w:r>
      <w:r>
        <w:rPr>
          <w:noProof/>
        </w:rPr>
        <w:instrText xml:space="preserve"> PAGEREF _Toc494112011 \h </w:instrText>
      </w:r>
      <w:r>
        <w:rPr>
          <w:noProof/>
        </w:rPr>
      </w:r>
      <w:r>
        <w:rPr>
          <w:noProof/>
        </w:rPr>
        <w:fldChar w:fldCharType="separate"/>
      </w:r>
      <w:r>
        <w:rPr>
          <w:noProof/>
        </w:rPr>
        <w:t>31</w:t>
      </w:r>
      <w:r>
        <w:rPr>
          <w:noProof/>
        </w:rPr>
        <w:fldChar w:fldCharType="end"/>
      </w:r>
    </w:p>
    <w:p w14:paraId="55C079E9"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Structure</w:t>
      </w:r>
      <w:r>
        <w:rPr>
          <w:noProof/>
        </w:rPr>
        <w:tab/>
      </w:r>
      <w:r>
        <w:rPr>
          <w:noProof/>
        </w:rPr>
        <w:fldChar w:fldCharType="begin"/>
      </w:r>
      <w:r>
        <w:rPr>
          <w:noProof/>
        </w:rPr>
        <w:instrText xml:space="preserve"> PAGEREF _Toc494112012 \h </w:instrText>
      </w:r>
      <w:r>
        <w:rPr>
          <w:noProof/>
        </w:rPr>
      </w:r>
      <w:r>
        <w:rPr>
          <w:noProof/>
        </w:rPr>
        <w:fldChar w:fldCharType="separate"/>
      </w:r>
      <w:r>
        <w:rPr>
          <w:noProof/>
        </w:rPr>
        <w:t>31</w:t>
      </w:r>
      <w:r>
        <w:rPr>
          <w:noProof/>
        </w:rPr>
        <w:fldChar w:fldCharType="end"/>
      </w:r>
    </w:p>
    <w:p w14:paraId="5411C8FE"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4.Key assets available to support delivery of services</w:t>
      </w:r>
      <w:r>
        <w:rPr>
          <w:noProof/>
        </w:rPr>
        <w:tab/>
      </w:r>
      <w:r>
        <w:rPr>
          <w:noProof/>
        </w:rPr>
        <w:fldChar w:fldCharType="begin"/>
      </w:r>
      <w:r>
        <w:rPr>
          <w:noProof/>
        </w:rPr>
        <w:instrText xml:space="preserve"> PAGEREF _Toc494112013 \h </w:instrText>
      </w:r>
      <w:r>
        <w:rPr>
          <w:noProof/>
        </w:rPr>
      </w:r>
      <w:r>
        <w:rPr>
          <w:noProof/>
        </w:rPr>
        <w:fldChar w:fldCharType="separate"/>
      </w:r>
      <w:r>
        <w:rPr>
          <w:noProof/>
        </w:rPr>
        <w:t>34</w:t>
      </w:r>
      <w:r>
        <w:rPr>
          <w:noProof/>
        </w:rPr>
        <w:fldChar w:fldCharType="end"/>
      </w:r>
    </w:p>
    <w:p w14:paraId="4958A0F3"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Introduction</w:t>
      </w:r>
      <w:r>
        <w:rPr>
          <w:noProof/>
        </w:rPr>
        <w:tab/>
      </w:r>
      <w:r>
        <w:rPr>
          <w:noProof/>
        </w:rPr>
        <w:fldChar w:fldCharType="begin"/>
      </w:r>
      <w:r>
        <w:rPr>
          <w:noProof/>
        </w:rPr>
        <w:instrText xml:space="preserve"> PAGEREF _Toc494112014 \h </w:instrText>
      </w:r>
      <w:r>
        <w:rPr>
          <w:noProof/>
        </w:rPr>
      </w:r>
      <w:r>
        <w:rPr>
          <w:noProof/>
        </w:rPr>
        <w:fldChar w:fldCharType="separate"/>
      </w:r>
      <w:r>
        <w:rPr>
          <w:noProof/>
        </w:rPr>
        <w:t>34</w:t>
      </w:r>
      <w:r>
        <w:rPr>
          <w:noProof/>
        </w:rPr>
        <w:fldChar w:fldCharType="end"/>
      </w:r>
    </w:p>
    <w:p w14:paraId="68235A99"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Structure</w:t>
      </w:r>
      <w:r>
        <w:rPr>
          <w:noProof/>
        </w:rPr>
        <w:tab/>
      </w:r>
      <w:r>
        <w:rPr>
          <w:noProof/>
        </w:rPr>
        <w:fldChar w:fldCharType="begin"/>
      </w:r>
      <w:r>
        <w:rPr>
          <w:noProof/>
        </w:rPr>
        <w:instrText xml:space="preserve"> PAGEREF _Toc494112015 \h </w:instrText>
      </w:r>
      <w:r>
        <w:rPr>
          <w:noProof/>
        </w:rPr>
      </w:r>
      <w:r>
        <w:rPr>
          <w:noProof/>
        </w:rPr>
        <w:fldChar w:fldCharType="separate"/>
      </w:r>
      <w:r>
        <w:rPr>
          <w:noProof/>
        </w:rPr>
        <w:t>34</w:t>
      </w:r>
      <w:r>
        <w:rPr>
          <w:noProof/>
        </w:rPr>
        <w:fldChar w:fldCharType="end"/>
      </w:r>
    </w:p>
    <w:p w14:paraId="2F5794FF"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5.Other assets and liabilities</w:t>
      </w:r>
      <w:r>
        <w:rPr>
          <w:noProof/>
        </w:rPr>
        <w:tab/>
      </w:r>
      <w:r>
        <w:rPr>
          <w:noProof/>
        </w:rPr>
        <w:fldChar w:fldCharType="begin"/>
      </w:r>
      <w:r>
        <w:rPr>
          <w:noProof/>
        </w:rPr>
        <w:instrText xml:space="preserve"> PAGEREF _Toc494112016 \h </w:instrText>
      </w:r>
      <w:r>
        <w:rPr>
          <w:noProof/>
        </w:rPr>
      </w:r>
      <w:r>
        <w:rPr>
          <w:noProof/>
        </w:rPr>
        <w:fldChar w:fldCharType="separate"/>
      </w:r>
      <w:r>
        <w:rPr>
          <w:noProof/>
        </w:rPr>
        <w:t>37</w:t>
      </w:r>
      <w:r>
        <w:rPr>
          <w:noProof/>
        </w:rPr>
        <w:fldChar w:fldCharType="end"/>
      </w:r>
    </w:p>
    <w:p w14:paraId="4DFBC650"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Introduction</w:t>
      </w:r>
      <w:r>
        <w:rPr>
          <w:noProof/>
        </w:rPr>
        <w:tab/>
      </w:r>
      <w:r>
        <w:rPr>
          <w:noProof/>
        </w:rPr>
        <w:fldChar w:fldCharType="begin"/>
      </w:r>
      <w:r>
        <w:rPr>
          <w:noProof/>
        </w:rPr>
        <w:instrText xml:space="preserve"> PAGEREF _Toc494112017 \h </w:instrText>
      </w:r>
      <w:r>
        <w:rPr>
          <w:noProof/>
        </w:rPr>
      </w:r>
      <w:r>
        <w:rPr>
          <w:noProof/>
        </w:rPr>
        <w:fldChar w:fldCharType="separate"/>
      </w:r>
      <w:r>
        <w:rPr>
          <w:noProof/>
        </w:rPr>
        <w:t>37</w:t>
      </w:r>
      <w:r>
        <w:rPr>
          <w:noProof/>
        </w:rPr>
        <w:fldChar w:fldCharType="end"/>
      </w:r>
    </w:p>
    <w:p w14:paraId="4EF3D66F"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Structure</w:t>
      </w:r>
      <w:r>
        <w:rPr>
          <w:noProof/>
        </w:rPr>
        <w:tab/>
      </w:r>
      <w:r>
        <w:rPr>
          <w:noProof/>
        </w:rPr>
        <w:fldChar w:fldCharType="begin"/>
      </w:r>
      <w:r>
        <w:rPr>
          <w:noProof/>
        </w:rPr>
        <w:instrText xml:space="preserve"> PAGEREF _Toc494112018 \h </w:instrText>
      </w:r>
      <w:r>
        <w:rPr>
          <w:noProof/>
        </w:rPr>
      </w:r>
      <w:r>
        <w:rPr>
          <w:noProof/>
        </w:rPr>
        <w:fldChar w:fldCharType="separate"/>
      </w:r>
      <w:r>
        <w:rPr>
          <w:noProof/>
        </w:rPr>
        <w:t>37</w:t>
      </w:r>
      <w:r>
        <w:rPr>
          <w:noProof/>
        </w:rPr>
        <w:fldChar w:fldCharType="end"/>
      </w:r>
    </w:p>
    <w:p w14:paraId="7B764553"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6.Financing our operations</w:t>
      </w:r>
      <w:r>
        <w:rPr>
          <w:noProof/>
        </w:rPr>
        <w:tab/>
      </w:r>
      <w:r>
        <w:rPr>
          <w:noProof/>
        </w:rPr>
        <w:fldChar w:fldCharType="begin"/>
      </w:r>
      <w:r>
        <w:rPr>
          <w:noProof/>
        </w:rPr>
        <w:instrText xml:space="preserve"> PAGEREF _Toc494112019 \h </w:instrText>
      </w:r>
      <w:r>
        <w:rPr>
          <w:noProof/>
        </w:rPr>
      </w:r>
      <w:r>
        <w:rPr>
          <w:noProof/>
        </w:rPr>
        <w:fldChar w:fldCharType="separate"/>
      </w:r>
      <w:r>
        <w:rPr>
          <w:noProof/>
        </w:rPr>
        <w:t>38</w:t>
      </w:r>
      <w:r>
        <w:rPr>
          <w:noProof/>
        </w:rPr>
        <w:fldChar w:fldCharType="end"/>
      </w:r>
    </w:p>
    <w:p w14:paraId="034E7BAA"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Introduction</w:t>
      </w:r>
      <w:r>
        <w:rPr>
          <w:noProof/>
        </w:rPr>
        <w:tab/>
      </w:r>
      <w:r>
        <w:rPr>
          <w:noProof/>
        </w:rPr>
        <w:fldChar w:fldCharType="begin"/>
      </w:r>
      <w:r>
        <w:rPr>
          <w:noProof/>
        </w:rPr>
        <w:instrText xml:space="preserve"> PAGEREF _Toc494112020 \h </w:instrText>
      </w:r>
      <w:r>
        <w:rPr>
          <w:noProof/>
        </w:rPr>
      </w:r>
      <w:r>
        <w:rPr>
          <w:noProof/>
        </w:rPr>
        <w:fldChar w:fldCharType="separate"/>
      </w:r>
      <w:r>
        <w:rPr>
          <w:noProof/>
        </w:rPr>
        <w:t>38</w:t>
      </w:r>
      <w:r>
        <w:rPr>
          <w:noProof/>
        </w:rPr>
        <w:fldChar w:fldCharType="end"/>
      </w:r>
    </w:p>
    <w:p w14:paraId="74EADBA2"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Structure</w:t>
      </w:r>
      <w:r>
        <w:rPr>
          <w:noProof/>
        </w:rPr>
        <w:tab/>
      </w:r>
      <w:r>
        <w:rPr>
          <w:noProof/>
        </w:rPr>
        <w:fldChar w:fldCharType="begin"/>
      </w:r>
      <w:r>
        <w:rPr>
          <w:noProof/>
        </w:rPr>
        <w:instrText xml:space="preserve"> PAGEREF _Toc494112021 \h </w:instrText>
      </w:r>
      <w:r>
        <w:rPr>
          <w:noProof/>
        </w:rPr>
      </w:r>
      <w:r>
        <w:rPr>
          <w:noProof/>
        </w:rPr>
        <w:fldChar w:fldCharType="separate"/>
      </w:r>
      <w:r>
        <w:rPr>
          <w:noProof/>
        </w:rPr>
        <w:t>39</w:t>
      </w:r>
      <w:r>
        <w:rPr>
          <w:noProof/>
        </w:rPr>
        <w:fldChar w:fldCharType="end"/>
      </w:r>
    </w:p>
    <w:p w14:paraId="70F8BC81"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7.Risks, contingencies and valuation judgements</w:t>
      </w:r>
      <w:r>
        <w:rPr>
          <w:noProof/>
        </w:rPr>
        <w:tab/>
      </w:r>
      <w:r>
        <w:rPr>
          <w:noProof/>
        </w:rPr>
        <w:fldChar w:fldCharType="begin"/>
      </w:r>
      <w:r>
        <w:rPr>
          <w:noProof/>
        </w:rPr>
        <w:instrText xml:space="preserve"> PAGEREF _Toc494112022 \h </w:instrText>
      </w:r>
      <w:r>
        <w:rPr>
          <w:noProof/>
        </w:rPr>
      </w:r>
      <w:r>
        <w:rPr>
          <w:noProof/>
        </w:rPr>
        <w:fldChar w:fldCharType="separate"/>
      </w:r>
      <w:r>
        <w:rPr>
          <w:noProof/>
        </w:rPr>
        <w:t>41</w:t>
      </w:r>
      <w:r>
        <w:rPr>
          <w:noProof/>
        </w:rPr>
        <w:fldChar w:fldCharType="end"/>
      </w:r>
    </w:p>
    <w:p w14:paraId="11648BF0"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Introduction</w:t>
      </w:r>
      <w:r>
        <w:rPr>
          <w:noProof/>
        </w:rPr>
        <w:tab/>
      </w:r>
      <w:r>
        <w:rPr>
          <w:noProof/>
        </w:rPr>
        <w:fldChar w:fldCharType="begin"/>
      </w:r>
      <w:r>
        <w:rPr>
          <w:noProof/>
        </w:rPr>
        <w:instrText xml:space="preserve"> PAGEREF _Toc494112023 \h </w:instrText>
      </w:r>
      <w:r>
        <w:rPr>
          <w:noProof/>
        </w:rPr>
      </w:r>
      <w:r>
        <w:rPr>
          <w:noProof/>
        </w:rPr>
        <w:fldChar w:fldCharType="separate"/>
      </w:r>
      <w:r>
        <w:rPr>
          <w:noProof/>
        </w:rPr>
        <w:t>41</w:t>
      </w:r>
      <w:r>
        <w:rPr>
          <w:noProof/>
        </w:rPr>
        <w:fldChar w:fldCharType="end"/>
      </w:r>
    </w:p>
    <w:p w14:paraId="59593F64"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Structure</w:t>
      </w:r>
      <w:r>
        <w:rPr>
          <w:noProof/>
        </w:rPr>
        <w:tab/>
      </w:r>
      <w:r>
        <w:rPr>
          <w:noProof/>
        </w:rPr>
        <w:fldChar w:fldCharType="begin"/>
      </w:r>
      <w:r>
        <w:rPr>
          <w:noProof/>
        </w:rPr>
        <w:instrText xml:space="preserve"> PAGEREF _Toc494112024 \h </w:instrText>
      </w:r>
      <w:r>
        <w:rPr>
          <w:noProof/>
        </w:rPr>
      </w:r>
      <w:r>
        <w:rPr>
          <w:noProof/>
        </w:rPr>
        <w:fldChar w:fldCharType="separate"/>
      </w:r>
      <w:r>
        <w:rPr>
          <w:noProof/>
        </w:rPr>
        <w:t>41</w:t>
      </w:r>
      <w:r>
        <w:rPr>
          <w:noProof/>
        </w:rPr>
        <w:fldChar w:fldCharType="end"/>
      </w:r>
    </w:p>
    <w:p w14:paraId="4FE1CAED"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8.Other disclosures</w:t>
      </w:r>
      <w:r>
        <w:rPr>
          <w:noProof/>
        </w:rPr>
        <w:tab/>
      </w:r>
      <w:r>
        <w:rPr>
          <w:noProof/>
        </w:rPr>
        <w:fldChar w:fldCharType="begin"/>
      </w:r>
      <w:r>
        <w:rPr>
          <w:noProof/>
        </w:rPr>
        <w:instrText xml:space="preserve"> PAGEREF _Toc494112025 \h </w:instrText>
      </w:r>
      <w:r>
        <w:rPr>
          <w:noProof/>
        </w:rPr>
      </w:r>
      <w:r>
        <w:rPr>
          <w:noProof/>
        </w:rPr>
        <w:fldChar w:fldCharType="separate"/>
      </w:r>
      <w:r>
        <w:rPr>
          <w:noProof/>
        </w:rPr>
        <w:t>43</w:t>
      </w:r>
      <w:r>
        <w:rPr>
          <w:noProof/>
        </w:rPr>
        <w:fldChar w:fldCharType="end"/>
      </w:r>
    </w:p>
    <w:p w14:paraId="2432B9A5"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Introduction</w:t>
      </w:r>
      <w:r>
        <w:rPr>
          <w:noProof/>
        </w:rPr>
        <w:tab/>
      </w:r>
      <w:r>
        <w:rPr>
          <w:noProof/>
        </w:rPr>
        <w:fldChar w:fldCharType="begin"/>
      </w:r>
      <w:r>
        <w:rPr>
          <w:noProof/>
        </w:rPr>
        <w:instrText xml:space="preserve"> PAGEREF _Toc494112026 \h </w:instrText>
      </w:r>
      <w:r>
        <w:rPr>
          <w:noProof/>
        </w:rPr>
      </w:r>
      <w:r>
        <w:rPr>
          <w:noProof/>
        </w:rPr>
        <w:fldChar w:fldCharType="separate"/>
      </w:r>
      <w:r>
        <w:rPr>
          <w:noProof/>
        </w:rPr>
        <w:t>43</w:t>
      </w:r>
      <w:r>
        <w:rPr>
          <w:noProof/>
        </w:rPr>
        <w:fldChar w:fldCharType="end"/>
      </w:r>
    </w:p>
    <w:p w14:paraId="4908B6B9" w14:textId="77777777" w:rsidR="004B3217" w:rsidRDefault="004B3217">
      <w:pPr>
        <w:pStyle w:val="TOC3"/>
        <w:tabs>
          <w:tab w:val="right" w:leader="dot" w:pos="10456"/>
        </w:tabs>
        <w:rPr>
          <w:rFonts w:asciiTheme="minorHAnsi" w:eastAsiaTheme="minorEastAsia" w:hAnsiTheme="minorHAnsi" w:cstheme="minorBidi"/>
          <w:noProof/>
          <w:spacing w:val="0"/>
          <w:sz w:val="24"/>
          <w:lang w:val="en-GB" w:eastAsia="en-GB"/>
        </w:rPr>
      </w:pPr>
      <w:r w:rsidRPr="00C57A74">
        <w:rPr>
          <w:noProof/>
          <w:lang w:val="en-GB"/>
        </w:rPr>
        <w:t>Structure</w:t>
      </w:r>
      <w:r>
        <w:rPr>
          <w:noProof/>
        </w:rPr>
        <w:tab/>
      </w:r>
      <w:r>
        <w:rPr>
          <w:noProof/>
        </w:rPr>
        <w:fldChar w:fldCharType="begin"/>
      </w:r>
      <w:r>
        <w:rPr>
          <w:noProof/>
        </w:rPr>
        <w:instrText xml:space="preserve"> PAGEREF _Toc494112027 \h </w:instrText>
      </w:r>
      <w:r>
        <w:rPr>
          <w:noProof/>
        </w:rPr>
      </w:r>
      <w:r>
        <w:rPr>
          <w:noProof/>
        </w:rPr>
        <w:fldChar w:fldCharType="separate"/>
      </w:r>
      <w:r>
        <w:rPr>
          <w:noProof/>
        </w:rPr>
        <w:t>43</w:t>
      </w:r>
      <w:r>
        <w:rPr>
          <w:noProof/>
        </w:rPr>
        <w:fldChar w:fldCharType="end"/>
      </w:r>
    </w:p>
    <w:p w14:paraId="6E56B17E" w14:textId="77777777" w:rsidR="004B3217" w:rsidRDefault="004B3217">
      <w:pPr>
        <w:pStyle w:val="TOC1"/>
        <w:tabs>
          <w:tab w:val="right" w:leader="dot" w:pos="10456"/>
        </w:tabs>
        <w:rPr>
          <w:rFonts w:asciiTheme="minorHAnsi" w:eastAsiaTheme="minorEastAsia" w:hAnsiTheme="minorHAnsi" w:cstheme="minorBidi"/>
          <w:b w:val="0"/>
          <w:noProof/>
          <w:spacing w:val="0"/>
          <w:sz w:val="24"/>
          <w:lang w:val="en-GB" w:eastAsia="en-GB"/>
        </w:rPr>
      </w:pPr>
      <w:r w:rsidRPr="00C57A74">
        <w:rPr>
          <w:noProof/>
          <w:lang w:val="en-GB"/>
        </w:rPr>
        <w:t>Victorian Auditor-General’s Office</w:t>
      </w:r>
      <w:r>
        <w:rPr>
          <w:noProof/>
        </w:rPr>
        <w:tab/>
      </w:r>
      <w:r>
        <w:rPr>
          <w:noProof/>
        </w:rPr>
        <w:fldChar w:fldCharType="begin"/>
      </w:r>
      <w:r>
        <w:rPr>
          <w:noProof/>
        </w:rPr>
        <w:instrText xml:space="preserve"> PAGEREF _Toc494112028 \h </w:instrText>
      </w:r>
      <w:r>
        <w:rPr>
          <w:noProof/>
        </w:rPr>
      </w:r>
      <w:r>
        <w:rPr>
          <w:noProof/>
        </w:rPr>
        <w:fldChar w:fldCharType="separate"/>
      </w:r>
      <w:r>
        <w:rPr>
          <w:noProof/>
        </w:rPr>
        <w:t>50</w:t>
      </w:r>
      <w:r>
        <w:rPr>
          <w:noProof/>
        </w:rPr>
        <w:fldChar w:fldCharType="end"/>
      </w:r>
    </w:p>
    <w:p w14:paraId="0EE42A42" w14:textId="77777777" w:rsidR="004B3217" w:rsidRDefault="004B3217">
      <w:pPr>
        <w:pStyle w:val="TOC2"/>
        <w:tabs>
          <w:tab w:val="right" w:leader="dot" w:pos="10456"/>
        </w:tabs>
        <w:rPr>
          <w:rFonts w:asciiTheme="minorHAnsi" w:eastAsiaTheme="minorEastAsia" w:hAnsiTheme="minorHAnsi" w:cstheme="minorBidi"/>
          <w:noProof/>
          <w:spacing w:val="0"/>
          <w:sz w:val="24"/>
          <w:szCs w:val="24"/>
          <w:lang w:val="en-GB" w:eastAsia="en-GB"/>
        </w:rPr>
      </w:pPr>
      <w:r w:rsidRPr="00C57A74">
        <w:rPr>
          <w:noProof/>
          <w:lang w:val="en-GB"/>
        </w:rPr>
        <w:t>Independent Auditor’s Report</w:t>
      </w:r>
      <w:r>
        <w:rPr>
          <w:noProof/>
        </w:rPr>
        <w:tab/>
      </w:r>
      <w:r>
        <w:rPr>
          <w:noProof/>
        </w:rPr>
        <w:fldChar w:fldCharType="begin"/>
      </w:r>
      <w:r>
        <w:rPr>
          <w:noProof/>
        </w:rPr>
        <w:instrText xml:space="preserve"> PAGEREF _Toc494112029 \h </w:instrText>
      </w:r>
      <w:r>
        <w:rPr>
          <w:noProof/>
        </w:rPr>
      </w:r>
      <w:r>
        <w:rPr>
          <w:noProof/>
        </w:rPr>
        <w:fldChar w:fldCharType="separate"/>
      </w:r>
      <w:r>
        <w:rPr>
          <w:noProof/>
        </w:rPr>
        <w:t>50</w:t>
      </w:r>
      <w:r>
        <w:rPr>
          <w:noProof/>
        </w:rPr>
        <w:fldChar w:fldCharType="end"/>
      </w:r>
    </w:p>
    <w:p w14:paraId="48DDF20D" w14:textId="77777777" w:rsidR="004B3217" w:rsidRDefault="004B3217" w:rsidP="006E3F10">
      <w:pPr>
        <w:rPr>
          <w:bCs/>
          <w:lang w:val="en-GB"/>
        </w:rPr>
      </w:pPr>
      <w:r>
        <w:rPr>
          <w:bCs/>
          <w:lang w:val="en-GB"/>
        </w:rPr>
        <w:fldChar w:fldCharType="end"/>
      </w:r>
    </w:p>
    <w:p w14:paraId="0D25E6AD" w14:textId="059BB9B6" w:rsidR="00BC1556" w:rsidRPr="004B3217" w:rsidRDefault="006E3F10" w:rsidP="006E3F10">
      <w:pPr>
        <w:rPr>
          <w:bCs/>
          <w:lang w:val="en-GB"/>
        </w:rPr>
      </w:pPr>
      <w:r w:rsidRPr="006E3F10">
        <w:rPr>
          <w:b/>
          <w:bCs/>
          <w:lang w:val="en-GB"/>
        </w:rPr>
        <w:t>Contact Us:</w:t>
      </w:r>
    </w:p>
    <w:p w14:paraId="346FCFDB" w14:textId="5DEC6B61" w:rsidR="006E3F10" w:rsidRDefault="007A404A" w:rsidP="006E3F10">
      <w:pPr>
        <w:rPr>
          <w:lang w:val="en-GB"/>
        </w:rPr>
      </w:pPr>
      <w:hyperlink r:id="rId9" w:history="1">
        <w:r w:rsidR="00BC1556" w:rsidRPr="00C07116">
          <w:rPr>
            <w:rStyle w:val="Hyperlink"/>
            <w:lang w:val="en-GB"/>
          </w:rPr>
          <w:t>www.vpsc.vic.gov.au</w:t>
        </w:r>
      </w:hyperlink>
    </w:p>
    <w:p w14:paraId="4085C453" w14:textId="76A2865F" w:rsidR="006E3F10" w:rsidRDefault="007A404A" w:rsidP="006E3F10">
      <w:pPr>
        <w:rPr>
          <w:lang w:val="en-GB"/>
        </w:rPr>
      </w:pPr>
      <w:hyperlink r:id="rId10" w:history="1">
        <w:r w:rsidR="00BC1556" w:rsidRPr="00C07116">
          <w:rPr>
            <w:rStyle w:val="Hyperlink"/>
            <w:lang w:val="en-GB"/>
          </w:rPr>
          <w:t>info@vpsc.vic.gov.au</w:t>
        </w:r>
      </w:hyperlink>
    </w:p>
    <w:p w14:paraId="66C96DBB" w14:textId="77777777" w:rsidR="006E3F10" w:rsidRPr="006E3F10" w:rsidRDefault="006E3F10" w:rsidP="006E3F10">
      <w:pPr>
        <w:rPr>
          <w:lang w:val="en-GB"/>
        </w:rPr>
      </w:pPr>
      <w:r w:rsidRPr="006E3F10">
        <w:rPr>
          <w:lang w:val="en-GB"/>
        </w:rPr>
        <w:t>03 9651 1321</w:t>
      </w:r>
    </w:p>
    <w:p w14:paraId="02B6E32D" w14:textId="77777777" w:rsidR="003D48C0" w:rsidRDefault="003D48C0" w:rsidP="006E3F10">
      <w:pPr>
        <w:rPr>
          <w:lang w:val="en-GB"/>
        </w:rPr>
      </w:pPr>
      <w:r>
        <w:rPr>
          <w:lang w:val="en-GB"/>
        </w:rPr>
        <w:t>3 Treasury Place</w:t>
      </w:r>
    </w:p>
    <w:p w14:paraId="58838702" w14:textId="3D35DF3C" w:rsidR="006E3F10" w:rsidRPr="006E3F10" w:rsidRDefault="006E3F10" w:rsidP="006E3F10">
      <w:pPr>
        <w:rPr>
          <w:lang w:val="en-GB"/>
        </w:rPr>
      </w:pPr>
      <w:r w:rsidRPr="006E3F10">
        <w:rPr>
          <w:lang w:val="en-GB"/>
        </w:rPr>
        <w:t>Melbourne 3002</w:t>
      </w:r>
    </w:p>
    <w:p w14:paraId="42F50439" w14:textId="77777777" w:rsidR="006E3F10" w:rsidRPr="006E3F10" w:rsidRDefault="006E3F10" w:rsidP="00643AC2">
      <w:pPr>
        <w:pStyle w:val="Heading1"/>
        <w:rPr>
          <w:lang w:val="en-GB"/>
        </w:rPr>
      </w:pPr>
      <w:bookmarkStart w:id="0" w:name="_Toc494111928"/>
      <w:r w:rsidRPr="006E3F10">
        <w:rPr>
          <w:lang w:val="en-GB"/>
        </w:rPr>
        <w:lastRenderedPageBreak/>
        <w:t>Section 1 – Year in Review</w:t>
      </w:r>
      <w:bookmarkEnd w:id="0"/>
    </w:p>
    <w:p w14:paraId="4CAFCB95" w14:textId="77777777" w:rsidR="006E3F10" w:rsidRPr="006E3F10" w:rsidRDefault="006E3F10" w:rsidP="00643AC2">
      <w:pPr>
        <w:pStyle w:val="Heading2"/>
        <w:rPr>
          <w:lang w:val="en-GB"/>
        </w:rPr>
      </w:pPr>
      <w:bookmarkStart w:id="1" w:name="_Toc494111929"/>
      <w:r w:rsidRPr="006E3F10">
        <w:rPr>
          <w:lang w:val="en-GB"/>
        </w:rPr>
        <w:t>From The Victorian Public Sector Commissioner</w:t>
      </w:r>
      <w:bookmarkEnd w:id="1"/>
    </w:p>
    <w:p w14:paraId="0F21FAE8" w14:textId="77777777" w:rsidR="006E3F10" w:rsidRPr="006E3F10" w:rsidRDefault="006E3F10" w:rsidP="006E3F10">
      <w:pPr>
        <w:rPr>
          <w:lang w:val="en-GB"/>
        </w:rPr>
      </w:pPr>
      <w:r w:rsidRPr="006E3F10">
        <w:rPr>
          <w:lang w:val="en-GB"/>
        </w:rPr>
        <w:t xml:space="preserve">This year has been a busy time for the Victorian Public Sector Commission, as we focussed both on core functions under the </w:t>
      </w:r>
      <w:r w:rsidRPr="006E3F10">
        <w:rPr>
          <w:i/>
          <w:iCs/>
          <w:lang w:val="en-GB"/>
        </w:rPr>
        <w:t>Public Administration Act 2004</w:t>
      </w:r>
      <w:r w:rsidRPr="006E3F10">
        <w:rPr>
          <w:lang w:val="en-GB"/>
        </w:rPr>
        <w:t xml:space="preserve"> along with new initiatives to further build the capacity and capability of the public sector. We are pleased with the momentum and innovation that characterised the year, and made important achievements over the past twelve months.</w:t>
      </w:r>
    </w:p>
    <w:p w14:paraId="25A35FB7" w14:textId="77777777" w:rsidR="006E3F10" w:rsidRPr="006E3F10" w:rsidRDefault="006E3F10" w:rsidP="00643AC2">
      <w:pPr>
        <w:pStyle w:val="Heading3"/>
        <w:rPr>
          <w:lang w:val="en-GB"/>
        </w:rPr>
      </w:pPr>
      <w:bookmarkStart w:id="2" w:name="_Toc494111930"/>
      <w:r w:rsidRPr="006E3F10">
        <w:rPr>
          <w:lang w:val="en-GB"/>
        </w:rPr>
        <w:t>Victorian Leadership Academy</w:t>
      </w:r>
      <w:bookmarkEnd w:id="2"/>
    </w:p>
    <w:p w14:paraId="079BA342" w14:textId="0E9365B8" w:rsidR="006E3F10" w:rsidRPr="006E3F10" w:rsidRDefault="006E3F10" w:rsidP="006E3F10">
      <w:pPr>
        <w:rPr>
          <w:lang w:val="en-GB"/>
        </w:rPr>
      </w:pPr>
      <w:r w:rsidRPr="006E3F10">
        <w:rPr>
          <w:lang w:val="en-GB"/>
        </w:rPr>
        <w:t>Early in the year, the Commission launched a new leadership initiative with the support of all Victorian Public Service (VPS) departments. Established by the Victorian Secretaries Board (VSB) in July 2016, the Victorian Leadership Academy (VLA) works to increase leadership capability and cap</w:t>
      </w:r>
      <w:r w:rsidR="00643AC2">
        <w:rPr>
          <w:lang w:val="en-GB"/>
        </w:rPr>
        <w:t xml:space="preserve">acity across the senior levels </w:t>
      </w:r>
      <w:r w:rsidRPr="006E3F10">
        <w:rPr>
          <w:lang w:val="en-GB"/>
        </w:rPr>
        <w:t>of the VPS to deliver the Government’s objectives now and into the future. The VLA achieves this through: </w:t>
      </w:r>
    </w:p>
    <w:p w14:paraId="78D2E228" w14:textId="77777777" w:rsidR="006E3F10" w:rsidRPr="006E3F10" w:rsidRDefault="006E3F10" w:rsidP="00643AC2">
      <w:pPr>
        <w:pStyle w:val="Bullet"/>
        <w:rPr>
          <w:lang w:val="en-GB"/>
        </w:rPr>
      </w:pPr>
      <w:r w:rsidRPr="006E3F10">
        <w:rPr>
          <w:lang w:val="en-GB"/>
        </w:rPr>
        <w:t>expert, independent assessment of all VPS Executive Officers (EOs), aligned with the Victorian Public Sector Leadership Capability Framework </w:t>
      </w:r>
    </w:p>
    <w:p w14:paraId="4D3B07CD" w14:textId="77777777" w:rsidR="006E3F10" w:rsidRPr="006E3F10" w:rsidRDefault="006E3F10" w:rsidP="00643AC2">
      <w:pPr>
        <w:pStyle w:val="Bullet"/>
        <w:rPr>
          <w:lang w:val="en-GB"/>
        </w:rPr>
      </w:pPr>
      <w:r w:rsidRPr="006E3F10">
        <w:rPr>
          <w:lang w:val="en-GB"/>
        </w:rPr>
        <w:t xml:space="preserve">fit for purpose data and analytics to support evidence based development investment decision making </w:t>
      </w:r>
      <w:r w:rsidRPr="006E3F10">
        <w:rPr>
          <w:lang w:val="en-GB"/>
        </w:rPr>
        <w:br/>
        <w:t>by VSB and organisations </w:t>
      </w:r>
    </w:p>
    <w:p w14:paraId="6CA71345" w14:textId="77777777" w:rsidR="006E3F10" w:rsidRPr="006E3F10" w:rsidRDefault="006E3F10" w:rsidP="00643AC2">
      <w:pPr>
        <w:pStyle w:val="Bullet"/>
        <w:rPr>
          <w:lang w:val="en-GB"/>
        </w:rPr>
      </w:pPr>
      <w:r w:rsidRPr="006E3F10">
        <w:rPr>
          <w:lang w:val="en-GB"/>
        </w:rPr>
        <w:t xml:space="preserve">centrally coordinated development opportunities tailored to the strategic needs of the VPS as well </w:t>
      </w:r>
      <w:r w:rsidRPr="006E3F10">
        <w:rPr>
          <w:lang w:val="en-GB"/>
        </w:rPr>
        <w:br/>
        <w:t>as the individuals, with experiential learning as the central, defining force </w:t>
      </w:r>
    </w:p>
    <w:p w14:paraId="609B2910" w14:textId="77777777" w:rsidR="006E3F10" w:rsidRPr="006E3F10" w:rsidRDefault="006E3F10" w:rsidP="00643AC2">
      <w:pPr>
        <w:pStyle w:val="Bullet"/>
        <w:rPr>
          <w:lang w:val="en-GB"/>
        </w:rPr>
      </w:pPr>
      <w:r w:rsidRPr="006E3F10">
        <w:rPr>
          <w:lang w:val="en-GB"/>
        </w:rPr>
        <w:t>strategic partnerships with public and private sector institutions to lift capability and capacity across senior levels of the VPS </w:t>
      </w:r>
    </w:p>
    <w:p w14:paraId="3B833357" w14:textId="77777777" w:rsidR="006E3F10" w:rsidRPr="006E3F10" w:rsidRDefault="006E3F10" w:rsidP="00643AC2">
      <w:pPr>
        <w:pStyle w:val="Bullet"/>
        <w:rPr>
          <w:lang w:val="en-GB"/>
        </w:rPr>
      </w:pPr>
      <w:r w:rsidRPr="006E3F10">
        <w:rPr>
          <w:lang w:val="en-GB"/>
        </w:rPr>
        <w:t>evaluation of impact and implementation of continuous improvement</w:t>
      </w:r>
    </w:p>
    <w:p w14:paraId="335552FE" w14:textId="77777777" w:rsidR="006E3F10" w:rsidRPr="006E3F10" w:rsidRDefault="006E3F10" w:rsidP="006E3F10">
      <w:pPr>
        <w:rPr>
          <w:lang w:val="en-GB"/>
        </w:rPr>
      </w:pPr>
      <w:r w:rsidRPr="006E3F10">
        <w:rPr>
          <w:lang w:val="en-GB"/>
        </w:rPr>
        <w:t>The Academy has had a strong first year of operation and is poised for further development in the year ahead. </w:t>
      </w:r>
    </w:p>
    <w:p w14:paraId="6B5DB190" w14:textId="77777777" w:rsidR="006E3F10" w:rsidRPr="006E3F10" w:rsidRDefault="006E3F10" w:rsidP="00643AC2">
      <w:pPr>
        <w:pStyle w:val="Heading3"/>
        <w:rPr>
          <w:lang w:val="en-GB"/>
        </w:rPr>
      </w:pPr>
      <w:bookmarkStart w:id="3" w:name="_Toc494111931"/>
      <w:r w:rsidRPr="006E3F10">
        <w:rPr>
          <w:lang w:val="en-GB"/>
        </w:rPr>
        <w:t>Aboriginal Employment Unit</w:t>
      </w:r>
      <w:bookmarkEnd w:id="3"/>
    </w:p>
    <w:p w14:paraId="0471D29C" w14:textId="77777777" w:rsidR="006E3F10" w:rsidRPr="006E3F10" w:rsidRDefault="006E3F10" w:rsidP="006E3F10">
      <w:pPr>
        <w:rPr>
          <w:lang w:val="en-GB"/>
        </w:rPr>
      </w:pPr>
      <w:r w:rsidRPr="006E3F10">
        <w:rPr>
          <w:lang w:val="en-GB"/>
        </w:rPr>
        <w:t xml:space="preserve">The Aboriginal Employment Unit (AEU) developed a five year Aboriginal Employment Strategy for the Victorian public sector, </w:t>
      </w:r>
      <w:r w:rsidRPr="006E3F10">
        <w:rPr>
          <w:i/>
          <w:iCs/>
          <w:lang w:val="en-GB"/>
        </w:rPr>
        <w:t>Barring Djinang</w:t>
      </w:r>
      <w:r w:rsidRPr="006E3F10">
        <w:rPr>
          <w:lang w:val="en-GB"/>
        </w:rPr>
        <w:t>, that aims to address longstanding issues with respect to Aboriginal employment and make sustainable improvements across the sector. </w:t>
      </w:r>
    </w:p>
    <w:p w14:paraId="1DA9505D" w14:textId="77777777" w:rsidR="006E3F10" w:rsidRPr="006E3F10" w:rsidRDefault="006E3F10" w:rsidP="006E3F10">
      <w:pPr>
        <w:rPr>
          <w:lang w:val="en-GB"/>
        </w:rPr>
      </w:pPr>
      <w:r w:rsidRPr="006E3F10">
        <w:rPr>
          <w:i/>
          <w:iCs/>
          <w:lang w:val="en-GB"/>
        </w:rPr>
        <w:t>Barring Djinang</w:t>
      </w:r>
      <w:r w:rsidRPr="006E3F10">
        <w:rPr>
          <w:lang w:val="en-GB"/>
        </w:rPr>
        <w:t xml:space="preserve"> has been designed to support the work that public sector organisations are undertaking. The strategy places a strong focus on career development and building cultural capability in the sector.</w:t>
      </w:r>
    </w:p>
    <w:p w14:paraId="037CC147" w14:textId="77777777" w:rsidR="006E3F10" w:rsidRPr="006E3F10" w:rsidRDefault="006E3F10" w:rsidP="006E3F10">
      <w:pPr>
        <w:rPr>
          <w:lang w:val="en-GB"/>
        </w:rPr>
      </w:pPr>
      <w:r w:rsidRPr="006E3F10">
        <w:rPr>
          <w:lang w:val="en-GB"/>
        </w:rPr>
        <w:t>Key initiatives include: </w:t>
      </w:r>
    </w:p>
    <w:p w14:paraId="640F6AD3" w14:textId="77777777" w:rsidR="006E3F10" w:rsidRPr="006E3F10" w:rsidRDefault="006E3F10" w:rsidP="00643AC2">
      <w:pPr>
        <w:pStyle w:val="Bullet"/>
        <w:rPr>
          <w:lang w:val="en-GB"/>
        </w:rPr>
      </w:pPr>
      <w:r w:rsidRPr="006E3F10">
        <w:rPr>
          <w:lang w:val="en-GB"/>
        </w:rPr>
        <w:t>attraction and recruitment policy</w:t>
      </w:r>
    </w:p>
    <w:p w14:paraId="3E821D09" w14:textId="77777777" w:rsidR="006E3F10" w:rsidRPr="006E3F10" w:rsidRDefault="006E3F10" w:rsidP="00643AC2">
      <w:pPr>
        <w:pStyle w:val="Bullet"/>
        <w:rPr>
          <w:lang w:val="en-GB"/>
        </w:rPr>
      </w:pPr>
      <w:r w:rsidRPr="006E3F10">
        <w:rPr>
          <w:lang w:val="en-GB"/>
        </w:rPr>
        <w:t>regional staff networks</w:t>
      </w:r>
    </w:p>
    <w:p w14:paraId="20A0A9D4" w14:textId="77777777" w:rsidR="006E3F10" w:rsidRPr="006E3F10" w:rsidRDefault="006E3F10" w:rsidP="00643AC2">
      <w:pPr>
        <w:pStyle w:val="Bullet"/>
        <w:rPr>
          <w:lang w:val="en-GB"/>
        </w:rPr>
      </w:pPr>
      <w:r w:rsidRPr="006E3F10">
        <w:rPr>
          <w:lang w:val="en-GB"/>
        </w:rPr>
        <w:t>Aboriginal employment portal</w:t>
      </w:r>
    </w:p>
    <w:p w14:paraId="4E9FEF66" w14:textId="77777777" w:rsidR="006E3F10" w:rsidRPr="006E3F10" w:rsidRDefault="006E3F10" w:rsidP="00643AC2">
      <w:pPr>
        <w:pStyle w:val="Bullet"/>
        <w:rPr>
          <w:lang w:val="en-GB"/>
        </w:rPr>
      </w:pPr>
      <w:r w:rsidRPr="006E3F10">
        <w:rPr>
          <w:lang w:val="en-GB"/>
        </w:rPr>
        <w:t>cultural capability toolkit</w:t>
      </w:r>
    </w:p>
    <w:p w14:paraId="68AFFD89" w14:textId="77777777" w:rsidR="006E3F10" w:rsidRPr="006E3F10" w:rsidRDefault="006E3F10" w:rsidP="00643AC2">
      <w:pPr>
        <w:pStyle w:val="Bullet"/>
        <w:rPr>
          <w:lang w:val="en-GB"/>
        </w:rPr>
      </w:pPr>
      <w:r w:rsidRPr="006E3F10">
        <w:rPr>
          <w:lang w:val="en-GB"/>
        </w:rPr>
        <w:t>career pathways framework</w:t>
      </w:r>
    </w:p>
    <w:p w14:paraId="429E56AC" w14:textId="77777777" w:rsidR="006E3F10" w:rsidRPr="006E3F10" w:rsidRDefault="006E3F10" w:rsidP="00643AC2">
      <w:pPr>
        <w:pStyle w:val="Bullet"/>
        <w:rPr>
          <w:lang w:val="en-GB"/>
        </w:rPr>
      </w:pPr>
      <w:r w:rsidRPr="006E3F10">
        <w:rPr>
          <w:lang w:val="en-GB"/>
        </w:rPr>
        <w:t>designated roles</w:t>
      </w:r>
    </w:p>
    <w:p w14:paraId="4F6FDF86" w14:textId="77777777" w:rsidR="006E3F10" w:rsidRPr="006E3F10" w:rsidRDefault="006E3F10" w:rsidP="00643AC2">
      <w:pPr>
        <w:pStyle w:val="Bullet"/>
        <w:rPr>
          <w:lang w:val="en-GB"/>
        </w:rPr>
      </w:pPr>
      <w:r w:rsidRPr="006E3F10">
        <w:rPr>
          <w:lang w:val="en-GB"/>
        </w:rPr>
        <w:t>employment policies</w:t>
      </w:r>
    </w:p>
    <w:p w14:paraId="11DEE5C2" w14:textId="77777777" w:rsidR="006E3F10" w:rsidRPr="006E3F10" w:rsidRDefault="006E3F10" w:rsidP="00643AC2">
      <w:pPr>
        <w:pStyle w:val="Bullet"/>
        <w:rPr>
          <w:lang w:val="en-GB"/>
        </w:rPr>
      </w:pPr>
      <w:r w:rsidRPr="006E3F10">
        <w:rPr>
          <w:lang w:val="en-GB"/>
        </w:rPr>
        <w:t>reporting and governance</w:t>
      </w:r>
    </w:p>
    <w:p w14:paraId="2F21014B" w14:textId="2B0EEAC9" w:rsidR="006E3F10" w:rsidRPr="006E3F10" w:rsidRDefault="006E3F10" w:rsidP="006E3F10">
      <w:pPr>
        <w:rPr>
          <w:lang w:val="en-GB"/>
        </w:rPr>
      </w:pPr>
      <w:r w:rsidRPr="006E3F10">
        <w:rPr>
          <w:lang w:val="en-GB"/>
        </w:rPr>
        <w:t>The strategy also places a significant focus on improving the career e</w:t>
      </w:r>
      <w:r w:rsidR="00643AC2">
        <w:rPr>
          <w:lang w:val="en-GB"/>
        </w:rPr>
        <w:t xml:space="preserve">xperiences of Aboriginal staff </w:t>
      </w:r>
      <w:r w:rsidRPr="006E3F10">
        <w:rPr>
          <w:lang w:val="en-GB"/>
        </w:rPr>
        <w:t>by committing to work with Aboriginal Community Controlled Or</w:t>
      </w:r>
      <w:r w:rsidR="00643AC2">
        <w:rPr>
          <w:lang w:val="en-GB"/>
        </w:rPr>
        <w:t xml:space="preserve">ganisations (ACCOs) to jointly </w:t>
      </w:r>
      <w:r w:rsidRPr="006E3F10">
        <w:rPr>
          <w:lang w:val="en-GB"/>
        </w:rPr>
        <w:t>develop workforce capability.</w:t>
      </w:r>
    </w:p>
    <w:p w14:paraId="44FFEA59" w14:textId="77777777" w:rsidR="006E3F10" w:rsidRPr="006E3F10" w:rsidRDefault="006E3F10" w:rsidP="00643AC2">
      <w:pPr>
        <w:pStyle w:val="Heading3"/>
        <w:rPr>
          <w:lang w:val="en-GB"/>
        </w:rPr>
      </w:pPr>
      <w:bookmarkStart w:id="4" w:name="_Toc494111932"/>
      <w:r w:rsidRPr="006E3F10">
        <w:rPr>
          <w:lang w:val="en-GB"/>
        </w:rPr>
        <w:lastRenderedPageBreak/>
        <w:t>Integrity Strategy</w:t>
      </w:r>
      <w:bookmarkEnd w:id="4"/>
    </w:p>
    <w:p w14:paraId="28CE30D3" w14:textId="3E5D0646" w:rsidR="006E3F10" w:rsidRPr="006E3F10" w:rsidRDefault="006E3F10" w:rsidP="006E3F10">
      <w:pPr>
        <w:rPr>
          <w:lang w:val="en-GB"/>
        </w:rPr>
      </w:pPr>
      <w:r w:rsidRPr="006E3F10">
        <w:rPr>
          <w:lang w:val="en-GB"/>
        </w:rPr>
        <w:t>The updated strategy builds on VPSC’s 2016 work program to develop</w:t>
      </w:r>
      <w:r w:rsidR="00643AC2">
        <w:rPr>
          <w:lang w:val="en-GB"/>
        </w:rPr>
        <w:t xml:space="preserve"> integrity resources and tools </w:t>
      </w:r>
      <w:r w:rsidRPr="006E3F10">
        <w:rPr>
          <w:lang w:val="en-GB"/>
        </w:rPr>
        <w:t>to support public sector organisations. This included the release of the:</w:t>
      </w:r>
    </w:p>
    <w:p w14:paraId="0933D5FD" w14:textId="04B79EFD" w:rsidR="006E3F10" w:rsidRPr="006E3F10" w:rsidRDefault="006E3F10" w:rsidP="00643AC2">
      <w:pPr>
        <w:pStyle w:val="Bullet"/>
        <w:rPr>
          <w:lang w:val="en-GB"/>
        </w:rPr>
      </w:pPr>
      <w:r w:rsidRPr="006E3F10">
        <w:rPr>
          <w:lang w:val="en-GB"/>
        </w:rPr>
        <w:t>gifts, benefits and hospitality policy and resources incorp</w:t>
      </w:r>
      <w:r w:rsidR="00643AC2">
        <w:rPr>
          <w:lang w:val="en-GB"/>
        </w:rPr>
        <w:t xml:space="preserve">orating stronger reporting and </w:t>
      </w:r>
      <w:r w:rsidRPr="006E3F10">
        <w:rPr>
          <w:lang w:val="en-GB"/>
        </w:rPr>
        <w:t>transparency requirements</w:t>
      </w:r>
    </w:p>
    <w:p w14:paraId="24A4FB64" w14:textId="77777777" w:rsidR="006E3F10" w:rsidRPr="006E3F10" w:rsidRDefault="006E3F10" w:rsidP="00643AC2">
      <w:pPr>
        <w:pStyle w:val="Bullet"/>
        <w:rPr>
          <w:lang w:val="en-GB"/>
        </w:rPr>
      </w:pPr>
      <w:r w:rsidRPr="006E3F10">
        <w:rPr>
          <w:lang w:val="en-GB"/>
        </w:rPr>
        <w:t>updated guidance to assist HR personnel and managers manage poor behaviour in the workplace</w:t>
      </w:r>
    </w:p>
    <w:p w14:paraId="684CF2CF" w14:textId="2530838E" w:rsidR="006E3F10" w:rsidRPr="006E3F10" w:rsidRDefault="006E3F10" w:rsidP="00643AC2">
      <w:pPr>
        <w:pStyle w:val="Bullet"/>
        <w:rPr>
          <w:lang w:val="en-GB"/>
        </w:rPr>
      </w:pPr>
      <w:r w:rsidRPr="006E3F10">
        <w:rPr>
          <w:lang w:val="en-GB"/>
        </w:rPr>
        <w:t>updated Employment Standards (effective from 1 February 2</w:t>
      </w:r>
      <w:r w:rsidR="00643AC2">
        <w:rPr>
          <w:lang w:val="en-GB"/>
        </w:rPr>
        <w:t xml:space="preserve">017) and new standards for the </w:t>
      </w:r>
      <w:r w:rsidRPr="006E3F10">
        <w:rPr>
          <w:lang w:val="en-GB"/>
        </w:rPr>
        <w:t>Human Rights and Career Public Service employment principles</w:t>
      </w:r>
    </w:p>
    <w:p w14:paraId="6B0BD3FA" w14:textId="13726A07" w:rsidR="006E3F10" w:rsidRPr="006E3F10" w:rsidRDefault="006E3F10" w:rsidP="006E3F10">
      <w:pPr>
        <w:rPr>
          <w:lang w:val="en-GB"/>
        </w:rPr>
      </w:pPr>
      <w:r w:rsidRPr="006E3F10">
        <w:rPr>
          <w:lang w:val="en-GB"/>
        </w:rPr>
        <w:t xml:space="preserve">During the year, the Commission had structural and leadership </w:t>
      </w:r>
      <w:r w:rsidR="00643AC2">
        <w:rPr>
          <w:lang w:val="en-GB"/>
        </w:rPr>
        <w:t xml:space="preserve">changes. In June, Commissioner </w:t>
      </w:r>
      <w:r w:rsidRPr="006E3F10">
        <w:rPr>
          <w:lang w:val="en-GB"/>
        </w:rPr>
        <w:t>Belinda Clark returned to New Zealand, taking a position as Comm</w:t>
      </w:r>
      <w:r w:rsidR="00643AC2">
        <w:rPr>
          <w:lang w:val="en-GB"/>
        </w:rPr>
        <w:t xml:space="preserve">issioner of the Law Commission </w:t>
      </w:r>
      <w:r w:rsidRPr="006E3F10">
        <w:rPr>
          <w:lang w:val="en-GB"/>
        </w:rPr>
        <w:t>and Deputy Commissioner, Dr Damian West returned home to Canber</w:t>
      </w:r>
      <w:r w:rsidR="00643AC2">
        <w:rPr>
          <w:lang w:val="en-GB"/>
        </w:rPr>
        <w:t xml:space="preserve">ra for a senior executive role </w:t>
      </w:r>
      <w:r w:rsidRPr="006E3F10">
        <w:rPr>
          <w:lang w:val="en-GB"/>
        </w:rPr>
        <w:t>in the Australian Public Service. We thank them for their expertise,</w:t>
      </w:r>
      <w:r w:rsidR="00643AC2">
        <w:rPr>
          <w:lang w:val="en-GB"/>
        </w:rPr>
        <w:t xml:space="preserve"> energy and enthusiasm while </w:t>
      </w:r>
      <w:r w:rsidRPr="006E3F10">
        <w:rPr>
          <w:lang w:val="en-GB"/>
        </w:rPr>
        <w:t>leading the Commission. </w:t>
      </w:r>
    </w:p>
    <w:p w14:paraId="3FD0036C" w14:textId="77777777" w:rsidR="006E3F10" w:rsidRPr="006E3F10" w:rsidRDefault="006E3F10" w:rsidP="006E3F10">
      <w:pPr>
        <w:rPr>
          <w:lang w:val="en-GB"/>
        </w:rPr>
      </w:pPr>
      <w:r w:rsidRPr="006E3F10">
        <w:rPr>
          <w:lang w:val="en-GB"/>
        </w:rPr>
        <w:t>We look forward to continuing to collaborate with the public sector and are well positioned to deliver important work in the year ahead. </w:t>
      </w:r>
    </w:p>
    <w:p w14:paraId="2F3BB667" w14:textId="77777777" w:rsidR="006E3F10" w:rsidRPr="00643AC2" w:rsidRDefault="006E3F10" w:rsidP="00643AC2">
      <w:pPr>
        <w:rPr>
          <w:b/>
          <w:lang w:val="en-GB"/>
        </w:rPr>
      </w:pPr>
      <w:r w:rsidRPr="00643AC2">
        <w:rPr>
          <w:b/>
          <w:lang w:val="en-GB"/>
        </w:rPr>
        <w:t>Elizabeth Langdon</w:t>
      </w:r>
    </w:p>
    <w:p w14:paraId="20D149BD" w14:textId="77777777" w:rsidR="006E3F10" w:rsidRPr="00643AC2" w:rsidRDefault="006E3F10" w:rsidP="00643AC2">
      <w:pPr>
        <w:rPr>
          <w:b/>
          <w:lang w:val="en-GB"/>
        </w:rPr>
      </w:pPr>
      <w:r w:rsidRPr="00643AC2">
        <w:rPr>
          <w:b/>
          <w:lang w:val="en-GB"/>
        </w:rPr>
        <w:t>A/Commissioner</w:t>
      </w:r>
    </w:p>
    <w:p w14:paraId="1806939B" w14:textId="77777777" w:rsidR="006E3F10" w:rsidRPr="00643AC2" w:rsidRDefault="006E3F10" w:rsidP="00643AC2">
      <w:pPr>
        <w:rPr>
          <w:b/>
          <w:lang w:val="en-GB"/>
        </w:rPr>
      </w:pPr>
      <w:r w:rsidRPr="00643AC2">
        <w:rPr>
          <w:b/>
          <w:lang w:val="en-GB"/>
        </w:rPr>
        <w:t>6 September 2017</w:t>
      </w:r>
    </w:p>
    <w:p w14:paraId="32E26000" w14:textId="77777777" w:rsidR="006E3F10" w:rsidRPr="006E3F10" w:rsidRDefault="006E3F10" w:rsidP="005E5064">
      <w:pPr>
        <w:pStyle w:val="Heading2"/>
        <w:rPr>
          <w:lang w:val="en-GB"/>
        </w:rPr>
      </w:pPr>
      <w:bookmarkStart w:id="5" w:name="_Toc494111933"/>
      <w:r w:rsidRPr="006E3F10">
        <w:rPr>
          <w:lang w:val="en-GB"/>
        </w:rPr>
        <w:t>About The Victorian Public Sector Commission</w:t>
      </w:r>
      <w:bookmarkEnd w:id="5"/>
    </w:p>
    <w:p w14:paraId="3189B233" w14:textId="5EDAB6A8" w:rsidR="006E3F10" w:rsidRPr="006E3F10" w:rsidRDefault="006E3F10" w:rsidP="006E3F10">
      <w:pPr>
        <w:rPr>
          <w:lang w:val="en-GB"/>
        </w:rPr>
      </w:pPr>
      <w:r w:rsidRPr="006E3F10">
        <w:rPr>
          <w:lang w:val="en-GB"/>
        </w:rPr>
        <w:t xml:space="preserve">VPSC was established on 1 April 2014 to achieve a range of legislative </w:t>
      </w:r>
      <w:r w:rsidR="00643AC2">
        <w:rPr>
          <w:lang w:val="en-GB"/>
        </w:rPr>
        <w:t xml:space="preserve">functions through an amendment </w:t>
      </w:r>
      <w:r w:rsidRPr="006E3F10">
        <w:rPr>
          <w:lang w:val="en-GB"/>
        </w:rPr>
        <w:t xml:space="preserve">to the </w:t>
      </w:r>
      <w:r w:rsidRPr="006E3F10">
        <w:rPr>
          <w:i/>
          <w:iCs/>
          <w:lang w:val="en-GB"/>
        </w:rPr>
        <w:t>Public Administration Act 2004</w:t>
      </w:r>
      <w:r w:rsidRPr="006E3F10">
        <w:rPr>
          <w:lang w:val="en-GB"/>
        </w:rPr>
        <w:t xml:space="preserve"> (PAA). VPSC is headed by </w:t>
      </w:r>
      <w:r w:rsidR="00643AC2">
        <w:rPr>
          <w:lang w:val="en-GB"/>
        </w:rPr>
        <w:t xml:space="preserve">a Commissioner and has a range </w:t>
      </w:r>
      <w:r w:rsidRPr="006E3F10">
        <w:rPr>
          <w:lang w:val="en-GB"/>
        </w:rPr>
        <w:t>of legislated functions to achieve its objectives. These are to:</w:t>
      </w:r>
    </w:p>
    <w:p w14:paraId="0A860BF9" w14:textId="3EC9E13A" w:rsidR="006E3F10" w:rsidRPr="006E3F10" w:rsidRDefault="006E3F10" w:rsidP="00643AC2">
      <w:pPr>
        <w:pStyle w:val="Bullet"/>
        <w:rPr>
          <w:lang w:val="en-GB"/>
        </w:rPr>
      </w:pPr>
      <w:r w:rsidRPr="006E3F10">
        <w:rPr>
          <w:lang w:val="en-GB"/>
        </w:rPr>
        <w:t>strengthen the efficiency, effectiveness and capability of the public se</w:t>
      </w:r>
      <w:r w:rsidR="00643AC2">
        <w:rPr>
          <w:lang w:val="en-GB"/>
        </w:rPr>
        <w:t xml:space="preserve">ctor in order to meet existing </w:t>
      </w:r>
      <w:r w:rsidRPr="006E3F10">
        <w:rPr>
          <w:lang w:val="en-GB"/>
        </w:rPr>
        <w:t>and emerging needs and deliver high quality services</w:t>
      </w:r>
    </w:p>
    <w:p w14:paraId="538600D5" w14:textId="77777777" w:rsidR="006E3F10" w:rsidRPr="006E3F10" w:rsidRDefault="006E3F10" w:rsidP="00643AC2">
      <w:pPr>
        <w:pStyle w:val="Bullet"/>
        <w:rPr>
          <w:lang w:val="en-GB"/>
        </w:rPr>
      </w:pPr>
      <w:r w:rsidRPr="006E3F10">
        <w:rPr>
          <w:lang w:val="en-GB"/>
        </w:rPr>
        <w:t>maintain, and advocate for, public sector professionalism and integrity</w:t>
      </w:r>
    </w:p>
    <w:p w14:paraId="56DAE01E" w14:textId="77777777" w:rsidR="006E3F10" w:rsidRPr="006E3F10" w:rsidRDefault="006E3F10" w:rsidP="006E3F10">
      <w:pPr>
        <w:rPr>
          <w:lang w:val="en-GB"/>
        </w:rPr>
      </w:pPr>
      <w:r w:rsidRPr="006E3F10">
        <w:rPr>
          <w:lang w:val="en-GB"/>
        </w:rPr>
        <w:t>VPSC helps strengthen public sector efficiency, effectiveness and capability by:</w:t>
      </w:r>
    </w:p>
    <w:p w14:paraId="25D4B897" w14:textId="77777777" w:rsidR="006E3F10" w:rsidRPr="006E3F10" w:rsidRDefault="006E3F10" w:rsidP="00643AC2">
      <w:pPr>
        <w:pStyle w:val="Bullet"/>
        <w:rPr>
          <w:lang w:val="en-GB"/>
        </w:rPr>
      </w:pPr>
      <w:r w:rsidRPr="006E3F10">
        <w:rPr>
          <w:lang w:val="en-GB"/>
        </w:rPr>
        <w:t>assessing, researching and providing advice and support on issues relevant to public sector administration, governance, service delivery and workforce management and development</w:t>
      </w:r>
    </w:p>
    <w:p w14:paraId="6CBA3C97" w14:textId="77777777" w:rsidR="006E3F10" w:rsidRPr="006E3F10" w:rsidRDefault="006E3F10" w:rsidP="00643AC2">
      <w:pPr>
        <w:pStyle w:val="Bullet"/>
        <w:rPr>
          <w:lang w:val="en-GB"/>
        </w:rPr>
      </w:pPr>
      <w:r w:rsidRPr="006E3F10">
        <w:rPr>
          <w:lang w:val="en-GB"/>
        </w:rPr>
        <w:t>collecting and reporting on whole of government data</w:t>
      </w:r>
    </w:p>
    <w:p w14:paraId="3FB34E7D" w14:textId="77777777" w:rsidR="006E3F10" w:rsidRPr="006E3F10" w:rsidRDefault="006E3F10" w:rsidP="00643AC2">
      <w:pPr>
        <w:pStyle w:val="Bullet"/>
        <w:rPr>
          <w:lang w:val="en-GB"/>
        </w:rPr>
      </w:pPr>
      <w:r w:rsidRPr="006E3F10">
        <w:rPr>
          <w:lang w:val="en-GB"/>
        </w:rPr>
        <w:t>conducting enquiries as directed under the Act by the Premier</w:t>
      </w:r>
    </w:p>
    <w:p w14:paraId="5CD6DEF6" w14:textId="77777777" w:rsidR="006E3F10" w:rsidRPr="006E3F10" w:rsidRDefault="006E3F10" w:rsidP="006E3F10">
      <w:pPr>
        <w:rPr>
          <w:lang w:val="en-GB"/>
        </w:rPr>
      </w:pPr>
      <w:r w:rsidRPr="006E3F10">
        <w:rPr>
          <w:lang w:val="en-GB"/>
        </w:rPr>
        <w:t>We support sector integrity by:</w:t>
      </w:r>
    </w:p>
    <w:p w14:paraId="3A345D22" w14:textId="77777777" w:rsidR="006E3F10" w:rsidRPr="006E3F10" w:rsidRDefault="006E3F10" w:rsidP="00643AC2">
      <w:pPr>
        <w:pStyle w:val="Bullet"/>
        <w:rPr>
          <w:lang w:val="en-GB"/>
        </w:rPr>
      </w:pPr>
      <w:r w:rsidRPr="006E3F10">
        <w:rPr>
          <w:lang w:val="en-GB"/>
        </w:rPr>
        <w:t>advocating for an apolitical and professional public sector</w:t>
      </w:r>
    </w:p>
    <w:p w14:paraId="05E5AC0F" w14:textId="77777777" w:rsidR="006E3F10" w:rsidRPr="006E3F10" w:rsidRDefault="006E3F10" w:rsidP="00643AC2">
      <w:pPr>
        <w:pStyle w:val="Bullet"/>
        <w:rPr>
          <w:lang w:val="en-GB"/>
        </w:rPr>
      </w:pPr>
      <w:r w:rsidRPr="006E3F10">
        <w:rPr>
          <w:lang w:val="en-GB"/>
        </w:rPr>
        <w:t>issuing and applying codes of conduct and standards</w:t>
      </w:r>
    </w:p>
    <w:p w14:paraId="57067298" w14:textId="58E1810D" w:rsidR="006E3F10" w:rsidRPr="006E3F10" w:rsidRDefault="006E3F10" w:rsidP="00643AC2">
      <w:pPr>
        <w:pStyle w:val="Bullet"/>
        <w:rPr>
          <w:lang w:val="en-GB"/>
        </w:rPr>
      </w:pPr>
      <w:r w:rsidRPr="006E3F10">
        <w:rPr>
          <w:lang w:val="en-GB"/>
        </w:rPr>
        <w:t xml:space="preserve">monitoring and reporting to public sector body Heads on compliance </w:t>
      </w:r>
      <w:r w:rsidR="00643AC2">
        <w:rPr>
          <w:lang w:val="en-GB"/>
        </w:rPr>
        <w:t xml:space="preserve">with the public sector values, </w:t>
      </w:r>
      <w:r w:rsidRPr="006E3F10">
        <w:rPr>
          <w:lang w:val="en-GB"/>
        </w:rPr>
        <w:t>codes of conduct and public sector employment principles and standards</w:t>
      </w:r>
    </w:p>
    <w:p w14:paraId="2D67256F" w14:textId="77777777" w:rsidR="006E3F10" w:rsidRPr="006E3F10" w:rsidRDefault="006E3F10" w:rsidP="00643AC2">
      <w:pPr>
        <w:pStyle w:val="Bullet"/>
        <w:rPr>
          <w:lang w:val="en-GB"/>
        </w:rPr>
      </w:pPr>
      <w:r w:rsidRPr="006E3F10">
        <w:rPr>
          <w:lang w:val="en-GB"/>
        </w:rPr>
        <w:t>reviewing employment related actions and making relevant recommendations</w:t>
      </w:r>
    </w:p>
    <w:p w14:paraId="6913E299" w14:textId="77777777" w:rsidR="006E3F10" w:rsidRPr="006E3F10" w:rsidRDefault="006E3F10" w:rsidP="00643AC2">
      <w:pPr>
        <w:pStyle w:val="Bullet"/>
        <w:rPr>
          <w:lang w:val="en-GB"/>
        </w:rPr>
      </w:pPr>
      <w:r w:rsidRPr="006E3F10">
        <w:rPr>
          <w:lang w:val="en-GB"/>
        </w:rPr>
        <w:t>maintaining a register of lobbyists</w:t>
      </w:r>
    </w:p>
    <w:p w14:paraId="3AE8E82A" w14:textId="77777777" w:rsidR="006E3F10" w:rsidRPr="006E3F10" w:rsidRDefault="006E3F10" w:rsidP="006E3F10">
      <w:pPr>
        <w:rPr>
          <w:lang w:val="en-GB"/>
        </w:rPr>
      </w:pPr>
      <w:r w:rsidRPr="006E3F10">
        <w:rPr>
          <w:lang w:val="en-GB"/>
        </w:rPr>
        <w:t>A number of programs continue to be administered by VPSC on behalf of, and for public sector bodies. These include:</w:t>
      </w:r>
    </w:p>
    <w:p w14:paraId="141F7245" w14:textId="77777777" w:rsidR="006E3F10" w:rsidRPr="006E3F10" w:rsidRDefault="006E3F10" w:rsidP="00643AC2">
      <w:pPr>
        <w:pStyle w:val="Bullet"/>
        <w:rPr>
          <w:lang w:val="en-GB"/>
        </w:rPr>
      </w:pPr>
      <w:r w:rsidRPr="006E3F10">
        <w:rPr>
          <w:lang w:val="en-GB"/>
        </w:rPr>
        <w:t>Government Sector Executive Remuneration Panel (GSERP)</w:t>
      </w:r>
    </w:p>
    <w:p w14:paraId="156F80D5" w14:textId="77777777" w:rsidR="006E3F10" w:rsidRPr="006E3F10" w:rsidRDefault="006E3F10" w:rsidP="00643AC2">
      <w:pPr>
        <w:pStyle w:val="Bullet"/>
        <w:rPr>
          <w:lang w:val="en-GB"/>
        </w:rPr>
      </w:pPr>
      <w:r w:rsidRPr="006E3F10">
        <w:rPr>
          <w:lang w:val="en-GB"/>
        </w:rPr>
        <w:t>eRecruitment system</w:t>
      </w:r>
    </w:p>
    <w:p w14:paraId="71AE34F5" w14:textId="77777777" w:rsidR="006E3F10" w:rsidRPr="006E3F10" w:rsidRDefault="006E3F10" w:rsidP="00643AC2">
      <w:pPr>
        <w:pStyle w:val="Bullet"/>
        <w:rPr>
          <w:lang w:val="en-GB"/>
        </w:rPr>
      </w:pPr>
      <w:r w:rsidRPr="006E3F10">
        <w:rPr>
          <w:lang w:val="en-GB"/>
        </w:rPr>
        <w:t>Graduate Recruitment and Development Scheme (GRADS)</w:t>
      </w:r>
    </w:p>
    <w:p w14:paraId="43328314" w14:textId="77777777" w:rsidR="006E3F10" w:rsidRPr="006E3F10" w:rsidRDefault="006E3F10" w:rsidP="00643AC2">
      <w:pPr>
        <w:pStyle w:val="Bullet"/>
        <w:rPr>
          <w:lang w:val="en-GB"/>
        </w:rPr>
      </w:pPr>
      <w:r w:rsidRPr="006E3F10">
        <w:rPr>
          <w:lang w:val="en-GB"/>
        </w:rPr>
        <w:t>Victorian Leadership Academy (VLA)</w:t>
      </w:r>
    </w:p>
    <w:p w14:paraId="03DB7BA6" w14:textId="77777777" w:rsidR="006E3F10" w:rsidRPr="006E3F10" w:rsidRDefault="006E3F10" w:rsidP="00643AC2">
      <w:pPr>
        <w:pStyle w:val="Bullet"/>
        <w:rPr>
          <w:lang w:val="en-GB"/>
        </w:rPr>
      </w:pPr>
      <w:r w:rsidRPr="006E3F10">
        <w:rPr>
          <w:lang w:val="en-GB"/>
        </w:rPr>
        <w:lastRenderedPageBreak/>
        <w:t>Aboriginal Employment Unit (AEU)</w:t>
      </w:r>
    </w:p>
    <w:p w14:paraId="16233991" w14:textId="77777777" w:rsidR="006E3F10" w:rsidRPr="006E3F10" w:rsidRDefault="006E3F10" w:rsidP="006E3F10">
      <w:pPr>
        <w:rPr>
          <w:lang w:val="en-GB"/>
        </w:rPr>
      </w:pPr>
      <w:r w:rsidRPr="006E3F10">
        <w:rPr>
          <w:lang w:val="en-GB"/>
        </w:rPr>
        <w:t xml:space="preserve">VPSC also maintains a register of instruments made under the Act, which is published on the VPSC website. </w:t>
      </w:r>
      <w:r w:rsidRPr="006E3F10">
        <w:rPr>
          <w:lang w:val="en-GB"/>
        </w:rPr>
        <w:t> </w:t>
      </w:r>
    </w:p>
    <w:p w14:paraId="7F34C35A" w14:textId="77777777" w:rsidR="006E3F10" w:rsidRPr="006E3F10" w:rsidRDefault="006E3F10" w:rsidP="002D3810">
      <w:pPr>
        <w:pStyle w:val="Heading2"/>
        <w:rPr>
          <w:lang w:val="en-GB"/>
        </w:rPr>
      </w:pPr>
      <w:bookmarkStart w:id="6" w:name="_Toc494111934"/>
      <w:r w:rsidRPr="006E3F10">
        <w:rPr>
          <w:lang w:val="en-GB"/>
        </w:rPr>
        <w:t>Victorian Public Sector Commission 2016-17 Strategic Plan</w:t>
      </w:r>
      <w:bookmarkEnd w:id="6"/>
    </w:p>
    <w:tbl>
      <w:tblPr>
        <w:tblStyle w:val="TableGrid"/>
        <w:tblW w:w="0" w:type="auto"/>
        <w:tblLook w:val="04A0" w:firstRow="1" w:lastRow="0" w:firstColumn="1" w:lastColumn="0" w:noHBand="0" w:noVBand="1"/>
      </w:tblPr>
      <w:tblGrid>
        <w:gridCol w:w="5228"/>
        <w:gridCol w:w="5228"/>
      </w:tblGrid>
      <w:tr w:rsidR="00E1256D" w14:paraId="742C17A6" w14:textId="77777777" w:rsidTr="004A0AF1">
        <w:trPr>
          <w:trHeight w:val="347"/>
        </w:trPr>
        <w:tc>
          <w:tcPr>
            <w:tcW w:w="10456" w:type="dxa"/>
            <w:gridSpan w:val="2"/>
          </w:tcPr>
          <w:p w14:paraId="73A3F648" w14:textId="324ECC32" w:rsidR="00E1256D" w:rsidRDefault="00E1256D" w:rsidP="00E1256D">
            <w:pPr>
              <w:pStyle w:val="TableHeading"/>
              <w:rPr>
                <w:lang w:val="en-GB"/>
              </w:rPr>
            </w:pPr>
            <w:r w:rsidRPr="00E1256D">
              <w:rPr>
                <w:lang w:val="en-GB"/>
              </w:rPr>
              <w:t>Our purpose</w:t>
            </w:r>
          </w:p>
        </w:tc>
      </w:tr>
      <w:tr w:rsidR="00E1256D" w14:paraId="110F17F0" w14:textId="77777777" w:rsidTr="004A0AF1">
        <w:trPr>
          <w:trHeight w:val="346"/>
        </w:trPr>
        <w:tc>
          <w:tcPr>
            <w:tcW w:w="5228" w:type="dxa"/>
          </w:tcPr>
          <w:p w14:paraId="61B4B176" w14:textId="1184151F" w:rsidR="00E1256D" w:rsidRPr="00E1256D" w:rsidRDefault="00E1256D" w:rsidP="00E1256D">
            <w:pPr>
              <w:pStyle w:val="TableBullet"/>
              <w:rPr>
                <w:lang w:val="en-GB"/>
              </w:rPr>
            </w:pPr>
            <w:r w:rsidRPr="00E1256D">
              <w:rPr>
                <w:lang w:val="en-GB"/>
              </w:rPr>
              <w:t>Strengthen the efficiency, effectiveness and capability of the public sector in order to meet existing and emerging needs and deliver high quality services</w:t>
            </w:r>
          </w:p>
        </w:tc>
        <w:tc>
          <w:tcPr>
            <w:tcW w:w="5228" w:type="dxa"/>
          </w:tcPr>
          <w:p w14:paraId="60CF702B" w14:textId="08B0B24B" w:rsidR="00E1256D" w:rsidRPr="00E1256D" w:rsidRDefault="00E1256D" w:rsidP="00E1256D">
            <w:pPr>
              <w:pStyle w:val="TableBullet"/>
              <w:rPr>
                <w:lang w:val="en-GB"/>
              </w:rPr>
            </w:pPr>
            <w:r w:rsidRPr="00E1256D">
              <w:rPr>
                <w:lang w:val="en-GB"/>
              </w:rPr>
              <w:t>Maintain and advocate</w:t>
            </w:r>
            <w:r>
              <w:rPr>
                <w:lang w:val="en-GB"/>
              </w:rPr>
              <w:t xml:space="preserve"> </w:t>
            </w:r>
            <w:r w:rsidRPr="00E1256D">
              <w:rPr>
                <w:lang w:val="en-GB"/>
              </w:rPr>
              <w:t>for public sector professionalism and integrity</w:t>
            </w:r>
          </w:p>
        </w:tc>
      </w:tr>
    </w:tbl>
    <w:p w14:paraId="1CDDE862" w14:textId="77777777" w:rsidR="00196BA3" w:rsidRDefault="00196BA3" w:rsidP="00196BA3">
      <w:pPr>
        <w:rPr>
          <w:lang w:val="en-GB"/>
        </w:rPr>
      </w:pPr>
    </w:p>
    <w:tbl>
      <w:tblPr>
        <w:tblStyle w:val="TableGrid"/>
        <w:tblW w:w="0" w:type="auto"/>
        <w:tblLook w:val="04A0" w:firstRow="1" w:lastRow="0" w:firstColumn="1" w:lastColumn="0" w:noHBand="0" w:noVBand="1"/>
      </w:tblPr>
      <w:tblGrid>
        <w:gridCol w:w="10456"/>
      </w:tblGrid>
      <w:tr w:rsidR="00196BA3" w14:paraId="592D45F7" w14:textId="77777777" w:rsidTr="00196BA3">
        <w:tc>
          <w:tcPr>
            <w:tcW w:w="10456" w:type="dxa"/>
          </w:tcPr>
          <w:p w14:paraId="3E1C27BD" w14:textId="24A23D06" w:rsidR="00196BA3" w:rsidRDefault="00196BA3" w:rsidP="00196BA3">
            <w:pPr>
              <w:pStyle w:val="TableHeading"/>
              <w:rPr>
                <w:lang w:val="en-GB"/>
              </w:rPr>
            </w:pPr>
            <w:r w:rsidRPr="00196BA3">
              <w:rPr>
                <w:lang w:val="en-GB"/>
              </w:rPr>
              <w:t>Our approach</w:t>
            </w:r>
          </w:p>
        </w:tc>
      </w:tr>
      <w:tr w:rsidR="00196BA3" w14:paraId="502AF5F5" w14:textId="77777777" w:rsidTr="00196BA3">
        <w:tc>
          <w:tcPr>
            <w:tcW w:w="10456" w:type="dxa"/>
          </w:tcPr>
          <w:p w14:paraId="38E1F96F" w14:textId="49F7D9AB" w:rsidR="00196BA3" w:rsidRPr="008F568D" w:rsidRDefault="00196BA3" w:rsidP="00196BA3">
            <w:pPr>
              <w:pStyle w:val="TableCopy"/>
              <w:rPr>
                <w:b/>
                <w:lang w:val="en-GB"/>
              </w:rPr>
            </w:pPr>
            <w:r w:rsidRPr="008F568D">
              <w:rPr>
                <w:b/>
                <w:lang w:val="en-GB"/>
              </w:rPr>
              <w:t>We work closely with government departments and agencies to achieve our outcomes</w:t>
            </w:r>
          </w:p>
        </w:tc>
      </w:tr>
    </w:tbl>
    <w:p w14:paraId="4B5546F8" w14:textId="77777777" w:rsidR="00196BA3" w:rsidRDefault="00196BA3" w:rsidP="00196BA3">
      <w:pPr>
        <w:rPr>
          <w:lang w:val="en-GB"/>
        </w:rPr>
      </w:pPr>
    </w:p>
    <w:tbl>
      <w:tblPr>
        <w:tblStyle w:val="TableGrid"/>
        <w:tblW w:w="0" w:type="auto"/>
        <w:tblLook w:val="04A0" w:firstRow="1" w:lastRow="0" w:firstColumn="1" w:lastColumn="0" w:noHBand="0" w:noVBand="1"/>
      </w:tblPr>
      <w:tblGrid>
        <w:gridCol w:w="2614"/>
        <w:gridCol w:w="2614"/>
        <w:gridCol w:w="1430"/>
        <w:gridCol w:w="1184"/>
        <w:gridCol w:w="2614"/>
      </w:tblGrid>
      <w:tr w:rsidR="008F568D" w14:paraId="7D87D4FD" w14:textId="77777777" w:rsidTr="004A0AF1">
        <w:tc>
          <w:tcPr>
            <w:tcW w:w="10456" w:type="dxa"/>
            <w:gridSpan w:val="5"/>
          </w:tcPr>
          <w:p w14:paraId="05613701" w14:textId="6A774004" w:rsidR="008F568D" w:rsidRDefault="008F568D" w:rsidP="008F568D">
            <w:pPr>
              <w:pStyle w:val="TableHeading"/>
              <w:rPr>
                <w:lang w:val="en-GB"/>
              </w:rPr>
            </w:pPr>
            <w:r w:rsidRPr="008F568D">
              <w:rPr>
                <w:lang w:val="en-GB"/>
              </w:rPr>
              <w:t>Strategic outcomes and goals</w:t>
            </w:r>
          </w:p>
        </w:tc>
      </w:tr>
      <w:tr w:rsidR="008F568D" w14:paraId="4A764759" w14:textId="77777777" w:rsidTr="008F568D">
        <w:tc>
          <w:tcPr>
            <w:tcW w:w="2614" w:type="dxa"/>
          </w:tcPr>
          <w:p w14:paraId="5F02E483" w14:textId="1C9B0E1A" w:rsidR="008F568D" w:rsidRDefault="00092400" w:rsidP="008F568D">
            <w:pPr>
              <w:pStyle w:val="TableHeading"/>
              <w:rPr>
                <w:lang w:val="en-GB"/>
              </w:rPr>
            </w:pPr>
            <w:r w:rsidRPr="00092400">
              <w:rPr>
                <w:lang w:val="en-GB"/>
              </w:rPr>
              <w:t>A Public Sector</w:t>
            </w:r>
            <w:r>
              <w:rPr>
                <w:lang w:val="en-GB"/>
              </w:rPr>
              <w:t xml:space="preserve"> </w:t>
            </w:r>
            <w:r w:rsidRPr="00092400">
              <w:rPr>
                <w:lang w:val="en-GB"/>
              </w:rPr>
              <w:t>leadership group and</w:t>
            </w:r>
            <w:r>
              <w:rPr>
                <w:lang w:val="en-GB"/>
              </w:rPr>
              <w:t xml:space="preserve"> </w:t>
            </w:r>
            <w:r w:rsidRPr="00092400">
              <w:rPr>
                <w:lang w:val="en-GB"/>
              </w:rPr>
              <w:t>a workforce that can</w:t>
            </w:r>
            <w:r>
              <w:rPr>
                <w:lang w:val="en-GB"/>
              </w:rPr>
              <w:t xml:space="preserve"> </w:t>
            </w:r>
            <w:r w:rsidRPr="00092400">
              <w:rPr>
                <w:lang w:val="en-GB"/>
              </w:rPr>
              <w:t>deliver excellence</w:t>
            </w:r>
          </w:p>
        </w:tc>
        <w:tc>
          <w:tcPr>
            <w:tcW w:w="2614" w:type="dxa"/>
          </w:tcPr>
          <w:p w14:paraId="0D0554D4" w14:textId="4581A7CD" w:rsidR="008F568D" w:rsidRPr="0062611D" w:rsidRDefault="00755495" w:rsidP="0062611D">
            <w:pPr>
              <w:pStyle w:val="TableBullet"/>
              <w:rPr>
                <w:lang w:val="en-GB"/>
              </w:rPr>
            </w:pPr>
            <w:r w:rsidRPr="00755495">
              <w:rPr>
                <w:lang w:val="en-GB"/>
              </w:rPr>
              <w:t>Drive executive</w:t>
            </w:r>
            <w:r w:rsidR="0062611D">
              <w:rPr>
                <w:lang w:val="en-GB"/>
              </w:rPr>
              <w:t xml:space="preserve"> </w:t>
            </w:r>
            <w:r w:rsidRPr="0062611D">
              <w:rPr>
                <w:lang w:val="en-GB"/>
              </w:rPr>
              <w:t>officer workforce</w:t>
            </w:r>
            <w:r w:rsidR="0062611D" w:rsidRPr="0062611D">
              <w:rPr>
                <w:lang w:val="en-GB"/>
              </w:rPr>
              <w:t xml:space="preserve"> </w:t>
            </w:r>
            <w:r w:rsidRPr="0062611D">
              <w:rPr>
                <w:lang w:val="en-GB"/>
              </w:rPr>
              <w:t>reforms</w:t>
            </w:r>
          </w:p>
        </w:tc>
        <w:tc>
          <w:tcPr>
            <w:tcW w:w="2614" w:type="dxa"/>
            <w:gridSpan w:val="2"/>
          </w:tcPr>
          <w:p w14:paraId="2093F753" w14:textId="5B7913E2" w:rsidR="008F568D" w:rsidRPr="0062611D" w:rsidRDefault="00755495" w:rsidP="0062611D">
            <w:pPr>
              <w:pStyle w:val="TableBullet"/>
              <w:rPr>
                <w:lang w:val="en-GB"/>
              </w:rPr>
            </w:pPr>
            <w:r w:rsidRPr="00755495">
              <w:rPr>
                <w:lang w:val="en-GB"/>
              </w:rPr>
              <w:t>Implement</w:t>
            </w:r>
            <w:r w:rsidR="0062611D">
              <w:rPr>
                <w:lang w:val="en-GB"/>
              </w:rPr>
              <w:t xml:space="preserve"> </w:t>
            </w:r>
            <w:r w:rsidRPr="0062611D">
              <w:rPr>
                <w:lang w:val="en-GB"/>
              </w:rPr>
              <w:t>a new VLA</w:t>
            </w:r>
          </w:p>
        </w:tc>
        <w:tc>
          <w:tcPr>
            <w:tcW w:w="2614" w:type="dxa"/>
          </w:tcPr>
          <w:p w14:paraId="6783E85E" w14:textId="22879B75" w:rsidR="008F568D" w:rsidRPr="0062611D" w:rsidRDefault="00755495" w:rsidP="0062611D">
            <w:pPr>
              <w:pStyle w:val="TableBullet"/>
              <w:rPr>
                <w:lang w:val="en-GB"/>
              </w:rPr>
            </w:pPr>
            <w:r w:rsidRPr="00755495">
              <w:rPr>
                <w:lang w:val="en-GB"/>
              </w:rPr>
              <w:t>Increase workforce</w:t>
            </w:r>
            <w:r w:rsidR="0062611D">
              <w:rPr>
                <w:lang w:val="en-GB"/>
              </w:rPr>
              <w:t xml:space="preserve"> </w:t>
            </w:r>
            <w:r w:rsidRPr="0062611D">
              <w:rPr>
                <w:lang w:val="en-GB"/>
              </w:rPr>
              <w:t>capability through</w:t>
            </w:r>
            <w:r w:rsidR="0062611D" w:rsidRPr="0062611D">
              <w:rPr>
                <w:lang w:val="en-GB"/>
              </w:rPr>
              <w:t xml:space="preserve"> </w:t>
            </w:r>
            <w:r w:rsidRPr="0062611D">
              <w:rPr>
                <w:lang w:val="en-GB"/>
              </w:rPr>
              <w:t>the design and</w:t>
            </w:r>
            <w:r w:rsidR="0062611D" w:rsidRPr="0062611D">
              <w:rPr>
                <w:lang w:val="en-GB"/>
              </w:rPr>
              <w:t xml:space="preserve"> </w:t>
            </w:r>
            <w:r w:rsidRPr="0062611D">
              <w:rPr>
                <w:lang w:val="en-GB"/>
              </w:rPr>
              <w:t>delivery of innovative</w:t>
            </w:r>
            <w:r w:rsidR="0062611D" w:rsidRPr="0062611D">
              <w:rPr>
                <w:lang w:val="en-GB"/>
              </w:rPr>
              <w:t xml:space="preserve"> </w:t>
            </w:r>
            <w:r w:rsidRPr="0062611D">
              <w:rPr>
                <w:lang w:val="en-GB"/>
              </w:rPr>
              <w:t>workforce strategies</w:t>
            </w:r>
          </w:p>
        </w:tc>
      </w:tr>
      <w:tr w:rsidR="0062611D" w14:paraId="62C52A0C" w14:textId="77777777" w:rsidTr="0062611D">
        <w:tc>
          <w:tcPr>
            <w:tcW w:w="2614" w:type="dxa"/>
          </w:tcPr>
          <w:p w14:paraId="369BFC12" w14:textId="196853A2" w:rsidR="0062611D" w:rsidRDefault="0062611D" w:rsidP="008F568D">
            <w:pPr>
              <w:pStyle w:val="TableHeading"/>
              <w:rPr>
                <w:lang w:val="en-GB"/>
              </w:rPr>
            </w:pPr>
            <w:r w:rsidRPr="00092400">
              <w:rPr>
                <w:lang w:val="en-GB"/>
              </w:rPr>
              <w:t>Public Sector</w:t>
            </w:r>
            <w:r>
              <w:rPr>
                <w:lang w:val="en-GB"/>
              </w:rPr>
              <w:t xml:space="preserve"> </w:t>
            </w:r>
            <w:r w:rsidRPr="00092400">
              <w:rPr>
                <w:lang w:val="en-GB"/>
              </w:rPr>
              <w:t>organisational capacity</w:t>
            </w:r>
            <w:r>
              <w:rPr>
                <w:lang w:val="en-GB"/>
              </w:rPr>
              <w:t xml:space="preserve"> </w:t>
            </w:r>
            <w:r w:rsidRPr="00092400">
              <w:rPr>
                <w:lang w:val="en-GB"/>
              </w:rPr>
              <w:t>that delivers high</w:t>
            </w:r>
            <w:r>
              <w:rPr>
                <w:lang w:val="en-GB"/>
              </w:rPr>
              <w:t xml:space="preserve"> </w:t>
            </w:r>
            <w:r w:rsidRPr="00092400">
              <w:rPr>
                <w:lang w:val="en-GB"/>
              </w:rPr>
              <w:t>performance</w:t>
            </w:r>
          </w:p>
        </w:tc>
        <w:tc>
          <w:tcPr>
            <w:tcW w:w="4044" w:type="dxa"/>
            <w:gridSpan w:val="2"/>
          </w:tcPr>
          <w:p w14:paraId="1922171B" w14:textId="71AD0A04" w:rsidR="0062611D" w:rsidRPr="009D23D2" w:rsidRDefault="0062611D" w:rsidP="009D23D2">
            <w:pPr>
              <w:pStyle w:val="TableBullet"/>
              <w:rPr>
                <w:lang w:val="en-GB"/>
              </w:rPr>
            </w:pPr>
            <w:r w:rsidRPr="00755495">
              <w:rPr>
                <w:lang w:val="en-GB"/>
              </w:rPr>
              <w:t>Deliver high quality data</w:t>
            </w:r>
            <w:r>
              <w:rPr>
                <w:lang w:val="en-GB"/>
              </w:rPr>
              <w:t xml:space="preserve"> </w:t>
            </w:r>
            <w:r w:rsidRPr="009D23D2">
              <w:rPr>
                <w:lang w:val="en-GB"/>
              </w:rPr>
              <w:t>analytics and reporting that shapes organisational decision making</w:t>
            </w:r>
          </w:p>
        </w:tc>
        <w:tc>
          <w:tcPr>
            <w:tcW w:w="3798" w:type="dxa"/>
            <w:gridSpan w:val="2"/>
          </w:tcPr>
          <w:p w14:paraId="004B45E6" w14:textId="0C062FC8" w:rsidR="0062611D" w:rsidRDefault="0062611D" w:rsidP="008F568D">
            <w:pPr>
              <w:pStyle w:val="TableBullet"/>
              <w:rPr>
                <w:lang w:val="en-GB"/>
              </w:rPr>
            </w:pPr>
            <w:r w:rsidRPr="00755495">
              <w:rPr>
                <w:lang w:val="en-GB"/>
              </w:rPr>
              <w:t>Support organisations to improve</w:t>
            </w:r>
            <w:r>
              <w:rPr>
                <w:lang w:val="en-GB"/>
              </w:rPr>
              <w:t xml:space="preserve"> </w:t>
            </w:r>
            <w:r w:rsidRPr="00755495">
              <w:rPr>
                <w:lang w:val="en-GB"/>
              </w:rPr>
              <w:t>their capability through delivery of priority reviews and strengthened workforce management</w:t>
            </w:r>
          </w:p>
        </w:tc>
      </w:tr>
      <w:tr w:rsidR="00755495" w14:paraId="14D7D5CD" w14:textId="77777777" w:rsidTr="004A0AF1">
        <w:tc>
          <w:tcPr>
            <w:tcW w:w="2614" w:type="dxa"/>
          </w:tcPr>
          <w:p w14:paraId="40EAEF9E" w14:textId="73E4C60A" w:rsidR="00755495" w:rsidRDefault="00755495" w:rsidP="008F568D">
            <w:pPr>
              <w:pStyle w:val="TableHeading"/>
              <w:rPr>
                <w:lang w:val="en-GB"/>
              </w:rPr>
            </w:pPr>
            <w:r w:rsidRPr="00092400">
              <w:rPr>
                <w:lang w:val="en-GB"/>
              </w:rPr>
              <w:t>A Public Sector</w:t>
            </w:r>
            <w:r>
              <w:rPr>
                <w:lang w:val="en-GB"/>
              </w:rPr>
              <w:t xml:space="preserve"> </w:t>
            </w:r>
            <w:r w:rsidRPr="00092400">
              <w:rPr>
                <w:lang w:val="en-GB"/>
              </w:rPr>
              <w:t>committed to</w:t>
            </w:r>
            <w:r>
              <w:rPr>
                <w:lang w:val="en-GB"/>
              </w:rPr>
              <w:t xml:space="preserve"> </w:t>
            </w:r>
            <w:r w:rsidRPr="00092400">
              <w:rPr>
                <w:lang w:val="en-GB"/>
              </w:rPr>
              <w:t>values, integrity</w:t>
            </w:r>
            <w:r>
              <w:rPr>
                <w:lang w:val="en-GB"/>
              </w:rPr>
              <w:t xml:space="preserve"> </w:t>
            </w:r>
            <w:r w:rsidRPr="00092400">
              <w:rPr>
                <w:lang w:val="en-GB"/>
              </w:rPr>
              <w:t>and performance</w:t>
            </w:r>
          </w:p>
        </w:tc>
        <w:tc>
          <w:tcPr>
            <w:tcW w:w="7842" w:type="dxa"/>
            <w:gridSpan w:val="4"/>
          </w:tcPr>
          <w:p w14:paraId="61870BAD" w14:textId="37E167FE" w:rsidR="00755495" w:rsidRPr="00755495" w:rsidRDefault="00755495" w:rsidP="00755495">
            <w:pPr>
              <w:pStyle w:val="TableBullet"/>
              <w:rPr>
                <w:lang w:val="en-GB"/>
              </w:rPr>
            </w:pPr>
            <w:r w:rsidRPr="00755495">
              <w:rPr>
                <w:lang w:val="en-GB"/>
              </w:rPr>
              <w:t>Strengthen integrity across</w:t>
            </w:r>
            <w:r>
              <w:rPr>
                <w:lang w:val="en-GB"/>
              </w:rPr>
              <w:t xml:space="preserve"> </w:t>
            </w:r>
            <w:r w:rsidRPr="00755495">
              <w:rPr>
                <w:lang w:val="en-GB"/>
              </w:rPr>
              <w:t>the public sector</w:t>
            </w:r>
          </w:p>
        </w:tc>
      </w:tr>
      <w:tr w:rsidR="008F568D" w14:paraId="79CD69D3" w14:textId="77777777" w:rsidTr="004A0AF1">
        <w:tc>
          <w:tcPr>
            <w:tcW w:w="10456" w:type="dxa"/>
            <w:gridSpan w:val="5"/>
          </w:tcPr>
          <w:p w14:paraId="141B63B9" w14:textId="498E1E54" w:rsidR="008F568D" w:rsidRPr="008F568D" w:rsidRDefault="008F568D" w:rsidP="008F568D">
            <w:pPr>
              <w:pStyle w:val="TableCopy"/>
              <w:rPr>
                <w:b/>
                <w:lang w:val="en-GB"/>
              </w:rPr>
            </w:pPr>
            <w:r w:rsidRPr="008F568D">
              <w:rPr>
                <w:b/>
                <w:lang w:val="en-GB"/>
              </w:rPr>
              <w:t>Corporate Services advice and systems that support the delivery of the Strategic Outcomes and Goals</w:t>
            </w:r>
          </w:p>
        </w:tc>
      </w:tr>
    </w:tbl>
    <w:p w14:paraId="30B4D1AB" w14:textId="77777777" w:rsidR="006E3F10" w:rsidRPr="006E3F10" w:rsidRDefault="006E3F10" w:rsidP="00CE776B">
      <w:pPr>
        <w:pStyle w:val="Heading1"/>
        <w:rPr>
          <w:lang w:val="en-GB"/>
        </w:rPr>
      </w:pPr>
      <w:bookmarkStart w:id="7" w:name="_Toc494111935"/>
      <w:r w:rsidRPr="006E3F10">
        <w:rPr>
          <w:lang w:val="en-GB"/>
        </w:rPr>
        <w:t>Performance Reporting – non-financial</w:t>
      </w:r>
      <w:bookmarkEnd w:id="7"/>
    </w:p>
    <w:p w14:paraId="58BD24AB" w14:textId="4B88FAA6" w:rsidR="006E3F10" w:rsidRPr="006E3F10" w:rsidRDefault="006E3F10" w:rsidP="00CE776B">
      <w:pPr>
        <w:pStyle w:val="Heading2"/>
        <w:rPr>
          <w:lang w:val="en-GB"/>
        </w:rPr>
      </w:pPr>
      <w:bookmarkStart w:id="8" w:name="_Toc494111936"/>
      <w:r w:rsidRPr="006E3F10">
        <w:rPr>
          <w:lang w:val="en-GB"/>
        </w:rPr>
        <w:t>Strengthen the efficiency</w:t>
      </w:r>
      <w:r w:rsidR="00CE776B">
        <w:rPr>
          <w:lang w:val="en-GB"/>
        </w:rPr>
        <w:t xml:space="preserve">, effectiveness and capability </w:t>
      </w:r>
      <w:r w:rsidRPr="006E3F10">
        <w:rPr>
          <w:lang w:val="en-GB"/>
        </w:rPr>
        <w:t>of the public sector</w:t>
      </w:r>
      <w:bookmarkEnd w:id="8"/>
    </w:p>
    <w:p w14:paraId="6B349A79" w14:textId="77777777" w:rsidR="006E3F10" w:rsidRPr="006E3F10" w:rsidRDefault="006E3F10" w:rsidP="00CE776B">
      <w:pPr>
        <w:pStyle w:val="Heading3"/>
        <w:rPr>
          <w:lang w:val="en-GB"/>
        </w:rPr>
      </w:pPr>
      <w:bookmarkStart w:id="9" w:name="_Toc494111937"/>
      <w:r w:rsidRPr="006E3F10">
        <w:rPr>
          <w:lang w:val="en-GB"/>
        </w:rPr>
        <w:t>Victorian Leadership Academy</w:t>
      </w:r>
      <w:bookmarkEnd w:id="9"/>
    </w:p>
    <w:p w14:paraId="5C16F271" w14:textId="05C66186" w:rsidR="006E3F10" w:rsidRPr="006E3F10" w:rsidRDefault="006E3F10" w:rsidP="006E3F10">
      <w:pPr>
        <w:rPr>
          <w:lang w:val="en-GB"/>
        </w:rPr>
      </w:pPr>
      <w:r w:rsidRPr="006E3F10">
        <w:rPr>
          <w:lang w:val="en-GB"/>
        </w:rPr>
        <w:t>In July 2016, Victorian Secretaries Board approved the blueprint for a new approach to leadership development for the Victorian public service: the Victorian Leadershi</w:t>
      </w:r>
      <w:r w:rsidR="00CE776B">
        <w:rPr>
          <w:lang w:val="en-GB"/>
        </w:rPr>
        <w:t xml:space="preserve">p Academy (VLA). The blueprint </w:t>
      </w:r>
      <w:r w:rsidRPr="006E3F10">
        <w:rPr>
          <w:lang w:val="en-GB"/>
        </w:rPr>
        <w:t>was the result of many months of extensive research and consultations with senior leaders and experts across public and private sector, both internationally and domestically.</w:t>
      </w:r>
    </w:p>
    <w:p w14:paraId="775FB4D6" w14:textId="77777777" w:rsidR="006E3F10" w:rsidRPr="006E3F10" w:rsidRDefault="006E3F10" w:rsidP="006E3F10">
      <w:pPr>
        <w:rPr>
          <w:lang w:val="en-GB"/>
        </w:rPr>
      </w:pPr>
      <w:r w:rsidRPr="006E3F10">
        <w:rPr>
          <w:lang w:val="en-GB"/>
        </w:rPr>
        <w:t>The VLA was subsequently established in September 2016 and replaces the former Victorian Leadership Development Program. It is a new model of leadership development for Victoria, that will ensure our public service leaders are equipped with the right skills and capabilities to lead an effective and impactful public service to deliver on the Government’s priorities now and into the future.</w:t>
      </w:r>
    </w:p>
    <w:p w14:paraId="2DA96324" w14:textId="77777777" w:rsidR="006E3F10" w:rsidRPr="006E3F10" w:rsidRDefault="006E3F10" w:rsidP="006E3F10">
      <w:pPr>
        <w:rPr>
          <w:lang w:val="en-GB"/>
        </w:rPr>
      </w:pPr>
      <w:r w:rsidRPr="006E3F10">
        <w:rPr>
          <w:lang w:val="en-GB"/>
        </w:rPr>
        <w:lastRenderedPageBreak/>
        <w:t>The VLA provides an individualised, bespoke model of leadership development for each selected participant, from assessment (through a range of psychometric assessments, interviews and behavioural simulation exercises) to individualised feedback and development plans. </w:t>
      </w:r>
    </w:p>
    <w:p w14:paraId="564D170C" w14:textId="77777777" w:rsidR="006E3F10" w:rsidRPr="006E3F10" w:rsidRDefault="006E3F10" w:rsidP="006E3F10">
      <w:pPr>
        <w:rPr>
          <w:lang w:val="en-GB"/>
        </w:rPr>
      </w:pPr>
      <w:r w:rsidRPr="006E3F10">
        <w:rPr>
          <w:lang w:val="en-GB"/>
        </w:rPr>
        <w:t>In 2016, VLA successfully developed and piloted the assessment process with 22 Executive Officers across all seven Departments and Victoria Police. These Officers also piloted short experiential learning opportunities focused on development needs identified from the assessment.</w:t>
      </w:r>
    </w:p>
    <w:p w14:paraId="6679FF53" w14:textId="77777777" w:rsidR="006E3F10" w:rsidRPr="006E3F10" w:rsidRDefault="006E3F10" w:rsidP="006E3F10">
      <w:pPr>
        <w:rPr>
          <w:lang w:val="en-GB"/>
        </w:rPr>
      </w:pPr>
      <w:r w:rsidRPr="006E3F10">
        <w:rPr>
          <w:lang w:val="en-GB"/>
        </w:rPr>
        <w:t>In the first half of 2017, over 200 public service Executive Officers completed an assessment. All individuals who completed the VLA assessment have an individualised, tailored leadership development plan in place that can be implemented through on-the-job experiences.</w:t>
      </w:r>
    </w:p>
    <w:p w14:paraId="7144F66E" w14:textId="49ABE257" w:rsidR="006E3F10" w:rsidRPr="006E3F10" w:rsidRDefault="006E3F10" w:rsidP="006E3F10">
      <w:pPr>
        <w:rPr>
          <w:lang w:val="en-GB"/>
        </w:rPr>
      </w:pPr>
      <w:r w:rsidRPr="006E3F10">
        <w:rPr>
          <w:lang w:val="en-GB"/>
        </w:rPr>
        <w:t>Over the coming two years up to a further 500 Executive Officers in th</w:t>
      </w:r>
      <w:r w:rsidR="00CE776B">
        <w:rPr>
          <w:lang w:val="en-GB"/>
        </w:rPr>
        <w:t xml:space="preserve">e public service will complete </w:t>
      </w:r>
      <w:r w:rsidRPr="006E3F10">
        <w:rPr>
          <w:lang w:val="en-GB"/>
        </w:rPr>
        <w:t>the programme and over time, the data and analytics we capture will prov</w:t>
      </w:r>
      <w:r w:rsidR="00CE776B">
        <w:rPr>
          <w:lang w:val="en-GB"/>
        </w:rPr>
        <w:t xml:space="preserve">ide us with a full system view </w:t>
      </w:r>
      <w:r w:rsidRPr="006E3F10">
        <w:rPr>
          <w:lang w:val="en-GB"/>
        </w:rPr>
        <w:t>on leadership development strengths and needs.</w:t>
      </w:r>
    </w:p>
    <w:p w14:paraId="06E0DC6F" w14:textId="77777777" w:rsidR="006E3F10" w:rsidRPr="006E3F10" w:rsidRDefault="006E3F10" w:rsidP="00CE776B">
      <w:pPr>
        <w:pStyle w:val="Heading3"/>
        <w:rPr>
          <w:lang w:val="en-GB"/>
        </w:rPr>
      </w:pPr>
      <w:bookmarkStart w:id="10" w:name="_Toc494111938"/>
      <w:r w:rsidRPr="006E3F10">
        <w:rPr>
          <w:lang w:val="en-GB"/>
        </w:rPr>
        <w:t>Executive Officer Reform Program – Classification &amp; Remuneration Framework</w:t>
      </w:r>
      <w:bookmarkEnd w:id="10"/>
      <w:r w:rsidRPr="006E3F10">
        <w:rPr>
          <w:lang w:val="en-GB"/>
        </w:rPr>
        <w:t> </w:t>
      </w:r>
    </w:p>
    <w:p w14:paraId="7B753C41" w14:textId="27142F71" w:rsidR="006E3F10" w:rsidRPr="006E3F10" w:rsidRDefault="006E3F10" w:rsidP="006E3F10">
      <w:pPr>
        <w:rPr>
          <w:lang w:val="en-GB"/>
        </w:rPr>
      </w:pPr>
      <w:r w:rsidRPr="006E3F10">
        <w:rPr>
          <w:lang w:val="en-GB"/>
        </w:rPr>
        <w:t>VPSC has been engaged to develop a range of frameworks, products</w:t>
      </w:r>
      <w:r w:rsidR="00CE776B">
        <w:rPr>
          <w:lang w:val="en-GB"/>
        </w:rPr>
        <w:t xml:space="preserve"> and tools designed to promote </w:t>
      </w:r>
      <w:r w:rsidRPr="006E3F10">
        <w:rPr>
          <w:lang w:val="en-GB"/>
        </w:rPr>
        <w:t>equity, effectiveness and productivity across executives within the VPS.</w:t>
      </w:r>
    </w:p>
    <w:p w14:paraId="5B9570B7" w14:textId="77777777" w:rsidR="006E3F10" w:rsidRPr="006E3F10" w:rsidRDefault="006E3F10" w:rsidP="006E3F10">
      <w:pPr>
        <w:rPr>
          <w:lang w:val="en-GB"/>
        </w:rPr>
      </w:pPr>
      <w:r w:rsidRPr="006E3F10">
        <w:rPr>
          <w:lang w:val="en-GB"/>
        </w:rPr>
        <w:t>A Classification and Remuneration Framework is being developed as part of a broader program of reform relating to executive employment across the VPS following an extensive review in 2016. </w:t>
      </w:r>
    </w:p>
    <w:p w14:paraId="0F11F3ED" w14:textId="0414CFD8" w:rsidR="006E3F10" w:rsidRPr="006E3F10" w:rsidRDefault="006E3F10" w:rsidP="006E3F10">
      <w:pPr>
        <w:rPr>
          <w:lang w:val="en-GB"/>
        </w:rPr>
      </w:pPr>
      <w:r w:rsidRPr="006E3F10">
        <w:rPr>
          <w:lang w:val="en-GB"/>
        </w:rPr>
        <w:t>The framework forms part of a suite of integrated resources for senior executives. This includes a framework for executive performance management and a framework for leadership</w:t>
      </w:r>
      <w:r w:rsidR="00CE776B">
        <w:rPr>
          <w:lang w:val="en-GB"/>
        </w:rPr>
        <w:t xml:space="preserve"> development, both implemented </w:t>
      </w:r>
      <w:r w:rsidRPr="006E3F10">
        <w:rPr>
          <w:lang w:val="en-GB"/>
        </w:rPr>
        <w:t>by VPSC.</w:t>
      </w:r>
    </w:p>
    <w:p w14:paraId="3EC77D9A" w14:textId="77777777" w:rsidR="006E3F10" w:rsidRPr="006E3F10" w:rsidRDefault="006E3F10" w:rsidP="006E3F10">
      <w:pPr>
        <w:rPr>
          <w:lang w:val="en-GB"/>
        </w:rPr>
      </w:pPr>
      <w:r w:rsidRPr="006E3F10">
        <w:rPr>
          <w:lang w:val="en-GB"/>
        </w:rPr>
        <w:t>Implementing the framework will ensure that executive role nomenclature, classification and remuneration will be aligned to other comparable jurisdictions and achieve a clear, consistent and efficient means of creating, classifying and remunerating executive positions in alignment with the identified expectations in:</w:t>
      </w:r>
    </w:p>
    <w:p w14:paraId="062A40C2" w14:textId="77777777" w:rsidR="006E3F10" w:rsidRPr="006E3F10" w:rsidRDefault="006E3F10" w:rsidP="00CE776B">
      <w:pPr>
        <w:pStyle w:val="Bullet"/>
        <w:rPr>
          <w:lang w:val="en-GB"/>
        </w:rPr>
      </w:pPr>
      <w:r w:rsidRPr="006E3F10">
        <w:rPr>
          <w:lang w:val="en-GB"/>
        </w:rPr>
        <w:t>work level standards</w:t>
      </w:r>
    </w:p>
    <w:p w14:paraId="1E0314B7" w14:textId="77777777" w:rsidR="006E3F10" w:rsidRPr="006E3F10" w:rsidRDefault="006E3F10" w:rsidP="00CE776B">
      <w:pPr>
        <w:pStyle w:val="Bullet"/>
        <w:rPr>
          <w:lang w:val="en-GB"/>
        </w:rPr>
      </w:pPr>
      <w:r w:rsidRPr="006E3F10">
        <w:rPr>
          <w:lang w:val="en-GB"/>
        </w:rPr>
        <w:t>enhance clarity</w:t>
      </w:r>
    </w:p>
    <w:p w14:paraId="773E79D5" w14:textId="77777777" w:rsidR="006E3F10" w:rsidRPr="006E3F10" w:rsidRDefault="006E3F10" w:rsidP="00CE776B">
      <w:pPr>
        <w:pStyle w:val="Bullet"/>
        <w:rPr>
          <w:lang w:val="en-GB"/>
        </w:rPr>
      </w:pPr>
      <w:r w:rsidRPr="006E3F10">
        <w:rPr>
          <w:lang w:val="en-GB"/>
        </w:rPr>
        <w:t>governance and transparency across the public service</w:t>
      </w:r>
    </w:p>
    <w:p w14:paraId="32D4D9EA" w14:textId="77777777" w:rsidR="006E3F10" w:rsidRPr="006E3F10" w:rsidRDefault="006E3F10" w:rsidP="00CE776B">
      <w:pPr>
        <w:pStyle w:val="Bullet"/>
        <w:rPr>
          <w:lang w:val="en-GB"/>
        </w:rPr>
      </w:pPr>
      <w:r w:rsidRPr="006E3F10">
        <w:rPr>
          <w:lang w:val="en-GB"/>
        </w:rPr>
        <w:t>enable departments to manage equity and gain appropriate work value</w:t>
      </w:r>
    </w:p>
    <w:p w14:paraId="2AB8B176" w14:textId="2E3F9E14" w:rsidR="006E3F10" w:rsidRPr="006E3F10" w:rsidRDefault="006E3F10" w:rsidP="006E3F10">
      <w:pPr>
        <w:rPr>
          <w:lang w:val="en-GB"/>
        </w:rPr>
      </w:pPr>
      <w:r w:rsidRPr="006E3F10">
        <w:rPr>
          <w:lang w:val="en-GB"/>
        </w:rPr>
        <w:t>A pilot with the Department of Justice and Regulation will inform the development of the broader Classification and Remuneration Framework, with associated wo</w:t>
      </w:r>
      <w:r w:rsidR="00CE776B">
        <w:rPr>
          <w:lang w:val="en-GB"/>
        </w:rPr>
        <w:t xml:space="preserve">rk level standards, work value </w:t>
      </w:r>
      <w:r w:rsidRPr="006E3F10">
        <w:rPr>
          <w:lang w:val="en-GB"/>
        </w:rPr>
        <w:t>assessment methodology, training resources and implementation roadmap.</w:t>
      </w:r>
    </w:p>
    <w:p w14:paraId="0A7CD257" w14:textId="77777777" w:rsidR="006E3F10" w:rsidRPr="006E3F10" w:rsidRDefault="006E3F10" w:rsidP="00CE776B">
      <w:pPr>
        <w:pStyle w:val="Heading3"/>
        <w:rPr>
          <w:lang w:val="en-GB"/>
        </w:rPr>
      </w:pPr>
      <w:bookmarkStart w:id="11" w:name="_Toc494111939"/>
      <w:r w:rsidRPr="006E3F10">
        <w:rPr>
          <w:lang w:val="en-GB"/>
        </w:rPr>
        <w:t>Workforce Data Collection</w:t>
      </w:r>
      <w:bookmarkEnd w:id="11"/>
    </w:p>
    <w:p w14:paraId="719DF83E" w14:textId="4884C3B7" w:rsidR="006E3F10" w:rsidRPr="006E3F10" w:rsidRDefault="006E3F10" w:rsidP="006E3F10">
      <w:pPr>
        <w:rPr>
          <w:lang w:val="en-GB"/>
        </w:rPr>
      </w:pPr>
      <w:r w:rsidRPr="006E3F10">
        <w:rPr>
          <w:lang w:val="en-GB"/>
        </w:rPr>
        <w:t>This is an annual census that collects employment and demographi</w:t>
      </w:r>
      <w:r w:rsidR="00CE776B">
        <w:rPr>
          <w:lang w:val="en-GB"/>
        </w:rPr>
        <w:t xml:space="preserve">c information on all employees </w:t>
      </w:r>
      <w:r w:rsidRPr="006E3F10">
        <w:rPr>
          <w:lang w:val="en-GB"/>
        </w:rPr>
        <w:t>in the VPS. The information is used to report on the profile of the workfor</w:t>
      </w:r>
      <w:r w:rsidR="00CE776B">
        <w:rPr>
          <w:lang w:val="en-GB"/>
        </w:rPr>
        <w:t xml:space="preserve">ce and to inform workforce </w:t>
      </w:r>
      <w:r w:rsidRPr="006E3F10">
        <w:rPr>
          <w:lang w:val="en-GB"/>
        </w:rPr>
        <w:t>planning and management.</w:t>
      </w:r>
    </w:p>
    <w:p w14:paraId="54495BE8" w14:textId="77777777" w:rsidR="006E3F10" w:rsidRPr="006E3F10" w:rsidRDefault="006E3F10" w:rsidP="006E3F10">
      <w:pPr>
        <w:rPr>
          <w:lang w:val="en-GB"/>
        </w:rPr>
      </w:pPr>
      <w:r w:rsidRPr="006E3F10">
        <w:rPr>
          <w:lang w:val="en-GB"/>
        </w:rPr>
        <w:t>The 2016 collection gathered 320,000 employee records from 1,798 separate employers, including schools and health services. VPSC produced over 200 reports for employer agencies that provide individualised comparative data on the composition and characteristics of their employees.</w:t>
      </w:r>
    </w:p>
    <w:p w14:paraId="4914BEDD" w14:textId="77777777" w:rsidR="006E3F10" w:rsidRPr="006E3F10" w:rsidRDefault="006E3F10" w:rsidP="00CE776B">
      <w:pPr>
        <w:pStyle w:val="Heading3"/>
        <w:rPr>
          <w:lang w:val="en-GB"/>
        </w:rPr>
      </w:pPr>
      <w:bookmarkStart w:id="12" w:name="_Toc494111940"/>
      <w:r w:rsidRPr="006E3F10">
        <w:rPr>
          <w:lang w:val="en-GB"/>
        </w:rPr>
        <w:t>The State of the Public Sector in Victoria Report</w:t>
      </w:r>
      <w:bookmarkEnd w:id="12"/>
    </w:p>
    <w:p w14:paraId="3BEAF6C8" w14:textId="19AD2591" w:rsidR="006E3F10" w:rsidRPr="006E3F10" w:rsidRDefault="006E3F10" w:rsidP="006E3F10">
      <w:pPr>
        <w:rPr>
          <w:lang w:val="en-GB"/>
        </w:rPr>
      </w:pPr>
      <w:r w:rsidRPr="006E3F10">
        <w:rPr>
          <w:lang w:val="en-GB"/>
        </w:rPr>
        <w:t xml:space="preserve">VPSC published the 2015-16 edition of </w:t>
      </w:r>
      <w:r w:rsidRPr="006E3F10">
        <w:rPr>
          <w:i/>
          <w:iCs/>
          <w:lang w:val="en-GB"/>
        </w:rPr>
        <w:t>The State of the Public Sector in Victoria</w:t>
      </w:r>
      <w:r w:rsidRPr="006E3F10">
        <w:rPr>
          <w:lang w:val="en-GB"/>
        </w:rPr>
        <w:t xml:space="preserve"> </w:t>
      </w:r>
      <w:r w:rsidRPr="006E3F10">
        <w:rPr>
          <w:i/>
          <w:iCs/>
          <w:lang w:val="en-GB"/>
        </w:rPr>
        <w:t>Report</w:t>
      </w:r>
      <w:r w:rsidRPr="006E3F10">
        <w:rPr>
          <w:lang w:val="en-GB"/>
        </w:rPr>
        <w:t xml:space="preserve"> in December 2016. This annual report draws on the workforce data collection and other</w:t>
      </w:r>
      <w:r w:rsidR="00CE776B">
        <w:rPr>
          <w:lang w:val="en-GB"/>
        </w:rPr>
        <w:t xml:space="preserve"> whole of government data sets </w:t>
      </w:r>
      <w:r w:rsidRPr="006E3F10">
        <w:rPr>
          <w:lang w:val="en-GB"/>
        </w:rPr>
        <w:t>to provide a comprehensive statement of the composition of the public sec</w:t>
      </w:r>
      <w:r w:rsidR="00CE776B">
        <w:rPr>
          <w:lang w:val="en-GB"/>
        </w:rPr>
        <w:t xml:space="preserve">tor, its workforce, executives </w:t>
      </w:r>
      <w:r w:rsidRPr="006E3F10">
        <w:rPr>
          <w:lang w:val="en-GB"/>
        </w:rPr>
        <w:t>and boards of governance. The report is a valuable resource for stakehold</w:t>
      </w:r>
      <w:r w:rsidR="00CE776B">
        <w:rPr>
          <w:lang w:val="en-GB"/>
        </w:rPr>
        <w:t xml:space="preserve">ers and the public interested </w:t>
      </w:r>
      <w:r w:rsidRPr="006E3F10">
        <w:rPr>
          <w:lang w:val="en-GB"/>
        </w:rPr>
        <w:t>in understanding the structure of the VPS and the profile of its people.</w:t>
      </w:r>
    </w:p>
    <w:p w14:paraId="400A2FF9" w14:textId="77777777" w:rsidR="006E3F10" w:rsidRPr="006E3F10" w:rsidRDefault="006E3F10" w:rsidP="00CE776B">
      <w:pPr>
        <w:pStyle w:val="Heading3"/>
        <w:rPr>
          <w:lang w:val="en-GB"/>
        </w:rPr>
      </w:pPr>
      <w:bookmarkStart w:id="13" w:name="_Toc494111941"/>
      <w:r w:rsidRPr="006E3F10">
        <w:rPr>
          <w:lang w:val="en-GB"/>
        </w:rPr>
        <w:lastRenderedPageBreak/>
        <w:t>Government Sector Executive Remuneration Panel</w:t>
      </w:r>
      <w:bookmarkEnd w:id="13"/>
    </w:p>
    <w:p w14:paraId="61DF2AB6" w14:textId="60C9CA8D" w:rsidR="006E3F10" w:rsidRPr="006E3F10" w:rsidRDefault="006E3F10" w:rsidP="006E3F10">
      <w:pPr>
        <w:rPr>
          <w:lang w:val="en-GB"/>
        </w:rPr>
      </w:pPr>
      <w:r w:rsidRPr="006E3F10">
        <w:rPr>
          <w:lang w:val="en-GB"/>
        </w:rPr>
        <w:t>The Government Sector Executive Remuneration Panel (GSERP)</w:t>
      </w:r>
      <w:r w:rsidR="00CE776B">
        <w:rPr>
          <w:lang w:val="en-GB"/>
        </w:rPr>
        <w:t xml:space="preserve"> administers government policy </w:t>
      </w:r>
      <w:r w:rsidRPr="006E3F10">
        <w:rPr>
          <w:lang w:val="en-GB"/>
        </w:rPr>
        <w:t>on executive remuneration. The policy applies to all Victorian public entit</w:t>
      </w:r>
      <w:r w:rsidR="00CE776B">
        <w:rPr>
          <w:lang w:val="en-GB"/>
        </w:rPr>
        <w:t xml:space="preserve">ies employing executives apart </w:t>
      </w:r>
      <w:r w:rsidRPr="006E3F10">
        <w:rPr>
          <w:lang w:val="en-GB"/>
        </w:rPr>
        <w:t xml:space="preserve">from those executives employed under the </w:t>
      </w:r>
      <w:r w:rsidRPr="006E3F10">
        <w:rPr>
          <w:i/>
          <w:iCs/>
          <w:lang w:val="en-GB"/>
        </w:rPr>
        <w:t>Public Administration Act 2004</w:t>
      </w:r>
      <w:r w:rsidRPr="006E3F10">
        <w:rPr>
          <w:lang w:val="en-GB"/>
        </w:rPr>
        <w:t>.</w:t>
      </w:r>
    </w:p>
    <w:p w14:paraId="49767E5B" w14:textId="1468653B" w:rsidR="006E3F10" w:rsidRPr="006E3F10" w:rsidRDefault="006E3F10" w:rsidP="006E3F10">
      <w:pPr>
        <w:rPr>
          <w:lang w:val="en-GB"/>
        </w:rPr>
      </w:pPr>
      <w:r w:rsidRPr="006E3F10">
        <w:rPr>
          <w:lang w:val="en-GB"/>
        </w:rPr>
        <w:t>The Victorian Public Sector Commissioner chairs GSERP. VPSC</w:t>
      </w:r>
      <w:r w:rsidR="00CE776B">
        <w:rPr>
          <w:lang w:val="en-GB"/>
        </w:rPr>
        <w:t xml:space="preserve"> provides executive employment </w:t>
      </w:r>
      <w:r w:rsidRPr="006E3F10">
        <w:rPr>
          <w:lang w:val="en-GB"/>
        </w:rPr>
        <w:t xml:space="preserve">and remuneration advice, information and support to Secretaries </w:t>
      </w:r>
      <w:r w:rsidR="00CE776B">
        <w:rPr>
          <w:lang w:val="en-GB"/>
        </w:rPr>
        <w:t xml:space="preserve">and public entity Board Chairs </w:t>
      </w:r>
      <w:r w:rsidRPr="006E3F10">
        <w:rPr>
          <w:lang w:val="en-GB"/>
        </w:rPr>
        <w:t>and Chief Executive Officers.</w:t>
      </w:r>
    </w:p>
    <w:p w14:paraId="61DA34A9" w14:textId="77777777" w:rsidR="006E3F10" w:rsidRPr="006E3F10" w:rsidRDefault="006E3F10" w:rsidP="006E3F10">
      <w:pPr>
        <w:rPr>
          <w:lang w:val="en-GB"/>
        </w:rPr>
      </w:pPr>
      <w:r w:rsidRPr="006E3F10">
        <w:rPr>
          <w:lang w:val="en-GB"/>
        </w:rPr>
        <w:t>VPSC is refining GSERP processes to enable better reporting and earlier engagement with portfolio departments and public entities, which will ensure more efficient decision-making.</w:t>
      </w:r>
    </w:p>
    <w:p w14:paraId="0B231BCD" w14:textId="174693FC" w:rsidR="006E3F10" w:rsidRPr="006E3F10" w:rsidRDefault="006E3F10" w:rsidP="006E3F10">
      <w:pPr>
        <w:rPr>
          <w:lang w:val="en-GB"/>
        </w:rPr>
      </w:pPr>
      <w:r w:rsidRPr="006E3F10">
        <w:rPr>
          <w:lang w:val="en-GB"/>
        </w:rPr>
        <w:t>VPSC answered 207 enquiries and received 37 submissions during the ye</w:t>
      </w:r>
      <w:r w:rsidR="00CE776B">
        <w:rPr>
          <w:lang w:val="en-GB"/>
        </w:rPr>
        <w:t xml:space="preserve">ar. The majority of these were </w:t>
      </w:r>
      <w:r w:rsidRPr="006E3F10">
        <w:rPr>
          <w:lang w:val="en-GB"/>
        </w:rPr>
        <w:t>from public entities in the environment portfolio, especially those in the water sector. The majority of enquires were about remuneration policy and the individual total remuneration package (TRP).</w:t>
      </w:r>
    </w:p>
    <w:p w14:paraId="5CEE4A3B" w14:textId="77777777" w:rsidR="006E3F10" w:rsidRPr="006E3F10" w:rsidRDefault="006E3F10" w:rsidP="00CE776B">
      <w:pPr>
        <w:pStyle w:val="Heading3"/>
        <w:rPr>
          <w:lang w:val="en-GB"/>
        </w:rPr>
      </w:pPr>
      <w:bookmarkStart w:id="14" w:name="_Toc494111942"/>
      <w:r w:rsidRPr="006E3F10">
        <w:rPr>
          <w:lang w:val="en-GB"/>
        </w:rPr>
        <w:t>Aboriginal Employment Strategy</w:t>
      </w:r>
      <w:bookmarkEnd w:id="14"/>
    </w:p>
    <w:p w14:paraId="3CA2B391" w14:textId="090E7192" w:rsidR="006E3F10" w:rsidRPr="006E3F10" w:rsidRDefault="006E3F10" w:rsidP="006E3F10">
      <w:pPr>
        <w:rPr>
          <w:lang w:val="en-GB"/>
        </w:rPr>
      </w:pPr>
      <w:r w:rsidRPr="006E3F10">
        <w:rPr>
          <w:lang w:val="en-GB"/>
        </w:rPr>
        <w:t>The Aboriginal Employment Unit (AEU) has overseen the introdu</w:t>
      </w:r>
      <w:r w:rsidR="00CE776B">
        <w:rPr>
          <w:lang w:val="en-GB"/>
        </w:rPr>
        <w:t xml:space="preserve">ction of a range of employment </w:t>
      </w:r>
      <w:r w:rsidRPr="006E3F10">
        <w:rPr>
          <w:lang w:val="en-GB"/>
        </w:rPr>
        <w:t>and development programs designed to improve Aboriginal employment outcomes across the VPS. </w:t>
      </w:r>
    </w:p>
    <w:p w14:paraId="48CF9E5D" w14:textId="77777777" w:rsidR="006E3F10" w:rsidRPr="006E3F10" w:rsidRDefault="006E3F10" w:rsidP="006E3F10">
      <w:pPr>
        <w:rPr>
          <w:lang w:val="en-GB"/>
        </w:rPr>
      </w:pPr>
      <w:r w:rsidRPr="006E3F10">
        <w:rPr>
          <w:lang w:val="en-GB"/>
        </w:rPr>
        <w:t xml:space="preserve">Following the success of these programs, the AEU has developed a 5-year Aboriginal Employment Strategy for the VPS. The strategy, </w:t>
      </w:r>
      <w:r w:rsidRPr="006E3F10">
        <w:rPr>
          <w:i/>
          <w:iCs/>
          <w:lang w:val="en-GB"/>
        </w:rPr>
        <w:t>Barring Djinang</w:t>
      </w:r>
      <w:r w:rsidRPr="006E3F10">
        <w:rPr>
          <w:lang w:val="en-GB"/>
        </w:rPr>
        <w:t>, aims to address longstanding issues with respect to Aboriginal employment and make sustainable improvements across the sector. </w:t>
      </w:r>
    </w:p>
    <w:p w14:paraId="5FFB23B5" w14:textId="60D7BCAB" w:rsidR="006E3F10" w:rsidRPr="006E3F10" w:rsidRDefault="006E3F10" w:rsidP="006E3F10">
      <w:pPr>
        <w:rPr>
          <w:lang w:val="en-GB"/>
        </w:rPr>
      </w:pPr>
      <w:r w:rsidRPr="006E3F10">
        <w:rPr>
          <w:lang w:val="en-GB"/>
        </w:rPr>
        <w:t>To achieve sustainable improvement in Aboriginal employment outcomes, it is envisaged that public sector leaders will foster and grow careers, invest in development, support diversit</w:t>
      </w:r>
      <w:r w:rsidR="00CE776B">
        <w:rPr>
          <w:lang w:val="en-GB"/>
        </w:rPr>
        <w:t>y</w:t>
      </w:r>
      <w:r w:rsidRPr="006E3F10">
        <w:rPr>
          <w:lang w:val="en-GB"/>
        </w:rPr>
        <w:t>, enable a culturally capable workforce. </w:t>
      </w:r>
    </w:p>
    <w:p w14:paraId="4095D35C" w14:textId="2C2D04FB" w:rsidR="006E3F10" w:rsidRPr="006E3F10" w:rsidRDefault="006E3F10" w:rsidP="006E3F10">
      <w:pPr>
        <w:rPr>
          <w:lang w:val="en-GB"/>
        </w:rPr>
      </w:pPr>
      <w:r w:rsidRPr="006E3F10">
        <w:rPr>
          <w:lang w:val="en-GB"/>
        </w:rPr>
        <w:t>This is underpinned by strong partnerships with the Aboriginal c</w:t>
      </w:r>
      <w:r w:rsidR="00CE776B">
        <w:rPr>
          <w:lang w:val="en-GB"/>
        </w:rPr>
        <w:t xml:space="preserve">ommunity and strong governance </w:t>
      </w:r>
      <w:r w:rsidRPr="006E3F10">
        <w:rPr>
          <w:lang w:val="en-GB"/>
        </w:rPr>
        <w:t>and reporting to inform progress and highlight opportunities. Resulting in a highly capable, diverse public sector that benefits from the unique skills and experience Aboriginal employees bring into the workplace.</w:t>
      </w:r>
    </w:p>
    <w:p w14:paraId="4EDA4CE2" w14:textId="77777777" w:rsidR="006E3F10" w:rsidRPr="006E3F10" w:rsidRDefault="006E3F10" w:rsidP="00CE776B">
      <w:pPr>
        <w:pStyle w:val="Heading4"/>
        <w:rPr>
          <w:lang w:val="en-GB"/>
        </w:rPr>
      </w:pPr>
      <w:r w:rsidRPr="006E3F10">
        <w:rPr>
          <w:lang w:val="en-GB"/>
        </w:rPr>
        <w:t>Key initiatives include: </w:t>
      </w:r>
    </w:p>
    <w:p w14:paraId="27C4597D" w14:textId="77777777" w:rsidR="006E3F10" w:rsidRPr="006E3F10" w:rsidRDefault="006E3F10" w:rsidP="00CE776B">
      <w:pPr>
        <w:pStyle w:val="Bullet"/>
        <w:rPr>
          <w:lang w:val="en-GB"/>
        </w:rPr>
      </w:pPr>
      <w:r w:rsidRPr="006E3F10">
        <w:rPr>
          <w:lang w:val="en-GB"/>
        </w:rPr>
        <w:t>attraction and recruitment policy</w:t>
      </w:r>
    </w:p>
    <w:p w14:paraId="32A9CCA7" w14:textId="77777777" w:rsidR="006E3F10" w:rsidRPr="006E3F10" w:rsidRDefault="006E3F10" w:rsidP="00CE776B">
      <w:pPr>
        <w:pStyle w:val="Bullet"/>
        <w:rPr>
          <w:lang w:val="en-GB"/>
        </w:rPr>
      </w:pPr>
      <w:r w:rsidRPr="006E3F10">
        <w:rPr>
          <w:lang w:val="en-GB"/>
        </w:rPr>
        <w:t>regional staff networks</w:t>
      </w:r>
    </w:p>
    <w:p w14:paraId="371CFE02" w14:textId="77777777" w:rsidR="006E3F10" w:rsidRPr="006E3F10" w:rsidRDefault="006E3F10" w:rsidP="00CE776B">
      <w:pPr>
        <w:pStyle w:val="Bullet"/>
        <w:rPr>
          <w:lang w:val="en-GB"/>
        </w:rPr>
      </w:pPr>
      <w:r w:rsidRPr="006E3F10">
        <w:rPr>
          <w:lang w:val="en-GB"/>
        </w:rPr>
        <w:t>Aboriginal employment portal</w:t>
      </w:r>
    </w:p>
    <w:p w14:paraId="6E49564F" w14:textId="77777777" w:rsidR="006E3F10" w:rsidRPr="006E3F10" w:rsidRDefault="006E3F10" w:rsidP="00CE776B">
      <w:pPr>
        <w:pStyle w:val="Bullet"/>
        <w:rPr>
          <w:lang w:val="en-GB"/>
        </w:rPr>
      </w:pPr>
      <w:r w:rsidRPr="006E3F10">
        <w:rPr>
          <w:lang w:val="en-GB"/>
        </w:rPr>
        <w:t>cultural capability toolkit</w:t>
      </w:r>
    </w:p>
    <w:p w14:paraId="0E810EC3" w14:textId="77777777" w:rsidR="006E3F10" w:rsidRPr="006E3F10" w:rsidRDefault="006E3F10" w:rsidP="00CE776B">
      <w:pPr>
        <w:pStyle w:val="Bullet"/>
        <w:rPr>
          <w:lang w:val="en-GB"/>
        </w:rPr>
      </w:pPr>
      <w:r w:rsidRPr="006E3F10">
        <w:rPr>
          <w:lang w:val="en-GB"/>
        </w:rPr>
        <w:t>career pathways framework</w:t>
      </w:r>
    </w:p>
    <w:p w14:paraId="081FFE46" w14:textId="77777777" w:rsidR="006E3F10" w:rsidRPr="006E3F10" w:rsidRDefault="006E3F10" w:rsidP="00CE776B">
      <w:pPr>
        <w:pStyle w:val="Bullet"/>
        <w:rPr>
          <w:lang w:val="en-GB"/>
        </w:rPr>
      </w:pPr>
      <w:r w:rsidRPr="006E3F10">
        <w:rPr>
          <w:lang w:val="en-GB"/>
        </w:rPr>
        <w:t>designated roles</w:t>
      </w:r>
    </w:p>
    <w:p w14:paraId="4E6A7615" w14:textId="77777777" w:rsidR="006E3F10" w:rsidRPr="006E3F10" w:rsidRDefault="006E3F10" w:rsidP="00CE776B">
      <w:pPr>
        <w:pStyle w:val="Bullet"/>
        <w:rPr>
          <w:lang w:val="en-GB"/>
        </w:rPr>
      </w:pPr>
      <w:r w:rsidRPr="006E3F10">
        <w:rPr>
          <w:lang w:val="en-GB"/>
        </w:rPr>
        <w:t>employment policies</w:t>
      </w:r>
    </w:p>
    <w:p w14:paraId="6540D560" w14:textId="77777777" w:rsidR="006E3F10" w:rsidRDefault="006E3F10" w:rsidP="00CE776B">
      <w:pPr>
        <w:pStyle w:val="Bullet"/>
        <w:rPr>
          <w:lang w:val="en-GB"/>
        </w:rPr>
      </w:pPr>
      <w:r w:rsidRPr="006E3F10">
        <w:rPr>
          <w:lang w:val="en-GB"/>
        </w:rPr>
        <w:t>reporting and governance</w:t>
      </w:r>
    </w:p>
    <w:p w14:paraId="36845357" w14:textId="35FC3941" w:rsidR="00CA041B" w:rsidRPr="006E3F10" w:rsidRDefault="00CA041B" w:rsidP="00CA041B">
      <w:pPr>
        <w:rPr>
          <w:lang w:val="en-GB"/>
        </w:rPr>
      </w:pPr>
      <w:r>
        <w:rPr>
          <w:noProof/>
          <w:lang w:val="en-AU" w:eastAsia="en-AU"/>
        </w:rPr>
        <w:lastRenderedPageBreak/>
        <w:drawing>
          <wp:inline distT="0" distB="0" distL="0" distR="0" wp14:anchorId="282D360D" wp14:editId="60EEC9BC">
            <wp:extent cx="3523488" cy="2596896"/>
            <wp:effectExtent l="0" t="0" r="7620" b="0"/>
            <wp:docPr id="1" name="Picture 1" descr="Barring Djinang cover art winning entry “Collaborative Motivation to Employ” by Jade Kennedy." title="Barring Djinang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1">
                      <a:extLst>
                        <a:ext uri="{28A0092B-C50C-407E-A947-70E740481C1C}">
                          <a14:useLocalDpi xmlns:a14="http://schemas.microsoft.com/office/drawing/2010/main" val="0"/>
                        </a:ext>
                      </a:extLst>
                    </a:blip>
                    <a:stretch>
                      <a:fillRect/>
                    </a:stretch>
                  </pic:blipFill>
                  <pic:spPr>
                    <a:xfrm>
                      <a:off x="0" y="0"/>
                      <a:ext cx="3523488" cy="2596896"/>
                    </a:xfrm>
                    <a:prstGeom prst="rect">
                      <a:avLst/>
                    </a:prstGeom>
                  </pic:spPr>
                </pic:pic>
              </a:graphicData>
            </a:graphic>
          </wp:inline>
        </w:drawing>
      </w:r>
    </w:p>
    <w:p w14:paraId="48175BE7" w14:textId="77777777" w:rsidR="006E3F10" w:rsidRPr="006E3F10" w:rsidRDefault="006E3F10" w:rsidP="006D4609">
      <w:pPr>
        <w:pStyle w:val="Heading3"/>
        <w:rPr>
          <w:lang w:val="en-GB"/>
        </w:rPr>
      </w:pPr>
      <w:bookmarkStart w:id="15" w:name="_Toc494111943"/>
      <w:r w:rsidRPr="006E3F10">
        <w:rPr>
          <w:lang w:val="en-GB"/>
        </w:rPr>
        <w:t>e-Recruitment</w:t>
      </w:r>
      <w:bookmarkEnd w:id="15"/>
    </w:p>
    <w:p w14:paraId="432D790C" w14:textId="079FA71C" w:rsidR="006E3F10" w:rsidRPr="006E3F10" w:rsidRDefault="006E3F10" w:rsidP="006E3F10">
      <w:pPr>
        <w:rPr>
          <w:lang w:val="en-GB"/>
        </w:rPr>
      </w:pPr>
      <w:r w:rsidRPr="006E3F10">
        <w:rPr>
          <w:lang w:val="en-GB"/>
        </w:rPr>
        <w:t>VPSC is responsible for the contract management and coordination of the Victoria Government’s eRecruitment system. The eRecruitment system is actively su</w:t>
      </w:r>
      <w:r w:rsidR="00A2469C">
        <w:rPr>
          <w:lang w:val="en-GB"/>
        </w:rPr>
        <w:t xml:space="preserve">pported by all VPS Departments </w:t>
      </w:r>
      <w:r w:rsidRPr="006E3F10">
        <w:rPr>
          <w:lang w:val="en-GB"/>
        </w:rPr>
        <w:t>and Victoria Police and provides a logical end to end pathway from planning through to evaluation. </w:t>
      </w:r>
    </w:p>
    <w:p w14:paraId="4289A0D1" w14:textId="77777777" w:rsidR="006E3F10" w:rsidRPr="006E3F10" w:rsidRDefault="006E3F10" w:rsidP="006E3F10">
      <w:pPr>
        <w:rPr>
          <w:lang w:val="en-GB"/>
        </w:rPr>
      </w:pPr>
      <w:r w:rsidRPr="006E3F10">
        <w:rPr>
          <w:lang w:val="en-GB"/>
        </w:rPr>
        <w:t>Current projects include: </w:t>
      </w:r>
    </w:p>
    <w:p w14:paraId="34EB5B80" w14:textId="77777777" w:rsidR="006E3F10" w:rsidRPr="006E3F10" w:rsidRDefault="006E3F10" w:rsidP="00A2469C">
      <w:pPr>
        <w:pStyle w:val="Heading4"/>
        <w:rPr>
          <w:lang w:val="en-GB"/>
        </w:rPr>
      </w:pPr>
      <w:r w:rsidRPr="006E3F10">
        <w:rPr>
          <w:lang w:val="en-GB"/>
        </w:rPr>
        <w:t>Unconscious bias</w:t>
      </w:r>
    </w:p>
    <w:p w14:paraId="442214B7" w14:textId="64F1ED3A" w:rsidR="006E3F10" w:rsidRPr="006E3F10" w:rsidRDefault="006E3F10" w:rsidP="006E3F10">
      <w:pPr>
        <w:rPr>
          <w:lang w:val="en-GB"/>
        </w:rPr>
      </w:pPr>
      <w:r w:rsidRPr="006E3F10">
        <w:rPr>
          <w:lang w:val="en-GB"/>
        </w:rPr>
        <w:t>VPSC is introducing a modification to the eRecruitment system that wi</w:t>
      </w:r>
      <w:r w:rsidR="00A2469C">
        <w:rPr>
          <w:lang w:val="en-GB"/>
        </w:rPr>
        <w:t xml:space="preserve">ll allow the de-identification </w:t>
      </w:r>
      <w:r w:rsidRPr="006E3F10">
        <w:rPr>
          <w:lang w:val="en-GB"/>
        </w:rPr>
        <w:t>of a candidate’s demographic information during the screening and shortlisting process, such as: </w:t>
      </w:r>
    </w:p>
    <w:p w14:paraId="6A819ACD" w14:textId="77777777" w:rsidR="006E3F10" w:rsidRPr="006E3F10" w:rsidRDefault="006E3F10" w:rsidP="00A2469C">
      <w:pPr>
        <w:pStyle w:val="Bullet"/>
        <w:rPr>
          <w:lang w:val="en-GB"/>
        </w:rPr>
      </w:pPr>
      <w:r w:rsidRPr="006E3F10">
        <w:rPr>
          <w:lang w:val="en-GB"/>
        </w:rPr>
        <w:t>name</w:t>
      </w:r>
    </w:p>
    <w:p w14:paraId="091CA103" w14:textId="77777777" w:rsidR="006E3F10" w:rsidRPr="006E3F10" w:rsidRDefault="006E3F10" w:rsidP="00A2469C">
      <w:pPr>
        <w:pStyle w:val="Bullet"/>
        <w:rPr>
          <w:lang w:val="en-GB"/>
        </w:rPr>
      </w:pPr>
      <w:r w:rsidRPr="006E3F10">
        <w:rPr>
          <w:lang w:val="en-GB"/>
        </w:rPr>
        <w:t>age </w:t>
      </w:r>
    </w:p>
    <w:p w14:paraId="2A59B134" w14:textId="77777777" w:rsidR="006E3F10" w:rsidRPr="006E3F10" w:rsidRDefault="006E3F10" w:rsidP="00A2469C">
      <w:pPr>
        <w:pStyle w:val="Bullet"/>
        <w:rPr>
          <w:lang w:val="en-GB"/>
        </w:rPr>
      </w:pPr>
      <w:r w:rsidRPr="006E3F10">
        <w:rPr>
          <w:lang w:val="en-GB"/>
        </w:rPr>
        <w:t>gender</w:t>
      </w:r>
    </w:p>
    <w:p w14:paraId="4DEFEBCF" w14:textId="77777777" w:rsidR="006E3F10" w:rsidRPr="006E3F10" w:rsidRDefault="006E3F10" w:rsidP="00A2469C">
      <w:pPr>
        <w:pStyle w:val="Bullet"/>
        <w:rPr>
          <w:lang w:val="en-GB"/>
        </w:rPr>
      </w:pPr>
      <w:r w:rsidRPr="006E3F10">
        <w:rPr>
          <w:lang w:val="en-GB"/>
        </w:rPr>
        <w:t>cultural background</w:t>
      </w:r>
    </w:p>
    <w:p w14:paraId="08364ED3" w14:textId="77777777" w:rsidR="006E3F10" w:rsidRPr="006E3F10" w:rsidRDefault="006E3F10" w:rsidP="006E3F10">
      <w:pPr>
        <w:rPr>
          <w:lang w:val="en-GB"/>
        </w:rPr>
      </w:pPr>
      <w:r w:rsidRPr="006E3F10">
        <w:rPr>
          <w:lang w:val="en-GB"/>
        </w:rPr>
        <w:t xml:space="preserve">This initiative supports the Victorian Government’s </w:t>
      </w:r>
      <w:r w:rsidRPr="006E3F10">
        <w:rPr>
          <w:i/>
          <w:iCs/>
          <w:lang w:val="en-GB"/>
        </w:rPr>
        <w:t>Recruit Smarter: A Better Way To Do Business</w:t>
      </w:r>
      <w:r w:rsidRPr="006E3F10">
        <w:rPr>
          <w:lang w:val="en-GB"/>
        </w:rPr>
        <w:t xml:space="preserve"> pilot program, launched in 2016 by the Minister for Multicultural Affairs, Robin Scott MP, which aims to counter any potential bias during recruitment and ensure employers get the best people for the job. </w:t>
      </w:r>
    </w:p>
    <w:p w14:paraId="267ABA56" w14:textId="77777777" w:rsidR="006E3F10" w:rsidRPr="006E3F10" w:rsidRDefault="006E3F10" w:rsidP="00A2469C">
      <w:pPr>
        <w:pStyle w:val="Heading4"/>
        <w:rPr>
          <w:lang w:val="en-GB"/>
        </w:rPr>
      </w:pPr>
      <w:r w:rsidRPr="006E3F10">
        <w:rPr>
          <w:lang w:val="en-GB"/>
        </w:rPr>
        <w:t>eRecruitment enhancements</w:t>
      </w:r>
    </w:p>
    <w:p w14:paraId="4D4B4C3C" w14:textId="57567D33" w:rsidR="006E3F10" w:rsidRPr="006E3F10" w:rsidRDefault="006E3F10" w:rsidP="006E3F10">
      <w:pPr>
        <w:rPr>
          <w:lang w:val="en-GB"/>
        </w:rPr>
      </w:pPr>
      <w:r w:rsidRPr="006E3F10">
        <w:rPr>
          <w:lang w:val="en-GB"/>
        </w:rPr>
        <w:t>The eRecruitment system continues to deliver an efficient and effective process, VPSC has</w:t>
      </w:r>
      <w:r w:rsidR="00A2469C">
        <w:rPr>
          <w:lang w:val="en-GB"/>
        </w:rPr>
        <w:t xml:space="preserve"> initiated </w:t>
      </w:r>
      <w:r w:rsidRPr="006E3F10">
        <w:rPr>
          <w:lang w:val="en-GB"/>
        </w:rPr>
        <w:t>a significant enhancement of the current system. Improvements include a standardisation of key workflow steps across the user base ensuring better measurement of the efficiency of the recruitment and selection process and the redevelopment of the application form. The new form is designed to collate demographic data and to be user-friendly to minimise candidates effort in applying for roles and a dynamic reporting tool to significantly improve data analytics and insights.</w:t>
      </w:r>
    </w:p>
    <w:p w14:paraId="5CB86F37" w14:textId="77777777" w:rsidR="006E3F10" w:rsidRPr="006E3F10" w:rsidRDefault="006E3F10" w:rsidP="00A2469C">
      <w:pPr>
        <w:pStyle w:val="Heading3"/>
        <w:rPr>
          <w:lang w:val="en-GB"/>
        </w:rPr>
      </w:pPr>
      <w:bookmarkStart w:id="16" w:name="_Toc494111944"/>
      <w:r w:rsidRPr="006E3F10">
        <w:rPr>
          <w:lang w:val="en-GB"/>
        </w:rPr>
        <w:t>Government Appointments and Public Entities Data Base</w:t>
      </w:r>
      <w:bookmarkEnd w:id="16"/>
    </w:p>
    <w:p w14:paraId="2A8F6D85" w14:textId="3F2D80B7" w:rsidR="006E3F10" w:rsidRPr="006E3F10" w:rsidRDefault="006E3F10" w:rsidP="006E3F10">
      <w:pPr>
        <w:rPr>
          <w:lang w:val="en-GB"/>
        </w:rPr>
      </w:pPr>
      <w:r w:rsidRPr="006E3F10">
        <w:rPr>
          <w:lang w:val="en-GB"/>
        </w:rPr>
        <w:t>The Government appoints people to over 8,200 official positions in Victor</w:t>
      </w:r>
      <w:r w:rsidR="00A2469C">
        <w:rPr>
          <w:lang w:val="en-GB"/>
        </w:rPr>
        <w:t xml:space="preserve">ia. VPSC manages this database </w:t>
      </w:r>
      <w:r w:rsidRPr="006E3F10">
        <w:rPr>
          <w:lang w:val="en-GB"/>
        </w:rPr>
        <w:t>to record and monitor these appointments and generates reports from the</w:t>
      </w:r>
      <w:r w:rsidR="00A2469C">
        <w:rPr>
          <w:lang w:val="en-GB"/>
        </w:rPr>
        <w:t xml:space="preserve"> database to assist Government </w:t>
      </w:r>
      <w:r w:rsidRPr="006E3F10">
        <w:rPr>
          <w:lang w:val="en-GB"/>
        </w:rPr>
        <w:t>in managing the appointment process. </w:t>
      </w:r>
    </w:p>
    <w:p w14:paraId="5B69474E" w14:textId="77777777" w:rsidR="006E3F10" w:rsidRPr="006E3F10" w:rsidRDefault="006E3F10" w:rsidP="006E3F10">
      <w:pPr>
        <w:rPr>
          <w:lang w:val="en-GB"/>
        </w:rPr>
      </w:pPr>
      <w:r w:rsidRPr="006E3F10">
        <w:rPr>
          <w:lang w:val="en-GB"/>
        </w:rPr>
        <w:t>This includes monthly reporting to Government on vacancies and appointments to measure achievement against the objective that women comprise 50 percent of all appointments to major public boards.</w:t>
      </w:r>
    </w:p>
    <w:p w14:paraId="103FA901" w14:textId="77777777" w:rsidR="006E3F10" w:rsidRPr="006E3F10" w:rsidRDefault="006E3F10" w:rsidP="008C0B07">
      <w:pPr>
        <w:pStyle w:val="Heading3"/>
        <w:rPr>
          <w:lang w:val="en-GB"/>
        </w:rPr>
      </w:pPr>
      <w:bookmarkStart w:id="17" w:name="_Toc494111945"/>
      <w:r w:rsidRPr="006E3F10">
        <w:rPr>
          <w:lang w:val="en-GB"/>
        </w:rPr>
        <w:lastRenderedPageBreak/>
        <w:t>GRADS Program</w:t>
      </w:r>
      <w:bookmarkEnd w:id="17"/>
    </w:p>
    <w:p w14:paraId="75434B6D" w14:textId="67EB42A6" w:rsidR="006E3F10" w:rsidRPr="006E3F10" w:rsidRDefault="006E3F10" w:rsidP="006E3F10">
      <w:pPr>
        <w:rPr>
          <w:lang w:val="en-GB"/>
        </w:rPr>
      </w:pPr>
      <w:r w:rsidRPr="006E3F10">
        <w:rPr>
          <w:lang w:val="en-GB"/>
        </w:rPr>
        <w:t xml:space="preserve">The VPS Graduate Recruitment and Development Scheme (GRADS) </w:t>
      </w:r>
      <w:r w:rsidR="008C0B07">
        <w:rPr>
          <w:lang w:val="en-GB"/>
        </w:rPr>
        <w:t xml:space="preserve">offers work experiences in the </w:t>
      </w:r>
      <w:r w:rsidRPr="006E3F10">
        <w:rPr>
          <w:lang w:val="en-GB"/>
        </w:rPr>
        <w:t>VPS for tertiary graduates. Now in its 34th year, GRADS is ma</w:t>
      </w:r>
      <w:r w:rsidR="008C0B07">
        <w:rPr>
          <w:lang w:val="en-GB"/>
        </w:rPr>
        <w:t xml:space="preserve">naged by VPSC on behalf of VPS </w:t>
      </w:r>
      <w:r w:rsidRPr="006E3F10">
        <w:rPr>
          <w:lang w:val="en-GB"/>
        </w:rPr>
        <w:t>departments and agencies. </w:t>
      </w:r>
    </w:p>
    <w:p w14:paraId="31B17A0D" w14:textId="77777777" w:rsidR="006E3F10" w:rsidRPr="006E3F10" w:rsidRDefault="006E3F10" w:rsidP="006E3F10">
      <w:pPr>
        <w:rPr>
          <w:lang w:val="en-GB"/>
        </w:rPr>
      </w:pPr>
      <w:r w:rsidRPr="006E3F10">
        <w:rPr>
          <w:lang w:val="en-GB"/>
        </w:rPr>
        <w:t>During the 12 month program, graduates rotate through three departments or agencies and learn about working in the public service, lead projects and contribute to a variety of initiatives. </w:t>
      </w:r>
    </w:p>
    <w:p w14:paraId="00A41C78" w14:textId="77777777" w:rsidR="006E3F10" w:rsidRPr="006E3F10" w:rsidRDefault="006E3F10" w:rsidP="006E3F10">
      <w:pPr>
        <w:rPr>
          <w:lang w:val="en-GB"/>
        </w:rPr>
      </w:pPr>
      <w:r w:rsidRPr="006E3F10">
        <w:rPr>
          <w:lang w:val="en-GB"/>
        </w:rPr>
        <w:t>The 2017 program sees 98 graduates placed, the breakdown is represented below: </w:t>
      </w:r>
    </w:p>
    <w:tbl>
      <w:tblPr>
        <w:tblStyle w:val="TableGrid"/>
        <w:tblW w:w="0" w:type="auto"/>
        <w:tblLook w:val="04A0" w:firstRow="1" w:lastRow="0" w:firstColumn="1" w:lastColumn="0" w:noHBand="0" w:noVBand="1"/>
      </w:tblPr>
      <w:tblGrid>
        <w:gridCol w:w="1564"/>
        <w:gridCol w:w="1916"/>
      </w:tblGrid>
      <w:tr w:rsidR="006E3F10" w:rsidRPr="006E3F10" w14:paraId="25999A3D" w14:textId="77777777" w:rsidTr="008C0B07">
        <w:tc>
          <w:tcPr>
            <w:tcW w:w="0" w:type="auto"/>
            <w:hideMark/>
          </w:tcPr>
          <w:p w14:paraId="32E4CF9B" w14:textId="77777777" w:rsidR="006E3F10" w:rsidRPr="006E3F10" w:rsidRDefault="006E3F10" w:rsidP="00817D32">
            <w:pPr>
              <w:pStyle w:val="TableHeading"/>
              <w:rPr>
                <w:lang w:val="en-GB"/>
              </w:rPr>
            </w:pPr>
            <w:r w:rsidRPr="006E3F10">
              <w:rPr>
                <w:lang w:val="en-GB"/>
              </w:rPr>
              <w:t>Candidates </w:t>
            </w:r>
          </w:p>
        </w:tc>
        <w:tc>
          <w:tcPr>
            <w:tcW w:w="0" w:type="auto"/>
            <w:hideMark/>
          </w:tcPr>
          <w:p w14:paraId="0EFD4701" w14:textId="77777777" w:rsidR="006E3F10" w:rsidRPr="006E3F10" w:rsidRDefault="006E3F10" w:rsidP="00817D32">
            <w:pPr>
              <w:pStyle w:val="TableHeading"/>
              <w:rPr>
                <w:lang w:val="en-GB"/>
              </w:rPr>
            </w:pPr>
            <w:r w:rsidRPr="006E3F10">
              <w:rPr>
                <w:lang w:val="en-GB"/>
              </w:rPr>
              <w:t>Candidates placed</w:t>
            </w:r>
          </w:p>
        </w:tc>
      </w:tr>
      <w:tr w:rsidR="006E3F10" w:rsidRPr="006E3F10" w14:paraId="797C171B" w14:textId="77777777" w:rsidTr="008C0B07">
        <w:tc>
          <w:tcPr>
            <w:tcW w:w="0" w:type="auto"/>
            <w:hideMark/>
          </w:tcPr>
          <w:p w14:paraId="10BEE015" w14:textId="77777777" w:rsidR="006E3F10" w:rsidRPr="006E3F10" w:rsidRDefault="006E3F10" w:rsidP="00817D32">
            <w:pPr>
              <w:pStyle w:val="TableCopy"/>
              <w:rPr>
                <w:lang w:val="en-GB"/>
              </w:rPr>
            </w:pPr>
            <w:r w:rsidRPr="006E3F10">
              <w:rPr>
                <w:lang w:val="en-GB"/>
              </w:rPr>
              <w:t>Male</w:t>
            </w:r>
          </w:p>
        </w:tc>
        <w:tc>
          <w:tcPr>
            <w:tcW w:w="0" w:type="auto"/>
            <w:hideMark/>
          </w:tcPr>
          <w:p w14:paraId="05A72D28" w14:textId="77777777" w:rsidR="006E3F10" w:rsidRPr="006E3F10" w:rsidRDefault="006E3F10" w:rsidP="00817D32">
            <w:pPr>
              <w:pStyle w:val="TableCopy"/>
              <w:rPr>
                <w:lang w:val="en-GB"/>
              </w:rPr>
            </w:pPr>
            <w:r w:rsidRPr="006E3F10">
              <w:rPr>
                <w:lang w:val="en-GB"/>
              </w:rPr>
              <w:t>50</w:t>
            </w:r>
          </w:p>
        </w:tc>
      </w:tr>
      <w:tr w:rsidR="006E3F10" w:rsidRPr="006E3F10" w14:paraId="1D7F0B53" w14:textId="77777777" w:rsidTr="008C0B07">
        <w:tc>
          <w:tcPr>
            <w:tcW w:w="0" w:type="auto"/>
            <w:hideMark/>
          </w:tcPr>
          <w:p w14:paraId="288F5884" w14:textId="77777777" w:rsidR="006E3F10" w:rsidRPr="006E3F10" w:rsidRDefault="006E3F10" w:rsidP="00817D32">
            <w:pPr>
              <w:pStyle w:val="TableCopy"/>
              <w:rPr>
                <w:lang w:val="en-GB"/>
              </w:rPr>
            </w:pPr>
            <w:r w:rsidRPr="006E3F10">
              <w:rPr>
                <w:lang w:val="en-GB"/>
              </w:rPr>
              <w:t>Female</w:t>
            </w:r>
          </w:p>
        </w:tc>
        <w:tc>
          <w:tcPr>
            <w:tcW w:w="0" w:type="auto"/>
            <w:hideMark/>
          </w:tcPr>
          <w:p w14:paraId="1E4378D3" w14:textId="77777777" w:rsidR="006E3F10" w:rsidRPr="006E3F10" w:rsidRDefault="006E3F10" w:rsidP="00817D32">
            <w:pPr>
              <w:pStyle w:val="TableCopy"/>
              <w:rPr>
                <w:lang w:val="en-GB"/>
              </w:rPr>
            </w:pPr>
            <w:r w:rsidRPr="006E3F10">
              <w:rPr>
                <w:lang w:val="en-GB"/>
              </w:rPr>
              <w:t>47</w:t>
            </w:r>
          </w:p>
        </w:tc>
      </w:tr>
      <w:tr w:rsidR="006E3F10" w:rsidRPr="006E3F10" w14:paraId="4AD36012" w14:textId="77777777" w:rsidTr="008C0B07">
        <w:tc>
          <w:tcPr>
            <w:tcW w:w="0" w:type="auto"/>
            <w:hideMark/>
          </w:tcPr>
          <w:p w14:paraId="2DE22C5F" w14:textId="77777777" w:rsidR="006E3F10" w:rsidRPr="006E3F10" w:rsidRDefault="006E3F10" w:rsidP="00817D32">
            <w:pPr>
              <w:pStyle w:val="TableCopy"/>
              <w:rPr>
                <w:lang w:val="en-GB"/>
              </w:rPr>
            </w:pPr>
            <w:r w:rsidRPr="006E3F10">
              <w:rPr>
                <w:lang w:val="en-GB"/>
              </w:rPr>
              <w:t>Other</w:t>
            </w:r>
          </w:p>
        </w:tc>
        <w:tc>
          <w:tcPr>
            <w:tcW w:w="0" w:type="auto"/>
            <w:hideMark/>
          </w:tcPr>
          <w:p w14:paraId="58CCFB59" w14:textId="77777777" w:rsidR="006E3F10" w:rsidRPr="006E3F10" w:rsidRDefault="006E3F10" w:rsidP="00817D32">
            <w:pPr>
              <w:pStyle w:val="TableCopy"/>
              <w:rPr>
                <w:lang w:val="en-GB"/>
              </w:rPr>
            </w:pPr>
            <w:r w:rsidRPr="006E3F10">
              <w:rPr>
                <w:lang w:val="en-GB"/>
              </w:rPr>
              <w:t>1</w:t>
            </w:r>
          </w:p>
        </w:tc>
      </w:tr>
      <w:tr w:rsidR="006E3F10" w:rsidRPr="006E3F10" w14:paraId="178039E5" w14:textId="77777777" w:rsidTr="008C0B07">
        <w:tc>
          <w:tcPr>
            <w:tcW w:w="0" w:type="auto"/>
            <w:hideMark/>
          </w:tcPr>
          <w:p w14:paraId="2A196B1B" w14:textId="77777777" w:rsidR="006E3F10" w:rsidRPr="006E3F10" w:rsidRDefault="006E3F10" w:rsidP="00817D32">
            <w:pPr>
              <w:pStyle w:val="TableCopy"/>
              <w:rPr>
                <w:lang w:val="en-GB"/>
              </w:rPr>
            </w:pPr>
            <w:r w:rsidRPr="006E3F10">
              <w:rPr>
                <w:lang w:val="en-GB"/>
              </w:rPr>
              <w:t>Did not disclose</w:t>
            </w:r>
          </w:p>
        </w:tc>
        <w:tc>
          <w:tcPr>
            <w:tcW w:w="0" w:type="auto"/>
            <w:hideMark/>
          </w:tcPr>
          <w:p w14:paraId="2C2EB91C" w14:textId="77777777" w:rsidR="006E3F10" w:rsidRPr="006E3F10" w:rsidRDefault="006E3F10" w:rsidP="00817D32">
            <w:pPr>
              <w:pStyle w:val="TableCopy"/>
              <w:rPr>
                <w:lang w:val="en-GB"/>
              </w:rPr>
            </w:pPr>
            <w:r w:rsidRPr="006E3F10">
              <w:rPr>
                <w:lang w:val="en-GB"/>
              </w:rPr>
              <w:t>0</w:t>
            </w:r>
          </w:p>
        </w:tc>
      </w:tr>
      <w:tr w:rsidR="006E3F10" w:rsidRPr="006E3F10" w14:paraId="7EA01564" w14:textId="77777777" w:rsidTr="008C0B07">
        <w:tc>
          <w:tcPr>
            <w:tcW w:w="0" w:type="auto"/>
            <w:hideMark/>
          </w:tcPr>
          <w:p w14:paraId="2D39CE0D" w14:textId="77777777" w:rsidR="006E3F10" w:rsidRPr="001932DB" w:rsidRDefault="006E3F10" w:rsidP="00817D32">
            <w:pPr>
              <w:pStyle w:val="TableCopy"/>
              <w:rPr>
                <w:b/>
                <w:lang w:val="en-GB"/>
              </w:rPr>
            </w:pPr>
            <w:r w:rsidRPr="001932DB">
              <w:rPr>
                <w:b/>
                <w:lang w:val="en-GB"/>
              </w:rPr>
              <w:t>Total</w:t>
            </w:r>
          </w:p>
        </w:tc>
        <w:tc>
          <w:tcPr>
            <w:tcW w:w="0" w:type="auto"/>
            <w:hideMark/>
          </w:tcPr>
          <w:p w14:paraId="1DA2839E" w14:textId="77777777" w:rsidR="006E3F10" w:rsidRPr="001932DB" w:rsidRDefault="006E3F10" w:rsidP="00817D32">
            <w:pPr>
              <w:pStyle w:val="TableCopy"/>
              <w:rPr>
                <w:b/>
                <w:lang w:val="en-GB"/>
              </w:rPr>
            </w:pPr>
            <w:r w:rsidRPr="001932DB">
              <w:rPr>
                <w:b/>
                <w:lang w:val="en-GB"/>
              </w:rPr>
              <w:t>98</w:t>
            </w:r>
          </w:p>
        </w:tc>
      </w:tr>
    </w:tbl>
    <w:p w14:paraId="63ED84AB" w14:textId="7C5DC264" w:rsidR="006E3F10" w:rsidRPr="008C0B07" w:rsidRDefault="006E3F10" w:rsidP="008C0B07">
      <w:pPr>
        <w:rPr>
          <w:lang w:val="en-GB"/>
        </w:rPr>
      </w:pPr>
      <w:r w:rsidRPr="008C0B07">
        <w:rPr>
          <w:lang w:val="en-GB"/>
        </w:rPr>
        <w:t>VPSC commenced a comprehensive review of GRADS program during</w:t>
      </w:r>
      <w:r w:rsidR="008C0B07">
        <w:rPr>
          <w:lang w:val="en-GB"/>
        </w:rPr>
        <w:t xml:space="preserve"> the 2016-17 year. The purpose </w:t>
      </w:r>
      <w:r w:rsidRPr="008C0B07">
        <w:rPr>
          <w:lang w:val="en-GB"/>
        </w:rPr>
        <w:t>of the review is to identify opportunities for improvement and ensure we continue to provide a contemporary, exciting program for many years to come.</w:t>
      </w:r>
    </w:p>
    <w:p w14:paraId="2A0782DE" w14:textId="77777777" w:rsidR="006E3F10" w:rsidRPr="006E3F10" w:rsidRDefault="006E3F10" w:rsidP="006E3F10">
      <w:pPr>
        <w:rPr>
          <w:lang w:val="en-GB"/>
        </w:rPr>
      </w:pPr>
      <w:r w:rsidRPr="006E3F10">
        <w:rPr>
          <w:lang w:val="en-GB"/>
        </w:rPr>
        <w:t>The review will include a detailed examination of the practical aspects of the program, including:</w:t>
      </w:r>
    </w:p>
    <w:p w14:paraId="7D3443F4" w14:textId="77777777" w:rsidR="006E3F10" w:rsidRPr="006E3F10" w:rsidRDefault="006E3F10" w:rsidP="008C0B07">
      <w:pPr>
        <w:pStyle w:val="Bullet"/>
        <w:rPr>
          <w:lang w:val="en-GB"/>
        </w:rPr>
      </w:pPr>
      <w:r w:rsidRPr="006E3F10">
        <w:rPr>
          <w:lang w:val="en-GB"/>
        </w:rPr>
        <w:t>attraction and recruitment</w:t>
      </w:r>
    </w:p>
    <w:p w14:paraId="591FE884" w14:textId="77777777" w:rsidR="006E3F10" w:rsidRPr="006E3F10" w:rsidRDefault="006E3F10" w:rsidP="008C0B07">
      <w:pPr>
        <w:pStyle w:val="Bullet"/>
        <w:rPr>
          <w:lang w:val="en-GB"/>
        </w:rPr>
      </w:pPr>
      <w:r w:rsidRPr="006E3F10">
        <w:rPr>
          <w:lang w:val="en-GB"/>
        </w:rPr>
        <w:t>selection</w:t>
      </w:r>
    </w:p>
    <w:p w14:paraId="3827F9FA" w14:textId="77777777" w:rsidR="006E3F10" w:rsidRPr="006E3F10" w:rsidRDefault="006E3F10" w:rsidP="008C0B07">
      <w:pPr>
        <w:pStyle w:val="Bullet"/>
        <w:rPr>
          <w:lang w:val="en-GB"/>
        </w:rPr>
      </w:pPr>
      <w:r w:rsidRPr="006E3F10">
        <w:rPr>
          <w:lang w:val="en-GB"/>
        </w:rPr>
        <w:t>on-boarding</w:t>
      </w:r>
    </w:p>
    <w:p w14:paraId="70ADC67B" w14:textId="77777777" w:rsidR="006E3F10" w:rsidRPr="006E3F10" w:rsidRDefault="006E3F10" w:rsidP="008C0B07">
      <w:pPr>
        <w:pStyle w:val="Bullet"/>
        <w:rPr>
          <w:lang w:val="en-GB"/>
        </w:rPr>
      </w:pPr>
      <w:r w:rsidRPr="006E3F10">
        <w:rPr>
          <w:lang w:val="en-GB"/>
        </w:rPr>
        <w:t>induction, performance</w:t>
      </w:r>
    </w:p>
    <w:p w14:paraId="55A454A5" w14:textId="77777777" w:rsidR="006E3F10" w:rsidRPr="006E3F10" w:rsidRDefault="006E3F10" w:rsidP="008C0B07">
      <w:pPr>
        <w:pStyle w:val="Bullet"/>
        <w:rPr>
          <w:lang w:val="en-GB"/>
        </w:rPr>
      </w:pPr>
      <w:r w:rsidRPr="006E3F10">
        <w:rPr>
          <w:lang w:val="en-GB"/>
        </w:rPr>
        <w:t>learning and development</w:t>
      </w:r>
    </w:p>
    <w:p w14:paraId="1C501071" w14:textId="77777777" w:rsidR="006E3F10" w:rsidRPr="006E3F10" w:rsidRDefault="006E3F10" w:rsidP="008C0B07">
      <w:pPr>
        <w:pStyle w:val="Bullet"/>
        <w:rPr>
          <w:lang w:val="en-GB"/>
        </w:rPr>
      </w:pPr>
      <w:r w:rsidRPr="006E3F10">
        <w:rPr>
          <w:lang w:val="en-GB"/>
        </w:rPr>
        <w:t>culture</w:t>
      </w:r>
    </w:p>
    <w:p w14:paraId="46937200" w14:textId="77777777" w:rsidR="006E3F10" w:rsidRPr="006E3F10" w:rsidRDefault="006E3F10" w:rsidP="008C0B07">
      <w:pPr>
        <w:pStyle w:val="Bullet"/>
        <w:rPr>
          <w:lang w:val="en-GB"/>
        </w:rPr>
      </w:pPr>
      <w:r w:rsidRPr="006E3F10">
        <w:rPr>
          <w:lang w:val="en-GB"/>
        </w:rPr>
        <w:t>graduation </w:t>
      </w:r>
    </w:p>
    <w:p w14:paraId="2189579F" w14:textId="77777777" w:rsidR="006E3F10" w:rsidRPr="006E3F10" w:rsidRDefault="006E3F10" w:rsidP="008C0B07">
      <w:pPr>
        <w:pStyle w:val="Bullet"/>
        <w:rPr>
          <w:lang w:val="en-GB"/>
        </w:rPr>
      </w:pPr>
      <w:r w:rsidRPr="006E3F10">
        <w:rPr>
          <w:lang w:val="en-GB"/>
        </w:rPr>
        <w:t>career pathways</w:t>
      </w:r>
    </w:p>
    <w:p w14:paraId="2CF33EA3" w14:textId="529E05C0" w:rsidR="006E3F10" w:rsidRPr="006E3F10" w:rsidRDefault="006E3F10" w:rsidP="006E3F10">
      <w:pPr>
        <w:rPr>
          <w:lang w:val="en-GB"/>
        </w:rPr>
      </w:pPr>
      <w:r w:rsidRPr="006E3F10">
        <w:rPr>
          <w:lang w:val="en-GB"/>
        </w:rPr>
        <w:t>This will lead to evidence-based recommendations, designed to initiate po</w:t>
      </w:r>
      <w:r w:rsidR="008C0B07">
        <w:rPr>
          <w:lang w:val="en-GB"/>
        </w:rPr>
        <w:t xml:space="preserve">sitive changes to the program. </w:t>
      </w:r>
      <w:r w:rsidRPr="006E3F10">
        <w:rPr>
          <w:lang w:val="en-GB"/>
        </w:rPr>
        <w:t>A report detailing findings of the review and recommendations will</w:t>
      </w:r>
      <w:r w:rsidR="008C0B07">
        <w:rPr>
          <w:lang w:val="en-GB"/>
        </w:rPr>
        <w:t xml:space="preserve"> be developed for consultation </w:t>
      </w:r>
      <w:r w:rsidRPr="006E3F10">
        <w:rPr>
          <w:lang w:val="en-GB"/>
        </w:rPr>
        <w:t>with key stakeholders in 2017-18.</w:t>
      </w:r>
    </w:p>
    <w:p w14:paraId="0AB6BED2" w14:textId="77777777" w:rsidR="006E3F10" w:rsidRPr="006E3F10" w:rsidRDefault="006E3F10" w:rsidP="008C0B07">
      <w:pPr>
        <w:pStyle w:val="Heading3"/>
        <w:rPr>
          <w:lang w:val="en-GB"/>
        </w:rPr>
      </w:pPr>
      <w:bookmarkStart w:id="18" w:name="_Toc494111946"/>
      <w:r w:rsidRPr="006E3F10">
        <w:rPr>
          <w:lang w:val="en-GB"/>
        </w:rPr>
        <w:t>Capability Framework</w:t>
      </w:r>
      <w:bookmarkEnd w:id="18"/>
    </w:p>
    <w:p w14:paraId="1FC33C55" w14:textId="7B8D394C" w:rsidR="006E3F10" w:rsidRPr="006E3F10" w:rsidRDefault="006E3F10" w:rsidP="006E3F10">
      <w:pPr>
        <w:rPr>
          <w:lang w:val="en-GB"/>
        </w:rPr>
      </w:pPr>
      <w:r w:rsidRPr="006E3F10">
        <w:rPr>
          <w:lang w:val="en-GB"/>
        </w:rPr>
        <w:t>Work commenced in 2017 to revise the VPS capability framework and a</w:t>
      </w:r>
      <w:r w:rsidR="0001726D">
        <w:rPr>
          <w:lang w:val="en-GB"/>
        </w:rPr>
        <w:t xml:space="preserve">ssociated tools for use across </w:t>
      </w:r>
      <w:r w:rsidRPr="006E3F10">
        <w:rPr>
          <w:lang w:val="en-GB"/>
        </w:rPr>
        <w:t>the service. A project is currently underway to identify the current state across each department and investigate leading practice in capability frameworks, locally, inter-jurisdictionally and internationally. </w:t>
      </w:r>
    </w:p>
    <w:p w14:paraId="13D8A65A" w14:textId="77777777" w:rsidR="006E3F10" w:rsidRPr="006E3F10" w:rsidRDefault="006E3F10" w:rsidP="0001726D">
      <w:pPr>
        <w:pStyle w:val="Heading3"/>
        <w:rPr>
          <w:lang w:val="en-GB"/>
        </w:rPr>
      </w:pPr>
      <w:bookmarkStart w:id="19" w:name="_Toc494111947"/>
      <w:r w:rsidRPr="006E3F10">
        <w:rPr>
          <w:lang w:val="en-GB"/>
        </w:rPr>
        <w:t>Flexible Work Policy</w:t>
      </w:r>
      <w:bookmarkEnd w:id="19"/>
      <w:r w:rsidRPr="006E3F10">
        <w:rPr>
          <w:lang w:val="en-GB"/>
        </w:rPr>
        <w:t> </w:t>
      </w:r>
    </w:p>
    <w:p w14:paraId="79728104" w14:textId="5BB6CC12" w:rsidR="006E3F10" w:rsidRPr="006E3F10" w:rsidRDefault="006E3F10" w:rsidP="006E3F10">
      <w:pPr>
        <w:rPr>
          <w:lang w:val="en-GB"/>
        </w:rPr>
      </w:pPr>
      <w:r w:rsidRPr="006E3F10">
        <w:rPr>
          <w:lang w:val="en-GB"/>
        </w:rPr>
        <w:t>In September 2016, the Victorian Secretaries Board committed to ‘All</w:t>
      </w:r>
      <w:r w:rsidR="0001726D">
        <w:rPr>
          <w:lang w:val="en-GB"/>
        </w:rPr>
        <w:t xml:space="preserve"> Roles Flex’, a recommendation </w:t>
      </w:r>
      <w:r w:rsidRPr="006E3F10">
        <w:rPr>
          <w:lang w:val="en-GB"/>
        </w:rPr>
        <w:t>that provides for mainstream implementation of flexible working arrangements across the VPS. </w:t>
      </w:r>
    </w:p>
    <w:p w14:paraId="38CC6ABE" w14:textId="3356D59B" w:rsidR="006E3F10" w:rsidRPr="006E3F10" w:rsidRDefault="006E3F10" w:rsidP="006E3F10">
      <w:pPr>
        <w:rPr>
          <w:lang w:val="en-GB"/>
        </w:rPr>
      </w:pPr>
      <w:r w:rsidRPr="006E3F10">
        <w:rPr>
          <w:lang w:val="en-GB"/>
        </w:rPr>
        <w:t>VPSC created an implementation toolkit and a guiding principles docum</w:t>
      </w:r>
      <w:r w:rsidR="0001726D">
        <w:rPr>
          <w:lang w:val="en-GB"/>
        </w:rPr>
        <w:t xml:space="preserve">ent to help agencies implement </w:t>
      </w:r>
      <w:r w:rsidRPr="006E3F10">
        <w:rPr>
          <w:lang w:val="en-GB"/>
        </w:rPr>
        <w:t>the initiative, which have been approved by all Departments, the Com</w:t>
      </w:r>
      <w:r w:rsidR="0001726D">
        <w:rPr>
          <w:lang w:val="en-GB"/>
        </w:rPr>
        <w:t xml:space="preserve">munity and Public Sector Union </w:t>
      </w:r>
      <w:r w:rsidRPr="006E3F10">
        <w:rPr>
          <w:lang w:val="en-GB"/>
        </w:rPr>
        <w:t>and Industrial Relations Victoria. </w:t>
      </w:r>
    </w:p>
    <w:p w14:paraId="1527D145" w14:textId="77777777" w:rsidR="006E3F10" w:rsidRPr="006E3F10" w:rsidRDefault="006E3F10" w:rsidP="006E3F10">
      <w:pPr>
        <w:rPr>
          <w:lang w:val="en-GB"/>
        </w:rPr>
      </w:pPr>
      <w:r w:rsidRPr="006E3F10">
        <w:rPr>
          <w:lang w:val="en-GB"/>
        </w:rPr>
        <w:t>The documents are intentionally streamlined to work in concert with department policies regarding flexible work given differentiating factors including business, environment and organisation maturity. </w:t>
      </w:r>
    </w:p>
    <w:p w14:paraId="3393FA2A" w14:textId="77777777" w:rsidR="006E3F10" w:rsidRPr="006E3F10" w:rsidRDefault="006E3F10" w:rsidP="0001726D">
      <w:pPr>
        <w:pStyle w:val="Heading3"/>
        <w:rPr>
          <w:lang w:val="en-GB"/>
        </w:rPr>
      </w:pPr>
      <w:bookmarkStart w:id="20" w:name="_Toc494111948"/>
      <w:r w:rsidRPr="006E3F10">
        <w:rPr>
          <w:lang w:val="en-GB"/>
        </w:rPr>
        <w:lastRenderedPageBreak/>
        <w:t>Anti-bullying Reform Agenda</w:t>
      </w:r>
      <w:bookmarkEnd w:id="20"/>
    </w:p>
    <w:p w14:paraId="4EF0FCA4" w14:textId="275A8711" w:rsidR="006E3F10" w:rsidRPr="006E3F10" w:rsidRDefault="006E3F10" w:rsidP="006E3F10">
      <w:pPr>
        <w:rPr>
          <w:lang w:val="en-GB"/>
        </w:rPr>
      </w:pPr>
      <w:r w:rsidRPr="006E3F10">
        <w:rPr>
          <w:lang w:val="en-GB"/>
        </w:rPr>
        <w:t>VPSC’s legislative mandate is to strengthen the efficiency, effectiveness and capability of the VPS. Workplace bullying significantly impedes the achievement of these o</w:t>
      </w:r>
      <w:r w:rsidR="0001726D">
        <w:rPr>
          <w:lang w:val="en-GB"/>
        </w:rPr>
        <w:t xml:space="preserve">bjectives, and more generally, </w:t>
      </w:r>
      <w:r w:rsidRPr="006E3F10">
        <w:rPr>
          <w:lang w:val="en-GB"/>
        </w:rPr>
        <w:t>the development of high performing agencies and employees. </w:t>
      </w:r>
    </w:p>
    <w:p w14:paraId="0E190230" w14:textId="65F0170E" w:rsidR="006E3F10" w:rsidRPr="006E3F10" w:rsidRDefault="006E3F10" w:rsidP="006E3F10">
      <w:pPr>
        <w:rPr>
          <w:lang w:val="en-GB"/>
        </w:rPr>
      </w:pPr>
      <w:r w:rsidRPr="006E3F10">
        <w:rPr>
          <w:lang w:val="en-GB"/>
        </w:rPr>
        <w:t>During 2016-17, VPSC undertook a suite of activities to gain insight int</w:t>
      </w:r>
      <w:r w:rsidR="0001726D">
        <w:rPr>
          <w:lang w:val="en-GB"/>
        </w:rPr>
        <w:t xml:space="preserve">o bullying behaviours in order </w:t>
      </w:r>
      <w:r w:rsidRPr="006E3F10">
        <w:rPr>
          <w:lang w:val="en-GB"/>
        </w:rPr>
        <w:t>to better assist public sector agencies in addressing and preventing these behaviours. This work included undertaking research to better understand the costs of bullying and add</w:t>
      </w:r>
      <w:r w:rsidR="0001726D">
        <w:rPr>
          <w:lang w:val="en-GB"/>
        </w:rPr>
        <w:t xml:space="preserve">itional research on approaches </w:t>
      </w:r>
      <w:r w:rsidRPr="006E3F10">
        <w:rPr>
          <w:lang w:val="en-GB"/>
        </w:rPr>
        <w:t>to bullying employed by public sector organisations.</w:t>
      </w:r>
    </w:p>
    <w:p w14:paraId="7075A069" w14:textId="160B1FC8" w:rsidR="006E3F10" w:rsidRPr="006E3F10" w:rsidRDefault="006E3F10" w:rsidP="006E3F10">
      <w:pPr>
        <w:rPr>
          <w:lang w:val="en-GB"/>
        </w:rPr>
      </w:pPr>
      <w:r w:rsidRPr="006E3F10">
        <w:rPr>
          <w:lang w:val="en-GB"/>
        </w:rPr>
        <w:t>VPSC consulted with chief executives, human resource directors and sta</w:t>
      </w:r>
      <w:r w:rsidR="0001726D">
        <w:rPr>
          <w:lang w:val="en-GB"/>
        </w:rPr>
        <w:t xml:space="preserve">ff in five organisations where </w:t>
      </w:r>
      <w:r w:rsidRPr="006E3F10">
        <w:rPr>
          <w:lang w:val="en-GB"/>
        </w:rPr>
        <w:t>People Matter Survey results demonstrated a significant reduction in emp</w:t>
      </w:r>
      <w:r w:rsidR="0001726D">
        <w:rPr>
          <w:lang w:val="en-GB"/>
        </w:rPr>
        <w:t xml:space="preserve">loyee perceptions of bullying. </w:t>
      </w:r>
      <w:r w:rsidRPr="006E3F10">
        <w:rPr>
          <w:lang w:val="en-GB"/>
        </w:rPr>
        <w:t>The project aimed to better understand the reasons for high rates of em</w:t>
      </w:r>
      <w:r w:rsidR="0001726D">
        <w:rPr>
          <w:lang w:val="en-GB"/>
        </w:rPr>
        <w:t xml:space="preserve">ployee perceptions of bullying </w:t>
      </w:r>
      <w:r w:rsidRPr="006E3F10">
        <w:rPr>
          <w:lang w:val="en-GB"/>
        </w:rPr>
        <w:t>in the past, and the actions that led to a reduction in workplace bullying in 2016.</w:t>
      </w:r>
    </w:p>
    <w:p w14:paraId="6B97C617" w14:textId="7767BE1D" w:rsidR="006E3F10" w:rsidRPr="006E3F10" w:rsidRDefault="006E3F10" w:rsidP="006E3F10">
      <w:pPr>
        <w:rPr>
          <w:lang w:val="en-GB"/>
        </w:rPr>
      </w:pPr>
      <w:r w:rsidRPr="006E3F10">
        <w:rPr>
          <w:lang w:val="en-GB"/>
        </w:rPr>
        <w:t>In April 2017, VPSC released findings from this research in order to provi</w:t>
      </w:r>
      <w:r w:rsidR="0001726D">
        <w:rPr>
          <w:lang w:val="en-GB"/>
        </w:rPr>
        <w:t xml:space="preserve">de organisations with insights </w:t>
      </w:r>
      <w:r w:rsidRPr="006E3F10">
        <w:rPr>
          <w:lang w:val="en-GB"/>
        </w:rPr>
        <w:t>on strategies that have successfully worked to prevent or mitigate bullying in VPS organisations.</w:t>
      </w:r>
    </w:p>
    <w:p w14:paraId="38975A90" w14:textId="77777777" w:rsidR="006E3F10" w:rsidRPr="006E3F10" w:rsidRDefault="006E3F10" w:rsidP="0001726D">
      <w:pPr>
        <w:pStyle w:val="Heading3"/>
        <w:rPr>
          <w:lang w:val="en-GB"/>
        </w:rPr>
      </w:pPr>
      <w:bookmarkStart w:id="21" w:name="_Toc494111949"/>
      <w:r w:rsidRPr="006E3F10">
        <w:rPr>
          <w:lang w:val="en-GB"/>
        </w:rPr>
        <w:t>Economic Participation Strategy Recommendations</w:t>
      </w:r>
      <w:bookmarkEnd w:id="21"/>
    </w:p>
    <w:p w14:paraId="217A2A0B" w14:textId="194F57BA" w:rsidR="006E3F10" w:rsidRPr="006E3F10" w:rsidRDefault="006E3F10" w:rsidP="006E3F10">
      <w:pPr>
        <w:rPr>
          <w:lang w:val="en-GB"/>
        </w:rPr>
      </w:pPr>
      <w:r w:rsidRPr="006E3F10">
        <w:rPr>
          <w:lang w:val="en-GB"/>
        </w:rPr>
        <w:t>The Office of Disability engaged VPSC to provide recommendations to the Economic Participation Strategy regarding enhancing the flexible and sustainable employment of peop</w:t>
      </w:r>
      <w:r w:rsidR="0001726D">
        <w:rPr>
          <w:lang w:val="en-GB"/>
        </w:rPr>
        <w:t xml:space="preserve">le with disability in the VPS, </w:t>
      </w:r>
      <w:r w:rsidRPr="006E3F10">
        <w:rPr>
          <w:lang w:val="en-GB"/>
        </w:rPr>
        <w:t xml:space="preserve">a commitment made as part of </w:t>
      </w:r>
      <w:r w:rsidRPr="006E3F10">
        <w:rPr>
          <w:i/>
          <w:iCs/>
          <w:lang w:val="en-GB"/>
        </w:rPr>
        <w:t>Absolutely Everyone: State Disability Plan 2017-2020</w:t>
      </w:r>
      <w:r w:rsidRPr="006E3F10">
        <w:rPr>
          <w:lang w:val="en-GB"/>
        </w:rPr>
        <w:t>. </w:t>
      </w:r>
    </w:p>
    <w:p w14:paraId="66ABB8C4" w14:textId="5C57B9D1" w:rsidR="006E3F10" w:rsidRPr="006E3F10" w:rsidRDefault="006E3F10" w:rsidP="006E3F10">
      <w:pPr>
        <w:rPr>
          <w:lang w:val="en-GB"/>
        </w:rPr>
      </w:pPr>
      <w:r w:rsidRPr="006E3F10">
        <w:rPr>
          <w:lang w:val="en-GB"/>
        </w:rPr>
        <w:t xml:space="preserve">VPSC provided recommendations to the Office of Disability in </w:t>
      </w:r>
      <w:r w:rsidR="0001726D">
        <w:rPr>
          <w:lang w:val="en-GB"/>
        </w:rPr>
        <w:t xml:space="preserve">June 2017. The recommendations </w:t>
      </w:r>
      <w:r w:rsidRPr="006E3F10">
        <w:rPr>
          <w:lang w:val="en-GB"/>
        </w:rPr>
        <w:t>are designed around a model for flexible and sustainable employm</w:t>
      </w:r>
      <w:r w:rsidR="0001726D">
        <w:rPr>
          <w:lang w:val="en-GB"/>
        </w:rPr>
        <w:t xml:space="preserve">ent and underpinned by a cycle </w:t>
      </w:r>
      <w:r w:rsidRPr="006E3F10">
        <w:rPr>
          <w:lang w:val="en-GB"/>
        </w:rPr>
        <w:t>of awareness and cultural change, aiming not only to attract people with disability to work for Victorian Government, but support, develop and progress people with disability in their careers within the VPS. </w:t>
      </w:r>
    </w:p>
    <w:p w14:paraId="6E2CAF20" w14:textId="544F2DE6" w:rsidR="006E3F10" w:rsidRPr="006E3F10" w:rsidRDefault="006E3F10" w:rsidP="0001726D">
      <w:pPr>
        <w:pStyle w:val="Heading2"/>
        <w:rPr>
          <w:lang w:val="en-GB"/>
        </w:rPr>
      </w:pPr>
      <w:bookmarkStart w:id="22" w:name="_Toc494111950"/>
      <w:r w:rsidRPr="006E3F10">
        <w:rPr>
          <w:lang w:val="en-GB"/>
        </w:rPr>
        <w:t>Maintain and advocate for</w:t>
      </w:r>
      <w:r w:rsidR="0001726D">
        <w:rPr>
          <w:lang w:val="en-GB"/>
        </w:rPr>
        <w:t xml:space="preserve"> public sector professionalism </w:t>
      </w:r>
      <w:r w:rsidRPr="006E3F10">
        <w:rPr>
          <w:lang w:val="en-GB"/>
        </w:rPr>
        <w:t>and integrity</w:t>
      </w:r>
      <w:bookmarkEnd w:id="22"/>
      <w:r w:rsidRPr="006E3F10">
        <w:rPr>
          <w:lang w:val="en-GB"/>
        </w:rPr>
        <w:t> </w:t>
      </w:r>
    </w:p>
    <w:p w14:paraId="43474C3F" w14:textId="77777777" w:rsidR="006E3F10" w:rsidRPr="006E3F10" w:rsidRDefault="006E3F10" w:rsidP="0001726D">
      <w:pPr>
        <w:pStyle w:val="Heading3"/>
        <w:rPr>
          <w:lang w:val="en-GB"/>
        </w:rPr>
      </w:pPr>
      <w:bookmarkStart w:id="23" w:name="_Toc494111951"/>
      <w:r w:rsidRPr="006E3F10">
        <w:rPr>
          <w:lang w:val="en-GB"/>
        </w:rPr>
        <w:t>Integrity Strategy</w:t>
      </w:r>
      <w:bookmarkEnd w:id="23"/>
    </w:p>
    <w:p w14:paraId="2144DCD6" w14:textId="77777777" w:rsidR="006E3F10" w:rsidRPr="006E3F10" w:rsidRDefault="006E3F10" w:rsidP="006E3F10">
      <w:pPr>
        <w:rPr>
          <w:lang w:val="en-GB"/>
        </w:rPr>
      </w:pPr>
      <w:r w:rsidRPr="006E3F10">
        <w:rPr>
          <w:lang w:val="en-GB"/>
        </w:rPr>
        <w:t>Government and community trust in public sector integrity is critical to the effectiveness of public sector employees and organisations. This trust enables the public sector to implement policy and deliver services for the benefit of all Victorians. VPSC has a statutory responsibility to maintain and advocate for public sector integrity. In 2016-17, VPSC updated its Integrity Strategy to guide work in this area. The objective of the strategy is to achieve sustained community and government trust in the VPS. This objective relies on:</w:t>
      </w:r>
    </w:p>
    <w:p w14:paraId="69D8D050" w14:textId="77777777" w:rsidR="006E3F10" w:rsidRPr="006E3F10" w:rsidRDefault="006E3F10" w:rsidP="0001726D">
      <w:pPr>
        <w:pStyle w:val="Bullet"/>
        <w:rPr>
          <w:lang w:val="en-GB"/>
        </w:rPr>
      </w:pPr>
      <w:r w:rsidRPr="006E3F10">
        <w:rPr>
          <w:lang w:val="en-GB"/>
        </w:rPr>
        <w:t>strong organisational systems, with clear codes of conduct, policies and procedures in place</w:t>
      </w:r>
    </w:p>
    <w:p w14:paraId="3DBC6D59" w14:textId="77777777" w:rsidR="006E3F10" w:rsidRPr="006E3F10" w:rsidRDefault="006E3F10" w:rsidP="0001726D">
      <w:pPr>
        <w:pStyle w:val="Bullet"/>
        <w:rPr>
          <w:lang w:val="en-GB"/>
        </w:rPr>
      </w:pPr>
      <w:r w:rsidRPr="006E3F10">
        <w:rPr>
          <w:lang w:val="en-GB"/>
        </w:rPr>
        <w:t>effective leadership that models integrity and the public sector values</w:t>
      </w:r>
    </w:p>
    <w:p w14:paraId="00BBB279" w14:textId="77777777" w:rsidR="006E3F10" w:rsidRPr="006E3F10" w:rsidRDefault="006E3F10" w:rsidP="0001726D">
      <w:pPr>
        <w:pStyle w:val="Bullet"/>
        <w:rPr>
          <w:lang w:val="en-GB"/>
        </w:rPr>
      </w:pPr>
      <w:r w:rsidRPr="006E3F10">
        <w:rPr>
          <w:lang w:val="en-GB"/>
        </w:rPr>
        <w:t>employees having the awareness and understanding to act with integrity as a core feature of their work</w:t>
      </w:r>
    </w:p>
    <w:p w14:paraId="3BBA75D8" w14:textId="19166040" w:rsidR="006E3F10" w:rsidRPr="006E3F10" w:rsidRDefault="006E3F10" w:rsidP="006E3F10">
      <w:pPr>
        <w:rPr>
          <w:lang w:val="en-GB"/>
        </w:rPr>
      </w:pPr>
      <w:r w:rsidRPr="006E3F10">
        <w:rPr>
          <w:lang w:val="en-GB"/>
        </w:rPr>
        <w:t>The updated strategy outlines VPSC’s progress on integrity initiatives i</w:t>
      </w:r>
      <w:r w:rsidR="00941066">
        <w:rPr>
          <w:lang w:val="en-GB"/>
        </w:rPr>
        <w:t xml:space="preserve">n 2016 and details the program </w:t>
      </w:r>
      <w:r w:rsidRPr="006E3F10">
        <w:rPr>
          <w:lang w:val="en-GB"/>
        </w:rPr>
        <w:t>of work to be undertaken in 2017, which focuses on building awarenes</w:t>
      </w:r>
      <w:r w:rsidR="00941066">
        <w:rPr>
          <w:lang w:val="en-GB"/>
        </w:rPr>
        <w:t xml:space="preserve">s and understanding of leaders </w:t>
      </w:r>
      <w:r w:rsidRPr="006E3F10">
        <w:rPr>
          <w:lang w:val="en-GB"/>
        </w:rPr>
        <w:t>and employees to demonstrate integrity behaviours at work. </w:t>
      </w:r>
    </w:p>
    <w:p w14:paraId="7B47A78C" w14:textId="77777777" w:rsidR="006E3F10" w:rsidRPr="006E3F10" w:rsidRDefault="006E3F10" w:rsidP="00941066">
      <w:pPr>
        <w:pStyle w:val="Heading3"/>
        <w:rPr>
          <w:lang w:val="en-GB"/>
        </w:rPr>
      </w:pPr>
      <w:bookmarkStart w:id="24" w:name="_Toc494111952"/>
      <w:r w:rsidRPr="006E3F10">
        <w:rPr>
          <w:lang w:val="en-GB"/>
        </w:rPr>
        <w:t>Gifts, Benefits and Hospitality Policy Framework</w:t>
      </w:r>
      <w:bookmarkEnd w:id="24"/>
    </w:p>
    <w:p w14:paraId="06F3A77D" w14:textId="19CE6650" w:rsidR="006E3F10" w:rsidRPr="006E3F10" w:rsidRDefault="006E3F10" w:rsidP="006E3F10">
      <w:pPr>
        <w:rPr>
          <w:lang w:val="en-GB"/>
        </w:rPr>
      </w:pPr>
      <w:r w:rsidRPr="006E3F10">
        <w:rPr>
          <w:lang w:val="en-GB"/>
        </w:rPr>
        <w:t>In collaboration with VPS Departments and Integrity Subcommittee of th</w:t>
      </w:r>
      <w:r w:rsidR="00941066">
        <w:rPr>
          <w:lang w:val="en-GB"/>
        </w:rPr>
        <w:t xml:space="preserve">e Victorian Secretaries Board, </w:t>
      </w:r>
      <w:r w:rsidRPr="006E3F10">
        <w:rPr>
          <w:lang w:val="en-GB"/>
        </w:rPr>
        <w:t>VPSC updated the framework to provide greater clarity and improved reporting and transparency. Mandatory minimum accountabilities in the policy framework include:</w:t>
      </w:r>
    </w:p>
    <w:p w14:paraId="4C6D232D" w14:textId="77777777" w:rsidR="006E3F10" w:rsidRPr="006E3F10" w:rsidRDefault="006E3F10" w:rsidP="00941066">
      <w:pPr>
        <w:pStyle w:val="Bullet"/>
        <w:rPr>
          <w:lang w:val="en-GB"/>
        </w:rPr>
      </w:pPr>
      <w:r w:rsidRPr="006E3F10">
        <w:rPr>
          <w:lang w:val="en-GB"/>
        </w:rPr>
        <w:t>distinguish between token and non-token offers. A token offer cannot be worth more than an estimated $50</w:t>
      </w:r>
    </w:p>
    <w:p w14:paraId="11EB5B1A" w14:textId="77777777" w:rsidR="006E3F10" w:rsidRPr="006E3F10" w:rsidRDefault="006E3F10" w:rsidP="00941066">
      <w:pPr>
        <w:pStyle w:val="Bullet"/>
        <w:rPr>
          <w:lang w:val="en-GB"/>
        </w:rPr>
      </w:pPr>
      <w:r w:rsidRPr="006E3F10">
        <w:rPr>
          <w:lang w:val="en-GB"/>
        </w:rPr>
        <w:t>adopt a principles-based approach, recognising that each person needs to assess and determine whether an offer presents an actual, potential or perceived conflict of interest and then whether it has a legitimate business purpose</w:t>
      </w:r>
    </w:p>
    <w:p w14:paraId="0D12C18D" w14:textId="5CFFB582" w:rsidR="006E3F10" w:rsidRPr="006E3F10" w:rsidRDefault="006E3F10" w:rsidP="00941066">
      <w:pPr>
        <w:pStyle w:val="Bullet"/>
        <w:rPr>
          <w:lang w:val="en-GB"/>
        </w:rPr>
      </w:pPr>
      <w:r w:rsidRPr="006E3F10">
        <w:rPr>
          <w:lang w:val="en-GB"/>
        </w:rPr>
        <w:lastRenderedPageBreak/>
        <w:t>incorporate stronger reporting and transparency requirements. Individuals must record all non-token offers of gifts, benefits and hospitality on their organisation’s register, irrespective of whether or not the offer was accepted. Organisations are required to publish their gifts, b</w:t>
      </w:r>
      <w:r w:rsidR="00941066">
        <w:rPr>
          <w:lang w:val="en-GB"/>
        </w:rPr>
        <w:t xml:space="preserve">enefits and hospitality policy </w:t>
      </w:r>
      <w:r w:rsidRPr="006E3F10">
        <w:rPr>
          <w:lang w:val="en-GB"/>
        </w:rPr>
        <w:t>and register on their public website</w:t>
      </w:r>
    </w:p>
    <w:p w14:paraId="2397EE2E" w14:textId="77777777" w:rsidR="006E3F10" w:rsidRPr="006E3F10" w:rsidRDefault="006E3F10" w:rsidP="006E3F10">
      <w:pPr>
        <w:rPr>
          <w:lang w:val="en-GB"/>
        </w:rPr>
      </w:pPr>
      <w:r w:rsidRPr="006E3F10">
        <w:rPr>
          <w:lang w:val="en-GB"/>
        </w:rPr>
        <w:t>VPSC also developed new resources to help manage gifts, benefits and hospitality. This includes a model gifts, benefits and hospitality policy and templates for a declaration form and register.</w:t>
      </w:r>
    </w:p>
    <w:p w14:paraId="0A32088F" w14:textId="77777777" w:rsidR="006E3F10" w:rsidRPr="006E3F10" w:rsidRDefault="006E3F10" w:rsidP="00941066">
      <w:pPr>
        <w:pStyle w:val="Heading3"/>
        <w:rPr>
          <w:lang w:val="en-GB"/>
        </w:rPr>
      </w:pPr>
      <w:bookmarkStart w:id="25" w:name="_Toc494111953"/>
      <w:r w:rsidRPr="006E3F10">
        <w:rPr>
          <w:lang w:val="en-GB"/>
        </w:rPr>
        <w:t>Managing Poor Behaviour in the Workplace</w:t>
      </w:r>
      <w:bookmarkEnd w:id="25"/>
    </w:p>
    <w:p w14:paraId="3C7F1291" w14:textId="1D6D3DD9" w:rsidR="006E3F10" w:rsidRPr="006E3F10" w:rsidRDefault="006E3F10" w:rsidP="006E3F10">
      <w:pPr>
        <w:rPr>
          <w:lang w:val="en-GB"/>
        </w:rPr>
      </w:pPr>
      <w:r w:rsidRPr="006E3F10">
        <w:rPr>
          <w:lang w:val="en-GB"/>
        </w:rPr>
        <w:t xml:space="preserve">In March 2016, the Victorian Secretaries Board made a commitment </w:t>
      </w:r>
      <w:r w:rsidR="00941066">
        <w:rPr>
          <w:lang w:val="en-GB"/>
        </w:rPr>
        <w:t xml:space="preserve">to review guidance on breaches </w:t>
      </w:r>
      <w:r w:rsidRPr="006E3F10">
        <w:rPr>
          <w:lang w:val="en-GB"/>
        </w:rPr>
        <w:t xml:space="preserve">of the Code of Conduct. In collaboration with the Departments, VPSC updated its guide </w:t>
      </w:r>
      <w:r w:rsidRPr="006E3F10">
        <w:rPr>
          <w:i/>
          <w:iCs/>
          <w:lang w:val="en-GB"/>
        </w:rPr>
        <w:t>Managing Poor Behaviour in the Workplace</w:t>
      </w:r>
      <w:r w:rsidRPr="006E3F10">
        <w:rPr>
          <w:lang w:val="en-GB"/>
        </w:rPr>
        <w:t>. </w:t>
      </w:r>
    </w:p>
    <w:p w14:paraId="71F81C7D" w14:textId="77777777" w:rsidR="006E3F10" w:rsidRPr="006E3F10" w:rsidRDefault="006E3F10" w:rsidP="006E3F10">
      <w:pPr>
        <w:rPr>
          <w:lang w:val="en-GB"/>
        </w:rPr>
      </w:pPr>
      <w:r w:rsidRPr="006E3F10">
        <w:rPr>
          <w:lang w:val="en-GB"/>
        </w:rPr>
        <w:t>VPSC prepared the guide to assist managers to develop relevant policies and procedures for addressing behavioural issues with their employees in the workplace. This can include both unsatisfactory performance and misconduct. The guide aims to:</w:t>
      </w:r>
    </w:p>
    <w:p w14:paraId="5669E31E" w14:textId="77777777" w:rsidR="006E3F10" w:rsidRPr="006E3F10" w:rsidRDefault="006E3F10" w:rsidP="00941066">
      <w:pPr>
        <w:pStyle w:val="Bullet"/>
        <w:rPr>
          <w:lang w:val="en-GB"/>
        </w:rPr>
      </w:pPr>
      <w:r w:rsidRPr="006E3F10">
        <w:rPr>
          <w:lang w:val="en-GB"/>
        </w:rPr>
        <w:t>encourage organisations to optimise their people management practices by addressing behavioural concerns effectively and constructively</w:t>
      </w:r>
    </w:p>
    <w:p w14:paraId="373ACB8B" w14:textId="77777777" w:rsidR="006E3F10" w:rsidRPr="006E3F10" w:rsidRDefault="006E3F10" w:rsidP="00941066">
      <w:pPr>
        <w:pStyle w:val="Bullet"/>
        <w:rPr>
          <w:lang w:val="en-GB"/>
        </w:rPr>
      </w:pPr>
      <w:r w:rsidRPr="006E3F10">
        <w:rPr>
          <w:lang w:val="en-GB"/>
        </w:rPr>
        <w:t>provide practical assistance as to how disciplinary procedures, if required, should be handled</w:t>
      </w:r>
    </w:p>
    <w:p w14:paraId="659F5E93" w14:textId="77777777" w:rsidR="006E3F10" w:rsidRPr="006E3F10" w:rsidRDefault="006E3F10" w:rsidP="00941066">
      <w:pPr>
        <w:pStyle w:val="Bullet"/>
        <w:rPr>
          <w:lang w:val="en-GB"/>
        </w:rPr>
      </w:pPr>
      <w:r w:rsidRPr="006E3F10">
        <w:rPr>
          <w:lang w:val="en-GB"/>
        </w:rPr>
        <w:t>help reduce the incidence of employee grievances relating to behavioural matters</w:t>
      </w:r>
    </w:p>
    <w:p w14:paraId="2DFC0765" w14:textId="77777777" w:rsidR="006E3F10" w:rsidRPr="006E3F10" w:rsidRDefault="006E3F10" w:rsidP="00941066">
      <w:pPr>
        <w:pStyle w:val="Heading3"/>
        <w:rPr>
          <w:lang w:val="en-GB"/>
        </w:rPr>
      </w:pPr>
      <w:bookmarkStart w:id="26" w:name="_Toc494111954"/>
      <w:r w:rsidRPr="006E3F10">
        <w:rPr>
          <w:lang w:val="en-GB"/>
        </w:rPr>
        <w:t>Employment Standards</w:t>
      </w:r>
      <w:bookmarkEnd w:id="26"/>
    </w:p>
    <w:p w14:paraId="38B466F0" w14:textId="77777777" w:rsidR="006E3F10" w:rsidRPr="006E3F10" w:rsidRDefault="006E3F10" w:rsidP="006E3F10">
      <w:pPr>
        <w:rPr>
          <w:lang w:val="en-GB"/>
        </w:rPr>
      </w:pPr>
      <w:r w:rsidRPr="006E3F10">
        <w:rPr>
          <w:lang w:val="en-GB"/>
        </w:rPr>
        <w:t xml:space="preserve">The </w:t>
      </w:r>
      <w:r w:rsidRPr="006E3F10">
        <w:rPr>
          <w:i/>
          <w:iCs/>
          <w:lang w:val="en-GB"/>
        </w:rPr>
        <w:t xml:space="preserve">Standards for Applying the Victorian Public Sector Employment Principles </w:t>
      </w:r>
      <w:r w:rsidRPr="006E3F10">
        <w:rPr>
          <w:lang w:val="en-GB"/>
        </w:rPr>
        <w:t>give public sector employers valuable information about the employment processes they must have in place to achieve a positive workplace where staff are treated well, have career opportunities and can safely raise their concerns.</w:t>
      </w:r>
    </w:p>
    <w:p w14:paraId="7BDDD655" w14:textId="7505A0F9" w:rsidR="006E3F10" w:rsidRPr="006E3F10" w:rsidRDefault="006E3F10" w:rsidP="006E3F10">
      <w:pPr>
        <w:rPr>
          <w:lang w:val="en-GB"/>
        </w:rPr>
      </w:pPr>
      <w:r w:rsidRPr="006E3F10">
        <w:rPr>
          <w:lang w:val="en-GB"/>
        </w:rPr>
        <w:t>VPSC issued revised standards on 1 February 2017. The standards now include human rights and career public service. They explain how the employment principles apply throughout the employee life cycle from attraction to separation. They also explain how the principles co</w:t>
      </w:r>
      <w:r w:rsidR="00941066">
        <w:rPr>
          <w:lang w:val="en-GB"/>
        </w:rPr>
        <w:t xml:space="preserve">mplement and sometimes compete </w:t>
      </w:r>
      <w:r w:rsidRPr="006E3F10">
        <w:rPr>
          <w:lang w:val="en-GB"/>
        </w:rPr>
        <w:t>with one another.</w:t>
      </w:r>
    </w:p>
    <w:p w14:paraId="08747038" w14:textId="77777777" w:rsidR="006E3F10" w:rsidRPr="006E3F10" w:rsidRDefault="006E3F10" w:rsidP="006E3F10">
      <w:pPr>
        <w:rPr>
          <w:lang w:val="en-GB"/>
        </w:rPr>
      </w:pPr>
      <w:r w:rsidRPr="006E3F10">
        <w:rPr>
          <w:lang w:val="en-GB"/>
        </w:rPr>
        <w:t>VPSC has published a scenario based presentation about the standards on its website. Employers may customise the presentation for their own use.</w:t>
      </w:r>
    </w:p>
    <w:p w14:paraId="7601D933" w14:textId="77777777" w:rsidR="006E3F10" w:rsidRPr="006E3F10" w:rsidRDefault="006E3F10" w:rsidP="00941066">
      <w:pPr>
        <w:pStyle w:val="Heading3"/>
        <w:rPr>
          <w:lang w:val="en-GB"/>
        </w:rPr>
      </w:pPr>
      <w:bookmarkStart w:id="27" w:name="_Toc494111955"/>
      <w:r w:rsidRPr="006E3F10">
        <w:rPr>
          <w:lang w:val="en-GB"/>
        </w:rPr>
        <w:t>Monitoring Integrity Standards</w:t>
      </w:r>
      <w:bookmarkEnd w:id="27"/>
    </w:p>
    <w:p w14:paraId="3FF676F5" w14:textId="27F517C2" w:rsidR="006E3F10" w:rsidRPr="006E3F10" w:rsidRDefault="006E3F10" w:rsidP="006E3F10">
      <w:pPr>
        <w:rPr>
          <w:lang w:val="en-GB"/>
        </w:rPr>
      </w:pPr>
      <w:r w:rsidRPr="006E3F10">
        <w:rPr>
          <w:lang w:val="en-GB"/>
        </w:rPr>
        <w:t>VPSC maintains and advocates for public sector professionalism and integ</w:t>
      </w:r>
      <w:r w:rsidR="00941066">
        <w:rPr>
          <w:lang w:val="en-GB"/>
        </w:rPr>
        <w:t xml:space="preserve">rity. This includes monitoring </w:t>
      </w:r>
      <w:r w:rsidRPr="006E3F10">
        <w:rPr>
          <w:lang w:val="en-GB"/>
        </w:rPr>
        <w:t>how well public sector organisations apply the values, codes of conduct, employment principles and standards. Anyone, including public sector employees or members of</w:t>
      </w:r>
      <w:r w:rsidR="00941066">
        <w:rPr>
          <w:lang w:val="en-GB"/>
        </w:rPr>
        <w:t xml:space="preserve"> the public may raise concerns </w:t>
      </w:r>
      <w:r w:rsidRPr="006E3F10">
        <w:rPr>
          <w:lang w:val="en-GB"/>
        </w:rPr>
        <w:t>about these matters with VPSC. VPSC may request information fr</w:t>
      </w:r>
      <w:r w:rsidR="00941066">
        <w:rPr>
          <w:lang w:val="en-GB"/>
        </w:rPr>
        <w:t xml:space="preserve">om public sector organisations </w:t>
      </w:r>
      <w:r w:rsidRPr="006E3F10">
        <w:rPr>
          <w:lang w:val="en-GB"/>
        </w:rPr>
        <w:t>and may make recommendations to change or introduce new processes.</w:t>
      </w:r>
    </w:p>
    <w:p w14:paraId="6D3E718A" w14:textId="2A759ABE" w:rsidR="006E3F10" w:rsidRPr="006E3F10" w:rsidRDefault="006E3F10" w:rsidP="006E3F10">
      <w:pPr>
        <w:rPr>
          <w:lang w:val="en-GB"/>
        </w:rPr>
      </w:pPr>
      <w:r w:rsidRPr="006E3F10">
        <w:rPr>
          <w:lang w:val="en-GB"/>
        </w:rPr>
        <w:t>In addition, public sector employees may apply to VPSC for review of</w:t>
      </w:r>
      <w:r w:rsidR="00941066">
        <w:rPr>
          <w:lang w:val="en-GB"/>
        </w:rPr>
        <w:t xml:space="preserve"> an employment related action, </w:t>
      </w:r>
      <w:r w:rsidRPr="006E3F10">
        <w:rPr>
          <w:lang w:val="en-GB"/>
        </w:rPr>
        <w:t>such as discipline, in four circumstances:</w:t>
      </w:r>
    </w:p>
    <w:p w14:paraId="0F96A17D" w14:textId="77777777" w:rsidR="006E3F10" w:rsidRPr="006E3F10" w:rsidRDefault="006E3F10" w:rsidP="00941066">
      <w:pPr>
        <w:pStyle w:val="Bullet"/>
        <w:numPr>
          <w:ilvl w:val="0"/>
          <w:numId w:val="40"/>
        </w:numPr>
        <w:rPr>
          <w:lang w:val="en-GB"/>
        </w:rPr>
      </w:pPr>
      <w:r w:rsidRPr="006E3F10">
        <w:rPr>
          <w:lang w:val="en-GB"/>
        </w:rPr>
        <w:t>the employer did not conduct an initial review</w:t>
      </w:r>
    </w:p>
    <w:p w14:paraId="20BDF0AF" w14:textId="77777777" w:rsidR="006E3F10" w:rsidRPr="006E3F10" w:rsidRDefault="006E3F10" w:rsidP="00941066">
      <w:pPr>
        <w:pStyle w:val="Bullet"/>
        <w:numPr>
          <w:ilvl w:val="0"/>
          <w:numId w:val="40"/>
        </w:numPr>
        <w:rPr>
          <w:lang w:val="en-GB"/>
        </w:rPr>
      </w:pPr>
      <w:r w:rsidRPr="006E3F10">
        <w:rPr>
          <w:lang w:val="en-GB"/>
        </w:rPr>
        <w:t>the initial review process was unfair</w:t>
      </w:r>
    </w:p>
    <w:p w14:paraId="31C72CDC" w14:textId="77777777" w:rsidR="006E3F10" w:rsidRPr="006E3F10" w:rsidRDefault="006E3F10" w:rsidP="00941066">
      <w:pPr>
        <w:pStyle w:val="Bullet"/>
        <w:numPr>
          <w:ilvl w:val="0"/>
          <w:numId w:val="40"/>
        </w:numPr>
        <w:rPr>
          <w:lang w:val="en-GB"/>
        </w:rPr>
      </w:pPr>
      <w:r w:rsidRPr="006E3F10">
        <w:rPr>
          <w:lang w:val="en-GB"/>
        </w:rPr>
        <w:t>the employer personally took the action or was the primary decision maker</w:t>
      </w:r>
    </w:p>
    <w:p w14:paraId="4110D21B" w14:textId="77777777" w:rsidR="006E3F10" w:rsidRPr="006E3F10" w:rsidRDefault="006E3F10" w:rsidP="00941066">
      <w:pPr>
        <w:pStyle w:val="Bullet"/>
        <w:numPr>
          <w:ilvl w:val="0"/>
          <w:numId w:val="40"/>
        </w:numPr>
        <w:rPr>
          <w:lang w:val="en-GB"/>
        </w:rPr>
      </w:pPr>
      <w:r w:rsidRPr="006E3F10">
        <w:rPr>
          <w:lang w:val="en-GB"/>
        </w:rPr>
        <w:t>the employee was victimised for previously applying to VPSC for a review</w:t>
      </w:r>
    </w:p>
    <w:p w14:paraId="3D593C03" w14:textId="114EC622" w:rsidR="006E3F10" w:rsidRPr="006E3F10" w:rsidRDefault="006E3F10" w:rsidP="006E3F10">
      <w:pPr>
        <w:rPr>
          <w:lang w:val="en-GB"/>
        </w:rPr>
      </w:pPr>
      <w:r w:rsidRPr="006E3F10">
        <w:rPr>
          <w:lang w:val="en-GB"/>
        </w:rPr>
        <w:t>In 2016-17, VPSC answered 310 enquiries and managed 29 reviews</w:t>
      </w:r>
      <w:r w:rsidR="00941066">
        <w:rPr>
          <w:lang w:val="en-GB"/>
        </w:rPr>
        <w:t xml:space="preserve">, including reviews of actions </w:t>
      </w:r>
      <w:r w:rsidRPr="006E3F10">
        <w:rPr>
          <w:lang w:val="en-GB"/>
        </w:rPr>
        <w:t>and complaints about organisations not complying with the values, c</w:t>
      </w:r>
      <w:r w:rsidR="00941066">
        <w:rPr>
          <w:lang w:val="en-GB"/>
        </w:rPr>
        <w:t xml:space="preserve">odes, principles or standards. </w:t>
      </w:r>
      <w:r w:rsidRPr="006E3F10">
        <w:rPr>
          <w:lang w:val="en-GB"/>
        </w:rPr>
        <w:t>This was a significant increase from last year. The most common queries were:</w:t>
      </w:r>
    </w:p>
    <w:p w14:paraId="23600FA4" w14:textId="0D768F92" w:rsidR="006E3F10" w:rsidRPr="006E3F10" w:rsidRDefault="006E3F10" w:rsidP="00941066">
      <w:pPr>
        <w:pStyle w:val="Bullet"/>
        <w:rPr>
          <w:lang w:val="en-GB"/>
        </w:rPr>
      </w:pPr>
      <w:r w:rsidRPr="006E3F10">
        <w:rPr>
          <w:lang w:val="en-GB"/>
        </w:rPr>
        <w:t>about the policies VPSC had issued during the year such as the Con</w:t>
      </w:r>
      <w:r w:rsidR="00941066">
        <w:rPr>
          <w:lang w:val="en-GB"/>
        </w:rPr>
        <w:t xml:space="preserve">flict of Interest Model Policy </w:t>
      </w:r>
      <w:r w:rsidRPr="006E3F10">
        <w:rPr>
          <w:lang w:val="en-GB"/>
        </w:rPr>
        <w:t>or the Gifts, Benefits and Hospitality Policy Framework</w:t>
      </w:r>
    </w:p>
    <w:p w14:paraId="3744C42C" w14:textId="77777777" w:rsidR="006E3F10" w:rsidRPr="006E3F10" w:rsidRDefault="006E3F10" w:rsidP="00941066">
      <w:pPr>
        <w:pStyle w:val="Bullet"/>
        <w:rPr>
          <w:lang w:val="en-GB"/>
        </w:rPr>
      </w:pPr>
      <w:r w:rsidRPr="006E3F10">
        <w:rPr>
          <w:lang w:val="en-GB"/>
        </w:rPr>
        <w:t>review functions of VPSC</w:t>
      </w:r>
    </w:p>
    <w:p w14:paraId="64268B4C" w14:textId="77777777" w:rsidR="006E3F10" w:rsidRPr="006E3F10" w:rsidRDefault="006E3F10" w:rsidP="00941066">
      <w:pPr>
        <w:pStyle w:val="Bullet"/>
        <w:rPr>
          <w:lang w:val="en-GB"/>
        </w:rPr>
      </w:pPr>
      <w:r w:rsidRPr="006E3F10">
        <w:rPr>
          <w:lang w:val="en-GB"/>
        </w:rPr>
        <w:t>issues such as the application of merit</w:t>
      </w:r>
    </w:p>
    <w:p w14:paraId="35BACF1B" w14:textId="7032D713" w:rsidR="006E3F10" w:rsidRPr="006E3F10" w:rsidRDefault="006E3F10" w:rsidP="006E3F10">
      <w:pPr>
        <w:rPr>
          <w:lang w:val="en-GB"/>
        </w:rPr>
      </w:pPr>
      <w:r w:rsidRPr="006E3F10">
        <w:rPr>
          <w:lang w:val="en-GB"/>
        </w:rPr>
        <w:lastRenderedPageBreak/>
        <w:t>The reviews most commonly covered issues such as discipline outcomes, termination of employment, bullying and integrity. VPSC recommended changed or new processes i</w:t>
      </w:r>
      <w:r w:rsidR="00941066">
        <w:rPr>
          <w:lang w:val="en-GB"/>
        </w:rPr>
        <w:t xml:space="preserve">n 24 per cent of these cases. </w:t>
      </w:r>
      <w:r w:rsidRPr="006E3F10">
        <w:rPr>
          <w:lang w:val="en-GB"/>
        </w:rPr>
        <w:t>This included recommending that public sector organisations revi</w:t>
      </w:r>
      <w:r w:rsidR="00941066">
        <w:rPr>
          <w:lang w:val="en-GB"/>
        </w:rPr>
        <w:t xml:space="preserve">ew their processes against the </w:t>
      </w:r>
      <w:r w:rsidRPr="006E3F10">
        <w:rPr>
          <w:lang w:val="en-GB"/>
        </w:rPr>
        <w:t xml:space="preserve">VPSC’s recently updated </w:t>
      </w:r>
      <w:r w:rsidRPr="006E3F10">
        <w:rPr>
          <w:i/>
          <w:iCs/>
          <w:lang w:val="en-GB"/>
        </w:rPr>
        <w:t>Managing Poor Behaviour in the Workplace</w:t>
      </w:r>
      <w:r w:rsidRPr="006E3F10">
        <w:rPr>
          <w:lang w:val="en-GB"/>
        </w:rPr>
        <w:t>.</w:t>
      </w:r>
    </w:p>
    <w:p w14:paraId="7DDD68F0" w14:textId="280A239D" w:rsidR="006E3F10" w:rsidRPr="006E3F10" w:rsidRDefault="006E3F10" w:rsidP="006E3F10">
      <w:pPr>
        <w:rPr>
          <w:lang w:val="en-GB"/>
        </w:rPr>
      </w:pPr>
      <w:r w:rsidRPr="006E3F10">
        <w:rPr>
          <w:lang w:val="en-GB"/>
        </w:rPr>
        <w:t>During 2016-17, VPSC continued and built upon activities that suppo</w:t>
      </w:r>
      <w:r w:rsidR="002F138B">
        <w:rPr>
          <w:lang w:val="en-GB"/>
        </w:rPr>
        <w:t xml:space="preserve">rt public sector organisations </w:t>
      </w:r>
      <w:r w:rsidRPr="006E3F10">
        <w:rPr>
          <w:lang w:val="en-GB"/>
        </w:rPr>
        <w:t>in providing a reasonable avenue of redress, including:</w:t>
      </w:r>
    </w:p>
    <w:p w14:paraId="320FC456" w14:textId="77777777" w:rsidR="006E3F10" w:rsidRPr="006E3F10" w:rsidRDefault="006E3F10" w:rsidP="002F138B">
      <w:pPr>
        <w:pStyle w:val="Heading4"/>
        <w:rPr>
          <w:lang w:val="en-GB"/>
        </w:rPr>
      </w:pPr>
      <w:r w:rsidRPr="006E3F10">
        <w:rPr>
          <w:lang w:val="en-GB"/>
        </w:rPr>
        <w:t>Review of Actions Resource Suite</w:t>
      </w:r>
    </w:p>
    <w:p w14:paraId="21EBE88B" w14:textId="62D427B0" w:rsidR="006E3F10" w:rsidRPr="006E3F10" w:rsidRDefault="006E3F10" w:rsidP="006E3F10">
      <w:pPr>
        <w:rPr>
          <w:lang w:val="en-GB"/>
        </w:rPr>
      </w:pPr>
      <w:r w:rsidRPr="006E3F10">
        <w:rPr>
          <w:lang w:val="en-GB"/>
        </w:rPr>
        <w:t xml:space="preserve">The suite has resources for each party in a review including the registrar, decision-maker, applicant, representative and reviewer. The materials were reviewed this year and </w:t>
      </w:r>
      <w:r w:rsidR="002F138B">
        <w:rPr>
          <w:lang w:val="en-GB"/>
        </w:rPr>
        <w:t xml:space="preserve">a self-guided application form </w:t>
      </w:r>
      <w:r w:rsidRPr="006E3F10">
        <w:rPr>
          <w:lang w:val="en-GB"/>
        </w:rPr>
        <w:t>for VPS employees was introduced, to assist employees to decide whether to apply for a review of actions. The materials have improved the resolution of complaints to public sector organisations.</w:t>
      </w:r>
    </w:p>
    <w:p w14:paraId="7244D30B" w14:textId="77777777" w:rsidR="006E3F10" w:rsidRPr="006E3F10" w:rsidRDefault="006E3F10" w:rsidP="002F138B">
      <w:pPr>
        <w:pStyle w:val="Heading4"/>
        <w:rPr>
          <w:lang w:val="en-GB"/>
        </w:rPr>
      </w:pPr>
      <w:r w:rsidRPr="006E3F10">
        <w:rPr>
          <w:lang w:val="en-GB"/>
        </w:rPr>
        <w:t>Register of Review Officers</w:t>
      </w:r>
    </w:p>
    <w:p w14:paraId="55612FD3" w14:textId="77777777" w:rsidR="006E3F10" w:rsidRPr="006E3F10" w:rsidRDefault="006E3F10" w:rsidP="006E3F10">
      <w:pPr>
        <w:rPr>
          <w:lang w:val="en-GB"/>
        </w:rPr>
      </w:pPr>
      <w:r w:rsidRPr="006E3F10">
        <w:rPr>
          <w:lang w:val="en-GB"/>
        </w:rPr>
        <w:t>There are currently 16 independent investigators and reviewers listed on the register, including five that joined this year. Employers may engage any of the investigators or reviewers through their normal procurement processes.</w:t>
      </w:r>
    </w:p>
    <w:p w14:paraId="0C74A1F9" w14:textId="77777777" w:rsidR="006E3F10" w:rsidRPr="006E3F10" w:rsidRDefault="006E3F10" w:rsidP="002F138B">
      <w:pPr>
        <w:pStyle w:val="Heading4"/>
        <w:rPr>
          <w:lang w:val="en-GB"/>
        </w:rPr>
      </w:pPr>
      <w:r w:rsidRPr="006E3F10">
        <w:rPr>
          <w:lang w:val="en-GB"/>
        </w:rPr>
        <w:t>Review of Actions Registrars Network</w:t>
      </w:r>
    </w:p>
    <w:p w14:paraId="71768BA5" w14:textId="77777777" w:rsidR="006E3F10" w:rsidRPr="006E3F10" w:rsidRDefault="006E3F10" w:rsidP="006E3F10">
      <w:pPr>
        <w:rPr>
          <w:lang w:val="en-GB"/>
        </w:rPr>
      </w:pPr>
      <w:r w:rsidRPr="006E3F10">
        <w:rPr>
          <w:lang w:val="en-GB"/>
        </w:rPr>
        <w:t>The network meets bi-monthly to share best practice in managing and resolving complaints.</w:t>
      </w:r>
    </w:p>
    <w:p w14:paraId="6BD83000" w14:textId="77777777" w:rsidR="006E3F10" w:rsidRPr="006E3F10" w:rsidRDefault="006E3F10" w:rsidP="002F138B">
      <w:pPr>
        <w:pStyle w:val="Heading3"/>
        <w:rPr>
          <w:lang w:val="en-GB"/>
        </w:rPr>
      </w:pPr>
      <w:bookmarkStart w:id="28" w:name="_Toc494111956"/>
      <w:r w:rsidRPr="006E3F10">
        <w:rPr>
          <w:lang w:val="en-GB"/>
        </w:rPr>
        <w:t>Monitoring Integrity Reform in the Department of Education and Training</w:t>
      </w:r>
      <w:bookmarkEnd w:id="28"/>
      <w:r w:rsidRPr="006E3F10">
        <w:rPr>
          <w:lang w:val="en-GB"/>
        </w:rPr>
        <w:t> </w:t>
      </w:r>
    </w:p>
    <w:p w14:paraId="5FB661F7" w14:textId="2090D1B0" w:rsidR="006E3F10" w:rsidRPr="006E3F10" w:rsidRDefault="006E3F10" w:rsidP="006E3F10">
      <w:pPr>
        <w:rPr>
          <w:lang w:val="en-GB"/>
        </w:rPr>
      </w:pPr>
      <w:r w:rsidRPr="006E3F10">
        <w:rPr>
          <w:lang w:val="en-GB"/>
        </w:rPr>
        <w:t>In July 2015, the Deputy Premier and Minister for Education, The H</w:t>
      </w:r>
      <w:r w:rsidR="002F138B">
        <w:rPr>
          <w:lang w:val="en-GB"/>
        </w:rPr>
        <w:t xml:space="preserve">on. James Merlino MP requested </w:t>
      </w:r>
      <w:r w:rsidRPr="006E3F10">
        <w:rPr>
          <w:lang w:val="en-GB"/>
        </w:rPr>
        <w:t>VPSC independently monitor and assess the Department of Education and Training’s response to issues identified in investigations by the Independent Broad-based Anti-corruption Commission (IBAC).</w:t>
      </w:r>
    </w:p>
    <w:p w14:paraId="72D92535" w14:textId="313B7555" w:rsidR="006E3F10" w:rsidRPr="006E3F10" w:rsidRDefault="006E3F10" w:rsidP="006E3F10">
      <w:pPr>
        <w:rPr>
          <w:lang w:val="en-GB"/>
        </w:rPr>
      </w:pPr>
      <w:r w:rsidRPr="006E3F10">
        <w:rPr>
          <w:lang w:val="en-GB"/>
        </w:rPr>
        <w:t>VPSC has examined the Department’s activity to build a culture of integrity and strengthen its systems, processes and controls. Work continues to consider the impact of the D</w:t>
      </w:r>
      <w:r w:rsidR="002F138B">
        <w:rPr>
          <w:lang w:val="en-GB"/>
        </w:rPr>
        <w:t xml:space="preserve">epartment’s activities and the </w:t>
      </w:r>
      <w:r w:rsidRPr="006E3F10">
        <w:rPr>
          <w:lang w:val="en-GB"/>
        </w:rPr>
        <w:t>extent to which DET is better protected from the corrupt conduct highlighted by IBAC.</w:t>
      </w:r>
    </w:p>
    <w:p w14:paraId="0F75525A" w14:textId="77777777" w:rsidR="006E3F10" w:rsidRPr="006E3F10" w:rsidRDefault="006E3F10" w:rsidP="002F138B">
      <w:pPr>
        <w:pStyle w:val="Heading3"/>
        <w:rPr>
          <w:lang w:val="en-GB"/>
        </w:rPr>
      </w:pPr>
      <w:bookmarkStart w:id="29" w:name="_Toc494111957"/>
      <w:r w:rsidRPr="006E3F10">
        <w:rPr>
          <w:lang w:val="en-GB"/>
        </w:rPr>
        <w:t>Lobbyist Register</w:t>
      </w:r>
      <w:bookmarkEnd w:id="29"/>
    </w:p>
    <w:p w14:paraId="22E4EFFC" w14:textId="77777777" w:rsidR="006E3F10" w:rsidRPr="006E3F10" w:rsidRDefault="006E3F10" w:rsidP="006E3F10">
      <w:pPr>
        <w:rPr>
          <w:lang w:val="en-GB"/>
        </w:rPr>
      </w:pPr>
      <w:r w:rsidRPr="006E3F10">
        <w:rPr>
          <w:lang w:val="en-GB"/>
        </w:rPr>
        <w:t xml:space="preserve">The </w:t>
      </w:r>
      <w:r w:rsidRPr="006E3F10">
        <w:rPr>
          <w:i/>
          <w:iCs/>
          <w:lang w:val="en-GB"/>
        </w:rPr>
        <w:t>Public Administration Act 2004</w:t>
      </w:r>
      <w:r w:rsidRPr="006E3F10">
        <w:rPr>
          <w:lang w:val="en-GB"/>
        </w:rPr>
        <w:t xml:space="preserve"> and the Victorian Government Professional Lobbyist Code of Conduct require VPSC to maintain a Register of Lobbyists. The objectives of the code and the register are to ensure that contact between Government representatives and Lobbyists is conducted in accordance with public expectations of transparency, integrity and honesty. </w:t>
      </w:r>
    </w:p>
    <w:p w14:paraId="43D74D3F" w14:textId="7ECE7BD9" w:rsidR="006E3F10" w:rsidRPr="006E3F10" w:rsidRDefault="006E3F10" w:rsidP="006E3F10">
      <w:pPr>
        <w:rPr>
          <w:lang w:val="en-GB"/>
        </w:rPr>
      </w:pPr>
      <w:r w:rsidRPr="006E3F10">
        <w:rPr>
          <w:lang w:val="en-GB"/>
        </w:rPr>
        <w:t>VPSC answered 103 enquiries and approved 41 applications for registration during the year. The ma</w:t>
      </w:r>
      <w:r w:rsidR="002F138B">
        <w:rPr>
          <w:lang w:val="en-GB"/>
        </w:rPr>
        <w:t xml:space="preserve">jority </w:t>
      </w:r>
      <w:r w:rsidRPr="006E3F10">
        <w:rPr>
          <w:lang w:val="en-GB"/>
        </w:rPr>
        <w:t>of enquiries were about registering new clients or resetting passwords. Process and technical improvements planned for next year are expected to reduce administrative enquiries about the Register, such as password enquiries. The majority of applications to VPSC were Lobbyists r</w:t>
      </w:r>
      <w:r w:rsidR="002F138B">
        <w:rPr>
          <w:lang w:val="en-GB"/>
        </w:rPr>
        <w:t xml:space="preserve">egistrations of new employees. </w:t>
      </w:r>
      <w:r w:rsidRPr="006E3F10">
        <w:rPr>
          <w:lang w:val="en-GB"/>
        </w:rPr>
        <w:t>VPSC received no complaints in 2016-17 about the activities of Lobbyists.</w:t>
      </w:r>
    </w:p>
    <w:p w14:paraId="35BB344B" w14:textId="77777777" w:rsidR="006E3F10" w:rsidRPr="006E3F10" w:rsidRDefault="006E3F10" w:rsidP="002F138B">
      <w:pPr>
        <w:pStyle w:val="Heading3"/>
        <w:rPr>
          <w:lang w:val="en-GB"/>
        </w:rPr>
      </w:pPr>
      <w:bookmarkStart w:id="30" w:name="_Toc494111958"/>
      <w:r w:rsidRPr="006E3F10">
        <w:rPr>
          <w:lang w:val="en-GB"/>
        </w:rPr>
        <w:t>People Matter Survey</w:t>
      </w:r>
      <w:bookmarkEnd w:id="30"/>
    </w:p>
    <w:p w14:paraId="69D1E2E2" w14:textId="77777777" w:rsidR="006E3F10" w:rsidRPr="006E3F10" w:rsidRDefault="006E3F10" w:rsidP="006E3F10">
      <w:pPr>
        <w:rPr>
          <w:lang w:val="en-GB"/>
        </w:rPr>
      </w:pPr>
      <w:r w:rsidRPr="006E3F10">
        <w:rPr>
          <w:lang w:val="en-GB"/>
        </w:rPr>
        <w:t>The annual People Matter Survey collects employee views on how well the VPS values and employment principles are applied within their workplace. The survey also gathers information on a range of people management issues such as job satisfaction and employee engagement.</w:t>
      </w:r>
    </w:p>
    <w:p w14:paraId="33F9D670" w14:textId="77777777" w:rsidR="006E3F10" w:rsidRPr="006E3F10" w:rsidRDefault="006E3F10" w:rsidP="006E3F10">
      <w:pPr>
        <w:rPr>
          <w:lang w:val="en-GB"/>
        </w:rPr>
      </w:pPr>
      <w:r w:rsidRPr="006E3F10">
        <w:rPr>
          <w:lang w:val="en-GB"/>
        </w:rPr>
        <w:t>During the reporting period, 170 organisations participated in the survey and 69,200 employees responded, representing a record high response rate of 38%.</w:t>
      </w:r>
    </w:p>
    <w:p w14:paraId="12A45477" w14:textId="039BFF80" w:rsidR="006E3F10" w:rsidRPr="006E3F10" w:rsidRDefault="006E3F10" w:rsidP="006E3F10">
      <w:pPr>
        <w:rPr>
          <w:lang w:val="en-GB"/>
        </w:rPr>
      </w:pPr>
      <w:r w:rsidRPr="006E3F10">
        <w:rPr>
          <w:lang w:val="en-GB"/>
        </w:rPr>
        <w:t xml:space="preserve">Survey results were reported back to participating organisations in </w:t>
      </w:r>
      <w:r w:rsidR="002F138B">
        <w:rPr>
          <w:lang w:val="en-GB"/>
        </w:rPr>
        <w:t xml:space="preserve">3,900 reports produced by VPSC. </w:t>
      </w:r>
      <w:r w:rsidRPr="006E3F10">
        <w:rPr>
          <w:lang w:val="en-GB"/>
        </w:rPr>
        <w:t>These reports provided data at organisation level and work group level for use in benchmarking.</w:t>
      </w:r>
    </w:p>
    <w:p w14:paraId="2198697A" w14:textId="77777777" w:rsidR="006E3F10" w:rsidRPr="006E3F10" w:rsidRDefault="006E3F10" w:rsidP="00DA2E90">
      <w:pPr>
        <w:pStyle w:val="Heading3"/>
        <w:rPr>
          <w:lang w:val="en-GB"/>
        </w:rPr>
      </w:pPr>
      <w:bookmarkStart w:id="31" w:name="_Toc494111959"/>
      <w:r w:rsidRPr="006E3F10">
        <w:rPr>
          <w:lang w:val="en-GB"/>
        </w:rPr>
        <w:lastRenderedPageBreak/>
        <w:t>Data Insights</w:t>
      </w:r>
      <w:bookmarkEnd w:id="31"/>
    </w:p>
    <w:p w14:paraId="6F132597" w14:textId="29BEAA7D" w:rsidR="006E3F10" w:rsidRPr="006E3F10" w:rsidRDefault="006E3F10" w:rsidP="006E3F10">
      <w:pPr>
        <w:rPr>
          <w:lang w:val="en-GB"/>
        </w:rPr>
      </w:pPr>
      <w:r w:rsidRPr="006E3F10">
        <w:rPr>
          <w:lang w:val="en-GB"/>
        </w:rPr>
        <w:t xml:space="preserve">Drawing on the People Matter Survey, VPSC published a series of </w:t>
      </w:r>
      <w:r w:rsidR="00DA2E90">
        <w:rPr>
          <w:lang w:val="en-GB"/>
        </w:rPr>
        <w:t xml:space="preserve">short research pieces focusing </w:t>
      </w:r>
      <w:r w:rsidRPr="006E3F10">
        <w:rPr>
          <w:lang w:val="en-GB"/>
        </w:rPr>
        <w:t>on specific workforce issues with the aim of generating insights that prompt leaders to take action.</w:t>
      </w:r>
    </w:p>
    <w:p w14:paraId="4C95FB81" w14:textId="77777777" w:rsidR="006E3F10" w:rsidRPr="006E3F10" w:rsidRDefault="006E3F10" w:rsidP="006E3F10">
      <w:pPr>
        <w:rPr>
          <w:lang w:val="en-GB"/>
        </w:rPr>
      </w:pPr>
      <w:r w:rsidRPr="006E3F10">
        <w:rPr>
          <w:lang w:val="en-GB"/>
        </w:rPr>
        <w:t>The papers addressed:</w:t>
      </w:r>
    </w:p>
    <w:p w14:paraId="30DE6233" w14:textId="77777777" w:rsidR="006E3F10" w:rsidRPr="006E3F10" w:rsidRDefault="006E3F10" w:rsidP="00DA2E90">
      <w:pPr>
        <w:pStyle w:val="Bullet"/>
        <w:rPr>
          <w:lang w:val="en-GB"/>
        </w:rPr>
      </w:pPr>
      <w:r w:rsidRPr="006E3F10">
        <w:rPr>
          <w:lang w:val="en-GB"/>
        </w:rPr>
        <w:t>becoming a better workplace for people with disabilities</w:t>
      </w:r>
    </w:p>
    <w:p w14:paraId="5E6A0C4D" w14:textId="77777777" w:rsidR="006E3F10" w:rsidRPr="006E3F10" w:rsidRDefault="006E3F10" w:rsidP="00DA2E90">
      <w:pPr>
        <w:pStyle w:val="Bullet"/>
        <w:rPr>
          <w:lang w:val="en-GB"/>
        </w:rPr>
      </w:pPr>
      <w:r w:rsidRPr="006E3F10">
        <w:rPr>
          <w:lang w:val="en-GB"/>
        </w:rPr>
        <w:t>employee engagement in the VPS</w:t>
      </w:r>
    </w:p>
    <w:p w14:paraId="2566D4A5" w14:textId="77777777" w:rsidR="006E3F10" w:rsidRPr="006E3F10" w:rsidRDefault="006E3F10" w:rsidP="00DA2E90">
      <w:pPr>
        <w:pStyle w:val="Bullet"/>
        <w:rPr>
          <w:lang w:val="en-GB"/>
        </w:rPr>
      </w:pPr>
      <w:r w:rsidRPr="006E3F10">
        <w:rPr>
          <w:lang w:val="en-GB"/>
        </w:rPr>
        <w:t>bullying in the VPS</w:t>
      </w:r>
    </w:p>
    <w:p w14:paraId="74F87C47" w14:textId="77777777" w:rsidR="006E3F10" w:rsidRPr="006E3F10" w:rsidRDefault="006E3F10" w:rsidP="00DA2E90">
      <w:pPr>
        <w:pStyle w:val="Bullet"/>
        <w:rPr>
          <w:lang w:val="en-GB"/>
        </w:rPr>
      </w:pPr>
      <w:r w:rsidRPr="006E3F10">
        <w:rPr>
          <w:lang w:val="en-GB"/>
        </w:rPr>
        <w:t>workplace cultural diversity and inclusiveness</w:t>
      </w:r>
    </w:p>
    <w:p w14:paraId="7BC4B4CA" w14:textId="77777777" w:rsidR="006E3F10" w:rsidRPr="006E3F10" w:rsidRDefault="006E3F10" w:rsidP="00DA2E90">
      <w:pPr>
        <w:pStyle w:val="Bullet"/>
        <w:rPr>
          <w:lang w:val="en-GB"/>
        </w:rPr>
      </w:pPr>
      <w:r w:rsidRPr="006E3F10">
        <w:rPr>
          <w:lang w:val="en-GB"/>
        </w:rPr>
        <w:t>women in public sector executive roles</w:t>
      </w:r>
    </w:p>
    <w:p w14:paraId="4458931B" w14:textId="419322DB" w:rsidR="006E3F10" w:rsidRPr="006E3F10" w:rsidRDefault="006E3F10" w:rsidP="006E3F10">
      <w:pPr>
        <w:rPr>
          <w:lang w:val="en-GB"/>
        </w:rPr>
      </w:pPr>
      <w:r w:rsidRPr="006E3F10">
        <w:rPr>
          <w:lang w:val="en-GB"/>
        </w:rPr>
        <w:t>In addition, VPSC conducted case studies with five public sector organisat</w:t>
      </w:r>
      <w:r w:rsidR="00DA2E90">
        <w:rPr>
          <w:lang w:val="en-GB"/>
        </w:rPr>
        <w:t xml:space="preserve">ions which demonstrate </w:t>
      </w:r>
      <w:r w:rsidRPr="006E3F10">
        <w:rPr>
          <w:lang w:val="en-GB"/>
        </w:rPr>
        <w:t>that there are a number of common approaches that have been successfully employed to improve workplace cultures. The case studies were published in the paper, T</w:t>
      </w:r>
      <w:r w:rsidR="00DA2E90">
        <w:rPr>
          <w:i/>
          <w:iCs/>
          <w:lang w:val="en-GB"/>
        </w:rPr>
        <w:t xml:space="preserve">urning the Tide on Bullying </w:t>
      </w:r>
      <w:r w:rsidRPr="006E3F10">
        <w:rPr>
          <w:i/>
          <w:iCs/>
          <w:lang w:val="en-GB"/>
        </w:rPr>
        <w:t>and Poor Workplace Cultures: Case Studies</w:t>
      </w:r>
      <w:r w:rsidRPr="006E3F10">
        <w:rPr>
          <w:lang w:val="en-GB"/>
        </w:rPr>
        <w:t>.</w:t>
      </w:r>
    </w:p>
    <w:p w14:paraId="2F0E3A52" w14:textId="3B535BA2" w:rsidR="006E3F10" w:rsidRPr="006E3F10" w:rsidRDefault="00DA2E90" w:rsidP="00DA2E90">
      <w:pPr>
        <w:pStyle w:val="Heading1"/>
        <w:rPr>
          <w:lang w:val="en-GB"/>
        </w:rPr>
      </w:pPr>
      <w:bookmarkStart w:id="32" w:name="_Toc494111960"/>
      <w:r>
        <w:rPr>
          <w:lang w:val="en-GB"/>
        </w:rPr>
        <w:t xml:space="preserve">Section 2 – </w:t>
      </w:r>
      <w:r w:rsidR="006E3F10" w:rsidRPr="006E3F10">
        <w:rPr>
          <w:lang w:val="en-GB"/>
        </w:rPr>
        <w:t>Governance and Organisational Structure</w:t>
      </w:r>
      <w:bookmarkEnd w:id="32"/>
    </w:p>
    <w:p w14:paraId="4FE02897" w14:textId="77777777" w:rsidR="006E3F10" w:rsidRPr="006E3F10" w:rsidRDefault="006E3F10" w:rsidP="00DA2E90">
      <w:pPr>
        <w:pStyle w:val="Heading2"/>
        <w:rPr>
          <w:lang w:val="en-GB"/>
        </w:rPr>
      </w:pPr>
      <w:bookmarkStart w:id="33" w:name="_Toc494111961"/>
      <w:r w:rsidRPr="006E3F10">
        <w:rPr>
          <w:lang w:val="en-GB"/>
        </w:rPr>
        <w:t>Organisational Structure</w:t>
      </w:r>
      <w:bookmarkEnd w:id="33"/>
    </w:p>
    <w:p w14:paraId="658209A9" w14:textId="7F2D7DA6" w:rsidR="006E3F10" w:rsidRPr="006E3F10" w:rsidRDefault="006E3F10" w:rsidP="006E3F10">
      <w:pPr>
        <w:rPr>
          <w:lang w:val="en-GB"/>
        </w:rPr>
      </w:pPr>
      <w:r w:rsidRPr="006E3F10">
        <w:rPr>
          <w:lang w:val="en-GB"/>
        </w:rPr>
        <w:t>VPSC is led by a Commissioner and reporting to the Commission</w:t>
      </w:r>
      <w:r w:rsidR="00DA2E90">
        <w:rPr>
          <w:lang w:val="en-GB"/>
        </w:rPr>
        <w:t xml:space="preserve">er is the Deputy Commissioner, </w:t>
      </w:r>
      <w:r w:rsidRPr="006E3F10">
        <w:rPr>
          <w:lang w:val="en-GB"/>
        </w:rPr>
        <w:t>Executive Director of Leadership and Workforce and the Executive Director of Performance and Integrity. Together, this team creates VPSC’s Executive Leadership Team.</w:t>
      </w:r>
    </w:p>
    <w:p w14:paraId="48B98C4F" w14:textId="77777777" w:rsidR="006E3F10" w:rsidRPr="006E3F10" w:rsidRDefault="006E3F10" w:rsidP="00DA2E90">
      <w:pPr>
        <w:pStyle w:val="Heading3"/>
        <w:rPr>
          <w:lang w:val="en-GB"/>
        </w:rPr>
      </w:pPr>
      <w:bookmarkStart w:id="34" w:name="_Toc494111962"/>
      <w:r w:rsidRPr="006E3F10">
        <w:rPr>
          <w:lang w:val="en-GB"/>
        </w:rPr>
        <w:t>Belinda Clark – Commissioner</w:t>
      </w:r>
      <w:bookmarkEnd w:id="34"/>
    </w:p>
    <w:p w14:paraId="11488C77" w14:textId="5944033B" w:rsidR="006E3F10" w:rsidRPr="006E3F10" w:rsidRDefault="006E3F10" w:rsidP="006E3F10">
      <w:pPr>
        <w:rPr>
          <w:lang w:val="en-GB"/>
        </w:rPr>
      </w:pPr>
      <w:r w:rsidRPr="006E3F10">
        <w:rPr>
          <w:lang w:val="en-GB"/>
        </w:rPr>
        <w:t>Belinda is a lawyer with over 30 years public sector management experi</w:t>
      </w:r>
      <w:r w:rsidR="00DA2E90">
        <w:rPr>
          <w:lang w:val="en-GB"/>
        </w:rPr>
        <w:t xml:space="preserve">ence. Prior to her appointment </w:t>
      </w:r>
      <w:r w:rsidRPr="006E3F10">
        <w:rPr>
          <w:lang w:val="en-GB"/>
        </w:rPr>
        <w:t>as the Victorian Public Sector Commissioner in April 2014, she held</w:t>
      </w:r>
      <w:r w:rsidR="00DA2E90">
        <w:rPr>
          <w:lang w:val="en-GB"/>
        </w:rPr>
        <w:t xml:space="preserve"> a number of senior Government </w:t>
      </w:r>
      <w:r w:rsidRPr="006E3F10">
        <w:rPr>
          <w:lang w:val="en-GB"/>
        </w:rPr>
        <w:t>roles in New Zealand including: </w:t>
      </w:r>
    </w:p>
    <w:p w14:paraId="27417BF0" w14:textId="77777777" w:rsidR="006E3F10" w:rsidRPr="006E3F10" w:rsidRDefault="006E3F10" w:rsidP="000D2DBA">
      <w:pPr>
        <w:pStyle w:val="Bullet"/>
        <w:rPr>
          <w:lang w:val="en-GB"/>
        </w:rPr>
      </w:pPr>
      <w:r w:rsidRPr="006E3F10">
        <w:rPr>
          <w:lang w:val="en-GB"/>
        </w:rPr>
        <w:t>Secretary and Chief Executive of the Ministry of Justice</w:t>
      </w:r>
    </w:p>
    <w:p w14:paraId="163C5D56" w14:textId="77777777" w:rsidR="006E3F10" w:rsidRPr="006E3F10" w:rsidRDefault="006E3F10" w:rsidP="000D2DBA">
      <w:pPr>
        <w:pStyle w:val="Bullet"/>
        <w:rPr>
          <w:lang w:val="en-GB"/>
        </w:rPr>
      </w:pPr>
      <w:r w:rsidRPr="006E3F10">
        <w:rPr>
          <w:lang w:val="en-GB"/>
        </w:rPr>
        <w:t>Director of the Office of Treaty Settlements </w:t>
      </w:r>
    </w:p>
    <w:p w14:paraId="24D57A18" w14:textId="77777777" w:rsidR="006E3F10" w:rsidRPr="006E3F10" w:rsidRDefault="006E3F10" w:rsidP="000D2DBA">
      <w:pPr>
        <w:pStyle w:val="Bullet"/>
        <w:rPr>
          <w:lang w:val="en-GB"/>
        </w:rPr>
      </w:pPr>
      <w:r w:rsidRPr="006E3F10">
        <w:rPr>
          <w:lang w:val="en-GB"/>
        </w:rPr>
        <w:t>Chief Executive of the Tertiary Education Commission</w:t>
      </w:r>
    </w:p>
    <w:p w14:paraId="2CB9B9FF" w14:textId="77777777" w:rsidR="006E3F10" w:rsidRPr="006E3F10" w:rsidRDefault="006E3F10" w:rsidP="000D2DBA">
      <w:pPr>
        <w:pStyle w:val="Heading3"/>
        <w:rPr>
          <w:lang w:val="en-GB"/>
        </w:rPr>
      </w:pPr>
      <w:bookmarkStart w:id="35" w:name="_Toc494111963"/>
      <w:r w:rsidRPr="006E3F10">
        <w:rPr>
          <w:lang w:val="en-GB"/>
        </w:rPr>
        <w:t>Dr Damian West – Deputy Commissioner</w:t>
      </w:r>
      <w:bookmarkEnd w:id="35"/>
    </w:p>
    <w:p w14:paraId="6C2125DB" w14:textId="6D20A366" w:rsidR="006E3F10" w:rsidRPr="006E3F10" w:rsidRDefault="006E3F10" w:rsidP="006E3F10">
      <w:pPr>
        <w:rPr>
          <w:lang w:val="en-GB"/>
        </w:rPr>
      </w:pPr>
      <w:r w:rsidRPr="006E3F10">
        <w:rPr>
          <w:lang w:val="en-GB"/>
        </w:rPr>
        <w:t>Damian comes with extensive policy and program delivery experi</w:t>
      </w:r>
      <w:r w:rsidR="002D3810">
        <w:rPr>
          <w:lang w:val="en-GB"/>
        </w:rPr>
        <w:t xml:space="preserve">ence within the public sector. </w:t>
      </w:r>
      <w:r w:rsidRPr="006E3F10">
        <w:rPr>
          <w:lang w:val="en-GB"/>
        </w:rPr>
        <w:t>Prior to VPSC he was a Senior Executive Service Officer at the Australian Public Service Commission (APSC) where he led the development of sector wide workfo</w:t>
      </w:r>
      <w:r w:rsidR="002D3810">
        <w:rPr>
          <w:lang w:val="en-GB"/>
        </w:rPr>
        <w:t xml:space="preserve">rce strategies and implemented </w:t>
      </w:r>
      <w:r w:rsidRPr="006E3F10">
        <w:rPr>
          <w:lang w:val="en-GB"/>
        </w:rPr>
        <w:t>significant policy programs.</w:t>
      </w:r>
    </w:p>
    <w:p w14:paraId="4EB62191" w14:textId="77777777" w:rsidR="006E3F10" w:rsidRPr="006E3F10" w:rsidRDefault="006E3F10" w:rsidP="002D3810">
      <w:pPr>
        <w:pStyle w:val="Heading3"/>
        <w:rPr>
          <w:lang w:val="en-GB"/>
        </w:rPr>
      </w:pPr>
      <w:bookmarkStart w:id="36" w:name="_Toc494111964"/>
      <w:r w:rsidRPr="006E3F10">
        <w:rPr>
          <w:lang w:val="en-GB"/>
        </w:rPr>
        <w:t>Linda Holmes – Executive Director, Leadership and Workforce</w:t>
      </w:r>
      <w:bookmarkEnd w:id="36"/>
    </w:p>
    <w:p w14:paraId="3C329DCE" w14:textId="77777777" w:rsidR="006E3F10" w:rsidRPr="006E3F10" w:rsidRDefault="006E3F10" w:rsidP="006E3F10">
      <w:pPr>
        <w:rPr>
          <w:lang w:val="en-GB"/>
        </w:rPr>
      </w:pPr>
      <w:r w:rsidRPr="006E3F10">
        <w:rPr>
          <w:lang w:val="en-GB"/>
        </w:rPr>
        <w:t>Linda has led a number of programs and teams with a specific interest in people-related issues such as organisational change management, strategic communications, culture transformation, leadership, organisational design, and analytics. </w:t>
      </w:r>
    </w:p>
    <w:p w14:paraId="7CDCB16A" w14:textId="77777777" w:rsidR="006E3F10" w:rsidRPr="006E3F10" w:rsidRDefault="006E3F10" w:rsidP="006E3F10">
      <w:pPr>
        <w:rPr>
          <w:lang w:val="en-GB"/>
        </w:rPr>
      </w:pPr>
      <w:r w:rsidRPr="006E3F10">
        <w:rPr>
          <w:lang w:val="en-GB"/>
        </w:rPr>
        <w:t>Linda also has significant experience in operating model design, effectiveness and efficiency reviews, governance, process improvement and delivery of complex, high profile ICT programs.</w:t>
      </w:r>
    </w:p>
    <w:p w14:paraId="398F1795" w14:textId="77777777" w:rsidR="006E3F10" w:rsidRPr="006E3F10" w:rsidRDefault="006E3F10" w:rsidP="002D3810">
      <w:pPr>
        <w:pStyle w:val="Heading3"/>
        <w:rPr>
          <w:lang w:val="en-GB"/>
        </w:rPr>
      </w:pPr>
      <w:bookmarkStart w:id="37" w:name="_Toc494111965"/>
      <w:r w:rsidRPr="006E3F10">
        <w:rPr>
          <w:lang w:val="en-GB"/>
        </w:rPr>
        <w:t>Karen Lau – Executive Director, Performance and Integrity</w:t>
      </w:r>
      <w:bookmarkEnd w:id="37"/>
    </w:p>
    <w:p w14:paraId="41889482" w14:textId="77777777" w:rsidR="006E3F10" w:rsidRPr="006E3F10" w:rsidRDefault="006E3F10" w:rsidP="006E3F10">
      <w:pPr>
        <w:rPr>
          <w:lang w:val="en-GB"/>
        </w:rPr>
      </w:pPr>
      <w:r w:rsidRPr="006E3F10">
        <w:rPr>
          <w:lang w:val="en-GB"/>
        </w:rPr>
        <w:t>Karen has extensive experience leading public sector reviews and inquiries.</w:t>
      </w:r>
    </w:p>
    <w:p w14:paraId="2FB60FDA" w14:textId="5324B006" w:rsidR="006E3F10" w:rsidRPr="006E3F10" w:rsidRDefault="006E3F10" w:rsidP="006E3F10">
      <w:pPr>
        <w:rPr>
          <w:lang w:val="en-GB"/>
        </w:rPr>
      </w:pPr>
      <w:r w:rsidRPr="006E3F10">
        <w:rPr>
          <w:lang w:val="en-GB"/>
        </w:rPr>
        <w:t>Karen has expertise in public administration, policy, governance, o</w:t>
      </w:r>
      <w:r w:rsidR="002D3810">
        <w:rPr>
          <w:lang w:val="en-GB"/>
        </w:rPr>
        <w:t xml:space="preserve">rganisation capability, system </w:t>
      </w:r>
      <w:r w:rsidRPr="006E3F10">
        <w:rPr>
          <w:lang w:val="en-GB"/>
        </w:rPr>
        <w:t xml:space="preserve">design and ethical workplace behaviour and has led statutory, advisory </w:t>
      </w:r>
      <w:r w:rsidR="002D3810">
        <w:rPr>
          <w:lang w:val="en-GB"/>
        </w:rPr>
        <w:t xml:space="preserve">and data and analytic services </w:t>
      </w:r>
      <w:r w:rsidRPr="006E3F10">
        <w:rPr>
          <w:lang w:val="en-GB"/>
        </w:rPr>
        <w:t>across the public sector.</w:t>
      </w:r>
    </w:p>
    <w:p w14:paraId="768AE2C0" w14:textId="77777777" w:rsidR="006E3F10" w:rsidRPr="006E3F10" w:rsidRDefault="006E3F10" w:rsidP="006E3F10">
      <w:pPr>
        <w:rPr>
          <w:lang w:val="en-GB"/>
        </w:rPr>
      </w:pPr>
      <w:r w:rsidRPr="006E3F10">
        <w:rPr>
          <w:lang w:val="en-GB"/>
        </w:rPr>
        <w:lastRenderedPageBreak/>
        <w:t>Prior to VPSC, Karen delivered cross-portfolio strategic projects for the Department of Human Services.</w:t>
      </w:r>
    </w:p>
    <w:p w14:paraId="67A97824" w14:textId="77777777" w:rsidR="006E3F10" w:rsidRPr="006E3F10" w:rsidRDefault="006E3F10" w:rsidP="006E3F10">
      <w:pPr>
        <w:rPr>
          <w:lang w:val="en-GB"/>
        </w:rPr>
      </w:pPr>
      <w:r w:rsidRPr="006E3F10">
        <w:rPr>
          <w:lang w:val="en-GB"/>
        </w:rPr>
        <w:t>The Executive Leadership Team forms two divisions and six branches, which is illustrated below:</w:t>
      </w:r>
    </w:p>
    <w:tbl>
      <w:tblPr>
        <w:tblStyle w:val="TableGrid"/>
        <w:tblW w:w="10485" w:type="dxa"/>
        <w:tblLook w:val="04A0" w:firstRow="1" w:lastRow="0" w:firstColumn="1" w:lastColumn="0" w:noHBand="0" w:noVBand="1"/>
      </w:tblPr>
      <w:tblGrid>
        <w:gridCol w:w="5242"/>
        <w:gridCol w:w="5243"/>
      </w:tblGrid>
      <w:tr w:rsidR="002D3810" w:rsidRPr="006E3F10" w14:paraId="3E6E9863" w14:textId="77777777" w:rsidTr="002D3810">
        <w:tc>
          <w:tcPr>
            <w:tcW w:w="5242" w:type="dxa"/>
            <w:hideMark/>
          </w:tcPr>
          <w:p w14:paraId="6B72E1EE" w14:textId="77777777" w:rsidR="006E3F10" w:rsidRPr="006E3F10" w:rsidRDefault="006E3F10" w:rsidP="002D3810">
            <w:pPr>
              <w:pStyle w:val="Heading4"/>
              <w:rPr>
                <w:lang w:val="en-GB"/>
              </w:rPr>
            </w:pPr>
            <w:r w:rsidRPr="006E3F10">
              <w:rPr>
                <w:lang w:val="en-GB"/>
              </w:rPr>
              <w:t>Leadership and Workforce</w:t>
            </w:r>
          </w:p>
        </w:tc>
        <w:tc>
          <w:tcPr>
            <w:tcW w:w="5243" w:type="dxa"/>
            <w:hideMark/>
          </w:tcPr>
          <w:p w14:paraId="31525409" w14:textId="77777777" w:rsidR="006E3F10" w:rsidRPr="006E3F10" w:rsidRDefault="006E3F10" w:rsidP="002D3810">
            <w:pPr>
              <w:pStyle w:val="Heading4"/>
              <w:rPr>
                <w:lang w:val="en-GB"/>
              </w:rPr>
            </w:pPr>
            <w:r w:rsidRPr="006E3F10">
              <w:rPr>
                <w:lang w:val="en-GB"/>
              </w:rPr>
              <w:t>Performance and Integrity</w:t>
            </w:r>
          </w:p>
        </w:tc>
      </w:tr>
      <w:tr w:rsidR="002D3810" w:rsidRPr="006E3F10" w14:paraId="0BB9F628" w14:textId="77777777" w:rsidTr="002D3810">
        <w:tc>
          <w:tcPr>
            <w:tcW w:w="5242" w:type="dxa"/>
            <w:hideMark/>
          </w:tcPr>
          <w:p w14:paraId="33D8F3DE" w14:textId="77777777" w:rsidR="006E3F10" w:rsidRPr="006E3F10" w:rsidRDefault="006E3F10" w:rsidP="002D3810">
            <w:pPr>
              <w:pStyle w:val="Bullet"/>
              <w:rPr>
                <w:lang w:val="en-GB"/>
              </w:rPr>
            </w:pPr>
            <w:r w:rsidRPr="006E3F10">
              <w:rPr>
                <w:lang w:val="en-GB"/>
              </w:rPr>
              <w:t>Workforce Frameworks &amp; Programs</w:t>
            </w:r>
          </w:p>
          <w:p w14:paraId="251066B0" w14:textId="77777777" w:rsidR="006E3F10" w:rsidRPr="006E3F10" w:rsidRDefault="006E3F10" w:rsidP="002D3810">
            <w:pPr>
              <w:pStyle w:val="Bullet"/>
              <w:rPr>
                <w:lang w:val="en-GB"/>
              </w:rPr>
            </w:pPr>
            <w:r w:rsidRPr="006E3F10">
              <w:rPr>
                <w:lang w:val="en-GB"/>
              </w:rPr>
              <w:t>Workforce Strategy</w:t>
            </w:r>
          </w:p>
          <w:p w14:paraId="01403C04" w14:textId="77777777" w:rsidR="006E3F10" w:rsidRPr="006E3F10" w:rsidRDefault="006E3F10" w:rsidP="002D3810">
            <w:pPr>
              <w:pStyle w:val="Bullet"/>
              <w:rPr>
                <w:lang w:val="en-GB"/>
              </w:rPr>
            </w:pPr>
            <w:r w:rsidRPr="006E3F10">
              <w:rPr>
                <w:lang w:val="en-GB"/>
              </w:rPr>
              <w:t>Victorian Leadership Academy</w:t>
            </w:r>
          </w:p>
        </w:tc>
        <w:tc>
          <w:tcPr>
            <w:tcW w:w="5243" w:type="dxa"/>
            <w:hideMark/>
          </w:tcPr>
          <w:p w14:paraId="184B2346" w14:textId="77777777" w:rsidR="006E3F10" w:rsidRPr="006E3F10" w:rsidRDefault="006E3F10" w:rsidP="002D3810">
            <w:pPr>
              <w:pStyle w:val="Bullet"/>
              <w:rPr>
                <w:lang w:val="en-GB"/>
              </w:rPr>
            </w:pPr>
            <w:r w:rsidRPr="006E3F10">
              <w:rPr>
                <w:lang w:val="en-GB"/>
              </w:rPr>
              <w:t>Analytics &amp; Performance</w:t>
            </w:r>
          </w:p>
          <w:p w14:paraId="1594E24A" w14:textId="77777777" w:rsidR="006E3F10" w:rsidRPr="006E3F10" w:rsidRDefault="006E3F10" w:rsidP="002D3810">
            <w:pPr>
              <w:pStyle w:val="Bullet"/>
              <w:rPr>
                <w:lang w:val="en-GB"/>
              </w:rPr>
            </w:pPr>
            <w:r w:rsidRPr="006E3F10">
              <w:rPr>
                <w:lang w:val="en-GB"/>
              </w:rPr>
              <w:t>Integrity &amp; Advisory</w:t>
            </w:r>
          </w:p>
        </w:tc>
      </w:tr>
      <w:tr w:rsidR="002D3810" w:rsidRPr="006E3F10" w14:paraId="2256F9AB" w14:textId="77777777" w:rsidTr="002D3810">
        <w:tc>
          <w:tcPr>
            <w:tcW w:w="5242" w:type="dxa"/>
            <w:hideMark/>
          </w:tcPr>
          <w:p w14:paraId="78252060" w14:textId="77777777" w:rsidR="006E3F10" w:rsidRPr="006E3F10" w:rsidRDefault="006E3F10" w:rsidP="002D3810">
            <w:pPr>
              <w:pStyle w:val="Heading5"/>
              <w:rPr>
                <w:lang w:val="en-GB"/>
              </w:rPr>
            </w:pPr>
            <w:r w:rsidRPr="006E3F10">
              <w:rPr>
                <w:lang w:val="en-GB"/>
              </w:rPr>
              <w:t>Corporate</w:t>
            </w:r>
          </w:p>
        </w:tc>
        <w:tc>
          <w:tcPr>
            <w:tcW w:w="5243" w:type="dxa"/>
            <w:hideMark/>
          </w:tcPr>
          <w:p w14:paraId="43580224" w14:textId="77777777" w:rsidR="006E3F10" w:rsidRPr="006E3F10" w:rsidRDefault="006E3F10" w:rsidP="006E3F10">
            <w:pPr>
              <w:rPr>
                <w:lang w:val="en-GB"/>
              </w:rPr>
            </w:pPr>
          </w:p>
        </w:tc>
      </w:tr>
      <w:tr w:rsidR="002D3810" w:rsidRPr="006E3F10" w14:paraId="23AC0185" w14:textId="77777777" w:rsidTr="002D3810">
        <w:tc>
          <w:tcPr>
            <w:tcW w:w="5242" w:type="dxa"/>
            <w:hideMark/>
          </w:tcPr>
          <w:p w14:paraId="7DB4DFBF" w14:textId="77777777" w:rsidR="006E3F10" w:rsidRPr="006E3F10" w:rsidRDefault="006E3F10" w:rsidP="002D3810">
            <w:pPr>
              <w:pStyle w:val="Bullet"/>
              <w:numPr>
                <w:ilvl w:val="1"/>
                <w:numId w:val="1"/>
              </w:numPr>
              <w:rPr>
                <w:lang w:val="en-GB"/>
              </w:rPr>
            </w:pPr>
            <w:r w:rsidRPr="006E3F10">
              <w:rPr>
                <w:lang w:val="en-GB"/>
              </w:rPr>
              <w:t>Communications &amp; Information Management</w:t>
            </w:r>
          </w:p>
          <w:p w14:paraId="1EF89F4B" w14:textId="77777777" w:rsidR="006E3F10" w:rsidRPr="006E3F10" w:rsidRDefault="006E3F10" w:rsidP="002D3810">
            <w:pPr>
              <w:pStyle w:val="Bullet"/>
              <w:numPr>
                <w:ilvl w:val="1"/>
                <w:numId w:val="1"/>
              </w:numPr>
              <w:rPr>
                <w:lang w:val="en-GB"/>
              </w:rPr>
            </w:pPr>
            <w:r w:rsidRPr="006E3F10">
              <w:rPr>
                <w:lang w:val="en-GB"/>
              </w:rPr>
              <w:t>Human Resources</w:t>
            </w:r>
          </w:p>
          <w:p w14:paraId="4303D24B" w14:textId="77777777" w:rsidR="006E3F10" w:rsidRPr="006E3F10" w:rsidRDefault="006E3F10" w:rsidP="002D3810">
            <w:pPr>
              <w:pStyle w:val="Bullet"/>
              <w:numPr>
                <w:ilvl w:val="1"/>
                <w:numId w:val="1"/>
              </w:numPr>
              <w:rPr>
                <w:lang w:val="en-GB"/>
              </w:rPr>
            </w:pPr>
            <w:r w:rsidRPr="006E3F10">
              <w:rPr>
                <w:lang w:val="en-GB"/>
              </w:rPr>
              <w:t>Finance</w:t>
            </w:r>
          </w:p>
        </w:tc>
        <w:tc>
          <w:tcPr>
            <w:tcW w:w="5243" w:type="dxa"/>
            <w:hideMark/>
          </w:tcPr>
          <w:p w14:paraId="04A75D1E" w14:textId="77777777" w:rsidR="006E3F10" w:rsidRPr="006E3F10" w:rsidRDefault="006E3F10" w:rsidP="006E3F10">
            <w:pPr>
              <w:rPr>
                <w:lang w:val="en-GB"/>
              </w:rPr>
            </w:pPr>
          </w:p>
        </w:tc>
      </w:tr>
    </w:tbl>
    <w:p w14:paraId="18C318F2" w14:textId="77777777" w:rsidR="006E3F10" w:rsidRPr="006E3F10" w:rsidRDefault="006E3F10" w:rsidP="006E3F10">
      <w:pPr>
        <w:rPr>
          <w:lang w:val="en-GB"/>
        </w:rPr>
      </w:pPr>
    </w:p>
    <w:p w14:paraId="0FA0B649" w14:textId="7B163B32" w:rsidR="006E3F10" w:rsidRPr="006E3F10" w:rsidRDefault="0043557A" w:rsidP="002D3810">
      <w:pPr>
        <w:pStyle w:val="Heading3"/>
        <w:rPr>
          <w:lang w:val="en-GB"/>
        </w:rPr>
      </w:pPr>
      <w:bookmarkStart w:id="38" w:name="_Toc494111966"/>
      <w:r>
        <w:rPr>
          <w:lang w:val="en-GB"/>
        </w:rPr>
        <w:t>Victorian Public Sector C</w:t>
      </w:r>
      <w:r w:rsidRPr="006E3F10">
        <w:rPr>
          <w:lang w:val="en-GB"/>
        </w:rPr>
        <w:t>ommission organisational chart 2016-17</w:t>
      </w:r>
      <w:bookmarkEnd w:id="38"/>
    </w:p>
    <w:tbl>
      <w:tblPr>
        <w:tblStyle w:val="TableGrid"/>
        <w:tblW w:w="0" w:type="auto"/>
        <w:tblLook w:val="04A0" w:firstRow="1" w:lastRow="0" w:firstColumn="1" w:lastColumn="0" w:noHBand="0" w:noVBand="1"/>
      </w:tblPr>
      <w:tblGrid>
        <w:gridCol w:w="1742"/>
        <w:gridCol w:w="1742"/>
        <w:gridCol w:w="1743"/>
        <w:gridCol w:w="1743"/>
        <w:gridCol w:w="1743"/>
        <w:gridCol w:w="1743"/>
      </w:tblGrid>
      <w:tr w:rsidR="00781087" w14:paraId="282AA702" w14:textId="77777777" w:rsidTr="005369B2">
        <w:trPr>
          <w:cantSplit/>
        </w:trPr>
        <w:tc>
          <w:tcPr>
            <w:tcW w:w="10456" w:type="dxa"/>
            <w:gridSpan w:val="6"/>
          </w:tcPr>
          <w:p w14:paraId="7AB5B697" w14:textId="1E85CB6C" w:rsidR="00781087" w:rsidRDefault="00781087" w:rsidP="00781087">
            <w:pPr>
              <w:pStyle w:val="TableHeading"/>
              <w:jc w:val="center"/>
              <w:rPr>
                <w:lang w:val="en-GB"/>
              </w:rPr>
            </w:pPr>
            <w:r w:rsidRPr="00781087">
              <w:rPr>
                <w:lang w:val="en-GB"/>
              </w:rPr>
              <w:t>Commissioner /</w:t>
            </w:r>
            <w:r>
              <w:rPr>
                <w:lang w:val="en-GB"/>
              </w:rPr>
              <w:t xml:space="preserve"> </w:t>
            </w:r>
            <w:r w:rsidRPr="00781087">
              <w:rPr>
                <w:lang w:val="en-GB"/>
              </w:rPr>
              <w:t>Deputy Commissioner</w:t>
            </w:r>
          </w:p>
        </w:tc>
      </w:tr>
      <w:tr w:rsidR="00303B5B" w14:paraId="0DFBE0BA" w14:textId="77777777" w:rsidTr="005369B2">
        <w:trPr>
          <w:cantSplit/>
        </w:trPr>
        <w:tc>
          <w:tcPr>
            <w:tcW w:w="5227" w:type="dxa"/>
            <w:gridSpan w:val="3"/>
          </w:tcPr>
          <w:p w14:paraId="6B7FF196" w14:textId="52F7B8D1" w:rsidR="00781087" w:rsidRDefault="00422620" w:rsidP="00422620">
            <w:pPr>
              <w:pStyle w:val="TableHeading"/>
              <w:jc w:val="center"/>
              <w:rPr>
                <w:lang w:val="en-GB"/>
              </w:rPr>
            </w:pPr>
            <w:r w:rsidRPr="00422620">
              <w:rPr>
                <w:lang w:val="en-GB"/>
              </w:rPr>
              <w:t>Leadership</w:t>
            </w:r>
            <w:r>
              <w:rPr>
                <w:lang w:val="en-GB"/>
              </w:rPr>
              <w:t xml:space="preserve"> </w:t>
            </w:r>
            <w:r w:rsidRPr="00422620">
              <w:rPr>
                <w:lang w:val="en-GB"/>
              </w:rPr>
              <w:t>and Workforce</w:t>
            </w:r>
          </w:p>
        </w:tc>
        <w:tc>
          <w:tcPr>
            <w:tcW w:w="3486" w:type="dxa"/>
            <w:gridSpan w:val="2"/>
          </w:tcPr>
          <w:p w14:paraId="617A839B" w14:textId="10EF78FB" w:rsidR="00781087" w:rsidRDefault="00422620" w:rsidP="00422620">
            <w:pPr>
              <w:pStyle w:val="TableHeading"/>
              <w:jc w:val="center"/>
              <w:rPr>
                <w:lang w:val="en-GB"/>
              </w:rPr>
            </w:pPr>
            <w:r w:rsidRPr="00422620">
              <w:rPr>
                <w:lang w:val="en-GB"/>
              </w:rPr>
              <w:t>Performance</w:t>
            </w:r>
            <w:r>
              <w:rPr>
                <w:lang w:val="en-GB"/>
              </w:rPr>
              <w:t xml:space="preserve"> </w:t>
            </w:r>
            <w:r w:rsidRPr="00422620">
              <w:rPr>
                <w:lang w:val="en-GB"/>
              </w:rPr>
              <w:t>and Integrity</w:t>
            </w:r>
          </w:p>
        </w:tc>
        <w:tc>
          <w:tcPr>
            <w:tcW w:w="1743" w:type="dxa"/>
          </w:tcPr>
          <w:p w14:paraId="3417BEB4" w14:textId="77777777" w:rsidR="00781087" w:rsidRDefault="00781087" w:rsidP="00781087">
            <w:pPr>
              <w:pStyle w:val="TableHeading"/>
              <w:jc w:val="center"/>
              <w:rPr>
                <w:lang w:val="en-GB"/>
              </w:rPr>
            </w:pPr>
          </w:p>
        </w:tc>
      </w:tr>
      <w:tr w:rsidR="00E32A20" w14:paraId="08882A73" w14:textId="77777777" w:rsidTr="005369B2">
        <w:trPr>
          <w:cantSplit/>
        </w:trPr>
        <w:tc>
          <w:tcPr>
            <w:tcW w:w="1742" w:type="dxa"/>
          </w:tcPr>
          <w:p w14:paraId="12E8F12D" w14:textId="0C9028D3" w:rsidR="00781087" w:rsidRDefault="00422620" w:rsidP="00422620">
            <w:pPr>
              <w:pStyle w:val="TableHeading"/>
              <w:jc w:val="center"/>
              <w:rPr>
                <w:lang w:val="en-GB"/>
              </w:rPr>
            </w:pPr>
            <w:r w:rsidRPr="00422620">
              <w:rPr>
                <w:lang w:val="en-GB"/>
              </w:rPr>
              <w:t>Workforce</w:t>
            </w:r>
            <w:r>
              <w:rPr>
                <w:lang w:val="en-GB"/>
              </w:rPr>
              <w:t xml:space="preserve"> </w:t>
            </w:r>
            <w:r w:rsidRPr="00422620">
              <w:rPr>
                <w:lang w:val="en-GB"/>
              </w:rPr>
              <w:t>Frameworks and</w:t>
            </w:r>
            <w:r>
              <w:rPr>
                <w:lang w:val="en-GB"/>
              </w:rPr>
              <w:t xml:space="preserve"> </w:t>
            </w:r>
            <w:r w:rsidRPr="00422620">
              <w:rPr>
                <w:lang w:val="en-GB"/>
              </w:rPr>
              <w:t>Programs</w:t>
            </w:r>
          </w:p>
        </w:tc>
        <w:tc>
          <w:tcPr>
            <w:tcW w:w="1742" w:type="dxa"/>
          </w:tcPr>
          <w:p w14:paraId="0D790845" w14:textId="26FFE03E" w:rsidR="00781087" w:rsidRDefault="00422620" w:rsidP="00422620">
            <w:pPr>
              <w:pStyle w:val="TableHeading"/>
              <w:jc w:val="center"/>
              <w:rPr>
                <w:lang w:val="en-GB"/>
              </w:rPr>
            </w:pPr>
            <w:r w:rsidRPr="00422620">
              <w:rPr>
                <w:lang w:val="en-GB"/>
              </w:rPr>
              <w:t>Workforce</w:t>
            </w:r>
            <w:r>
              <w:rPr>
                <w:lang w:val="en-GB"/>
              </w:rPr>
              <w:t xml:space="preserve"> </w:t>
            </w:r>
            <w:r w:rsidRPr="00422620">
              <w:rPr>
                <w:lang w:val="en-GB"/>
              </w:rPr>
              <w:t>Strategy</w:t>
            </w:r>
          </w:p>
        </w:tc>
        <w:tc>
          <w:tcPr>
            <w:tcW w:w="1743" w:type="dxa"/>
          </w:tcPr>
          <w:p w14:paraId="60075503" w14:textId="6F17258F" w:rsidR="00781087" w:rsidRPr="00422620" w:rsidRDefault="00422620" w:rsidP="00422620">
            <w:pPr>
              <w:pStyle w:val="TableHeading"/>
              <w:jc w:val="center"/>
              <w:rPr>
                <w:lang w:val="en-GB"/>
              </w:rPr>
            </w:pPr>
            <w:r w:rsidRPr="00422620">
              <w:rPr>
                <w:lang w:val="en-GB"/>
              </w:rPr>
              <w:t>Victorian</w:t>
            </w:r>
            <w:r>
              <w:rPr>
                <w:lang w:val="en-GB"/>
              </w:rPr>
              <w:t xml:space="preserve"> </w:t>
            </w:r>
            <w:r w:rsidRPr="00422620">
              <w:rPr>
                <w:lang w:val="en-GB"/>
              </w:rPr>
              <w:t>Leadership</w:t>
            </w:r>
            <w:r>
              <w:rPr>
                <w:lang w:val="en-GB"/>
              </w:rPr>
              <w:t xml:space="preserve"> </w:t>
            </w:r>
            <w:r w:rsidRPr="00422620">
              <w:rPr>
                <w:lang w:val="en-GB"/>
              </w:rPr>
              <w:t>Academy</w:t>
            </w:r>
          </w:p>
        </w:tc>
        <w:tc>
          <w:tcPr>
            <w:tcW w:w="1743" w:type="dxa"/>
          </w:tcPr>
          <w:p w14:paraId="39C6BBC2" w14:textId="1EAF07B2" w:rsidR="00422620" w:rsidRPr="00422620" w:rsidRDefault="00422620" w:rsidP="00422620">
            <w:pPr>
              <w:pStyle w:val="TableHeading"/>
              <w:jc w:val="center"/>
              <w:rPr>
                <w:lang w:val="en-GB"/>
              </w:rPr>
            </w:pPr>
            <w:r w:rsidRPr="00422620">
              <w:rPr>
                <w:lang w:val="en-GB"/>
              </w:rPr>
              <w:t>Analytics</w:t>
            </w:r>
            <w:r>
              <w:rPr>
                <w:lang w:val="en-GB"/>
              </w:rPr>
              <w:t xml:space="preserve"> </w:t>
            </w:r>
            <w:r w:rsidRPr="00422620">
              <w:rPr>
                <w:lang w:val="en-GB"/>
              </w:rPr>
              <w:t>and Performance</w:t>
            </w:r>
          </w:p>
          <w:p w14:paraId="430B85C4" w14:textId="77777777" w:rsidR="00781087" w:rsidRDefault="00781087" w:rsidP="00422620">
            <w:pPr>
              <w:pStyle w:val="TableHeading"/>
              <w:jc w:val="center"/>
              <w:rPr>
                <w:lang w:val="en-GB"/>
              </w:rPr>
            </w:pPr>
          </w:p>
        </w:tc>
        <w:tc>
          <w:tcPr>
            <w:tcW w:w="1743" w:type="dxa"/>
          </w:tcPr>
          <w:p w14:paraId="4F7318EE" w14:textId="69A7936C" w:rsidR="00422620" w:rsidRPr="00422620" w:rsidRDefault="00422620" w:rsidP="00422620">
            <w:pPr>
              <w:pStyle w:val="TableHeading"/>
              <w:jc w:val="center"/>
              <w:rPr>
                <w:lang w:val="en-GB"/>
              </w:rPr>
            </w:pPr>
            <w:r w:rsidRPr="00422620">
              <w:rPr>
                <w:lang w:val="en-GB"/>
              </w:rPr>
              <w:t>Integrity</w:t>
            </w:r>
            <w:r>
              <w:rPr>
                <w:lang w:val="en-GB"/>
              </w:rPr>
              <w:t xml:space="preserve"> </w:t>
            </w:r>
            <w:r w:rsidRPr="00422620">
              <w:rPr>
                <w:lang w:val="en-GB"/>
              </w:rPr>
              <w:t>and Advisory</w:t>
            </w:r>
          </w:p>
          <w:p w14:paraId="2C178759" w14:textId="77777777" w:rsidR="00781087" w:rsidRDefault="00781087" w:rsidP="00422620">
            <w:pPr>
              <w:pStyle w:val="TableHeading"/>
              <w:jc w:val="center"/>
              <w:rPr>
                <w:lang w:val="en-GB"/>
              </w:rPr>
            </w:pPr>
          </w:p>
        </w:tc>
        <w:tc>
          <w:tcPr>
            <w:tcW w:w="1743" w:type="dxa"/>
          </w:tcPr>
          <w:p w14:paraId="1DB01E53" w14:textId="008CF088" w:rsidR="00781087" w:rsidRDefault="00422620" w:rsidP="00422620">
            <w:pPr>
              <w:pStyle w:val="TableHeading"/>
              <w:jc w:val="center"/>
              <w:rPr>
                <w:lang w:val="en-GB"/>
              </w:rPr>
            </w:pPr>
            <w:r w:rsidRPr="00422620">
              <w:rPr>
                <w:lang w:val="en-GB"/>
              </w:rPr>
              <w:t>Corporate</w:t>
            </w:r>
          </w:p>
        </w:tc>
      </w:tr>
      <w:tr w:rsidR="00E32A20" w14:paraId="1850AA82" w14:textId="77777777" w:rsidTr="005369B2">
        <w:trPr>
          <w:cantSplit/>
        </w:trPr>
        <w:tc>
          <w:tcPr>
            <w:tcW w:w="1742" w:type="dxa"/>
          </w:tcPr>
          <w:p w14:paraId="6AD13E83" w14:textId="3961E50E" w:rsidR="00781087" w:rsidRDefault="00A10F3F" w:rsidP="00E32A20">
            <w:pPr>
              <w:pStyle w:val="TableCopy"/>
              <w:jc w:val="center"/>
              <w:rPr>
                <w:lang w:val="en-GB"/>
              </w:rPr>
            </w:pPr>
            <w:r w:rsidRPr="00A10F3F">
              <w:rPr>
                <w:lang w:val="en-GB"/>
              </w:rPr>
              <w:t>Workforce Programs</w:t>
            </w:r>
            <w:r w:rsidR="00E32A20">
              <w:rPr>
                <w:lang w:val="en-GB"/>
              </w:rPr>
              <w:t xml:space="preserve"> </w:t>
            </w:r>
            <w:r w:rsidRPr="00A10F3F">
              <w:rPr>
                <w:lang w:val="en-GB"/>
              </w:rPr>
              <w:t>– Employment</w:t>
            </w:r>
            <w:r w:rsidR="00E32A20">
              <w:rPr>
                <w:lang w:val="en-GB"/>
              </w:rPr>
              <w:t xml:space="preserve"> </w:t>
            </w:r>
            <w:r w:rsidRPr="00A10F3F">
              <w:rPr>
                <w:lang w:val="en-GB"/>
              </w:rPr>
              <w:t>Pathways &amp;</w:t>
            </w:r>
            <w:r w:rsidR="00E32A20">
              <w:rPr>
                <w:lang w:val="en-GB"/>
              </w:rPr>
              <w:t xml:space="preserve"> </w:t>
            </w:r>
            <w:r w:rsidRPr="00A10F3F">
              <w:rPr>
                <w:lang w:val="en-GB"/>
              </w:rPr>
              <w:t>VPS GRADS</w:t>
            </w:r>
          </w:p>
        </w:tc>
        <w:tc>
          <w:tcPr>
            <w:tcW w:w="1742" w:type="dxa"/>
          </w:tcPr>
          <w:p w14:paraId="78582564" w14:textId="47E3D872" w:rsidR="00781087" w:rsidRDefault="003108A8" w:rsidP="003108A8">
            <w:pPr>
              <w:pStyle w:val="TableCopy"/>
              <w:jc w:val="center"/>
              <w:rPr>
                <w:lang w:val="en-GB"/>
              </w:rPr>
            </w:pPr>
            <w:r w:rsidRPr="003108A8">
              <w:rPr>
                <w:lang w:val="en-GB"/>
              </w:rPr>
              <w:t>Organisational</w:t>
            </w:r>
            <w:r>
              <w:rPr>
                <w:lang w:val="en-GB"/>
              </w:rPr>
              <w:t xml:space="preserve"> </w:t>
            </w:r>
            <w:r w:rsidRPr="003108A8">
              <w:rPr>
                <w:lang w:val="en-GB"/>
              </w:rPr>
              <w:t>Performance</w:t>
            </w:r>
          </w:p>
        </w:tc>
        <w:tc>
          <w:tcPr>
            <w:tcW w:w="1743" w:type="dxa"/>
          </w:tcPr>
          <w:p w14:paraId="689F6CA1" w14:textId="02E21EAB" w:rsidR="00781087" w:rsidRDefault="001E021C" w:rsidP="001E021C">
            <w:pPr>
              <w:pStyle w:val="TableCopy"/>
              <w:jc w:val="center"/>
              <w:rPr>
                <w:lang w:val="en-GB"/>
              </w:rPr>
            </w:pPr>
            <w:r w:rsidRPr="001E021C">
              <w:rPr>
                <w:lang w:val="en-GB"/>
              </w:rPr>
              <w:t>Executive Officer</w:t>
            </w:r>
            <w:r>
              <w:rPr>
                <w:lang w:val="en-GB"/>
              </w:rPr>
              <w:t xml:space="preserve"> </w:t>
            </w:r>
            <w:r w:rsidRPr="001E021C">
              <w:rPr>
                <w:lang w:val="en-GB"/>
              </w:rPr>
              <w:t>Assessments</w:t>
            </w:r>
          </w:p>
        </w:tc>
        <w:tc>
          <w:tcPr>
            <w:tcW w:w="1743" w:type="dxa"/>
          </w:tcPr>
          <w:p w14:paraId="47174DB4" w14:textId="0B4AD01A" w:rsidR="00781087" w:rsidRDefault="00303B5B" w:rsidP="00303B5B">
            <w:pPr>
              <w:pStyle w:val="TableCopy"/>
              <w:jc w:val="center"/>
              <w:rPr>
                <w:lang w:val="en-GB"/>
              </w:rPr>
            </w:pPr>
            <w:r w:rsidRPr="00303B5B">
              <w:rPr>
                <w:lang w:val="en-GB"/>
              </w:rPr>
              <w:t>System</w:t>
            </w:r>
            <w:r>
              <w:rPr>
                <w:lang w:val="en-GB"/>
              </w:rPr>
              <w:t xml:space="preserve"> </w:t>
            </w:r>
            <w:r w:rsidRPr="00303B5B">
              <w:rPr>
                <w:lang w:val="en-GB"/>
              </w:rPr>
              <w:t>Infrastructure</w:t>
            </w:r>
          </w:p>
        </w:tc>
        <w:tc>
          <w:tcPr>
            <w:tcW w:w="1743" w:type="dxa"/>
          </w:tcPr>
          <w:p w14:paraId="640CDDD6" w14:textId="5619A4C3" w:rsidR="00781087" w:rsidRDefault="00C23D6E" w:rsidP="00C23D6E">
            <w:pPr>
              <w:pStyle w:val="TableCopy"/>
              <w:jc w:val="center"/>
              <w:rPr>
                <w:lang w:val="en-GB"/>
              </w:rPr>
            </w:pPr>
            <w:r w:rsidRPr="00C23D6E">
              <w:rPr>
                <w:lang w:val="en-GB"/>
              </w:rPr>
              <w:t>Organisational</w:t>
            </w:r>
            <w:r>
              <w:rPr>
                <w:lang w:val="en-GB"/>
              </w:rPr>
              <w:t xml:space="preserve"> </w:t>
            </w:r>
            <w:r w:rsidRPr="00C23D6E">
              <w:rPr>
                <w:lang w:val="en-GB"/>
              </w:rPr>
              <w:t>Reviews – Industry</w:t>
            </w:r>
            <w:r>
              <w:rPr>
                <w:lang w:val="en-GB"/>
              </w:rPr>
              <w:t xml:space="preserve"> </w:t>
            </w:r>
            <w:r w:rsidRPr="00C23D6E">
              <w:rPr>
                <w:lang w:val="en-GB"/>
              </w:rPr>
              <w:t>Segment Reviews</w:t>
            </w:r>
          </w:p>
        </w:tc>
        <w:tc>
          <w:tcPr>
            <w:tcW w:w="1743" w:type="dxa"/>
          </w:tcPr>
          <w:p w14:paraId="5CA746B6" w14:textId="472BB027" w:rsidR="00781087" w:rsidRDefault="00901E7D" w:rsidP="00901E7D">
            <w:pPr>
              <w:pStyle w:val="TableCopy"/>
              <w:jc w:val="center"/>
              <w:rPr>
                <w:lang w:val="en-GB"/>
              </w:rPr>
            </w:pPr>
            <w:r w:rsidRPr="00901E7D">
              <w:rPr>
                <w:lang w:val="en-GB"/>
              </w:rPr>
              <w:t>Communications</w:t>
            </w:r>
            <w:r>
              <w:rPr>
                <w:lang w:val="en-GB"/>
              </w:rPr>
              <w:t xml:space="preserve"> </w:t>
            </w:r>
            <w:r w:rsidRPr="00901E7D">
              <w:rPr>
                <w:lang w:val="en-GB"/>
              </w:rPr>
              <w:t>&amp; Information</w:t>
            </w:r>
            <w:r>
              <w:rPr>
                <w:lang w:val="en-GB"/>
              </w:rPr>
              <w:t xml:space="preserve"> </w:t>
            </w:r>
            <w:r w:rsidRPr="00901E7D">
              <w:rPr>
                <w:lang w:val="en-GB"/>
              </w:rPr>
              <w:t>Management</w:t>
            </w:r>
          </w:p>
        </w:tc>
      </w:tr>
      <w:tr w:rsidR="00E32A20" w14:paraId="2231A927" w14:textId="77777777" w:rsidTr="005369B2">
        <w:trPr>
          <w:cantSplit/>
        </w:trPr>
        <w:tc>
          <w:tcPr>
            <w:tcW w:w="1742" w:type="dxa"/>
          </w:tcPr>
          <w:p w14:paraId="69A9F066" w14:textId="4F30C14D" w:rsidR="00781087" w:rsidRDefault="00A10F3F" w:rsidP="00E32A20">
            <w:pPr>
              <w:pStyle w:val="TableCopy"/>
              <w:jc w:val="center"/>
              <w:rPr>
                <w:lang w:val="en-GB"/>
              </w:rPr>
            </w:pPr>
            <w:r w:rsidRPr="00A10F3F">
              <w:rPr>
                <w:lang w:val="en-GB"/>
              </w:rPr>
              <w:t>Workforce</w:t>
            </w:r>
            <w:r w:rsidR="00E32A20">
              <w:rPr>
                <w:lang w:val="en-GB"/>
              </w:rPr>
              <w:t xml:space="preserve"> Frameworks – </w:t>
            </w:r>
            <w:r w:rsidRPr="00A10F3F">
              <w:rPr>
                <w:lang w:val="en-GB"/>
              </w:rPr>
              <w:t>Strategy, Resources</w:t>
            </w:r>
            <w:r w:rsidR="00E32A20">
              <w:rPr>
                <w:lang w:val="en-GB"/>
              </w:rPr>
              <w:t xml:space="preserve"> </w:t>
            </w:r>
            <w:r w:rsidRPr="00A10F3F">
              <w:rPr>
                <w:lang w:val="en-GB"/>
              </w:rPr>
              <w:t>&amp; Frameworks</w:t>
            </w:r>
            <w:r w:rsidR="00E32A20">
              <w:rPr>
                <w:lang w:val="en-GB"/>
              </w:rPr>
              <w:t xml:space="preserve"> </w:t>
            </w:r>
            <w:r w:rsidRPr="00A10F3F">
              <w:rPr>
                <w:lang w:val="en-GB"/>
              </w:rPr>
              <w:t>Across the</w:t>
            </w:r>
            <w:r w:rsidR="00E32A20">
              <w:rPr>
                <w:lang w:val="en-GB"/>
              </w:rPr>
              <w:t xml:space="preserve"> </w:t>
            </w:r>
            <w:r w:rsidRPr="00A10F3F">
              <w:rPr>
                <w:lang w:val="en-GB"/>
              </w:rPr>
              <w:t>Employee Lifecycle</w:t>
            </w:r>
          </w:p>
        </w:tc>
        <w:tc>
          <w:tcPr>
            <w:tcW w:w="1742" w:type="dxa"/>
          </w:tcPr>
          <w:p w14:paraId="37787B95" w14:textId="1DC21CBE" w:rsidR="00781087" w:rsidRDefault="003108A8" w:rsidP="003108A8">
            <w:pPr>
              <w:pStyle w:val="TableCopy"/>
              <w:jc w:val="center"/>
              <w:rPr>
                <w:lang w:val="en-GB"/>
              </w:rPr>
            </w:pPr>
            <w:r w:rsidRPr="003108A8">
              <w:rPr>
                <w:lang w:val="en-GB"/>
              </w:rPr>
              <w:t>People Policy</w:t>
            </w:r>
          </w:p>
        </w:tc>
        <w:tc>
          <w:tcPr>
            <w:tcW w:w="1743" w:type="dxa"/>
          </w:tcPr>
          <w:p w14:paraId="2429C6A4" w14:textId="4CC4106B" w:rsidR="00781087" w:rsidRDefault="001E021C" w:rsidP="001E021C">
            <w:pPr>
              <w:pStyle w:val="TableCopy"/>
              <w:jc w:val="center"/>
              <w:rPr>
                <w:lang w:val="en-GB"/>
              </w:rPr>
            </w:pPr>
            <w:r w:rsidRPr="001E021C">
              <w:rPr>
                <w:lang w:val="en-GB"/>
              </w:rPr>
              <w:t>VPS Talent Pool</w:t>
            </w:r>
          </w:p>
        </w:tc>
        <w:tc>
          <w:tcPr>
            <w:tcW w:w="1743" w:type="dxa"/>
          </w:tcPr>
          <w:p w14:paraId="71B64E4D" w14:textId="6220300E" w:rsidR="00781087" w:rsidRDefault="00303B5B" w:rsidP="00303B5B">
            <w:pPr>
              <w:pStyle w:val="TableCopy"/>
              <w:jc w:val="center"/>
              <w:rPr>
                <w:lang w:val="en-GB"/>
              </w:rPr>
            </w:pPr>
            <w:r w:rsidRPr="00303B5B">
              <w:rPr>
                <w:lang w:val="en-GB"/>
              </w:rPr>
              <w:t>Collections</w:t>
            </w:r>
          </w:p>
        </w:tc>
        <w:tc>
          <w:tcPr>
            <w:tcW w:w="1743" w:type="dxa"/>
          </w:tcPr>
          <w:p w14:paraId="79E6E02C" w14:textId="5AD8E772" w:rsidR="00781087" w:rsidRDefault="00C23D6E" w:rsidP="00C23D6E">
            <w:pPr>
              <w:pStyle w:val="TableCopy"/>
              <w:jc w:val="center"/>
              <w:rPr>
                <w:lang w:val="en-GB"/>
              </w:rPr>
            </w:pPr>
            <w:r w:rsidRPr="00C23D6E">
              <w:rPr>
                <w:lang w:val="en-GB"/>
              </w:rPr>
              <w:t>Public Sector</w:t>
            </w:r>
            <w:r>
              <w:rPr>
                <w:lang w:val="en-GB"/>
              </w:rPr>
              <w:t xml:space="preserve"> </w:t>
            </w:r>
            <w:r w:rsidRPr="00C23D6E">
              <w:rPr>
                <w:lang w:val="en-GB"/>
              </w:rPr>
              <w:t>Advisory –</w:t>
            </w:r>
            <w:r>
              <w:rPr>
                <w:lang w:val="en-GB"/>
              </w:rPr>
              <w:t xml:space="preserve"> </w:t>
            </w:r>
            <w:r w:rsidRPr="00C23D6E">
              <w:rPr>
                <w:lang w:val="en-GB"/>
              </w:rPr>
              <w:t>Review of Actions /</w:t>
            </w:r>
            <w:r>
              <w:rPr>
                <w:lang w:val="en-GB"/>
              </w:rPr>
              <w:t xml:space="preserve"> </w:t>
            </w:r>
            <w:r w:rsidRPr="00C23D6E">
              <w:rPr>
                <w:lang w:val="en-GB"/>
              </w:rPr>
              <w:t>Information</w:t>
            </w:r>
            <w:r>
              <w:rPr>
                <w:lang w:val="en-GB"/>
              </w:rPr>
              <w:t xml:space="preserve"> </w:t>
            </w:r>
            <w:r w:rsidRPr="00C23D6E">
              <w:rPr>
                <w:lang w:val="en-GB"/>
              </w:rPr>
              <w:t>Requests</w:t>
            </w:r>
          </w:p>
        </w:tc>
        <w:tc>
          <w:tcPr>
            <w:tcW w:w="1743" w:type="dxa"/>
          </w:tcPr>
          <w:p w14:paraId="2932F019" w14:textId="012E9711" w:rsidR="00781087" w:rsidRDefault="00901E7D" w:rsidP="00901E7D">
            <w:pPr>
              <w:pStyle w:val="TableCopy"/>
              <w:jc w:val="center"/>
              <w:rPr>
                <w:lang w:val="en-GB"/>
              </w:rPr>
            </w:pPr>
            <w:r w:rsidRPr="00901E7D">
              <w:rPr>
                <w:lang w:val="en-GB"/>
              </w:rPr>
              <w:t>Human Resources</w:t>
            </w:r>
          </w:p>
        </w:tc>
      </w:tr>
      <w:tr w:rsidR="00E32A20" w14:paraId="7510155E" w14:textId="77777777" w:rsidTr="005369B2">
        <w:trPr>
          <w:cantSplit/>
        </w:trPr>
        <w:tc>
          <w:tcPr>
            <w:tcW w:w="1742" w:type="dxa"/>
          </w:tcPr>
          <w:p w14:paraId="66330E3D" w14:textId="50A15137" w:rsidR="00781087" w:rsidRDefault="00A10F3F" w:rsidP="005369B2">
            <w:pPr>
              <w:pStyle w:val="TableCopy"/>
              <w:jc w:val="center"/>
              <w:rPr>
                <w:lang w:val="en-GB"/>
              </w:rPr>
            </w:pPr>
            <w:r w:rsidRPr="00A10F3F">
              <w:rPr>
                <w:lang w:val="en-GB"/>
              </w:rPr>
              <w:t>Aboriginal</w:t>
            </w:r>
            <w:r w:rsidR="005369B2">
              <w:rPr>
                <w:lang w:val="en-GB"/>
              </w:rPr>
              <w:t xml:space="preserve"> Employment –</w:t>
            </w:r>
            <w:r w:rsidRPr="00A10F3F">
              <w:rPr>
                <w:lang w:val="en-GB"/>
              </w:rPr>
              <w:t>Strategy, Resources</w:t>
            </w:r>
            <w:r w:rsidR="005369B2">
              <w:rPr>
                <w:lang w:val="en-GB"/>
              </w:rPr>
              <w:t xml:space="preserve"> </w:t>
            </w:r>
            <w:r w:rsidRPr="00A10F3F">
              <w:rPr>
                <w:lang w:val="en-GB"/>
              </w:rPr>
              <w:t>&amp; Development</w:t>
            </w:r>
          </w:p>
        </w:tc>
        <w:tc>
          <w:tcPr>
            <w:tcW w:w="1742" w:type="dxa"/>
          </w:tcPr>
          <w:p w14:paraId="4FB62887" w14:textId="3A95BEB6" w:rsidR="00781087" w:rsidRDefault="003108A8" w:rsidP="003108A8">
            <w:pPr>
              <w:pStyle w:val="TableCopy"/>
              <w:jc w:val="center"/>
              <w:rPr>
                <w:lang w:val="en-GB"/>
              </w:rPr>
            </w:pPr>
            <w:r w:rsidRPr="003108A8">
              <w:rPr>
                <w:lang w:val="en-GB"/>
              </w:rPr>
              <w:t>Culture</w:t>
            </w:r>
            <w:r>
              <w:rPr>
                <w:lang w:val="en-GB"/>
              </w:rPr>
              <w:t xml:space="preserve"> </w:t>
            </w:r>
            <w:r w:rsidRPr="003108A8">
              <w:rPr>
                <w:lang w:val="en-GB"/>
              </w:rPr>
              <w:t>&amp; Change</w:t>
            </w:r>
          </w:p>
        </w:tc>
        <w:tc>
          <w:tcPr>
            <w:tcW w:w="1743" w:type="dxa"/>
          </w:tcPr>
          <w:p w14:paraId="556A0FCB" w14:textId="190AC213" w:rsidR="00781087" w:rsidRPr="001E021C" w:rsidRDefault="001E021C" w:rsidP="001E021C">
            <w:pPr>
              <w:rPr>
                <w:lang w:val="en-GB"/>
              </w:rPr>
            </w:pPr>
            <w:r>
              <w:rPr>
                <w:lang w:val="en-GB"/>
              </w:rPr>
              <w:t xml:space="preserve">Learning </w:t>
            </w:r>
            <w:r w:rsidRPr="001E021C">
              <w:rPr>
                <w:lang w:val="en-GB"/>
              </w:rPr>
              <w:t>Activities</w:t>
            </w:r>
          </w:p>
        </w:tc>
        <w:tc>
          <w:tcPr>
            <w:tcW w:w="1743" w:type="dxa"/>
          </w:tcPr>
          <w:p w14:paraId="4BEB96EA" w14:textId="6DD6BD11" w:rsidR="00781087" w:rsidRDefault="00303B5B" w:rsidP="00303B5B">
            <w:pPr>
              <w:pStyle w:val="TableCopy"/>
              <w:jc w:val="center"/>
              <w:rPr>
                <w:lang w:val="en-GB"/>
              </w:rPr>
            </w:pPr>
            <w:r w:rsidRPr="00303B5B">
              <w:rPr>
                <w:lang w:val="en-GB"/>
              </w:rPr>
              <w:t>Analysis</w:t>
            </w:r>
          </w:p>
        </w:tc>
        <w:tc>
          <w:tcPr>
            <w:tcW w:w="1743" w:type="dxa"/>
          </w:tcPr>
          <w:p w14:paraId="28097729" w14:textId="5B1FB88A" w:rsidR="00781087" w:rsidRDefault="00C23D6E" w:rsidP="00C23D6E">
            <w:pPr>
              <w:pStyle w:val="TableCopy"/>
              <w:jc w:val="center"/>
              <w:rPr>
                <w:lang w:val="en-GB"/>
              </w:rPr>
            </w:pPr>
            <w:r w:rsidRPr="00C23D6E">
              <w:rPr>
                <w:lang w:val="en-GB"/>
              </w:rPr>
              <w:t>Codes / Standards /</w:t>
            </w:r>
            <w:r>
              <w:rPr>
                <w:lang w:val="en-GB"/>
              </w:rPr>
              <w:t xml:space="preserve"> </w:t>
            </w:r>
            <w:r w:rsidRPr="00C23D6E">
              <w:rPr>
                <w:lang w:val="en-GB"/>
              </w:rPr>
              <w:t>Legislation</w:t>
            </w:r>
          </w:p>
        </w:tc>
        <w:tc>
          <w:tcPr>
            <w:tcW w:w="1743" w:type="dxa"/>
          </w:tcPr>
          <w:p w14:paraId="0E2D25CE" w14:textId="3AE869C6" w:rsidR="00781087" w:rsidRDefault="00901E7D" w:rsidP="00901E7D">
            <w:pPr>
              <w:pStyle w:val="TableCopy"/>
              <w:jc w:val="center"/>
              <w:rPr>
                <w:lang w:val="en-GB"/>
              </w:rPr>
            </w:pPr>
            <w:r w:rsidRPr="00901E7D">
              <w:rPr>
                <w:lang w:val="en-GB"/>
              </w:rPr>
              <w:t>Finance</w:t>
            </w:r>
          </w:p>
        </w:tc>
      </w:tr>
      <w:tr w:rsidR="00E32A20" w14:paraId="5606D0BF" w14:textId="77777777" w:rsidTr="005369B2">
        <w:trPr>
          <w:cantSplit/>
        </w:trPr>
        <w:tc>
          <w:tcPr>
            <w:tcW w:w="1742" w:type="dxa"/>
          </w:tcPr>
          <w:p w14:paraId="0510A692" w14:textId="14E73269" w:rsidR="00781087" w:rsidRDefault="00A10F3F" w:rsidP="00A10F3F">
            <w:pPr>
              <w:pStyle w:val="TableCopy"/>
              <w:jc w:val="center"/>
              <w:rPr>
                <w:lang w:val="en-GB"/>
              </w:rPr>
            </w:pPr>
            <w:r>
              <w:rPr>
                <w:lang w:val="en-GB"/>
              </w:rPr>
              <w:t xml:space="preserve">eRecruitment – </w:t>
            </w:r>
            <w:r w:rsidRPr="00A10F3F">
              <w:rPr>
                <w:lang w:val="en-GB"/>
              </w:rPr>
              <w:t>Careers Website &amp;</w:t>
            </w:r>
            <w:r>
              <w:rPr>
                <w:lang w:val="en-GB"/>
              </w:rPr>
              <w:t xml:space="preserve"> </w:t>
            </w:r>
            <w:r w:rsidRPr="00A10F3F">
              <w:rPr>
                <w:lang w:val="en-GB"/>
              </w:rPr>
              <w:t>Service</w:t>
            </w:r>
            <w:r>
              <w:rPr>
                <w:lang w:val="en-GB"/>
              </w:rPr>
              <w:t xml:space="preserve"> </w:t>
            </w:r>
            <w:r w:rsidRPr="00A10F3F">
              <w:rPr>
                <w:lang w:val="en-GB"/>
              </w:rPr>
              <w:t>Management</w:t>
            </w:r>
          </w:p>
        </w:tc>
        <w:tc>
          <w:tcPr>
            <w:tcW w:w="1742" w:type="dxa"/>
          </w:tcPr>
          <w:p w14:paraId="7B26B990" w14:textId="3FA4C6E8" w:rsidR="00781087" w:rsidRPr="003108A8" w:rsidRDefault="003108A8" w:rsidP="003108A8">
            <w:pPr>
              <w:rPr>
                <w:lang w:val="en-GB"/>
              </w:rPr>
            </w:pPr>
            <w:r w:rsidRPr="003108A8">
              <w:rPr>
                <w:lang w:val="en-GB"/>
              </w:rPr>
              <w:t>Future</w:t>
            </w:r>
            <w:r>
              <w:rPr>
                <w:lang w:val="en-GB"/>
              </w:rPr>
              <w:t xml:space="preserve"> </w:t>
            </w:r>
            <w:r w:rsidRPr="003108A8">
              <w:rPr>
                <w:lang w:val="en-GB"/>
              </w:rPr>
              <w:t>Workforce</w:t>
            </w:r>
          </w:p>
        </w:tc>
        <w:tc>
          <w:tcPr>
            <w:tcW w:w="1743" w:type="dxa"/>
          </w:tcPr>
          <w:p w14:paraId="37DE2CE7" w14:textId="5055EADD" w:rsidR="00781087" w:rsidRDefault="001E021C" w:rsidP="001E021C">
            <w:pPr>
              <w:pStyle w:val="TableCopy"/>
              <w:jc w:val="center"/>
              <w:rPr>
                <w:lang w:val="en-GB"/>
              </w:rPr>
            </w:pPr>
            <w:r w:rsidRPr="001E021C">
              <w:rPr>
                <w:lang w:val="en-GB"/>
              </w:rPr>
              <w:t>Tailored</w:t>
            </w:r>
            <w:r>
              <w:rPr>
                <w:lang w:val="en-GB"/>
              </w:rPr>
              <w:t xml:space="preserve"> </w:t>
            </w:r>
            <w:r w:rsidRPr="001E021C">
              <w:rPr>
                <w:lang w:val="en-GB"/>
              </w:rPr>
              <w:t>Development Plans</w:t>
            </w:r>
          </w:p>
        </w:tc>
        <w:tc>
          <w:tcPr>
            <w:tcW w:w="1743" w:type="dxa"/>
          </w:tcPr>
          <w:p w14:paraId="616D5CFA" w14:textId="147529F1" w:rsidR="00781087" w:rsidRDefault="00303B5B" w:rsidP="00303B5B">
            <w:pPr>
              <w:pStyle w:val="TableCopy"/>
              <w:jc w:val="center"/>
              <w:rPr>
                <w:lang w:val="en-GB"/>
              </w:rPr>
            </w:pPr>
            <w:r w:rsidRPr="00303B5B">
              <w:rPr>
                <w:lang w:val="en-GB"/>
              </w:rPr>
              <w:t>Research</w:t>
            </w:r>
          </w:p>
        </w:tc>
        <w:tc>
          <w:tcPr>
            <w:tcW w:w="1743" w:type="dxa"/>
          </w:tcPr>
          <w:p w14:paraId="3B94D277" w14:textId="6EBA96C4" w:rsidR="00781087" w:rsidRDefault="00C23D6E" w:rsidP="00C23D6E">
            <w:pPr>
              <w:pStyle w:val="TableCopy"/>
              <w:jc w:val="center"/>
              <w:rPr>
                <w:lang w:val="en-GB"/>
              </w:rPr>
            </w:pPr>
            <w:r w:rsidRPr="00C23D6E">
              <w:rPr>
                <w:lang w:val="en-GB"/>
              </w:rPr>
              <w:t>Executive</w:t>
            </w:r>
            <w:r>
              <w:rPr>
                <w:lang w:val="en-GB"/>
              </w:rPr>
              <w:t xml:space="preserve"> </w:t>
            </w:r>
            <w:r w:rsidRPr="00C23D6E">
              <w:rPr>
                <w:lang w:val="en-GB"/>
              </w:rPr>
              <w:t>Remuneration /</w:t>
            </w:r>
            <w:r>
              <w:rPr>
                <w:lang w:val="en-GB"/>
              </w:rPr>
              <w:t xml:space="preserve"> </w:t>
            </w:r>
            <w:r w:rsidRPr="00C23D6E">
              <w:rPr>
                <w:lang w:val="en-GB"/>
              </w:rPr>
              <w:t>GSERP Governance</w:t>
            </w:r>
            <w:r>
              <w:rPr>
                <w:lang w:val="en-GB"/>
              </w:rPr>
              <w:t xml:space="preserve"> </w:t>
            </w:r>
            <w:r w:rsidRPr="00C23D6E">
              <w:rPr>
                <w:lang w:val="en-GB"/>
              </w:rPr>
              <w:t>Advice</w:t>
            </w:r>
          </w:p>
        </w:tc>
        <w:tc>
          <w:tcPr>
            <w:tcW w:w="1743" w:type="dxa"/>
          </w:tcPr>
          <w:p w14:paraId="575AEB6E" w14:textId="77777777" w:rsidR="00781087" w:rsidRDefault="00781087" w:rsidP="00781087">
            <w:pPr>
              <w:pStyle w:val="TableCopy"/>
              <w:jc w:val="center"/>
              <w:rPr>
                <w:lang w:val="en-GB"/>
              </w:rPr>
            </w:pPr>
          </w:p>
        </w:tc>
      </w:tr>
      <w:tr w:rsidR="00E32A20" w14:paraId="13A2196A" w14:textId="77777777" w:rsidTr="005369B2">
        <w:trPr>
          <w:cantSplit/>
        </w:trPr>
        <w:tc>
          <w:tcPr>
            <w:tcW w:w="1742" w:type="dxa"/>
          </w:tcPr>
          <w:p w14:paraId="5E831DE8" w14:textId="77777777" w:rsidR="00781087" w:rsidRDefault="00781087" w:rsidP="00781087">
            <w:pPr>
              <w:pStyle w:val="TableCopy"/>
              <w:jc w:val="center"/>
              <w:rPr>
                <w:lang w:val="en-GB"/>
              </w:rPr>
            </w:pPr>
          </w:p>
        </w:tc>
        <w:tc>
          <w:tcPr>
            <w:tcW w:w="1742" w:type="dxa"/>
          </w:tcPr>
          <w:p w14:paraId="671F240C" w14:textId="77777777" w:rsidR="00781087" w:rsidRDefault="00781087" w:rsidP="00781087">
            <w:pPr>
              <w:pStyle w:val="TableCopy"/>
              <w:jc w:val="center"/>
              <w:rPr>
                <w:lang w:val="en-GB"/>
              </w:rPr>
            </w:pPr>
          </w:p>
        </w:tc>
        <w:tc>
          <w:tcPr>
            <w:tcW w:w="1743" w:type="dxa"/>
          </w:tcPr>
          <w:p w14:paraId="30B6C73D" w14:textId="77777777" w:rsidR="00781087" w:rsidRDefault="00781087" w:rsidP="00781087">
            <w:pPr>
              <w:pStyle w:val="TableCopy"/>
              <w:jc w:val="center"/>
              <w:rPr>
                <w:lang w:val="en-GB"/>
              </w:rPr>
            </w:pPr>
          </w:p>
        </w:tc>
        <w:tc>
          <w:tcPr>
            <w:tcW w:w="1743" w:type="dxa"/>
          </w:tcPr>
          <w:p w14:paraId="6F0631B2" w14:textId="7E0B597E" w:rsidR="00781087" w:rsidRDefault="00303B5B" w:rsidP="00303B5B">
            <w:pPr>
              <w:pStyle w:val="TableCopy"/>
              <w:jc w:val="center"/>
              <w:rPr>
                <w:lang w:val="en-GB"/>
              </w:rPr>
            </w:pPr>
            <w:r w:rsidRPr="00303B5B">
              <w:rPr>
                <w:lang w:val="en-GB"/>
              </w:rPr>
              <w:t>Reporting –</w:t>
            </w:r>
            <w:r>
              <w:rPr>
                <w:lang w:val="en-GB"/>
              </w:rPr>
              <w:t xml:space="preserve"> </w:t>
            </w:r>
            <w:r w:rsidRPr="00303B5B">
              <w:rPr>
                <w:lang w:val="en-GB"/>
              </w:rPr>
              <w:t>incl.</w:t>
            </w:r>
            <w:r>
              <w:rPr>
                <w:lang w:val="en-GB"/>
              </w:rPr>
              <w:t xml:space="preserve"> </w:t>
            </w:r>
            <w:r w:rsidRPr="00303B5B">
              <w:rPr>
                <w:lang w:val="en-GB"/>
              </w:rPr>
              <w:t>GAPED Database</w:t>
            </w:r>
          </w:p>
        </w:tc>
        <w:tc>
          <w:tcPr>
            <w:tcW w:w="1743" w:type="dxa"/>
          </w:tcPr>
          <w:p w14:paraId="5BAD5EE4" w14:textId="56924F36" w:rsidR="00781087" w:rsidRDefault="00C23D6E" w:rsidP="00C23D6E">
            <w:pPr>
              <w:pStyle w:val="TableCopy"/>
              <w:jc w:val="center"/>
              <w:rPr>
                <w:lang w:val="en-GB"/>
              </w:rPr>
            </w:pPr>
            <w:r w:rsidRPr="00C23D6E">
              <w:rPr>
                <w:lang w:val="en-GB"/>
              </w:rPr>
              <w:t>Lobbyists</w:t>
            </w:r>
          </w:p>
        </w:tc>
        <w:tc>
          <w:tcPr>
            <w:tcW w:w="1743" w:type="dxa"/>
          </w:tcPr>
          <w:p w14:paraId="251E39F4" w14:textId="77777777" w:rsidR="00781087" w:rsidRDefault="00781087" w:rsidP="00781087">
            <w:pPr>
              <w:pStyle w:val="TableCopy"/>
              <w:jc w:val="center"/>
              <w:rPr>
                <w:lang w:val="en-GB"/>
              </w:rPr>
            </w:pPr>
          </w:p>
        </w:tc>
      </w:tr>
      <w:tr w:rsidR="00E32A20" w14:paraId="31D010AB" w14:textId="77777777" w:rsidTr="005369B2">
        <w:trPr>
          <w:cantSplit/>
        </w:trPr>
        <w:tc>
          <w:tcPr>
            <w:tcW w:w="1742" w:type="dxa"/>
          </w:tcPr>
          <w:p w14:paraId="4CB5ADD5" w14:textId="77777777" w:rsidR="00781087" w:rsidRDefault="00781087" w:rsidP="00781087">
            <w:pPr>
              <w:pStyle w:val="TableCopy"/>
              <w:jc w:val="center"/>
              <w:rPr>
                <w:lang w:val="en-GB"/>
              </w:rPr>
            </w:pPr>
          </w:p>
        </w:tc>
        <w:tc>
          <w:tcPr>
            <w:tcW w:w="1742" w:type="dxa"/>
          </w:tcPr>
          <w:p w14:paraId="70DA924D" w14:textId="77777777" w:rsidR="00781087" w:rsidRDefault="00781087" w:rsidP="00781087">
            <w:pPr>
              <w:pStyle w:val="TableCopy"/>
              <w:jc w:val="center"/>
              <w:rPr>
                <w:lang w:val="en-GB"/>
              </w:rPr>
            </w:pPr>
          </w:p>
        </w:tc>
        <w:tc>
          <w:tcPr>
            <w:tcW w:w="1743" w:type="dxa"/>
          </w:tcPr>
          <w:p w14:paraId="0C2B9095" w14:textId="77777777" w:rsidR="00781087" w:rsidRDefault="00781087" w:rsidP="00781087">
            <w:pPr>
              <w:pStyle w:val="TableCopy"/>
              <w:jc w:val="center"/>
              <w:rPr>
                <w:lang w:val="en-GB"/>
              </w:rPr>
            </w:pPr>
          </w:p>
        </w:tc>
        <w:tc>
          <w:tcPr>
            <w:tcW w:w="1743" w:type="dxa"/>
          </w:tcPr>
          <w:p w14:paraId="7E565A4C" w14:textId="77777777" w:rsidR="00781087" w:rsidRDefault="00781087" w:rsidP="00781087">
            <w:pPr>
              <w:pStyle w:val="TableCopy"/>
              <w:jc w:val="center"/>
              <w:rPr>
                <w:lang w:val="en-GB"/>
              </w:rPr>
            </w:pPr>
          </w:p>
        </w:tc>
        <w:tc>
          <w:tcPr>
            <w:tcW w:w="1743" w:type="dxa"/>
          </w:tcPr>
          <w:p w14:paraId="51D32253" w14:textId="142B2760" w:rsidR="00781087" w:rsidRDefault="00C23D6E" w:rsidP="00C23D6E">
            <w:pPr>
              <w:pStyle w:val="TableCopy"/>
              <w:jc w:val="center"/>
              <w:rPr>
                <w:lang w:val="en-GB"/>
              </w:rPr>
            </w:pPr>
            <w:r w:rsidRPr="00C23D6E">
              <w:rPr>
                <w:lang w:val="en-GB"/>
              </w:rPr>
              <w:t>Conflict of</w:t>
            </w:r>
            <w:r>
              <w:rPr>
                <w:lang w:val="en-GB"/>
              </w:rPr>
              <w:t xml:space="preserve"> </w:t>
            </w:r>
            <w:r w:rsidRPr="00C23D6E">
              <w:rPr>
                <w:lang w:val="en-GB"/>
              </w:rPr>
              <w:t>Interest;</w:t>
            </w:r>
            <w:r>
              <w:rPr>
                <w:lang w:val="en-GB"/>
              </w:rPr>
              <w:t xml:space="preserve"> </w:t>
            </w:r>
            <w:r w:rsidRPr="00C23D6E">
              <w:rPr>
                <w:lang w:val="en-GB"/>
              </w:rPr>
              <w:t>Gifts Benefits</w:t>
            </w:r>
            <w:r>
              <w:rPr>
                <w:lang w:val="en-GB"/>
              </w:rPr>
              <w:t xml:space="preserve"> </w:t>
            </w:r>
            <w:r w:rsidRPr="00C23D6E">
              <w:rPr>
                <w:lang w:val="en-GB"/>
              </w:rPr>
              <w:t>&amp; Hospitality</w:t>
            </w:r>
          </w:p>
        </w:tc>
        <w:tc>
          <w:tcPr>
            <w:tcW w:w="1743" w:type="dxa"/>
          </w:tcPr>
          <w:p w14:paraId="2BD8A8CA" w14:textId="77777777" w:rsidR="00781087" w:rsidRDefault="00781087" w:rsidP="00781087">
            <w:pPr>
              <w:pStyle w:val="TableCopy"/>
              <w:jc w:val="center"/>
              <w:rPr>
                <w:lang w:val="en-GB"/>
              </w:rPr>
            </w:pPr>
          </w:p>
        </w:tc>
      </w:tr>
    </w:tbl>
    <w:p w14:paraId="2D652455" w14:textId="77777777" w:rsidR="006E3F10" w:rsidRPr="006E3F10" w:rsidRDefault="006E3F10" w:rsidP="002D3810">
      <w:pPr>
        <w:pStyle w:val="Heading2"/>
        <w:rPr>
          <w:lang w:val="en-GB"/>
        </w:rPr>
      </w:pPr>
      <w:bookmarkStart w:id="39" w:name="_Toc494111967"/>
      <w:r w:rsidRPr="006E3F10">
        <w:rPr>
          <w:lang w:val="en-GB"/>
        </w:rPr>
        <w:t>Governance</w:t>
      </w:r>
      <w:bookmarkEnd w:id="39"/>
    </w:p>
    <w:p w14:paraId="1C2F9B36" w14:textId="77777777" w:rsidR="006E3F10" w:rsidRPr="006E3F10" w:rsidRDefault="006E3F10" w:rsidP="00A70196">
      <w:pPr>
        <w:pStyle w:val="Heading3"/>
        <w:rPr>
          <w:lang w:val="en-GB"/>
        </w:rPr>
      </w:pPr>
      <w:bookmarkStart w:id="40" w:name="_Toc494111968"/>
      <w:r w:rsidRPr="006E3F10">
        <w:rPr>
          <w:lang w:val="en-GB"/>
        </w:rPr>
        <w:t>Audit and Risk Management Committee Membership and Roles</w:t>
      </w:r>
      <w:bookmarkEnd w:id="40"/>
    </w:p>
    <w:p w14:paraId="69622149" w14:textId="3DA01A27" w:rsidR="006E3F10" w:rsidRPr="006E3F10" w:rsidRDefault="006E3F10" w:rsidP="006E3F10">
      <w:pPr>
        <w:rPr>
          <w:lang w:val="en-GB"/>
        </w:rPr>
      </w:pPr>
      <w:r w:rsidRPr="006E3F10">
        <w:rPr>
          <w:lang w:val="en-GB"/>
        </w:rPr>
        <w:t>VPSC’s Audit and Risk Management Committee acts as an advisory serv</w:t>
      </w:r>
      <w:r w:rsidR="00584DEE">
        <w:rPr>
          <w:lang w:val="en-GB"/>
        </w:rPr>
        <w:t xml:space="preserve">ice to the Accountable Officer </w:t>
      </w:r>
      <w:r w:rsidRPr="006E3F10">
        <w:rPr>
          <w:lang w:val="en-GB"/>
        </w:rPr>
        <w:t xml:space="preserve">(the Victorian Public Sector Commissioner) and ensures VPSC discharges its responsibilities as prescribed in the </w:t>
      </w:r>
      <w:r w:rsidRPr="006E3F10">
        <w:rPr>
          <w:i/>
          <w:iCs/>
          <w:lang w:val="en-GB"/>
        </w:rPr>
        <w:t>Financial Management Act 1994, Audit Act 1998</w:t>
      </w:r>
      <w:r w:rsidRPr="006E3F10">
        <w:rPr>
          <w:lang w:val="en-GB"/>
        </w:rPr>
        <w:t xml:space="preserve"> and other relevant legislation. </w:t>
      </w:r>
    </w:p>
    <w:p w14:paraId="74A3CFF9" w14:textId="77777777" w:rsidR="006E3F10" w:rsidRPr="006E3F10" w:rsidRDefault="006E3F10" w:rsidP="006E3F10">
      <w:pPr>
        <w:rPr>
          <w:lang w:val="en-GB"/>
        </w:rPr>
      </w:pPr>
      <w:r w:rsidRPr="006E3F10">
        <w:rPr>
          <w:lang w:val="en-GB"/>
        </w:rPr>
        <w:t>During 2016-17, the Committee consisted of the following members:</w:t>
      </w:r>
    </w:p>
    <w:p w14:paraId="6F044F72" w14:textId="77777777" w:rsidR="00584DEE" w:rsidRPr="00584DEE" w:rsidRDefault="00584DEE" w:rsidP="00584DEE">
      <w:pPr>
        <w:tabs>
          <w:tab w:val="left" w:pos="3880"/>
        </w:tabs>
        <w:rPr>
          <w:b/>
          <w:lang w:val="en-GB"/>
        </w:rPr>
      </w:pPr>
      <w:r w:rsidRPr="00584DEE">
        <w:rPr>
          <w:b/>
          <w:lang w:val="en-GB"/>
        </w:rPr>
        <w:t>Chairperson:</w:t>
      </w:r>
      <w:r w:rsidRPr="00584DEE">
        <w:rPr>
          <w:b/>
          <w:lang w:val="en-GB"/>
        </w:rPr>
        <w:tab/>
      </w:r>
    </w:p>
    <w:p w14:paraId="3F6245E3" w14:textId="1368CBC4" w:rsidR="00584DEE" w:rsidRPr="006E3F10" w:rsidRDefault="00584DEE" w:rsidP="00584DEE">
      <w:pPr>
        <w:pStyle w:val="Bullet"/>
        <w:rPr>
          <w:lang w:val="en-GB"/>
        </w:rPr>
      </w:pPr>
      <w:r w:rsidRPr="006E3F10">
        <w:rPr>
          <w:lang w:val="en-GB"/>
        </w:rPr>
        <w:t>Merran Kelsall – independent member</w:t>
      </w:r>
    </w:p>
    <w:p w14:paraId="3B7C5778" w14:textId="77777777" w:rsidR="00584DEE" w:rsidRPr="00584DEE" w:rsidRDefault="00584DEE" w:rsidP="006E3F10">
      <w:pPr>
        <w:rPr>
          <w:b/>
          <w:lang w:val="en-GB"/>
        </w:rPr>
      </w:pPr>
      <w:r w:rsidRPr="00584DEE">
        <w:rPr>
          <w:b/>
          <w:lang w:val="en-GB"/>
        </w:rPr>
        <w:t>Members:</w:t>
      </w:r>
      <w:r w:rsidRPr="00584DEE">
        <w:rPr>
          <w:b/>
          <w:lang w:val="en-GB"/>
        </w:rPr>
        <w:tab/>
      </w:r>
    </w:p>
    <w:p w14:paraId="381FDD3F" w14:textId="2C345742" w:rsidR="00584DEE" w:rsidRPr="006E3F10" w:rsidRDefault="00584DEE" w:rsidP="00584DEE">
      <w:pPr>
        <w:pStyle w:val="Bullet"/>
        <w:rPr>
          <w:lang w:val="en-GB"/>
        </w:rPr>
      </w:pPr>
      <w:r w:rsidRPr="006E3F10">
        <w:rPr>
          <w:lang w:val="en-GB"/>
        </w:rPr>
        <w:t>Shaun Condron – Chief Finance Officer, Department of Justice</w:t>
      </w:r>
    </w:p>
    <w:p w14:paraId="3977942D" w14:textId="77777777" w:rsidR="00584DEE" w:rsidRPr="006E3F10" w:rsidRDefault="00584DEE" w:rsidP="00584DEE">
      <w:pPr>
        <w:pStyle w:val="Bullet"/>
        <w:rPr>
          <w:lang w:val="en-GB"/>
        </w:rPr>
      </w:pPr>
      <w:r w:rsidRPr="006E3F10">
        <w:rPr>
          <w:lang w:val="en-GB"/>
        </w:rPr>
        <w:t>Paul Bradshaw – Principal Adviser, VPSC</w:t>
      </w:r>
    </w:p>
    <w:p w14:paraId="590CC030" w14:textId="77777777" w:rsidR="006E3F10" w:rsidRPr="00584DEE" w:rsidRDefault="006E3F10" w:rsidP="006E3F10">
      <w:pPr>
        <w:rPr>
          <w:b/>
          <w:lang w:val="en-GB"/>
        </w:rPr>
      </w:pPr>
      <w:r w:rsidRPr="00584DEE">
        <w:rPr>
          <w:b/>
          <w:lang w:val="en-GB"/>
        </w:rPr>
        <w:t>Standing Invitees:</w:t>
      </w:r>
    </w:p>
    <w:p w14:paraId="5935D431" w14:textId="77777777" w:rsidR="006E3F10" w:rsidRPr="006E3F10" w:rsidRDefault="006E3F10" w:rsidP="00584DEE">
      <w:pPr>
        <w:pStyle w:val="Bullet"/>
        <w:rPr>
          <w:lang w:val="en-GB"/>
        </w:rPr>
      </w:pPr>
      <w:r w:rsidRPr="006E3F10">
        <w:rPr>
          <w:lang w:val="en-GB"/>
        </w:rPr>
        <w:t>Belinda Clark – Commissioner</w:t>
      </w:r>
    </w:p>
    <w:p w14:paraId="011A4514" w14:textId="77777777" w:rsidR="006E3F10" w:rsidRPr="006E3F10" w:rsidRDefault="006E3F10" w:rsidP="00584DEE">
      <w:pPr>
        <w:pStyle w:val="Bullet"/>
        <w:rPr>
          <w:lang w:val="en-GB"/>
        </w:rPr>
      </w:pPr>
      <w:r w:rsidRPr="006E3F10">
        <w:rPr>
          <w:lang w:val="en-GB"/>
        </w:rPr>
        <w:t>Dr Damian West – Deputy Commissioner</w:t>
      </w:r>
    </w:p>
    <w:p w14:paraId="67D8CB9B" w14:textId="77777777" w:rsidR="006E3F10" w:rsidRPr="006E3F10" w:rsidRDefault="006E3F10" w:rsidP="00584DEE">
      <w:pPr>
        <w:pStyle w:val="Bullet"/>
        <w:rPr>
          <w:lang w:val="en-GB"/>
        </w:rPr>
      </w:pPr>
      <w:r w:rsidRPr="006E3F10">
        <w:rPr>
          <w:lang w:val="en-GB"/>
        </w:rPr>
        <w:t>Ingrid Klein – Chief Financial Officer, Department of Premier and Cabinet/VPSC</w:t>
      </w:r>
    </w:p>
    <w:p w14:paraId="0307F41F" w14:textId="77777777" w:rsidR="006E3F10" w:rsidRPr="006E3F10" w:rsidRDefault="006E3F10" w:rsidP="00584DEE">
      <w:pPr>
        <w:pStyle w:val="Bullet"/>
        <w:rPr>
          <w:lang w:val="en-GB"/>
        </w:rPr>
      </w:pPr>
      <w:r w:rsidRPr="006E3F10">
        <w:rPr>
          <w:lang w:val="en-GB"/>
        </w:rPr>
        <w:t>Sharon Dekker – Victorian Auditor General’s Office (VAGO)</w:t>
      </w:r>
    </w:p>
    <w:p w14:paraId="632CFD09" w14:textId="77777777" w:rsidR="006E3F10" w:rsidRPr="006E3F10" w:rsidRDefault="006E3F10" w:rsidP="00584DEE">
      <w:pPr>
        <w:pStyle w:val="Bullet"/>
        <w:rPr>
          <w:lang w:val="en-GB"/>
        </w:rPr>
      </w:pPr>
      <w:r w:rsidRPr="006E3F10">
        <w:rPr>
          <w:lang w:val="en-GB"/>
        </w:rPr>
        <w:t>Bernadette Fallon – Manager, Corporate Services, VPSC</w:t>
      </w:r>
    </w:p>
    <w:p w14:paraId="4FF42FD1" w14:textId="77777777" w:rsidR="006E3F10" w:rsidRPr="006E3F10" w:rsidRDefault="006E3F10" w:rsidP="00584DEE">
      <w:pPr>
        <w:pStyle w:val="Bullet"/>
        <w:rPr>
          <w:lang w:val="en-GB"/>
        </w:rPr>
      </w:pPr>
      <w:r w:rsidRPr="006E3F10">
        <w:rPr>
          <w:lang w:val="en-GB"/>
        </w:rPr>
        <w:t>Mark Holloway – HLB Mann Judd, VPSC’s internal auditors </w:t>
      </w:r>
    </w:p>
    <w:p w14:paraId="65DB44D5" w14:textId="77777777" w:rsidR="006E3F10" w:rsidRPr="006E3F10" w:rsidRDefault="006E3F10" w:rsidP="00584DEE">
      <w:pPr>
        <w:pStyle w:val="Heading3"/>
        <w:rPr>
          <w:lang w:val="en-GB"/>
        </w:rPr>
      </w:pPr>
      <w:bookmarkStart w:id="41" w:name="_Toc494111969"/>
      <w:r w:rsidRPr="006E3F10">
        <w:rPr>
          <w:lang w:val="en-GB"/>
        </w:rPr>
        <w:t>Advisory Board</w:t>
      </w:r>
      <w:bookmarkEnd w:id="41"/>
    </w:p>
    <w:p w14:paraId="27EC8C67" w14:textId="77777777" w:rsidR="006E3F10" w:rsidRPr="006E3F10" w:rsidRDefault="006E3F10" w:rsidP="006E3F10">
      <w:pPr>
        <w:rPr>
          <w:lang w:val="en-GB"/>
        </w:rPr>
      </w:pPr>
      <w:r w:rsidRPr="006E3F10">
        <w:rPr>
          <w:lang w:val="en-GB"/>
        </w:rPr>
        <w:t>VPSC’s Advisory Board was established in 2015 to assist VPSC to develop its strategic directions that align with the Government’s objectives which seeks to maintain and build on Victoria’s public sector governance. The Advisory Board consists of the following members:</w:t>
      </w:r>
    </w:p>
    <w:p w14:paraId="2CBB5671" w14:textId="77777777" w:rsidR="00584DEE" w:rsidRPr="00584DEE" w:rsidRDefault="00584DEE" w:rsidP="006E3F10">
      <w:pPr>
        <w:tabs>
          <w:tab w:val="left" w:pos="1541"/>
        </w:tabs>
        <w:ind w:left="8"/>
        <w:rPr>
          <w:b/>
          <w:lang w:val="en-GB"/>
        </w:rPr>
      </w:pPr>
      <w:r w:rsidRPr="00584DEE">
        <w:rPr>
          <w:b/>
          <w:lang w:val="en-GB"/>
        </w:rPr>
        <w:t>Chairperson:</w:t>
      </w:r>
      <w:r w:rsidRPr="00584DEE">
        <w:rPr>
          <w:b/>
          <w:lang w:val="en-GB"/>
        </w:rPr>
        <w:tab/>
      </w:r>
    </w:p>
    <w:p w14:paraId="0B82B119" w14:textId="29EFFD27" w:rsidR="00584DEE" w:rsidRPr="006E3F10" w:rsidRDefault="00584DEE" w:rsidP="00584DEE">
      <w:pPr>
        <w:pStyle w:val="Bullet"/>
        <w:rPr>
          <w:lang w:val="en-GB"/>
        </w:rPr>
      </w:pPr>
      <w:r w:rsidRPr="006E3F10">
        <w:rPr>
          <w:lang w:val="en-GB"/>
        </w:rPr>
        <w:t>Chris Eccles, AO – Secretary, Department Premier and Cabinet</w:t>
      </w:r>
    </w:p>
    <w:p w14:paraId="76CF7B4F" w14:textId="77777777" w:rsidR="00584DEE" w:rsidRPr="00584DEE" w:rsidRDefault="00584DEE" w:rsidP="006E3F10">
      <w:pPr>
        <w:rPr>
          <w:b/>
          <w:lang w:val="en-GB"/>
        </w:rPr>
      </w:pPr>
      <w:r w:rsidRPr="00584DEE">
        <w:rPr>
          <w:b/>
          <w:lang w:val="en-GB"/>
        </w:rPr>
        <w:t>Members:</w:t>
      </w:r>
      <w:r w:rsidRPr="00584DEE">
        <w:rPr>
          <w:b/>
          <w:lang w:val="en-GB"/>
        </w:rPr>
        <w:tab/>
      </w:r>
    </w:p>
    <w:p w14:paraId="2FD0BF69" w14:textId="10BA841B" w:rsidR="00584DEE" w:rsidRPr="006E3F10" w:rsidRDefault="00584DEE" w:rsidP="00584DEE">
      <w:pPr>
        <w:pStyle w:val="Bullet"/>
        <w:rPr>
          <w:lang w:val="en-GB"/>
        </w:rPr>
      </w:pPr>
      <w:r w:rsidRPr="006E3F10">
        <w:rPr>
          <w:lang w:val="en-GB"/>
        </w:rPr>
        <w:t>Anita Roper</w:t>
      </w:r>
    </w:p>
    <w:p w14:paraId="764BE2E0" w14:textId="77777777" w:rsidR="00584DEE" w:rsidRPr="006E3F10" w:rsidRDefault="00584DEE" w:rsidP="00584DEE">
      <w:pPr>
        <w:pStyle w:val="Bullet"/>
        <w:rPr>
          <w:lang w:val="en-GB"/>
        </w:rPr>
      </w:pPr>
      <w:r w:rsidRPr="006E3F10">
        <w:rPr>
          <w:lang w:val="en-GB"/>
        </w:rPr>
        <w:t>Barbara Belcher</w:t>
      </w:r>
    </w:p>
    <w:p w14:paraId="584BB35E" w14:textId="77777777" w:rsidR="00584DEE" w:rsidRPr="006E3F10" w:rsidRDefault="00584DEE" w:rsidP="00584DEE">
      <w:pPr>
        <w:pStyle w:val="Bullet"/>
        <w:rPr>
          <w:lang w:val="en-GB"/>
        </w:rPr>
      </w:pPr>
      <w:r w:rsidRPr="006E3F10">
        <w:rPr>
          <w:lang w:val="en-GB"/>
        </w:rPr>
        <w:t>Cath Bowtell</w:t>
      </w:r>
    </w:p>
    <w:p w14:paraId="6B2D110F" w14:textId="77777777" w:rsidR="00584DEE" w:rsidRPr="006E3F10" w:rsidRDefault="00584DEE" w:rsidP="00584DEE">
      <w:pPr>
        <w:pStyle w:val="Bullet"/>
        <w:rPr>
          <w:lang w:val="en-GB"/>
        </w:rPr>
      </w:pPr>
      <w:r w:rsidRPr="006E3F10">
        <w:rPr>
          <w:lang w:val="en-GB"/>
        </w:rPr>
        <w:t>Ross McPherson</w:t>
      </w:r>
    </w:p>
    <w:p w14:paraId="3AF46C94" w14:textId="77777777" w:rsidR="00584DEE" w:rsidRPr="006E3F10" w:rsidRDefault="00584DEE" w:rsidP="00584DEE">
      <w:pPr>
        <w:pStyle w:val="Bullet"/>
        <w:rPr>
          <w:lang w:val="en-GB"/>
        </w:rPr>
      </w:pPr>
      <w:r w:rsidRPr="006E3F10">
        <w:rPr>
          <w:lang w:val="en-GB"/>
        </w:rPr>
        <w:t>William Confalonieri</w:t>
      </w:r>
    </w:p>
    <w:p w14:paraId="5E6AC3C4" w14:textId="32F23623" w:rsidR="00584DEE" w:rsidRPr="00584DEE" w:rsidRDefault="00584DEE" w:rsidP="006E3F10">
      <w:pPr>
        <w:rPr>
          <w:b/>
          <w:lang w:val="en-GB"/>
        </w:rPr>
      </w:pPr>
      <w:r w:rsidRPr="00584DEE">
        <w:rPr>
          <w:b/>
          <w:lang w:val="en-GB"/>
        </w:rPr>
        <w:t>Standing Invitees:</w:t>
      </w:r>
    </w:p>
    <w:p w14:paraId="4DF6349E" w14:textId="40E52CBD" w:rsidR="00584DEE" w:rsidRPr="006E3F10" w:rsidRDefault="00584DEE" w:rsidP="00584DEE">
      <w:pPr>
        <w:pStyle w:val="Bullet"/>
        <w:rPr>
          <w:lang w:val="en-GB"/>
        </w:rPr>
      </w:pPr>
      <w:r w:rsidRPr="006E3F10">
        <w:rPr>
          <w:lang w:val="en-GB"/>
        </w:rPr>
        <w:lastRenderedPageBreak/>
        <w:t>Belinda Clark – Commissioner</w:t>
      </w:r>
    </w:p>
    <w:p w14:paraId="794D7CD8" w14:textId="77777777" w:rsidR="00584DEE" w:rsidRPr="006E3F10" w:rsidRDefault="00584DEE" w:rsidP="00584DEE">
      <w:pPr>
        <w:pStyle w:val="Bullet"/>
        <w:rPr>
          <w:lang w:val="en-GB"/>
        </w:rPr>
      </w:pPr>
      <w:r w:rsidRPr="006E3F10">
        <w:rPr>
          <w:lang w:val="en-GB"/>
        </w:rPr>
        <w:t>Dr Damian West – Deputy Commissioner</w:t>
      </w:r>
    </w:p>
    <w:p w14:paraId="1DD085A4" w14:textId="77777777" w:rsidR="006E3F10" w:rsidRPr="00584DEE" w:rsidRDefault="006E3F10" w:rsidP="006E3F10">
      <w:pPr>
        <w:rPr>
          <w:rStyle w:val="Emphasis"/>
        </w:rPr>
      </w:pPr>
      <w:r w:rsidRPr="00584DEE">
        <w:rPr>
          <w:rStyle w:val="Emphasis"/>
        </w:rPr>
        <w:t>*All Advisory Board members are independent; VPSC provides Secretariat support. </w:t>
      </w:r>
    </w:p>
    <w:p w14:paraId="63A3B007" w14:textId="77777777" w:rsidR="006E3F10" w:rsidRPr="006E3F10" w:rsidRDefault="006E3F10" w:rsidP="00584DEE">
      <w:pPr>
        <w:pStyle w:val="Heading3"/>
        <w:rPr>
          <w:lang w:val="en-GB"/>
        </w:rPr>
      </w:pPr>
      <w:bookmarkStart w:id="42" w:name="_Toc494111970"/>
      <w:r w:rsidRPr="006E3F10">
        <w:rPr>
          <w:lang w:val="en-GB"/>
        </w:rPr>
        <w:t>Occupational Health &amp; Safety</w:t>
      </w:r>
      <w:bookmarkEnd w:id="42"/>
    </w:p>
    <w:p w14:paraId="19A4F960" w14:textId="77777777" w:rsidR="006E3F10" w:rsidRPr="006E3F10" w:rsidRDefault="006E3F10" w:rsidP="006E3F10">
      <w:pPr>
        <w:rPr>
          <w:lang w:val="en-GB"/>
        </w:rPr>
      </w:pPr>
      <w:r w:rsidRPr="006E3F10">
        <w:rPr>
          <w:lang w:val="en-GB"/>
        </w:rPr>
        <w:t>VPSC has a clear and uncompromising commitment to occupational health and safety compliance as well as general staff health and well-being. During the reporting year, VPSC supported this commitment through: </w:t>
      </w:r>
    </w:p>
    <w:tbl>
      <w:tblPr>
        <w:tblStyle w:val="TableGrid"/>
        <w:tblW w:w="10386" w:type="dxa"/>
        <w:tblLook w:val="04A0" w:firstRow="1" w:lastRow="0" w:firstColumn="1" w:lastColumn="0" w:noHBand="0" w:noVBand="1"/>
      </w:tblPr>
      <w:tblGrid>
        <w:gridCol w:w="5708"/>
        <w:gridCol w:w="2339"/>
        <w:gridCol w:w="2339"/>
      </w:tblGrid>
      <w:tr w:rsidR="00584DEE" w:rsidRPr="006E3F10" w14:paraId="26D1A407" w14:textId="77777777" w:rsidTr="00584DEE">
        <w:tc>
          <w:tcPr>
            <w:tcW w:w="5708" w:type="dxa"/>
            <w:hideMark/>
          </w:tcPr>
          <w:p w14:paraId="68FFA2E0" w14:textId="77777777" w:rsidR="006E3F10" w:rsidRPr="006E3F10" w:rsidRDefault="006E3F10" w:rsidP="009D7B94">
            <w:pPr>
              <w:pStyle w:val="TableHeading"/>
              <w:rPr>
                <w:lang w:val="en-GB"/>
              </w:rPr>
            </w:pPr>
            <w:r w:rsidRPr="006E3F10">
              <w:rPr>
                <w:lang w:val="en-GB"/>
              </w:rPr>
              <w:t>Item</w:t>
            </w:r>
          </w:p>
        </w:tc>
        <w:tc>
          <w:tcPr>
            <w:tcW w:w="2339" w:type="dxa"/>
            <w:hideMark/>
          </w:tcPr>
          <w:p w14:paraId="321864C3" w14:textId="77777777" w:rsidR="006E3F10" w:rsidRPr="006E3F10" w:rsidRDefault="006E3F10" w:rsidP="009D7B94">
            <w:pPr>
              <w:pStyle w:val="TableHeading"/>
              <w:rPr>
                <w:lang w:val="en-GB"/>
              </w:rPr>
            </w:pPr>
            <w:r w:rsidRPr="006E3F10">
              <w:rPr>
                <w:lang w:val="en-GB"/>
              </w:rPr>
              <w:t>2016-17</w:t>
            </w:r>
          </w:p>
        </w:tc>
        <w:tc>
          <w:tcPr>
            <w:tcW w:w="2339" w:type="dxa"/>
            <w:hideMark/>
          </w:tcPr>
          <w:p w14:paraId="6CDE4A34" w14:textId="77777777" w:rsidR="006E3F10" w:rsidRPr="006E3F10" w:rsidRDefault="006E3F10" w:rsidP="009D7B94">
            <w:pPr>
              <w:pStyle w:val="TableHeading"/>
              <w:rPr>
                <w:lang w:val="en-GB"/>
              </w:rPr>
            </w:pPr>
            <w:r w:rsidRPr="006E3F10">
              <w:rPr>
                <w:lang w:val="en-GB"/>
              </w:rPr>
              <w:t>2015-16</w:t>
            </w:r>
          </w:p>
        </w:tc>
      </w:tr>
      <w:tr w:rsidR="00584DEE" w:rsidRPr="006E3F10" w14:paraId="01BA1C0E" w14:textId="77777777" w:rsidTr="00584DEE">
        <w:tc>
          <w:tcPr>
            <w:tcW w:w="5708" w:type="dxa"/>
            <w:hideMark/>
          </w:tcPr>
          <w:p w14:paraId="538E7330" w14:textId="77777777" w:rsidR="006E3F10" w:rsidRPr="006E3F10" w:rsidRDefault="006E3F10" w:rsidP="00344A82">
            <w:pPr>
              <w:pStyle w:val="TableCopy"/>
              <w:rPr>
                <w:lang w:val="en-GB"/>
              </w:rPr>
            </w:pPr>
            <w:r w:rsidRPr="006E3F10">
              <w:rPr>
                <w:lang w:val="en-GB"/>
              </w:rPr>
              <w:t>Ergonomic Assessments</w:t>
            </w:r>
          </w:p>
        </w:tc>
        <w:tc>
          <w:tcPr>
            <w:tcW w:w="2339" w:type="dxa"/>
            <w:hideMark/>
          </w:tcPr>
          <w:p w14:paraId="1AE5DFB1" w14:textId="77777777" w:rsidR="006E3F10" w:rsidRPr="00344A82" w:rsidRDefault="006E3F10" w:rsidP="00344A82">
            <w:pPr>
              <w:pStyle w:val="TableCopy"/>
              <w:rPr>
                <w:b/>
                <w:lang w:val="en-GB"/>
              </w:rPr>
            </w:pPr>
            <w:r w:rsidRPr="00344A82">
              <w:rPr>
                <w:b/>
                <w:lang w:val="en-GB"/>
              </w:rPr>
              <w:t>7</w:t>
            </w:r>
          </w:p>
        </w:tc>
        <w:tc>
          <w:tcPr>
            <w:tcW w:w="2339" w:type="dxa"/>
            <w:hideMark/>
          </w:tcPr>
          <w:p w14:paraId="7FC34850" w14:textId="77777777" w:rsidR="006E3F10" w:rsidRPr="006E3F10" w:rsidRDefault="006E3F10" w:rsidP="00344A82">
            <w:pPr>
              <w:pStyle w:val="TableCopy"/>
              <w:rPr>
                <w:lang w:val="en-GB"/>
              </w:rPr>
            </w:pPr>
            <w:r w:rsidRPr="006E3F10">
              <w:rPr>
                <w:lang w:val="en-GB"/>
              </w:rPr>
              <w:t>7</w:t>
            </w:r>
          </w:p>
        </w:tc>
      </w:tr>
      <w:tr w:rsidR="00584DEE" w:rsidRPr="006E3F10" w14:paraId="6CF6151F" w14:textId="77777777" w:rsidTr="00584DEE">
        <w:tc>
          <w:tcPr>
            <w:tcW w:w="5708" w:type="dxa"/>
            <w:hideMark/>
          </w:tcPr>
          <w:p w14:paraId="5BD2E348" w14:textId="77777777" w:rsidR="006E3F10" w:rsidRPr="006E3F10" w:rsidRDefault="006E3F10" w:rsidP="00344A82">
            <w:pPr>
              <w:pStyle w:val="TableCopy"/>
              <w:rPr>
                <w:lang w:val="en-GB"/>
              </w:rPr>
            </w:pPr>
            <w:r w:rsidRPr="006E3F10">
              <w:rPr>
                <w:lang w:val="en-GB"/>
              </w:rPr>
              <w:t>Number of sit/stand desks recommended:</w:t>
            </w:r>
          </w:p>
        </w:tc>
        <w:tc>
          <w:tcPr>
            <w:tcW w:w="2339" w:type="dxa"/>
            <w:hideMark/>
          </w:tcPr>
          <w:p w14:paraId="446622B7" w14:textId="77777777" w:rsidR="006E3F10" w:rsidRPr="00344A82" w:rsidRDefault="006E3F10" w:rsidP="00344A82">
            <w:pPr>
              <w:pStyle w:val="TableCopy"/>
              <w:rPr>
                <w:b/>
                <w:lang w:val="en-GB"/>
              </w:rPr>
            </w:pPr>
            <w:r w:rsidRPr="00344A82">
              <w:rPr>
                <w:b/>
                <w:lang w:val="en-GB"/>
              </w:rPr>
              <w:t>22*</w:t>
            </w:r>
          </w:p>
        </w:tc>
        <w:tc>
          <w:tcPr>
            <w:tcW w:w="2339" w:type="dxa"/>
            <w:hideMark/>
          </w:tcPr>
          <w:p w14:paraId="1D4EA3FE" w14:textId="77777777" w:rsidR="006E3F10" w:rsidRPr="006E3F10" w:rsidRDefault="006E3F10" w:rsidP="00344A82">
            <w:pPr>
              <w:pStyle w:val="TableCopy"/>
              <w:rPr>
                <w:lang w:val="en-GB"/>
              </w:rPr>
            </w:pPr>
            <w:r w:rsidRPr="006E3F10">
              <w:rPr>
                <w:lang w:val="en-GB"/>
              </w:rPr>
              <w:t>1</w:t>
            </w:r>
          </w:p>
        </w:tc>
      </w:tr>
      <w:tr w:rsidR="00584DEE" w:rsidRPr="006E3F10" w14:paraId="3EBE3B44" w14:textId="77777777" w:rsidTr="00584DEE">
        <w:tc>
          <w:tcPr>
            <w:tcW w:w="5708" w:type="dxa"/>
            <w:hideMark/>
          </w:tcPr>
          <w:p w14:paraId="37953BE6" w14:textId="77777777" w:rsidR="006E3F10" w:rsidRPr="006E3F10" w:rsidRDefault="006E3F10" w:rsidP="00344A82">
            <w:pPr>
              <w:pStyle w:val="TableCopy"/>
              <w:rPr>
                <w:lang w:val="en-GB"/>
              </w:rPr>
            </w:pPr>
            <w:r w:rsidRPr="006E3F10">
              <w:rPr>
                <w:lang w:val="en-GB"/>
              </w:rPr>
              <w:t>Number of special ergonomic aids recommended:</w:t>
            </w:r>
          </w:p>
        </w:tc>
        <w:tc>
          <w:tcPr>
            <w:tcW w:w="2339" w:type="dxa"/>
            <w:hideMark/>
          </w:tcPr>
          <w:p w14:paraId="7327C749" w14:textId="77777777" w:rsidR="006E3F10" w:rsidRPr="00344A82" w:rsidRDefault="006E3F10" w:rsidP="00344A82">
            <w:pPr>
              <w:pStyle w:val="TableCopy"/>
              <w:rPr>
                <w:b/>
                <w:lang w:val="en-GB"/>
              </w:rPr>
            </w:pPr>
            <w:r w:rsidRPr="00344A82">
              <w:rPr>
                <w:b/>
                <w:lang w:val="en-GB"/>
              </w:rPr>
              <w:t>8</w:t>
            </w:r>
          </w:p>
        </w:tc>
        <w:tc>
          <w:tcPr>
            <w:tcW w:w="2339" w:type="dxa"/>
            <w:hideMark/>
          </w:tcPr>
          <w:p w14:paraId="58152877" w14:textId="77777777" w:rsidR="006E3F10" w:rsidRPr="006E3F10" w:rsidRDefault="006E3F10" w:rsidP="00344A82">
            <w:pPr>
              <w:pStyle w:val="TableCopy"/>
              <w:rPr>
                <w:lang w:val="en-GB"/>
              </w:rPr>
            </w:pPr>
            <w:r w:rsidRPr="006E3F10">
              <w:rPr>
                <w:lang w:val="en-GB"/>
              </w:rPr>
              <w:t>5</w:t>
            </w:r>
          </w:p>
        </w:tc>
      </w:tr>
      <w:tr w:rsidR="00584DEE" w:rsidRPr="006E3F10" w14:paraId="70369F0E" w14:textId="77777777" w:rsidTr="00584DEE">
        <w:tc>
          <w:tcPr>
            <w:tcW w:w="5708" w:type="dxa"/>
            <w:hideMark/>
          </w:tcPr>
          <w:p w14:paraId="22F477F9" w14:textId="77777777" w:rsidR="006E3F10" w:rsidRPr="006E3F10" w:rsidRDefault="006E3F10" w:rsidP="00344A82">
            <w:pPr>
              <w:pStyle w:val="TableCopy"/>
              <w:rPr>
                <w:lang w:val="en-GB"/>
              </w:rPr>
            </w:pPr>
            <w:r w:rsidRPr="006E3F10">
              <w:rPr>
                <w:lang w:val="en-GB"/>
              </w:rPr>
              <w:t>Number of Flu Vaccinations:</w:t>
            </w:r>
          </w:p>
        </w:tc>
        <w:tc>
          <w:tcPr>
            <w:tcW w:w="2339" w:type="dxa"/>
            <w:hideMark/>
          </w:tcPr>
          <w:p w14:paraId="17AB3DE3" w14:textId="77777777" w:rsidR="006E3F10" w:rsidRPr="00344A82" w:rsidRDefault="006E3F10" w:rsidP="00344A82">
            <w:pPr>
              <w:pStyle w:val="TableCopy"/>
              <w:rPr>
                <w:b/>
                <w:lang w:val="en-GB"/>
              </w:rPr>
            </w:pPr>
            <w:r w:rsidRPr="00344A82">
              <w:rPr>
                <w:b/>
                <w:lang w:val="en-GB"/>
              </w:rPr>
              <w:t>38</w:t>
            </w:r>
          </w:p>
        </w:tc>
        <w:tc>
          <w:tcPr>
            <w:tcW w:w="2339" w:type="dxa"/>
            <w:hideMark/>
          </w:tcPr>
          <w:p w14:paraId="1F71EA4F" w14:textId="77777777" w:rsidR="006E3F10" w:rsidRPr="006E3F10" w:rsidRDefault="006E3F10" w:rsidP="00344A82">
            <w:pPr>
              <w:pStyle w:val="TableCopy"/>
              <w:rPr>
                <w:lang w:val="en-GB"/>
              </w:rPr>
            </w:pPr>
            <w:r w:rsidRPr="006E3F10">
              <w:rPr>
                <w:lang w:val="en-GB"/>
              </w:rPr>
              <w:t>10</w:t>
            </w:r>
          </w:p>
        </w:tc>
      </w:tr>
    </w:tbl>
    <w:p w14:paraId="3A0911CE" w14:textId="77777777" w:rsidR="006E3F10" w:rsidRPr="00584DEE" w:rsidRDefault="006E3F10" w:rsidP="006E3F10">
      <w:pPr>
        <w:rPr>
          <w:rStyle w:val="Emphasis"/>
        </w:rPr>
      </w:pPr>
      <w:r w:rsidRPr="00584DEE">
        <w:rPr>
          <w:rStyle w:val="Emphasis"/>
        </w:rPr>
        <w:t>*During the reporting period, VPSC accommodated every staff desk move with a sit/stand replacement</w:t>
      </w:r>
    </w:p>
    <w:p w14:paraId="08FCD365" w14:textId="77777777" w:rsidR="006E3F10" w:rsidRPr="006E3F10" w:rsidRDefault="006E3F10" w:rsidP="00584DEE">
      <w:pPr>
        <w:pStyle w:val="Heading3"/>
        <w:rPr>
          <w:lang w:val="en-GB"/>
        </w:rPr>
      </w:pPr>
      <w:bookmarkStart w:id="43" w:name="_Toc494111971"/>
      <w:r w:rsidRPr="006E3F10">
        <w:rPr>
          <w:lang w:val="en-GB"/>
        </w:rPr>
        <w:t>Incident Management**</w:t>
      </w:r>
      <w:bookmarkEnd w:id="43"/>
    </w:p>
    <w:tbl>
      <w:tblPr>
        <w:tblStyle w:val="TableGrid"/>
        <w:tblW w:w="10706" w:type="dxa"/>
        <w:tblLook w:val="04A0" w:firstRow="1" w:lastRow="0" w:firstColumn="1" w:lastColumn="0" w:noHBand="0" w:noVBand="1"/>
      </w:tblPr>
      <w:tblGrid>
        <w:gridCol w:w="5708"/>
        <w:gridCol w:w="2499"/>
        <w:gridCol w:w="2499"/>
      </w:tblGrid>
      <w:tr w:rsidR="009A4671" w:rsidRPr="006E3F10" w14:paraId="2A0725E7" w14:textId="77777777" w:rsidTr="009A4671">
        <w:tc>
          <w:tcPr>
            <w:tcW w:w="5708" w:type="dxa"/>
            <w:hideMark/>
          </w:tcPr>
          <w:p w14:paraId="66468F13" w14:textId="77777777" w:rsidR="006E3F10" w:rsidRPr="006E3F10" w:rsidRDefault="006E3F10" w:rsidP="00E3107F">
            <w:pPr>
              <w:pStyle w:val="TableHeading"/>
              <w:rPr>
                <w:lang w:val="en-GB"/>
              </w:rPr>
            </w:pPr>
            <w:r w:rsidRPr="006E3F10">
              <w:rPr>
                <w:lang w:val="en-GB"/>
              </w:rPr>
              <w:t>Item</w:t>
            </w:r>
          </w:p>
        </w:tc>
        <w:tc>
          <w:tcPr>
            <w:tcW w:w="2499" w:type="dxa"/>
            <w:hideMark/>
          </w:tcPr>
          <w:p w14:paraId="3BEBAD62" w14:textId="77777777" w:rsidR="006E3F10" w:rsidRPr="006E3F10" w:rsidRDefault="006E3F10" w:rsidP="00E3107F">
            <w:pPr>
              <w:pStyle w:val="TableHeading"/>
              <w:rPr>
                <w:lang w:val="en-GB"/>
              </w:rPr>
            </w:pPr>
            <w:r w:rsidRPr="006E3F10">
              <w:rPr>
                <w:lang w:val="en-GB"/>
              </w:rPr>
              <w:t>2016-17</w:t>
            </w:r>
          </w:p>
        </w:tc>
        <w:tc>
          <w:tcPr>
            <w:tcW w:w="2499" w:type="dxa"/>
            <w:hideMark/>
          </w:tcPr>
          <w:p w14:paraId="5B676E81" w14:textId="77777777" w:rsidR="006E3F10" w:rsidRPr="006E3F10" w:rsidRDefault="006E3F10" w:rsidP="00E3107F">
            <w:pPr>
              <w:pStyle w:val="TableHeading"/>
              <w:rPr>
                <w:lang w:val="en-GB"/>
              </w:rPr>
            </w:pPr>
            <w:r w:rsidRPr="006E3F10">
              <w:rPr>
                <w:lang w:val="en-GB"/>
              </w:rPr>
              <w:t>2015-16</w:t>
            </w:r>
          </w:p>
        </w:tc>
      </w:tr>
      <w:tr w:rsidR="009A4671" w:rsidRPr="006E3F10" w14:paraId="0A7E076E" w14:textId="77777777" w:rsidTr="009A4671">
        <w:tc>
          <w:tcPr>
            <w:tcW w:w="5708" w:type="dxa"/>
            <w:hideMark/>
          </w:tcPr>
          <w:p w14:paraId="6F45DCFE" w14:textId="77777777" w:rsidR="006E3F10" w:rsidRPr="006E3F10" w:rsidRDefault="006E3F10" w:rsidP="00E3107F">
            <w:pPr>
              <w:pStyle w:val="TableCopy"/>
              <w:rPr>
                <w:lang w:val="en-GB"/>
              </w:rPr>
            </w:pPr>
            <w:r w:rsidRPr="006E3F10">
              <w:rPr>
                <w:lang w:val="en-GB"/>
              </w:rPr>
              <w:t>Number of incidents reported</w:t>
            </w:r>
          </w:p>
        </w:tc>
        <w:tc>
          <w:tcPr>
            <w:tcW w:w="2499" w:type="dxa"/>
            <w:hideMark/>
          </w:tcPr>
          <w:p w14:paraId="663BE073" w14:textId="77777777" w:rsidR="006E3F10" w:rsidRPr="00E3107F" w:rsidRDefault="006E3F10" w:rsidP="00E3107F">
            <w:pPr>
              <w:pStyle w:val="TableCopy"/>
              <w:rPr>
                <w:b/>
                <w:lang w:val="en-GB"/>
              </w:rPr>
            </w:pPr>
            <w:r w:rsidRPr="00E3107F">
              <w:rPr>
                <w:b/>
                <w:lang w:val="en-GB"/>
              </w:rPr>
              <w:t>3</w:t>
            </w:r>
          </w:p>
        </w:tc>
        <w:tc>
          <w:tcPr>
            <w:tcW w:w="2499" w:type="dxa"/>
            <w:hideMark/>
          </w:tcPr>
          <w:p w14:paraId="221E9670" w14:textId="77777777" w:rsidR="006E3F10" w:rsidRPr="006E3F10" w:rsidRDefault="006E3F10" w:rsidP="00E3107F">
            <w:pPr>
              <w:pStyle w:val="TableCopy"/>
              <w:rPr>
                <w:lang w:val="en-GB"/>
              </w:rPr>
            </w:pPr>
            <w:r w:rsidRPr="006E3F10">
              <w:rPr>
                <w:lang w:val="en-GB"/>
              </w:rPr>
              <w:t>0</w:t>
            </w:r>
          </w:p>
        </w:tc>
      </w:tr>
      <w:tr w:rsidR="009A4671" w:rsidRPr="006E3F10" w14:paraId="4049594D" w14:textId="77777777" w:rsidTr="009A4671">
        <w:tc>
          <w:tcPr>
            <w:tcW w:w="5708" w:type="dxa"/>
            <w:hideMark/>
          </w:tcPr>
          <w:p w14:paraId="1FEFB80B" w14:textId="77777777" w:rsidR="006E3F10" w:rsidRPr="006E3F10" w:rsidRDefault="006E3F10" w:rsidP="00E3107F">
            <w:pPr>
              <w:pStyle w:val="TableCopy"/>
              <w:rPr>
                <w:lang w:val="en-GB"/>
              </w:rPr>
            </w:pPr>
            <w:r w:rsidRPr="006E3F10">
              <w:rPr>
                <w:lang w:val="en-GB"/>
              </w:rPr>
              <w:t>Number of hazards reported</w:t>
            </w:r>
          </w:p>
        </w:tc>
        <w:tc>
          <w:tcPr>
            <w:tcW w:w="2499" w:type="dxa"/>
            <w:hideMark/>
          </w:tcPr>
          <w:p w14:paraId="4A74307F" w14:textId="77777777" w:rsidR="006E3F10" w:rsidRPr="00E3107F" w:rsidRDefault="006E3F10" w:rsidP="00E3107F">
            <w:pPr>
              <w:pStyle w:val="TableCopy"/>
              <w:rPr>
                <w:b/>
                <w:lang w:val="en-GB"/>
              </w:rPr>
            </w:pPr>
            <w:r w:rsidRPr="00E3107F">
              <w:rPr>
                <w:b/>
                <w:lang w:val="en-GB"/>
              </w:rPr>
              <w:t>1</w:t>
            </w:r>
          </w:p>
        </w:tc>
        <w:tc>
          <w:tcPr>
            <w:tcW w:w="2499" w:type="dxa"/>
            <w:hideMark/>
          </w:tcPr>
          <w:p w14:paraId="6675624F" w14:textId="77777777" w:rsidR="006E3F10" w:rsidRPr="006E3F10" w:rsidRDefault="006E3F10" w:rsidP="00E3107F">
            <w:pPr>
              <w:pStyle w:val="TableCopy"/>
              <w:rPr>
                <w:lang w:val="en-GB"/>
              </w:rPr>
            </w:pPr>
            <w:r w:rsidRPr="006E3F10">
              <w:rPr>
                <w:lang w:val="en-GB"/>
              </w:rPr>
              <w:t>1</w:t>
            </w:r>
          </w:p>
        </w:tc>
      </w:tr>
    </w:tbl>
    <w:p w14:paraId="168D71B0" w14:textId="77777777" w:rsidR="006E3F10" w:rsidRPr="00DE4F66" w:rsidRDefault="006E3F10" w:rsidP="006E3F10">
      <w:pPr>
        <w:rPr>
          <w:rStyle w:val="Emphasis"/>
        </w:rPr>
      </w:pPr>
      <w:r w:rsidRPr="00DE4F66">
        <w:rPr>
          <w:rStyle w:val="Emphasis"/>
        </w:rPr>
        <w:t>**Data provided by Marsh, VPSC’s OHS Service Provider</w:t>
      </w:r>
    </w:p>
    <w:p w14:paraId="4B4F383D" w14:textId="77777777" w:rsidR="006E3F10" w:rsidRPr="006E3F10" w:rsidRDefault="006E3F10" w:rsidP="00DE4F66">
      <w:pPr>
        <w:pStyle w:val="Heading2"/>
        <w:rPr>
          <w:lang w:val="en-GB"/>
        </w:rPr>
      </w:pPr>
      <w:bookmarkStart w:id="44" w:name="_Toc494111972"/>
      <w:r w:rsidRPr="006E3F10">
        <w:rPr>
          <w:lang w:val="en-GB"/>
        </w:rPr>
        <w:t>Employment &amp; Conduct Principles</w:t>
      </w:r>
      <w:bookmarkEnd w:id="44"/>
    </w:p>
    <w:p w14:paraId="392D6B0E" w14:textId="77777777" w:rsidR="006E3F10" w:rsidRPr="006E3F10" w:rsidRDefault="006E3F10" w:rsidP="00DE4F66">
      <w:pPr>
        <w:pStyle w:val="Heading3"/>
        <w:rPr>
          <w:lang w:val="en-GB"/>
        </w:rPr>
      </w:pPr>
      <w:bookmarkStart w:id="45" w:name="_Toc494111973"/>
      <w:r w:rsidRPr="006E3F10">
        <w:rPr>
          <w:lang w:val="en-GB"/>
        </w:rPr>
        <w:t>Merit Selection Policy</w:t>
      </w:r>
      <w:bookmarkEnd w:id="45"/>
    </w:p>
    <w:p w14:paraId="1E70CB55" w14:textId="77777777" w:rsidR="006E3F10" w:rsidRPr="006E3F10" w:rsidRDefault="006E3F10" w:rsidP="006E3F10">
      <w:pPr>
        <w:rPr>
          <w:lang w:val="en-GB"/>
        </w:rPr>
      </w:pPr>
      <w:r w:rsidRPr="006E3F10">
        <w:rPr>
          <w:lang w:val="en-GB"/>
        </w:rPr>
        <w:t>VPSC is committed to applying merit and equity principles when appointing staff. The selection processes ensure that applicants are assessed and evaluated fairly and equitably on the basis of the key selection criteria and other accountabilities without discrimination.</w:t>
      </w:r>
    </w:p>
    <w:p w14:paraId="6003F293" w14:textId="77777777" w:rsidR="006E3F10" w:rsidRPr="006E3F10" w:rsidRDefault="006E3F10" w:rsidP="00DE4F66">
      <w:pPr>
        <w:pStyle w:val="Heading1"/>
        <w:rPr>
          <w:lang w:val="en-GB"/>
        </w:rPr>
      </w:pPr>
      <w:bookmarkStart w:id="46" w:name="_Toc494111974"/>
      <w:r w:rsidRPr="006E3F10">
        <w:rPr>
          <w:lang w:val="en-GB"/>
        </w:rPr>
        <w:t>Section 3 – Workforce Data</w:t>
      </w:r>
      <w:bookmarkEnd w:id="46"/>
    </w:p>
    <w:p w14:paraId="03BC03B8" w14:textId="77777777" w:rsidR="006E3F10" w:rsidRPr="006E3F10" w:rsidRDefault="006E3F10" w:rsidP="009A4671">
      <w:pPr>
        <w:pStyle w:val="Heading2"/>
        <w:rPr>
          <w:lang w:val="en-GB"/>
        </w:rPr>
      </w:pPr>
      <w:bookmarkStart w:id="47" w:name="_Toc494111975"/>
      <w:r w:rsidRPr="006E3F10">
        <w:rPr>
          <w:lang w:val="en-GB"/>
        </w:rPr>
        <w:t>Public Administration Values and Employment Principles</w:t>
      </w:r>
      <w:bookmarkEnd w:id="47"/>
    </w:p>
    <w:p w14:paraId="5EE759A5" w14:textId="338E5ACE" w:rsidR="006E3F10" w:rsidRPr="006E3F10" w:rsidRDefault="006E3F10" w:rsidP="006E3F10">
      <w:pPr>
        <w:rPr>
          <w:lang w:val="en-GB"/>
        </w:rPr>
      </w:pPr>
      <w:r w:rsidRPr="006E3F10">
        <w:rPr>
          <w:lang w:val="en-GB"/>
        </w:rPr>
        <w:t>The principles underpin employment processes within the VPS. The s</w:t>
      </w:r>
      <w:r w:rsidR="009A4671">
        <w:rPr>
          <w:lang w:val="en-GB"/>
        </w:rPr>
        <w:t xml:space="preserve">tandards guide the development </w:t>
      </w:r>
      <w:r w:rsidRPr="006E3F10">
        <w:rPr>
          <w:lang w:val="en-GB"/>
        </w:rPr>
        <w:t>of employment processes.</w:t>
      </w:r>
    </w:p>
    <w:p w14:paraId="6C670ACC" w14:textId="77777777" w:rsidR="006E3F10" w:rsidRPr="006E3F10" w:rsidRDefault="006E3F10" w:rsidP="006E3F10">
      <w:pPr>
        <w:rPr>
          <w:lang w:val="en-GB"/>
        </w:rPr>
      </w:pPr>
      <w:r w:rsidRPr="006E3F10">
        <w:rPr>
          <w:lang w:val="en-GB"/>
        </w:rPr>
        <w:t>Public sector employers must have employment processes which are consistent with the public sector employment principles and any mandatory standards VPSC issues.</w:t>
      </w:r>
    </w:p>
    <w:p w14:paraId="4816179D" w14:textId="2F9DCB62" w:rsidR="006E3F10" w:rsidRPr="006E3F10" w:rsidRDefault="006E3F10" w:rsidP="006E3F10">
      <w:pPr>
        <w:rPr>
          <w:lang w:val="en-GB"/>
        </w:rPr>
      </w:pPr>
      <w:r w:rsidRPr="006E3F10">
        <w:rPr>
          <w:lang w:val="en-GB"/>
        </w:rPr>
        <w:t>The standards and principles help shape the type of working environment we offer to our employees which help set the right conditions for productive and harmonious working relat</w:t>
      </w:r>
      <w:r w:rsidR="009A4671">
        <w:rPr>
          <w:lang w:val="en-GB"/>
        </w:rPr>
        <w:t xml:space="preserve">ionships by ensuring employees </w:t>
      </w:r>
      <w:r w:rsidRPr="006E3F10">
        <w:rPr>
          <w:lang w:val="en-GB"/>
        </w:rPr>
        <w:t>are treated well, have career opportunities and can safely raise their concerns.</w:t>
      </w:r>
    </w:p>
    <w:p w14:paraId="1294C445" w14:textId="77777777" w:rsidR="006E3F10" w:rsidRPr="006E3F10" w:rsidRDefault="006E3F10" w:rsidP="009A4671">
      <w:pPr>
        <w:pStyle w:val="Heading2"/>
        <w:rPr>
          <w:lang w:val="en-GB"/>
        </w:rPr>
      </w:pPr>
      <w:bookmarkStart w:id="48" w:name="_Toc494111976"/>
      <w:r w:rsidRPr="006E3F10">
        <w:rPr>
          <w:lang w:val="en-GB"/>
        </w:rPr>
        <w:lastRenderedPageBreak/>
        <w:t>Comparative Workforce Data</w:t>
      </w:r>
      <w:bookmarkEnd w:id="48"/>
    </w:p>
    <w:p w14:paraId="703A438F" w14:textId="77777777" w:rsidR="006E3F10" w:rsidRPr="006E3F10" w:rsidRDefault="006E3F10" w:rsidP="0087734C">
      <w:pPr>
        <w:pStyle w:val="Heading3"/>
        <w:rPr>
          <w:lang w:val="en-GB"/>
        </w:rPr>
      </w:pPr>
      <w:bookmarkStart w:id="49" w:name="_Toc494111977"/>
      <w:r w:rsidRPr="006E3F10">
        <w:rPr>
          <w:lang w:val="en-GB"/>
        </w:rPr>
        <w:t>Staffing Trends from 2015 – 2017</w:t>
      </w:r>
      <w:bookmarkEnd w:id="49"/>
    </w:p>
    <w:tbl>
      <w:tblPr>
        <w:tblStyle w:val="TableGrid"/>
        <w:tblW w:w="0" w:type="auto"/>
        <w:tblLook w:val="04A0" w:firstRow="1" w:lastRow="0" w:firstColumn="1" w:lastColumn="0" w:noHBand="0" w:noVBand="1"/>
      </w:tblPr>
      <w:tblGrid>
        <w:gridCol w:w="5807"/>
        <w:gridCol w:w="1512"/>
        <w:gridCol w:w="1512"/>
        <w:gridCol w:w="1512"/>
      </w:tblGrid>
      <w:tr w:rsidR="009A4671" w:rsidRPr="006E3F10" w14:paraId="4CBFC2B2" w14:textId="77777777" w:rsidTr="009A4671">
        <w:tc>
          <w:tcPr>
            <w:tcW w:w="5807" w:type="dxa"/>
            <w:hideMark/>
          </w:tcPr>
          <w:p w14:paraId="063EC382" w14:textId="77777777" w:rsidR="006E3F10" w:rsidRPr="006E3F10" w:rsidRDefault="006E3F10" w:rsidP="006E3F10">
            <w:pPr>
              <w:rPr>
                <w:lang w:val="en-GB"/>
              </w:rPr>
            </w:pPr>
          </w:p>
        </w:tc>
        <w:tc>
          <w:tcPr>
            <w:tcW w:w="1512" w:type="dxa"/>
            <w:hideMark/>
          </w:tcPr>
          <w:p w14:paraId="30DEFDC3" w14:textId="77777777" w:rsidR="006E3F10" w:rsidRPr="006E3F10" w:rsidRDefault="006E3F10" w:rsidP="0087734C">
            <w:pPr>
              <w:pStyle w:val="TableHeading"/>
              <w:rPr>
                <w:lang w:val="en-GB"/>
              </w:rPr>
            </w:pPr>
            <w:r w:rsidRPr="006E3F10">
              <w:rPr>
                <w:lang w:val="en-GB"/>
              </w:rPr>
              <w:t>2015</w:t>
            </w:r>
          </w:p>
        </w:tc>
        <w:tc>
          <w:tcPr>
            <w:tcW w:w="1512" w:type="dxa"/>
            <w:hideMark/>
          </w:tcPr>
          <w:p w14:paraId="75B9E9C5" w14:textId="77777777" w:rsidR="006E3F10" w:rsidRPr="006E3F10" w:rsidRDefault="006E3F10" w:rsidP="0087734C">
            <w:pPr>
              <w:pStyle w:val="TableHeading"/>
              <w:rPr>
                <w:lang w:val="en-GB"/>
              </w:rPr>
            </w:pPr>
            <w:r w:rsidRPr="006E3F10">
              <w:rPr>
                <w:lang w:val="en-GB"/>
              </w:rPr>
              <w:t>2016</w:t>
            </w:r>
          </w:p>
        </w:tc>
        <w:tc>
          <w:tcPr>
            <w:tcW w:w="1512" w:type="dxa"/>
            <w:hideMark/>
          </w:tcPr>
          <w:p w14:paraId="784A12CA" w14:textId="77777777" w:rsidR="006E3F10" w:rsidRPr="006E3F10" w:rsidRDefault="006E3F10" w:rsidP="0087734C">
            <w:pPr>
              <w:pStyle w:val="TableHeading"/>
              <w:rPr>
                <w:lang w:val="en-GB"/>
              </w:rPr>
            </w:pPr>
            <w:r w:rsidRPr="006E3F10">
              <w:rPr>
                <w:lang w:val="en-GB"/>
              </w:rPr>
              <w:t>2017</w:t>
            </w:r>
          </w:p>
        </w:tc>
      </w:tr>
      <w:tr w:rsidR="009A4671" w:rsidRPr="006E3F10" w14:paraId="33D0E1FC" w14:textId="77777777" w:rsidTr="009A4671">
        <w:tc>
          <w:tcPr>
            <w:tcW w:w="5807" w:type="dxa"/>
            <w:hideMark/>
          </w:tcPr>
          <w:p w14:paraId="739D157B" w14:textId="77777777" w:rsidR="006E3F10" w:rsidRPr="006E3F10" w:rsidRDefault="006E3F10" w:rsidP="0087734C">
            <w:pPr>
              <w:pStyle w:val="TableCopy"/>
              <w:rPr>
                <w:lang w:val="en-GB"/>
              </w:rPr>
            </w:pPr>
            <w:r w:rsidRPr="006E3F10">
              <w:rPr>
                <w:lang w:val="en-GB"/>
              </w:rPr>
              <w:t xml:space="preserve">Headcount including ongoing and fixed term employees. </w:t>
            </w:r>
            <w:r w:rsidRPr="006E3F10">
              <w:rPr>
                <w:lang w:val="en-GB"/>
              </w:rPr>
              <w:br/>
              <w:t>(Not including statutory appointments.)</w:t>
            </w:r>
          </w:p>
        </w:tc>
        <w:tc>
          <w:tcPr>
            <w:tcW w:w="1512" w:type="dxa"/>
            <w:hideMark/>
          </w:tcPr>
          <w:p w14:paraId="6C4E0252" w14:textId="77777777" w:rsidR="006E3F10" w:rsidRPr="006E3F10" w:rsidRDefault="006E3F10" w:rsidP="0087734C">
            <w:pPr>
              <w:pStyle w:val="TableCopy"/>
              <w:rPr>
                <w:lang w:val="en-GB"/>
              </w:rPr>
            </w:pPr>
            <w:r w:rsidRPr="006E3F10">
              <w:rPr>
                <w:lang w:val="en-GB"/>
              </w:rPr>
              <w:t>53</w:t>
            </w:r>
          </w:p>
        </w:tc>
        <w:tc>
          <w:tcPr>
            <w:tcW w:w="1512" w:type="dxa"/>
            <w:hideMark/>
          </w:tcPr>
          <w:p w14:paraId="07BC00B3" w14:textId="77777777" w:rsidR="006E3F10" w:rsidRPr="006E3F10" w:rsidRDefault="006E3F10" w:rsidP="0087734C">
            <w:pPr>
              <w:pStyle w:val="TableCopy"/>
              <w:rPr>
                <w:lang w:val="en-GB"/>
              </w:rPr>
            </w:pPr>
            <w:r w:rsidRPr="006E3F10">
              <w:rPr>
                <w:lang w:val="en-GB"/>
              </w:rPr>
              <w:t>56</w:t>
            </w:r>
          </w:p>
        </w:tc>
        <w:tc>
          <w:tcPr>
            <w:tcW w:w="1512" w:type="dxa"/>
            <w:hideMark/>
          </w:tcPr>
          <w:p w14:paraId="52737EB6" w14:textId="77777777" w:rsidR="006E3F10" w:rsidRPr="0087734C" w:rsidRDefault="006E3F10" w:rsidP="0087734C">
            <w:pPr>
              <w:pStyle w:val="TableCopy"/>
              <w:rPr>
                <w:b/>
                <w:lang w:val="en-GB"/>
              </w:rPr>
            </w:pPr>
            <w:r w:rsidRPr="0087734C">
              <w:rPr>
                <w:b/>
                <w:lang w:val="en-GB"/>
              </w:rPr>
              <w:t>75</w:t>
            </w:r>
          </w:p>
        </w:tc>
      </w:tr>
      <w:tr w:rsidR="009A4671" w:rsidRPr="006E3F10" w14:paraId="42FAEAC8" w14:textId="77777777" w:rsidTr="009A4671">
        <w:tc>
          <w:tcPr>
            <w:tcW w:w="5807" w:type="dxa"/>
            <w:hideMark/>
          </w:tcPr>
          <w:p w14:paraId="6F7A6087" w14:textId="77777777" w:rsidR="006E3F10" w:rsidRPr="006E3F10" w:rsidRDefault="006E3F10" w:rsidP="0087734C">
            <w:pPr>
              <w:pStyle w:val="TableCopy"/>
              <w:rPr>
                <w:lang w:val="en-GB"/>
              </w:rPr>
            </w:pPr>
            <w:r w:rsidRPr="006E3F10">
              <w:rPr>
                <w:lang w:val="en-GB"/>
              </w:rPr>
              <w:t>FTE</w:t>
            </w:r>
          </w:p>
        </w:tc>
        <w:tc>
          <w:tcPr>
            <w:tcW w:w="1512" w:type="dxa"/>
            <w:hideMark/>
          </w:tcPr>
          <w:p w14:paraId="44D60F08" w14:textId="77777777" w:rsidR="006E3F10" w:rsidRPr="006E3F10" w:rsidRDefault="006E3F10" w:rsidP="0087734C">
            <w:pPr>
              <w:pStyle w:val="TableCopy"/>
              <w:rPr>
                <w:lang w:val="en-GB"/>
              </w:rPr>
            </w:pPr>
            <w:r w:rsidRPr="006E3F10">
              <w:rPr>
                <w:lang w:val="en-GB"/>
              </w:rPr>
              <w:t>50.19</w:t>
            </w:r>
          </w:p>
        </w:tc>
        <w:tc>
          <w:tcPr>
            <w:tcW w:w="1512" w:type="dxa"/>
            <w:hideMark/>
          </w:tcPr>
          <w:p w14:paraId="630B86A3" w14:textId="77777777" w:rsidR="006E3F10" w:rsidRPr="006E3F10" w:rsidRDefault="006E3F10" w:rsidP="0087734C">
            <w:pPr>
              <w:pStyle w:val="TableCopy"/>
              <w:rPr>
                <w:lang w:val="en-GB"/>
              </w:rPr>
            </w:pPr>
            <w:r w:rsidRPr="006E3F10">
              <w:rPr>
                <w:lang w:val="en-GB"/>
              </w:rPr>
              <w:t>52.64</w:t>
            </w:r>
          </w:p>
        </w:tc>
        <w:tc>
          <w:tcPr>
            <w:tcW w:w="1512" w:type="dxa"/>
            <w:hideMark/>
          </w:tcPr>
          <w:p w14:paraId="4C390829" w14:textId="77777777" w:rsidR="006E3F10" w:rsidRPr="0087734C" w:rsidRDefault="006E3F10" w:rsidP="0087734C">
            <w:pPr>
              <w:pStyle w:val="TableCopy"/>
              <w:rPr>
                <w:b/>
                <w:lang w:val="en-GB"/>
              </w:rPr>
            </w:pPr>
            <w:r w:rsidRPr="0087734C">
              <w:rPr>
                <w:b/>
                <w:lang w:val="en-GB"/>
              </w:rPr>
              <w:t>70.84</w:t>
            </w:r>
          </w:p>
        </w:tc>
      </w:tr>
    </w:tbl>
    <w:p w14:paraId="3E4AD894" w14:textId="77777777" w:rsidR="006E3F10" w:rsidRPr="006E3F10" w:rsidRDefault="006E3F10" w:rsidP="0087734C">
      <w:pPr>
        <w:pStyle w:val="Heading3"/>
        <w:rPr>
          <w:lang w:val="en-GB"/>
        </w:rPr>
      </w:pPr>
      <w:bookmarkStart w:id="50" w:name="_Toc494111978"/>
      <w:r w:rsidRPr="006E3F10">
        <w:rPr>
          <w:lang w:val="en-GB"/>
        </w:rPr>
        <w:t>Summary of Employment Levels (30 June 2016 and 30 June 2017)</w:t>
      </w:r>
      <w:bookmarkEnd w:id="50"/>
    </w:p>
    <w:tbl>
      <w:tblPr>
        <w:tblStyle w:val="TableGrid"/>
        <w:tblW w:w="0" w:type="auto"/>
        <w:tblLook w:val="04A0" w:firstRow="1" w:lastRow="0" w:firstColumn="1" w:lastColumn="0" w:noHBand="0" w:noVBand="1"/>
      </w:tblPr>
      <w:tblGrid>
        <w:gridCol w:w="5128"/>
        <w:gridCol w:w="1303"/>
        <w:gridCol w:w="1304"/>
        <w:gridCol w:w="1304"/>
        <w:gridCol w:w="1304"/>
      </w:tblGrid>
      <w:tr w:rsidR="009A40FF" w:rsidRPr="006E3F10" w14:paraId="37D8D8F2" w14:textId="77777777" w:rsidTr="009A40FF">
        <w:tc>
          <w:tcPr>
            <w:tcW w:w="5128" w:type="dxa"/>
            <w:hideMark/>
          </w:tcPr>
          <w:p w14:paraId="58638838" w14:textId="77777777" w:rsidR="009A40FF" w:rsidRPr="006E3F10" w:rsidRDefault="009A40FF" w:rsidP="00D55884">
            <w:pPr>
              <w:pStyle w:val="TableHeading"/>
              <w:rPr>
                <w:lang w:val="en-GB"/>
              </w:rPr>
            </w:pPr>
          </w:p>
        </w:tc>
        <w:tc>
          <w:tcPr>
            <w:tcW w:w="2607" w:type="dxa"/>
            <w:gridSpan w:val="2"/>
            <w:hideMark/>
          </w:tcPr>
          <w:p w14:paraId="5663FC01" w14:textId="5449ABFC" w:rsidR="009A40FF" w:rsidRPr="006E3F10" w:rsidRDefault="009A40FF" w:rsidP="00F602A5">
            <w:pPr>
              <w:pStyle w:val="TableHeading"/>
              <w:jc w:val="center"/>
              <w:rPr>
                <w:lang w:val="en-GB"/>
              </w:rPr>
            </w:pPr>
            <w:r w:rsidRPr="006E3F10">
              <w:rPr>
                <w:bCs/>
                <w:lang w:val="en-GB"/>
              </w:rPr>
              <w:t>2016</w:t>
            </w:r>
          </w:p>
        </w:tc>
        <w:tc>
          <w:tcPr>
            <w:tcW w:w="2608" w:type="dxa"/>
            <w:gridSpan w:val="2"/>
          </w:tcPr>
          <w:p w14:paraId="766FBDFF" w14:textId="2126B127" w:rsidR="009A40FF" w:rsidRPr="006E3F10" w:rsidRDefault="009A40FF" w:rsidP="00F602A5">
            <w:pPr>
              <w:pStyle w:val="TableHeading"/>
              <w:jc w:val="center"/>
              <w:rPr>
                <w:lang w:val="en-GB"/>
              </w:rPr>
            </w:pPr>
            <w:r w:rsidRPr="006E3F10">
              <w:rPr>
                <w:bCs/>
                <w:lang w:val="en-GB"/>
              </w:rPr>
              <w:t>2017</w:t>
            </w:r>
          </w:p>
        </w:tc>
      </w:tr>
      <w:tr w:rsidR="009A40FF" w:rsidRPr="006E3F10" w14:paraId="0183C8F1" w14:textId="77777777" w:rsidTr="009A40FF">
        <w:tc>
          <w:tcPr>
            <w:tcW w:w="5128" w:type="dxa"/>
            <w:hideMark/>
          </w:tcPr>
          <w:p w14:paraId="150798C1" w14:textId="77777777" w:rsidR="006E3F10" w:rsidRPr="006E3F10" w:rsidRDefault="006E3F10" w:rsidP="00D55884">
            <w:pPr>
              <w:pStyle w:val="TableHeading"/>
              <w:rPr>
                <w:lang w:val="en-GB"/>
              </w:rPr>
            </w:pPr>
            <w:r w:rsidRPr="006E3F10">
              <w:rPr>
                <w:bCs/>
                <w:lang w:val="en-GB"/>
              </w:rPr>
              <w:t>Data as per June payroll (FTE report)</w:t>
            </w:r>
          </w:p>
        </w:tc>
        <w:tc>
          <w:tcPr>
            <w:tcW w:w="1303" w:type="dxa"/>
            <w:hideMark/>
          </w:tcPr>
          <w:p w14:paraId="5F7BD99C" w14:textId="77777777" w:rsidR="006E3F10" w:rsidRPr="006E3F10" w:rsidRDefault="006E3F10" w:rsidP="00D55884">
            <w:pPr>
              <w:pStyle w:val="TableHeading"/>
              <w:rPr>
                <w:lang w:val="en-GB"/>
              </w:rPr>
            </w:pPr>
            <w:r w:rsidRPr="006E3F10">
              <w:rPr>
                <w:bCs/>
                <w:lang w:val="en-GB"/>
              </w:rPr>
              <w:t>Headcount</w:t>
            </w:r>
          </w:p>
        </w:tc>
        <w:tc>
          <w:tcPr>
            <w:tcW w:w="1304" w:type="dxa"/>
            <w:hideMark/>
          </w:tcPr>
          <w:p w14:paraId="2D582A09" w14:textId="77777777" w:rsidR="006E3F10" w:rsidRPr="006E3F10" w:rsidRDefault="006E3F10" w:rsidP="00D55884">
            <w:pPr>
              <w:pStyle w:val="TableHeading"/>
              <w:rPr>
                <w:lang w:val="en-GB"/>
              </w:rPr>
            </w:pPr>
            <w:r w:rsidRPr="006E3F10">
              <w:rPr>
                <w:bCs/>
                <w:lang w:val="en-GB"/>
              </w:rPr>
              <w:t>FTE</w:t>
            </w:r>
          </w:p>
        </w:tc>
        <w:tc>
          <w:tcPr>
            <w:tcW w:w="1304" w:type="dxa"/>
            <w:hideMark/>
          </w:tcPr>
          <w:p w14:paraId="2A51787B" w14:textId="77777777" w:rsidR="006E3F10" w:rsidRPr="006E3F10" w:rsidRDefault="006E3F10" w:rsidP="00D55884">
            <w:pPr>
              <w:pStyle w:val="TableHeading"/>
              <w:rPr>
                <w:lang w:val="en-GB"/>
              </w:rPr>
            </w:pPr>
            <w:r w:rsidRPr="006E3F10">
              <w:rPr>
                <w:bCs/>
                <w:lang w:val="en-GB"/>
              </w:rPr>
              <w:t>Headcount</w:t>
            </w:r>
          </w:p>
        </w:tc>
        <w:tc>
          <w:tcPr>
            <w:tcW w:w="1304" w:type="dxa"/>
            <w:hideMark/>
          </w:tcPr>
          <w:p w14:paraId="1287DF07" w14:textId="77777777" w:rsidR="006E3F10" w:rsidRPr="006E3F10" w:rsidRDefault="006E3F10" w:rsidP="00D55884">
            <w:pPr>
              <w:pStyle w:val="TableHeading"/>
              <w:rPr>
                <w:lang w:val="en-GB"/>
              </w:rPr>
            </w:pPr>
            <w:r w:rsidRPr="006E3F10">
              <w:rPr>
                <w:bCs/>
                <w:lang w:val="en-GB"/>
              </w:rPr>
              <w:t>FTE</w:t>
            </w:r>
          </w:p>
        </w:tc>
      </w:tr>
      <w:tr w:rsidR="009A40FF" w:rsidRPr="006E3F10" w14:paraId="21C15EF6" w14:textId="77777777" w:rsidTr="009A40FF">
        <w:tc>
          <w:tcPr>
            <w:tcW w:w="5128" w:type="dxa"/>
            <w:hideMark/>
          </w:tcPr>
          <w:p w14:paraId="37C07E46" w14:textId="77777777" w:rsidR="006E3F10" w:rsidRPr="006E3F10" w:rsidRDefault="006E3F10" w:rsidP="00D55884">
            <w:pPr>
              <w:pStyle w:val="TableCopy"/>
              <w:rPr>
                <w:lang w:val="en-GB"/>
              </w:rPr>
            </w:pPr>
            <w:r w:rsidRPr="006E3F10">
              <w:rPr>
                <w:lang w:val="en-GB"/>
              </w:rPr>
              <w:t>Total head count, not including statutory appointments</w:t>
            </w:r>
          </w:p>
        </w:tc>
        <w:tc>
          <w:tcPr>
            <w:tcW w:w="1303" w:type="dxa"/>
            <w:hideMark/>
          </w:tcPr>
          <w:p w14:paraId="6EB90A29" w14:textId="77777777" w:rsidR="006E3F10" w:rsidRPr="006E3F10" w:rsidRDefault="006E3F10" w:rsidP="00D55884">
            <w:pPr>
              <w:pStyle w:val="TableCopy"/>
              <w:rPr>
                <w:lang w:val="en-GB"/>
              </w:rPr>
            </w:pPr>
            <w:r w:rsidRPr="006E3F10">
              <w:rPr>
                <w:lang w:val="en-GB"/>
              </w:rPr>
              <w:t>56</w:t>
            </w:r>
          </w:p>
        </w:tc>
        <w:tc>
          <w:tcPr>
            <w:tcW w:w="1304" w:type="dxa"/>
            <w:hideMark/>
          </w:tcPr>
          <w:p w14:paraId="4BC7BE2E" w14:textId="77777777" w:rsidR="006E3F10" w:rsidRPr="006E3F10" w:rsidRDefault="006E3F10" w:rsidP="00D55884">
            <w:pPr>
              <w:pStyle w:val="TableCopy"/>
              <w:rPr>
                <w:lang w:val="en-GB"/>
              </w:rPr>
            </w:pPr>
            <w:r w:rsidRPr="006E3F10">
              <w:rPr>
                <w:lang w:val="en-GB"/>
              </w:rPr>
              <w:t>52.64</w:t>
            </w:r>
          </w:p>
        </w:tc>
        <w:tc>
          <w:tcPr>
            <w:tcW w:w="1304" w:type="dxa"/>
            <w:hideMark/>
          </w:tcPr>
          <w:p w14:paraId="48D7CB25" w14:textId="77777777" w:rsidR="006E3F10" w:rsidRPr="00D55884" w:rsidRDefault="006E3F10" w:rsidP="00D55884">
            <w:pPr>
              <w:pStyle w:val="TableCopy"/>
              <w:rPr>
                <w:b/>
                <w:lang w:val="en-GB"/>
              </w:rPr>
            </w:pPr>
            <w:r w:rsidRPr="00D55884">
              <w:rPr>
                <w:b/>
                <w:lang w:val="en-GB"/>
              </w:rPr>
              <w:t>75</w:t>
            </w:r>
          </w:p>
        </w:tc>
        <w:tc>
          <w:tcPr>
            <w:tcW w:w="1304" w:type="dxa"/>
            <w:hideMark/>
          </w:tcPr>
          <w:p w14:paraId="19991B84" w14:textId="77777777" w:rsidR="006E3F10" w:rsidRPr="00D55884" w:rsidRDefault="006E3F10" w:rsidP="00D55884">
            <w:pPr>
              <w:pStyle w:val="TableCopy"/>
              <w:rPr>
                <w:b/>
                <w:lang w:val="en-GB"/>
              </w:rPr>
            </w:pPr>
            <w:r w:rsidRPr="00D55884">
              <w:rPr>
                <w:b/>
                <w:lang w:val="en-GB"/>
              </w:rPr>
              <w:t>70.84</w:t>
            </w:r>
          </w:p>
        </w:tc>
      </w:tr>
      <w:tr w:rsidR="009A40FF" w:rsidRPr="006E3F10" w14:paraId="13885750" w14:textId="77777777" w:rsidTr="009A40FF">
        <w:tc>
          <w:tcPr>
            <w:tcW w:w="5128" w:type="dxa"/>
            <w:hideMark/>
          </w:tcPr>
          <w:p w14:paraId="1264CC33" w14:textId="77777777" w:rsidR="006E3F10" w:rsidRPr="006E3F10" w:rsidRDefault="006E3F10" w:rsidP="00D55884">
            <w:pPr>
              <w:pStyle w:val="TableCopy"/>
              <w:rPr>
                <w:lang w:val="en-GB"/>
              </w:rPr>
            </w:pPr>
            <w:r w:rsidRPr="006E3F10">
              <w:rPr>
                <w:lang w:val="en-GB"/>
              </w:rPr>
              <w:t>Ongoing – Full Time</w:t>
            </w:r>
          </w:p>
        </w:tc>
        <w:tc>
          <w:tcPr>
            <w:tcW w:w="1303" w:type="dxa"/>
            <w:hideMark/>
          </w:tcPr>
          <w:p w14:paraId="3FFA8948" w14:textId="77777777" w:rsidR="006E3F10" w:rsidRPr="006E3F10" w:rsidRDefault="006E3F10" w:rsidP="00D55884">
            <w:pPr>
              <w:pStyle w:val="TableCopy"/>
              <w:rPr>
                <w:lang w:val="en-GB"/>
              </w:rPr>
            </w:pPr>
            <w:r w:rsidRPr="006E3F10">
              <w:rPr>
                <w:lang w:val="en-GB"/>
              </w:rPr>
              <w:t>34</w:t>
            </w:r>
          </w:p>
        </w:tc>
        <w:tc>
          <w:tcPr>
            <w:tcW w:w="1304" w:type="dxa"/>
            <w:hideMark/>
          </w:tcPr>
          <w:p w14:paraId="0971774F" w14:textId="77777777" w:rsidR="006E3F10" w:rsidRPr="006E3F10" w:rsidRDefault="006E3F10" w:rsidP="00D55884">
            <w:pPr>
              <w:pStyle w:val="TableCopy"/>
              <w:rPr>
                <w:lang w:val="en-GB"/>
              </w:rPr>
            </w:pPr>
            <w:r w:rsidRPr="006E3F10">
              <w:rPr>
                <w:lang w:val="en-GB"/>
              </w:rPr>
              <w:t>34</w:t>
            </w:r>
          </w:p>
        </w:tc>
        <w:tc>
          <w:tcPr>
            <w:tcW w:w="1304" w:type="dxa"/>
            <w:hideMark/>
          </w:tcPr>
          <w:p w14:paraId="60FAD79B" w14:textId="77777777" w:rsidR="006E3F10" w:rsidRPr="00D55884" w:rsidRDefault="006E3F10" w:rsidP="00D55884">
            <w:pPr>
              <w:pStyle w:val="TableCopy"/>
              <w:rPr>
                <w:b/>
                <w:lang w:val="en-GB"/>
              </w:rPr>
            </w:pPr>
            <w:r w:rsidRPr="00D55884">
              <w:rPr>
                <w:b/>
                <w:lang w:val="en-GB"/>
              </w:rPr>
              <w:t>32</w:t>
            </w:r>
          </w:p>
        </w:tc>
        <w:tc>
          <w:tcPr>
            <w:tcW w:w="1304" w:type="dxa"/>
            <w:hideMark/>
          </w:tcPr>
          <w:p w14:paraId="122E4135" w14:textId="77777777" w:rsidR="006E3F10" w:rsidRPr="00D55884" w:rsidRDefault="006E3F10" w:rsidP="00D55884">
            <w:pPr>
              <w:pStyle w:val="TableCopy"/>
              <w:rPr>
                <w:b/>
                <w:lang w:val="en-GB"/>
              </w:rPr>
            </w:pPr>
            <w:r w:rsidRPr="00D55884">
              <w:rPr>
                <w:b/>
                <w:lang w:val="en-GB"/>
              </w:rPr>
              <w:t>32</w:t>
            </w:r>
          </w:p>
        </w:tc>
      </w:tr>
      <w:tr w:rsidR="009A40FF" w:rsidRPr="006E3F10" w14:paraId="6E54E044" w14:textId="77777777" w:rsidTr="009A40FF">
        <w:tc>
          <w:tcPr>
            <w:tcW w:w="5128" w:type="dxa"/>
            <w:hideMark/>
          </w:tcPr>
          <w:p w14:paraId="708A4F5B" w14:textId="77777777" w:rsidR="006E3F10" w:rsidRPr="006E3F10" w:rsidRDefault="006E3F10" w:rsidP="00D55884">
            <w:pPr>
              <w:pStyle w:val="TableCopy"/>
              <w:rPr>
                <w:lang w:val="en-GB"/>
              </w:rPr>
            </w:pPr>
            <w:r w:rsidRPr="006E3F10">
              <w:rPr>
                <w:lang w:val="en-GB"/>
              </w:rPr>
              <w:t>Ongoing – Part Time</w:t>
            </w:r>
          </w:p>
        </w:tc>
        <w:tc>
          <w:tcPr>
            <w:tcW w:w="1303" w:type="dxa"/>
            <w:hideMark/>
          </w:tcPr>
          <w:p w14:paraId="05135837" w14:textId="77777777" w:rsidR="006E3F10" w:rsidRPr="006E3F10" w:rsidRDefault="006E3F10" w:rsidP="00D55884">
            <w:pPr>
              <w:pStyle w:val="TableCopy"/>
              <w:rPr>
                <w:lang w:val="en-GB"/>
              </w:rPr>
            </w:pPr>
            <w:r w:rsidRPr="006E3F10">
              <w:rPr>
                <w:lang w:val="en-GB"/>
              </w:rPr>
              <w:t>5</w:t>
            </w:r>
          </w:p>
        </w:tc>
        <w:tc>
          <w:tcPr>
            <w:tcW w:w="1304" w:type="dxa"/>
            <w:hideMark/>
          </w:tcPr>
          <w:p w14:paraId="522BD6B9" w14:textId="77777777" w:rsidR="006E3F10" w:rsidRPr="006E3F10" w:rsidRDefault="006E3F10" w:rsidP="00D55884">
            <w:pPr>
              <w:pStyle w:val="TableCopy"/>
              <w:rPr>
                <w:lang w:val="en-GB"/>
              </w:rPr>
            </w:pPr>
            <w:r w:rsidRPr="006E3F10">
              <w:rPr>
                <w:lang w:val="en-GB"/>
              </w:rPr>
              <w:t>3.31</w:t>
            </w:r>
          </w:p>
        </w:tc>
        <w:tc>
          <w:tcPr>
            <w:tcW w:w="1304" w:type="dxa"/>
            <w:hideMark/>
          </w:tcPr>
          <w:p w14:paraId="76D95F81" w14:textId="77777777" w:rsidR="006E3F10" w:rsidRPr="00D55884" w:rsidRDefault="006E3F10" w:rsidP="00D55884">
            <w:pPr>
              <w:pStyle w:val="TableCopy"/>
              <w:rPr>
                <w:b/>
                <w:lang w:val="en-GB"/>
              </w:rPr>
            </w:pPr>
            <w:r w:rsidRPr="00D55884">
              <w:rPr>
                <w:b/>
                <w:lang w:val="en-GB"/>
              </w:rPr>
              <w:t>11</w:t>
            </w:r>
          </w:p>
        </w:tc>
        <w:tc>
          <w:tcPr>
            <w:tcW w:w="1304" w:type="dxa"/>
            <w:hideMark/>
          </w:tcPr>
          <w:p w14:paraId="0C31D213" w14:textId="77777777" w:rsidR="006E3F10" w:rsidRPr="00D55884" w:rsidRDefault="006E3F10" w:rsidP="00D55884">
            <w:pPr>
              <w:pStyle w:val="TableCopy"/>
              <w:rPr>
                <w:b/>
                <w:lang w:val="en-GB"/>
              </w:rPr>
            </w:pPr>
            <w:r w:rsidRPr="00D55884">
              <w:rPr>
                <w:b/>
                <w:lang w:val="en-GB"/>
              </w:rPr>
              <w:t>7.41</w:t>
            </w:r>
          </w:p>
        </w:tc>
      </w:tr>
      <w:tr w:rsidR="009A40FF" w:rsidRPr="006E3F10" w14:paraId="10A48AD9" w14:textId="77777777" w:rsidTr="009A40FF">
        <w:tc>
          <w:tcPr>
            <w:tcW w:w="5128" w:type="dxa"/>
            <w:hideMark/>
          </w:tcPr>
          <w:p w14:paraId="492C87D7" w14:textId="77777777" w:rsidR="006E3F10" w:rsidRPr="006E3F10" w:rsidRDefault="006E3F10" w:rsidP="00D55884">
            <w:pPr>
              <w:pStyle w:val="TableCopy"/>
              <w:rPr>
                <w:lang w:val="en-GB"/>
              </w:rPr>
            </w:pPr>
            <w:r w:rsidRPr="006E3F10">
              <w:rPr>
                <w:lang w:val="en-GB"/>
              </w:rPr>
              <w:t>Fixed Term – Full Time</w:t>
            </w:r>
          </w:p>
        </w:tc>
        <w:tc>
          <w:tcPr>
            <w:tcW w:w="1303" w:type="dxa"/>
            <w:hideMark/>
          </w:tcPr>
          <w:p w14:paraId="4C6415C0" w14:textId="77777777" w:rsidR="006E3F10" w:rsidRPr="006E3F10" w:rsidRDefault="006E3F10" w:rsidP="00D55884">
            <w:pPr>
              <w:pStyle w:val="TableCopy"/>
              <w:rPr>
                <w:lang w:val="en-GB"/>
              </w:rPr>
            </w:pPr>
            <w:r w:rsidRPr="006E3F10">
              <w:rPr>
                <w:lang w:val="en-GB"/>
              </w:rPr>
              <w:t>9</w:t>
            </w:r>
          </w:p>
        </w:tc>
        <w:tc>
          <w:tcPr>
            <w:tcW w:w="1304" w:type="dxa"/>
            <w:hideMark/>
          </w:tcPr>
          <w:p w14:paraId="36A34E01" w14:textId="77777777" w:rsidR="006E3F10" w:rsidRPr="006E3F10" w:rsidRDefault="006E3F10" w:rsidP="00D55884">
            <w:pPr>
              <w:pStyle w:val="TableCopy"/>
              <w:rPr>
                <w:lang w:val="en-GB"/>
              </w:rPr>
            </w:pPr>
            <w:r w:rsidRPr="006E3F10">
              <w:rPr>
                <w:lang w:val="en-GB"/>
              </w:rPr>
              <w:t>9</w:t>
            </w:r>
          </w:p>
        </w:tc>
        <w:tc>
          <w:tcPr>
            <w:tcW w:w="1304" w:type="dxa"/>
            <w:hideMark/>
          </w:tcPr>
          <w:p w14:paraId="31F43B61" w14:textId="77777777" w:rsidR="006E3F10" w:rsidRPr="00D55884" w:rsidRDefault="006E3F10" w:rsidP="00D55884">
            <w:pPr>
              <w:pStyle w:val="TableCopy"/>
              <w:rPr>
                <w:b/>
                <w:lang w:val="en-GB"/>
              </w:rPr>
            </w:pPr>
            <w:r w:rsidRPr="00D55884">
              <w:rPr>
                <w:b/>
                <w:lang w:val="en-GB"/>
              </w:rPr>
              <w:t>27</w:t>
            </w:r>
          </w:p>
        </w:tc>
        <w:tc>
          <w:tcPr>
            <w:tcW w:w="1304" w:type="dxa"/>
            <w:hideMark/>
          </w:tcPr>
          <w:p w14:paraId="0196C8DE" w14:textId="77777777" w:rsidR="006E3F10" w:rsidRPr="00D55884" w:rsidRDefault="006E3F10" w:rsidP="00D55884">
            <w:pPr>
              <w:pStyle w:val="TableCopy"/>
              <w:rPr>
                <w:b/>
                <w:lang w:val="en-GB"/>
              </w:rPr>
            </w:pPr>
            <w:r w:rsidRPr="00D55884">
              <w:rPr>
                <w:b/>
                <w:lang w:val="en-GB"/>
              </w:rPr>
              <w:t>27</w:t>
            </w:r>
          </w:p>
        </w:tc>
      </w:tr>
      <w:tr w:rsidR="009A40FF" w:rsidRPr="006E3F10" w14:paraId="2D0CA29C" w14:textId="77777777" w:rsidTr="009A40FF">
        <w:tc>
          <w:tcPr>
            <w:tcW w:w="5128" w:type="dxa"/>
            <w:hideMark/>
          </w:tcPr>
          <w:p w14:paraId="136F6208" w14:textId="77777777" w:rsidR="006E3F10" w:rsidRPr="006E3F10" w:rsidRDefault="006E3F10" w:rsidP="00D55884">
            <w:pPr>
              <w:pStyle w:val="TableCopy"/>
              <w:rPr>
                <w:lang w:val="en-GB"/>
              </w:rPr>
            </w:pPr>
            <w:r w:rsidRPr="006E3F10">
              <w:rPr>
                <w:lang w:val="en-GB"/>
              </w:rPr>
              <w:t>Fixed term – Part Time</w:t>
            </w:r>
          </w:p>
        </w:tc>
        <w:tc>
          <w:tcPr>
            <w:tcW w:w="1303" w:type="dxa"/>
            <w:hideMark/>
          </w:tcPr>
          <w:p w14:paraId="3310788E" w14:textId="77777777" w:rsidR="006E3F10" w:rsidRPr="006E3F10" w:rsidRDefault="006E3F10" w:rsidP="00D55884">
            <w:pPr>
              <w:pStyle w:val="TableCopy"/>
              <w:rPr>
                <w:lang w:val="en-GB"/>
              </w:rPr>
            </w:pPr>
            <w:r w:rsidRPr="006E3F10">
              <w:rPr>
                <w:lang w:val="en-GB"/>
              </w:rPr>
              <w:t>2</w:t>
            </w:r>
          </w:p>
        </w:tc>
        <w:tc>
          <w:tcPr>
            <w:tcW w:w="1304" w:type="dxa"/>
            <w:hideMark/>
          </w:tcPr>
          <w:p w14:paraId="19ED9ECA" w14:textId="77777777" w:rsidR="006E3F10" w:rsidRPr="006E3F10" w:rsidRDefault="006E3F10" w:rsidP="00D55884">
            <w:pPr>
              <w:pStyle w:val="TableCopy"/>
              <w:rPr>
                <w:lang w:val="en-GB"/>
              </w:rPr>
            </w:pPr>
            <w:r w:rsidRPr="006E3F10">
              <w:rPr>
                <w:lang w:val="en-GB"/>
              </w:rPr>
              <w:t>1.4</w:t>
            </w:r>
          </w:p>
        </w:tc>
        <w:tc>
          <w:tcPr>
            <w:tcW w:w="1304" w:type="dxa"/>
            <w:hideMark/>
          </w:tcPr>
          <w:p w14:paraId="4BF17A3F" w14:textId="77777777" w:rsidR="006E3F10" w:rsidRPr="00D55884" w:rsidRDefault="006E3F10" w:rsidP="00D55884">
            <w:pPr>
              <w:pStyle w:val="TableCopy"/>
              <w:rPr>
                <w:b/>
                <w:lang w:val="en-GB"/>
              </w:rPr>
            </w:pPr>
            <w:r w:rsidRPr="00D55884">
              <w:rPr>
                <w:b/>
                <w:lang w:val="en-GB"/>
              </w:rPr>
              <w:t>2</w:t>
            </w:r>
          </w:p>
        </w:tc>
        <w:tc>
          <w:tcPr>
            <w:tcW w:w="1304" w:type="dxa"/>
            <w:hideMark/>
          </w:tcPr>
          <w:p w14:paraId="09EB9054" w14:textId="77777777" w:rsidR="006E3F10" w:rsidRPr="00D55884" w:rsidRDefault="006E3F10" w:rsidP="00D55884">
            <w:pPr>
              <w:pStyle w:val="TableCopy"/>
              <w:rPr>
                <w:b/>
                <w:lang w:val="en-GB"/>
              </w:rPr>
            </w:pPr>
            <w:r w:rsidRPr="00D55884">
              <w:rPr>
                <w:b/>
                <w:lang w:val="en-GB"/>
              </w:rPr>
              <w:t>1.43</w:t>
            </w:r>
          </w:p>
        </w:tc>
      </w:tr>
      <w:tr w:rsidR="009A40FF" w:rsidRPr="006E3F10" w14:paraId="0274C3D2" w14:textId="77777777" w:rsidTr="009A40FF">
        <w:tc>
          <w:tcPr>
            <w:tcW w:w="5128" w:type="dxa"/>
            <w:hideMark/>
          </w:tcPr>
          <w:p w14:paraId="58C70812" w14:textId="77777777" w:rsidR="006E3F10" w:rsidRPr="006E3F10" w:rsidRDefault="006E3F10" w:rsidP="00D55884">
            <w:pPr>
              <w:pStyle w:val="TableCopy"/>
              <w:rPr>
                <w:lang w:val="en-GB"/>
              </w:rPr>
            </w:pPr>
            <w:r w:rsidRPr="006E3F10">
              <w:rPr>
                <w:lang w:val="en-GB"/>
              </w:rPr>
              <w:t>Inoperative Paid – Maternity Leave</w:t>
            </w:r>
          </w:p>
        </w:tc>
        <w:tc>
          <w:tcPr>
            <w:tcW w:w="1303" w:type="dxa"/>
            <w:hideMark/>
          </w:tcPr>
          <w:p w14:paraId="668D8CBA" w14:textId="77777777" w:rsidR="006E3F10" w:rsidRPr="006E3F10" w:rsidRDefault="006E3F10" w:rsidP="00D55884">
            <w:pPr>
              <w:pStyle w:val="TableCopy"/>
              <w:rPr>
                <w:lang w:val="en-GB"/>
              </w:rPr>
            </w:pPr>
            <w:r w:rsidRPr="006E3F10">
              <w:rPr>
                <w:lang w:val="en-GB"/>
              </w:rPr>
              <w:t>0</w:t>
            </w:r>
          </w:p>
        </w:tc>
        <w:tc>
          <w:tcPr>
            <w:tcW w:w="1304" w:type="dxa"/>
            <w:hideMark/>
          </w:tcPr>
          <w:p w14:paraId="5F5CB4E1" w14:textId="77777777" w:rsidR="006E3F10" w:rsidRPr="006E3F10" w:rsidRDefault="006E3F10" w:rsidP="00D55884">
            <w:pPr>
              <w:pStyle w:val="TableCopy"/>
              <w:rPr>
                <w:lang w:val="en-GB"/>
              </w:rPr>
            </w:pPr>
            <w:r w:rsidRPr="006E3F10">
              <w:rPr>
                <w:lang w:val="en-GB"/>
              </w:rPr>
              <w:t>0</w:t>
            </w:r>
          </w:p>
        </w:tc>
        <w:tc>
          <w:tcPr>
            <w:tcW w:w="1304" w:type="dxa"/>
            <w:hideMark/>
          </w:tcPr>
          <w:p w14:paraId="0293F881" w14:textId="77777777" w:rsidR="006E3F10" w:rsidRPr="00D55884" w:rsidRDefault="006E3F10" w:rsidP="00D55884">
            <w:pPr>
              <w:pStyle w:val="TableCopy"/>
              <w:rPr>
                <w:b/>
                <w:lang w:val="en-GB"/>
              </w:rPr>
            </w:pPr>
            <w:r w:rsidRPr="00D55884">
              <w:rPr>
                <w:b/>
                <w:lang w:val="en-GB"/>
              </w:rPr>
              <w:t>1</w:t>
            </w:r>
          </w:p>
        </w:tc>
        <w:tc>
          <w:tcPr>
            <w:tcW w:w="1304" w:type="dxa"/>
            <w:hideMark/>
          </w:tcPr>
          <w:p w14:paraId="01B11B66" w14:textId="77777777" w:rsidR="006E3F10" w:rsidRPr="00D55884" w:rsidRDefault="006E3F10" w:rsidP="00D55884">
            <w:pPr>
              <w:pStyle w:val="TableCopy"/>
              <w:rPr>
                <w:b/>
                <w:lang w:val="en-GB"/>
              </w:rPr>
            </w:pPr>
            <w:r w:rsidRPr="00D55884">
              <w:rPr>
                <w:b/>
                <w:lang w:val="en-GB"/>
              </w:rPr>
              <w:t>1</w:t>
            </w:r>
          </w:p>
        </w:tc>
      </w:tr>
      <w:tr w:rsidR="009A40FF" w:rsidRPr="006E3F10" w14:paraId="0016BBE1" w14:textId="77777777" w:rsidTr="009A40FF">
        <w:tc>
          <w:tcPr>
            <w:tcW w:w="5128" w:type="dxa"/>
            <w:hideMark/>
          </w:tcPr>
          <w:p w14:paraId="5488F665" w14:textId="77777777" w:rsidR="006E3F10" w:rsidRPr="006E3F10" w:rsidRDefault="006E3F10" w:rsidP="00D55884">
            <w:pPr>
              <w:pStyle w:val="TableCopy"/>
              <w:rPr>
                <w:lang w:val="en-GB"/>
              </w:rPr>
            </w:pPr>
            <w:r w:rsidRPr="006E3F10">
              <w:rPr>
                <w:lang w:val="en-GB"/>
              </w:rPr>
              <w:t>Inoperative Unpaid (Seconded out)</w:t>
            </w:r>
          </w:p>
        </w:tc>
        <w:tc>
          <w:tcPr>
            <w:tcW w:w="1303" w:type="dxa"/>
            <w:hideMark/>
          </w:tcPr>
          <w:p w14:paraId="2561723A" w14:textId="77777777" w:rsidR="006E3F10" w:rsidRPr="006E3F10" w:rsidRDefault="006E3F10" w:rsidP="00D55884">
            <w:pPr>
              <w:pStyle w:val="TableCopy"/>
              <w:rPr>
                <w:lang w:val="en-GB"/>
              </w:rPr>
            </w:pPr>
            <w:r w:rsidRPr="006E3F10">
              <w:rPr>
                <w:lang w:val="en-GB"/>
              </w:rPr>
              <w:t>6</w:t>
            </w:r>
          </w:p>
        </w:tc>
        <w:tc>
          <w:tcPr>
            <w:tcW w:w="1304" w:type="dxa"/>
            <w:hideMark/>
          </w:tcPr>
          <w:p w14:paraId="2667DD29" w14:textId="77777777" w:rsidR="006E3F10" w:rsidRPr="006E3F10" w:rsidRDefault="006E3F10" w:rsidP="00D55884">
            <w:pPr>
              <w:pStyle w:val="TableCopy"/>
              <w:rPr>
                <w:lang w:val="en-GB"/>
              </w:rPr>
            </w:pPr>
            <w:r w:rsidRPr="006E3F10">
              <w:rPr>
                <w:lang w:val="en-GB"/>
              </w:rPr>
              <w:t>4.93</w:t>
            </w:r>
          </w:p>
        </w:tc>
        <w:tc>
          <w:tcPr>
            <w:tcW w:w="1304" w:type="dxa"/>
            <w:hideMark/>
          </w:tcPr>
          <w:p w14:paraId="799C294F" w14:textId="77777777" w:rsidR="006E3F10" w:rsidRPr="00D55884" w:rsidRDefault="006E3F10" w:rsidP="00D55884">
            <w:pPr>
              <w:pStyle w:val="TableCopy"/>
              <w:rPr>
                <w:b/>
                <w:lang w:val="en-GB"/>
              </w:rPr>
            </w:pPr>
            <w:r w:rsidRPr="00D55884">
              <w:rPr>
                <w:b/>
                <w:lang w:val="en-GB"/>
              </w:rPr>
              <w:t>2</w:t>
            </w:r>
          </w:p>
        </w:tc>
        <w:tc>
          <w:tcPr>
            <w:tcW w:w="1304" w:type="dxa"/>
            <w:hideMark/>
          </w:tcPr>
          <w:p w14:paraId="76E9BD79" w14:textId="77777777" w:rsidR="006E3F10" w:rsidRPr="00D55884" w:rsidRDefault="006E3F10" w:rsidP="00D55884">
            <w:pPr>
              <w:pStyle w:val="TableCopy"/>
              <w:rPr>
                <w:b/>
                <w:lang w:val="en-GB"/>
              </w:rPr>
            </w:pPr>
            <w:r w:rsidRPr="00D55884">
              <w:rPr>
                <w:b/>
                <w:lang w:val="en-GB"/>
              </w:rPr>
              <w:t>2</w:t>
            </w:r>
          </w:p>
        </w:tc>
      </w:tr>
    </w:tbl>
    <w:p w14:paraId="6D7A3B82" w14:textId="77777777" w:rsidR="006E3F10" w:rsidRPr="006E3F10" w:rsidRDefault="006E3F10" w:rsidP="00CD55A8">
      <w:pPr>
        <w:pStyle w:val="Heading3"/>
        <w:rPr>
          <w:lang w:val="en-GB"/>
        </w:rPr>
      </w:pPr>
      <w:bookmarkStart w:id="51" w:name="_Toc494111979"/>
      <w:r w:rsidRPr="006E3F10">
        <w:rPr>
          <w:lang w:val="en-GB"/>
        </w:rPr>
        <w:t>Workforce Data – VPSC Staff as at 30 June 2016 and 30 June 2017</w:t>
      </w:r>
      <w:bookmarkEnd w:id="51"/>
    </w:p>
    <w:p w14:paraId="0549D707" w14:textId="0223FBE3" w:rsidR="006E3F10" w:rsidRPr="006E3F10" w:rsidRDefault="006E3F10" w:rsidP="006E3F10">
      <w:pPr>
        <w:rPr>
          <w:lang w:val="en-GB"/>
        </w:rPr>
      </w:pPr>
      <w:r w:rsidRPr="006E3F10">
        <w:rPr>
          <w:lang w:val="en-GB"/>
        </w:rPr>
        <w:t>The data below is based on 30 June 2017 payroll FTE report which is</w:t>
      </w:r>
      <w:r w:rsidR="00EA4AE9">
        <w:rPr>
          <w:lang w:val="en-GB"/>
        </w:rPr>
        <w:t xml:space="preserve"> further broken down by gender </w:t>
      </w:r>
      <w:r w:rsidRPr="006E3F10">
        <w:rPr>
          <w:lang w:val="en-GB"/>
        </w:rPr>
        <w:t>and employment grade. This does not include statutory appointments. </w:t>
      </w:r>
    </w:p>
    <w:tbl>
      <w:tblPr>
        <w:tblStyle w:val="TableGrid"/>
        <w:tblW w:w="0" w:type="auto"/>
        <w:tblLook w:val="04A0" w:firstRow="1" w:lastRow="0" w:firstColumn="1" w:lastColumn="0" w:noHBand="0" w:noVBand="1"/>
      </w:tblPr>
      <w:tblGrid>
        <w:gridCol w:w="2122"/>
        <w:gridCol w:w="2015"/>
        <w:gridCol w:w="2095"/>
        <w:gridCol w:w="2042"/>
        <w:gridCol w:w="2069"/>
      </w:tblGrid>
      <w:tr w:rsidR="00FD5EFD" w:rsidRPr="006E3F10" w14:paraId="36418FD7" w14:textId="77777777" w:rsidTr="009F1546">
        <w:trPr>
          <w:cantSplit/>
          <w:tblHeader/>
        </w:trPr>
        <w:tc>
          <w:tcPr>
            <w:tcW w:w="2122" w:type="dxa"/>
          </w:tcPr>
          <w:p w14:paraId="2C1F3C59" w14:textId="77777777" w:rsidR="00FD5EFD" w:rsidRPr="006E3F10" w:rsidRDefault="00FD5EFD" w:rsidP="00CD55A8">
            <w:pPr>
              <w:pStyle w:val="TableHeading"/>
              <w:rPr>
                <w:lang w:val="en-GB"/>
              </w:rPr>
            </w:pPr>
          </w:p>
        </w:tc>
        <w:tc>
          <w:tcPr>
            <w:tcW w:w="4110" w:type="dxa"/>
            <w:gridSpan w:val="2"/>
          </w:tcPr>
          <w:p w14:paraId="4E5AF7BA" w14:textId="1136CC3F" w:rsidR="00FD5EFD" w:rsidRPr="006E3F10" w:rsidRDefault="00FD5EFD" w:rsidP="000D799A">
            <w:pPr>
              <w:pStyle w:val="TableHeading"/>
              <w:jc w:val="center"/>
              <w:rPr>
                <w:bCs/>
                <w:lang w:val="en-GB"/>
              </w:rPr>
            </w:pPr>
            <w:r>
              <w:rPr>
                <w:bCs/>
                <w:lang w:val="en-GB"/>
              </w:rPr>
              <w:t>2016</w:t>
            </w:r>
          </w:p>
        </w:tc>
        <w:tc>
          <w:tcPr>
            <w:tcW w:w="4111" w:type="dxa"/>
            <w:gridSpan w:val="2"/>
          </w:tcPr>
          <w:p w14:paraId="79758536" w14:textId="7E463771" w:rsidR="00FD5EFD" w:rsidRPr="006E3F10" w:rsidRDefault="00FD5EFD" w:rsidP="000D799A">
            <w:pPr>
              <w:pStyle w:val="TableHeading"/>
              <w:jc w:val="center"/>
              <w:rPr>
                <w:bCs/>
                <w:lang w:val="en-GB"/>
              </w:rPr>
            </w:pPr>
            <w:r>
              <w:rPr>
                <w:bCs/>
                <w:lang w:val="en-GB"/>
              </w:rPr>
              <w:t>2017</w:t>
            </w:r>
          </w:p>
        </w:tc>
      </w:tr>
      <w:tr w:rsidR="00FD5EFD" w:rsidRPr="006E3F10" w14:paraId="45D17F1C" w14:textId="77777777" w:rsidTr="009F1546">
        <w:trPr>
          <w:cantSplit/>
          <w:tblHeader/>
        </w:trPr>
        <w:tc>
          <w:tcPr>
            <w:tcW w:w="2122" w:type="dxa"/>
            <w:hideMark/>
          </w:tcPr>
          <w:p w14:paraId="386ABD91" w14:textId="77777777" w:rsidR="00FD5EFD" w:rsidRPr="006E3F10" w:rsidRDefault="00FD5EFD" w:rsidP="00CD55A8">
            <w:pPr>
              <w:pStyle w:val="TableHeading"/>
              <w:rPr>
                <w:lang w:val="en-GB"/>
              </w:rPr>
            </w:pPr>
          </w:p>
        </w:tc>
        <w:tc>
          <w:tcPr>
            <w:tcW w:w="2015" w:type="dxa"/>
            <w:hideMark/>
          </w:tcPr>
          <w:p w14:paraId="71F72935" w14:textId="77777777" w:rsidR="00FD5EFD" w:rsidRPr="006E3F10" w:rsidRDefault="00FD5EFD" w:rsidP="00CD55A8">
            <w:pPr>
              <w:pStyle w:val="TableHeading"/>
              <w:rPr>
                <w:lang w:val="en-GB"/>
              </w:rPr>
            </w:pPr>
            <w:r w:rsidRPr="006E3F10">
              <w:rPr>
                <w:bCs/>
                <w:lang w:val="en-GB"/>
              </w:rPr>
              <w:t>Female</w:t>
            </w:r>
          </w:p>
        </w:tc>
        <w:tc>
          <w:tcPr>
            <w:tcW w:w="2095" w:type="dxa"/>
            <w:hideMark/>
          </w:tcPr>
          <w:p w14:paraId="31F4C5AC" w14:textId="77777777" w:rsidR="00FD5EFD" w:rsidRPr="006E3F10" w:rsidRDefault="00FD5EFD" w:rsidP="00CD55A8">
            <w:pPr>
              <w:pStyle w:val="TableHeading"/>
              <w:rPr>
                <w:lang w:val="en-GB"/>
              </w:rPr>
            </w:pPr>
            <w:r w:rsidRPr="006E3F10">
              <w:rPr>
                <w:bCs/>
                <w:lang w:val="en-GB"/>
              </w:rPr>
              <w:t>Male</w:t>
            </w:r>
          </w:p>
        </w:tc>
        <w:tc>
          <w:tcPr>
            <w:tcW w:w="2042" w:type="dxa"/>
            <w:hideMark/>
          </w:tcPr>
          <w:p w14:paraId="16503539" w14:textId="77777777" w:rsidR="00FD5EFD" w:rsidRPr="006E3F10" w:rsidRDefault="00FD5EFD" w:rsidP="00CD55A8">
            <w:pPr>
              <w:pStyle w:val="TableHeading"/>
              <w:rPr>
                <w:lang w:val="en-GB"/>
              </w:rPr>
            </w:pPr>
            <w:r w:rsidRPr="006E3F10">
              <w:rPr>
                <w:bCs/>
                <w:lang w:val="en-GB"/>
              </w:rPr>
              <w:t>Female</w:t>
            </w:r>
          </w:p>
        </w:tc>
        <w:tc>
          <w:tcPr>
            <w:tcW w:w="2069" w:type="dxa"/>
            <w:hideMark/>
          </w:tcPr>
          <w:p w14:paraId="1E16881A" w14:textId="77777777" w:rsidR="00FD5EFD" w:rsidRPr="006E3F10" w:rsidRDefault="00FD5EFD" w:rsidP="00CD55A8">
            <w:pPr>
              <w:pStyle w:val="TableHeading"/>
              <w:rPr>
                <w:lang w:val="en-GB"/>
              </w:rPr>
            </w:pPr>
            <w:r w:rsidRPr="006E3F10">
              <w:rPr>
                <w:bCs/>
                <w:lang w:val="en-GB"/>
              </w:rPr>
              <w:t>Male</w:t>
            </w:r>
          </w:p>
        </w:tc>
      </w:tr>
      <w:tr w:rsidR="00FD5EFD" w:rsidRPr="006E3F10" w14:paraId="0DC969B1" w14:textId="77777777" w:rsidTr="009F1546">
        <w:trPr>
          <w:cantSplit/>
          <w:tblHeader/>
        </w:trPr>
        <w:tc>
          <w:tcPr>
            <w:tcW w:w="10343" w:type="dxa"/>
            <w:gridSpan w:val="5"/>
            <w:hideMark/>
          </w:tcPr>
          <w:p w14:paraId="4B10A8D1" w14:textId="76F310B7" w:rsidR="00FD5EFD" w:rsidRPr="006E3F10" w:rsidRDefault="00FD5EFD" w:rsidP="00CD55A8">
            <w:pPr>
              <w:pStyle w:val="TableHeading"/>
              <w:rPr>
                <w:lang w:val="en-GB"/>
              </w:rPr>
            </w:pPr>
            <w:r w:rsidRPr="006E3F10">
              <w:rPr>
                <w:bCs/>
                <w:lang w:val="en-GB"/>
              </w:rPr>
              <w:t>Age</w:t>
            </w:r>
          </w:p>
        </w:tc>
      </w:tr>
      <w:tr w:rsidR="00FD5EFD" w:rsidRPr="006E3F10" w14:paraId="37F0C0ED" w14:textId="77777777" w:rsidTr="009F1546">
        <w:trPr>
          <w:cantSplit/>
        </w:trPr>
        <w:tc>
          <w:tcPr>
            <w:tcW w:w="2122" w:type="dxa"/>
            <w:hideMark/>
          </w:tcPr>
          <w:p w14:paraId="02E86AB2" w14:textId="77777777" w:rsidR="00FD5EFD" w:rsidRPr="006E3F10" w:rsidRDefault="00FD5EFD" w:rsidP="00CD55A8">
            <w:pPr>
              <w:pStyle w:val="TableCopy"/>
              <w:rPr>
                <w:lang w:val="en-GB"/>
              </w:rPr>
            </w:pPr>
            <w:r w:rsidRPr="006E3F10">
              <w:rPr>
                <w:lang w:val="en-GB"/>
              </w:rPr>
              <w:t>Under 25</w:t>
            </w:r>
          </w:p>
        </w:tc>
        <w:tc>
          <w:tcPr>
            <w:tcW w:w="2015" w:type="dxa"/>
            <w:hideMark/>
          </w:tcPr>
          <w:p w14:paraId="2951D567" w14:textId="77777777" w:rsidR="00FD5EFD" w:rsidRPr="006E3F10" w:rsidRDefault="00FD5EFD" w:rsidP="00CD55A8">
            <w:pPr>
              <w:pStyle w:val="TableCopy"/>
              <w:rPr>
                <w:lang w:val="en-GB"/>
              </w:rPr>
            </w:pPr>
            <w:r w:rsidRPr="006E3F10">
              <w:rPr>
                <w:lang w:val="en-GB"/>
              </w:rPr>
              <w:t>1</w:t>
            </w:r>
          </w:p>
        </w:tc>
        <w:tc>
          <w:tcPr>
            <w:tcW w:w="2095" w:type="dxa"/>
            <w:hideMark/>
          </w:tcPr>
          <w:p w14:paraId="4374A6BD" w14:textId="77777777" w:rsidR="00FD5EFD" w:rsidRPr="006E3F10" w:rsidRDefault="00FD5EFD" w:rsidP="00CD55A8">
            <w:pPr>
              <w:pStyle w:val="TableCopy"/>
              <w:rPr>
                <w:lang w:val="en-GB"/>
              </w:rPr>
            </w:pPr>
            <w:r w:rsidRPr="006E3F10">
              <w:rPr>
                <w:lang w:val="en-GB"/>
              </w:rPr>
              <w:t>-</w:t>
            </w:r>
          </w:p>
        </w:tc>
        <w:tc>
          <w:tcPr>
            <w:tcW w:w="2042" w:type="dxa"/>
            <w:hideMark/>
          </w:tcPr>
          <w:p w14:paraId="6D2D74BA" w14:textId="77777777" w:rsidR="00FD5EFD" w:rsidRPr="00CD55A8" w:rsidRDefault="00FD5EFD" w:rsidP="00CD55A8">
            <w:pPr>
              <w:pStyle w:val="TableCopy"/>
              <w:rPr>
                <w:b/>
                <w:lang w:val="en-GB"/>
              </w:rPr>
            </w:pPr>
            <w:r w:rsidRPr="00CD55A8">
              <w:rPr>
                <w:b/>
                <w:lang w:val="en-GB"/>
              </w:rPr>
              <w:t>2</w:t>
            </w:r>
          </w:p>
        </w:tc>
        <w:tc>
          <w:tcPr>
            <w:tcW w:w="2069" w:type="dxa"/>
            <w:hideMark/>
          </w:tcPr>
          <w:p w14:paraId="03E3FC22" w14:textId="77777777" w:rsidR="00FD5EFD" w:rsidRPr="00CD55A8" w:rsidRDefault="00FD5EFD" w:rsidP="00CD55A8">
            <w:pPr>
              <w:pStyle w:val="TableCopy"/>
              <w:rPr>
                <w:b/>
                <w:lang w:val="en-GB"/>
              </w:rPr>
            </w:pPr>
            <w:r w:rsidRPr="00CD55A8">
              <w:rPr>
                <w:b/>
                <w:lang w:val="en-GB"/>
              </w:rPr>
              <w:t>1</w:t>
            </w:r>
          </w:p>
        </w:tc>
      </w:tr>
      <w:tr w:rsidR="00FD5EFD" w:rsidRPr="006E3F10" w14:paraId="42DA0C58" w14:textId="77777777" w:rsidTr="009F1546">
        <w:trPr>
          <w:cantSplit/>
        </w:trPr>
        <w:tc>
          <w:tcPr>
            <w:tcW w:w="2122" w:type="dxa"/>
            <w:hideMark/>
          </w:tcPr>
          <w:p w14:paraId="2A2608BC" w14:textId="77777777" w:rsidR="00FD5EFD" w:rsidRPr="006E3F10" w:rsidRDefault="00FD5EFD" w:rsidP="00CD55A8">
            <w:pPr>
              <w:pStyle w:val="TableCopy"/>
              <w:rPr>
                <w:lang w:val="en-GB"/>
              </w:rPr>
            </w:pPr>
            <w:r w:rsidRPr="006E3F10">
              <w:rPr>
                <w:lang w:val="en-GB"/>
              </w:rPr>
              <w:t>25-34</w:t>
            </w:r>
          </w:p>
        </w:tc>
        <w:tc>
          <w:tcPr>
            <w:tcW w:w="2015" w:type="dxa"/>
            <w:hideMark/>
          </w:tcPr>
          <w:p w14:paraId="1029D676" w14:textId="77777777" w:rsidR="00FD5EFD" w:rsidRPr="006E3F10" w:rsidRDefault="00FD5EFD" w:rsidP="00CD55A8">
            <w:pPr>
              <w:pStyle w:val="TableCopy"/>
              <w:rPr>
                <w:lang w:val="en-GB"/>
              </w:rPr>
            </w:pPr>
            <w:r w:rsidRPr="006E3F10">
              <w:rPr>
                <w:lang w:val="en-GB"/>
              </w:rPr>
              <w:t>5</w:t>
            </w:r>
          </w:p>
        </w:tc>
        <w:tc>
          <w:tcPr>
            <w:tcW w:w="2095" w:type="dxa"/>
            <w:hideMark/>
          </w:tcPr>
          <w:p w14:paraId="30152F41" w14:textId="77777777" w:rsidR="00FD5EFD" w:rsidRPr="006E3F10" w:rsidRDefault="00FD5EFD" w:rsidP="00CD55A8">
            <w:pPr>
              <w:pStyle w:val="TableCopy"/>
              <w:rPr>
                <w:lang w:val="en-GB"/>
              </w:rPr>
            </w:pPr>
            <w:r w:rsidRPr="006E3F10">
              <w:rPr>
                <w:lang w:val="en-GB"/>
              </w:rPr>
              <w:t>4</w:t>
            </w:r>
          </w:p>
        </w:tc>
        <w:tc>
          <w:tcPr>
            <w:tcW w:w="2042" w:type="dxa"/>
            <w:hideMark/>
          </w:tcPr>
          <w:p w14:paraId="37C2A7E8" w14:textId="77777777" w:rsidR="00FD5EFD" w:rsidRPr="00CD55A8" w:rsidRDefault="00FD5EFD" w:rsidP="00CD55A8">
            <w:pPr>
              <w:pStyle w:val="TableCopy"/>
              <w:rPr>
                <w:b/>
                <w:lang w:val="en-GB"/>
              </w:rPr>
            </w:pPr>
            <w:r w:rsidRPr="00CD55A8">
              <w:rPr>
                <w:b/>
                <w:lang w:val="en-GB"/>
              </w:rPr>
              <w:t>10</w:t>
            </w:r>
          </w:p>
        </w:tc>
        <w:tc>
          <w:tcPr>
            <w:tcW w:w="2069" w:type="dxa"/>
            <w:hideMark/>
          </w:tcPr>
          <w:p w14:paraId="41B03A36" w14:textId="77777777" w:rsidR="00FD5EFD" w:rsidRPr="00CD55A8" w:rsidRDefault="00FD5EFD" w:rsidP="00CD55A8">
            <w:pPr>
              <w:pStyle w:val="TableCopy"/>
              <w:rPr>
                <w:b/>
                <w:lang w:val="en-GB"/>
              </w:rPr>
            </w:pPr>
            <w:r w:rsidRPr="00CD55A8">
              <w:rPr>
                <w:b/>
                <w:lang w:val="en-GB"/>
              </w:rPr>
              <w:t>7</w:t>
            </w:r>
          </w:p>
        </w:tc>
      </w:tr>
      <w:tr w:rsidR="00FD5EFD" w:rsidRPr="006E3F10" w14:paraId="54865BA8" w14:textId="77777777" w:rsidTr="009F1546">
        <w:trPr>
          <w:cantSplit/>
        </w:trPr>
        <w:tc>
          <w:tcPr>
            <w:tcW w:w="2122" w:type="dxa"/>
            <w:hideMark/>
          </w:tcPr>
          <w:p w14:paraId="42186EB9" w14:textId="77777777" w:rsidR="00FD5EFD" w:rsidRPr="006E3F10" w:rsidRDefault="00FD5EFD" w:rsidP="00CD55A8">
            <w:pPr>
              <w:pStyle w:val="TableCopy"/>
              <w:rPr>
                <w:lang w:val="en-GB"/>
              </w:rPr>
            </w:pPr>
            <w:r w:rsidRPr="006E3F10">
              <w:rPr>
                <w:lang w:val="en-GB"/>
              </w:rPr>
              <w:t>35-44</w:t>
            </w:r>
          </w:p>
        </w:tc>
        <w:tc>
          <w:tcPr>
            <w:tcW w:w="2015" w:type="dxa"/>
            <w:hideMark/>
          </w:tcPr>
          <w:p w14:paraId="3E5C987B" w14:textId="77777777" w:rsidR="00FD5EFD" w:rsidRPr="006E3F10" w:rsidRDefault="00FD5EFD" w:rsidP="00CD55A8">
            <w:pPr>
              <w:pStyle w:val="TableCopy"/>
              <w:rPr>
                <w:lang w:val="en-GB"/>
              </w:rPr>
            </w:pPr>
            <w:r w:rsidRPr="006E3F10">
              <w:rPr>
                <w:lang w:val="en-GB"/>
              </w:rPr>
              <w:t>14</w:t>
            </w:r>
          </w:p>
        </w:tc>
        <w:tc>
          <w:tcPr>
            <w:tcW w:w="2095" w:type="dxa"/>
            <w:hideMark/>
          </w:tcPr>
          <w:p w14:paraId="01528865" w14:textId="77777777" w:rsidR="00FD5EFD" w:rsidRPr="006E3F10" w:rsidRDefault="00FD5EFD" w:rsidP="00CD55A8">
            <w:pPr>
              <w:pStyle w:val="TableCopy"/>
              <w:rPr>
                <w:lang w:val="en-GB"/>
              </w:rPr>
            </w:pPr>
            <w:r w:rsidRPr="006E3F10">
              <w:rPr>
                <w:lang w:val="en-GB"/>
              </w:rPr>
              <w:t>7</w:t>
            </w:r>
          </w:p>
        </w:tc>
        <w:tc>
          <w:tcPr>
            <w:tcW w:w="2042" w:type="dxa"/>
            <w:hideMark/>
          </w:tcPr>
          <w:p w14:paraId="564738C5" w14:textId="77777777" w:rsidR="00FD5EFD" w:rsidRPr="00CD55A8" w:rsidRDefault="00FD5EFD" w:rsidP="00CD55A8">
            <w:pPr>
              <w:pStyle w:val="TableCopy"/>
              <w:rPr>
                <w:b/>
                <w:lang w:val="en-GB"/>
              </w:rPr>
            </w:pPr>
            <w:r w:rsidRPr="00CD55A8">
              <w:rPr>
                <w:b/>
                <w:lang w:val="en-GB"/>
              </w:rPr>
              <w:t>22</w:t>
            </w:r>
          </w:p>
        </w:tc>
        <w:tc>
          <w:tcPr>
            <w:tcW w:w="2069" w:type="dxa"/>
            <w:hideMark/>
          </w:tcPr>
          <w:p w14:paraId="0559D29C" w14:textId="77777777" w:rsidR="00FD5EFD" w:rsidRPr="00CD55A8" w:rsidRDefault="00FD5EFD" w:rsidP="00CD55A8">
            <w:pPr>
              <w:pStyle w:val="TableCopy"/>
              <w:rPr>
                <w:b/>
                <w:lang w:val="en-GB"/>
              </w:rPr>
            </w:pPr>
            <w:r w:rsidRPr="00CD55A8">
              <w:rPr>
                <w:b/>
                <w:lang w:val="en-GB"/>
              </w:rPr>
              <w:t>10</w:t>
            </w:r>
          </w:p>
        </w:tc>
      </w:tr>
      <w:tr w:rsidR="00FD5EFD" w:rsidRPr="006E3F10" w14:paraId="05308505" w14:textId="77777777" w:rsidTr="009F1546">
        <w:trPr>
          <w:cantSplit/>
        </w:trPr>
        <w:tc>
          <w:tcPr>
            <w:tcW w:w="2122" w:type="dxa"/>
            <w:hideMark/>
          </w:tcPr>
          <w:p w14:paraId="41770EAD" w14:textId="77777777" w:rsidR="00FD5EFD" w:rsidRPr="006E3F10" w:rsidRDefault="00FD5EFD" w:rsidP="00CD55A8">
            <w:pPr>
              <w:pStyle w:val="TableCopy"/>
              <w:rPr>
                <w:lang w:val="en-GB"/>
              </w:rPr>
            </w:pPr>
            <w:r w:rsidRPr="006E3F10">
              <w:rPr>
                <w:lang w:val="en-GB"/>
              </w:rPr>
              <w:t>45-54</w:t>
            </w:r>
          </w:p>
        </w:tc>
        <w:tc>
          <w:tcPr>
            <w:tcW w:w="2015" w:type="dxa"/>
            <w:hideMark/>
          </w:tcPr>
          <w:p w14:paraId="0F7AEA1A" w14:textId="77777777" w:rsidR="00FD5EFD" w:rsidRPr="006E3F10" w:rsidRDefault="00FD5EFD" w:rsidP="00CD55A8">
            <w:pPr>
              <w:pStyle w:val="TableCopy"/>
              <w:rPr>
                <w:lang w:val="en-GB"/>
              </w:rPr>
            </w:pPr>
            <w:r w:rsidRPr="006E3F10">
              <w:rPr>
                <w:lang w:val="en-GB"/>
              </w:rPr>
              <w:t>10</w:t>
            </w:r>
          </w:p>
        </w:tc>
        <w:tc>
          <w:tcPr>
            <w:tcW w:w="2095" w:type="dxa"/>
            <w:hideMark/>
          </w:tcPr>
          <w:p w14:paraId="7973A675" w14:textId="77777777" w:rsidR="00FD5EFD" w:rsidRPr="006E3F10" w:rsidRDefault="00FD5EFD" w:rsidP="00CD55A8">
            <w:pPr>
              <w:pStyle w:val="TableCopy"/>
              <w:rPr>
                <w:lang w:val="en-GB"/>
              </w:rPr>
            </w:pPr>
            <w:r w:rsidRPr="006E3F10">
              <w:rPr>
                <w:lang w:val="en-GB"/>
              </w:rPr>
              <w:t>3</w:t>
            </w:r>
          </w:p>
        </w:tc>
        <w:tc>
          <w:tcPr>
            <w:tcW w:w="2042" w:type="dxa"/>
            <w:hideMark/>
          </w:tcPr>
          <w:p w14:paraId="64C5CD7D" w14:textId="77777777" w:rsidR="00FD5EFD" w:rsidRPr="00CD55A8" w:rsidRDefault="00FD5EFD" w:rsidP="00CD55A8">
            <w:pPr>
              <w:pStyle w:val="TableCopy"/>
              <w:rPr>
                <w:b/>
                <w:lang w:val="en-GB"/>
              </w:rPr>
            </w:pPr>
            <w:r w:rsidRPr="00CD55A8">
              <w:rPr>
                <w:b/>
                <w:lang w:val="en-GB"/>
              </w:rPr>
              <w:t>11</w:t>
            </w:r>
          </w:p>
        </w:tc>
        <w:tc>
          <w:tcPr>
            <w:tcW w:w="2069" w:type="dxa"/>
            <w:hideMark/>
          </w:tcPr>
          <w:p w14:paraId="13691F56" w14:textId="77777777" w:rsidR="00FD5EFD" w:rsidRPr="00CD55A8" w:rsidRDefault="00FD5EFD" w:rsidP="00CD55A8">
            <w:pPr>
              <w:pStyle w:val="TableCopy"/>
              <w:rPr>
                <w:b/>
                <w:lang w:val="en-GB"/>
              </w:rPr>
            </w:pPr>
            <w:r w:rsidRPr="00CD55A8">
              <w:rPr>
                <w:b/>
                <w:lang w:val="en-GB"/>
              </w:rPr>
              <w:t>4</w:t>
            </w:r>
          </w:p>
        </w:tc>
      </w:tr>
      <w:tr w:rsidR="00FD5EFD" w:rsidRPr="006E3F10" w14:paraId="6E63CEFB" w14:textId="77777777" w:rsidTr="009F1546">
        <w:trPr>
          <w:cantSplit/>
        </w:trPr>
        <w:tc>
          <w:tcPr>
            <w:tcW w:w="2122" w:type="dxa"/>
            <w:hideMark/>
          </w:tcPr>
          <w:p w14:paraId="316BB4DC" w14:textId="77777777" w:rsidR="00FD5EFD" w:rsidRPr="006E3F10" w:rsidRDefault="00FD5EFD" w:rsidP="00CD55A8">
            <w:pPr>
              <w:pStyle w:val="TableCopy"/>
              <w:rPr>
                <w:lang w:val="en-GB"/>
              </w:rPr>
            </w:pPr>
            <w:r w:rsidRPr="006E3F10">
              <w:rPr>
                <w:lang w:val="en-GB"/>
              </w:rPr>
              <w:t>55-64</w:t>
            </w:r>
          </w:p>
        </w:tc>
        <w:tc>
          <w:tcPr>
            <w:tcW w:w="2015" w:type="dxa"/>
            <w:hideMark/>
          </w:tcPr>
          <w:p w14:paraId="0C061D90" w14:textId="77777777" w:rsidR="00FD5EFD" w:rsidRPr="006E3F10" w:rsidRDefault="00FD5EFD" w:rsidP="00CD55A8">
            <w:pPr>
              <w:pStyle w:val="TableCopy"/>
              <w:rPr>
                <w:lang w:val="en-GB"/>
              </w:rPr>
            </w:pPr>
            <w:r w:rsidRPr="006E3F10">
              <w:rPr>
                <w:lang w:val="en-GB"/>
              </w:rPr>
              <w:t>8</w:t>
            </w:r>
          </w:p>
        </w:tc>
        <w:tc>
          <w:tcPr>
            <w:tcW w:w="2095" w:type="dxa"/>
            <w:hideMark/>
          </w:tcPr>
          <w:p w14:paraId="61A8D548" w14:textId="77777777" w:rsidR="00FD5EFD" w:rsidRPr="006E3F10" w:rsidRDefault="00FD5EFD" w:rsidP="00CD55A8">
            <w:pPr>
              <w:pStyle w:val="TableCopy"/>
              <w:rPr>
                <w:lang w:val="en-GB"/>
              </w:rPr>
            </w:pPr>
            <w:r w:rsidRPr="006E3F10">
              <w:rPr>
                <w:lang w:val="en-GB"/>
              </w:rPr>
              <w:t>4</w:t>
            </w:r>
          </w:p>
        </w:tc>
        <w:tc>
          <w:tcPr>
            <w:tcW w:w="2042" w:type="dxa"/>
            <w:hideMark/>
          </w:tcPr>
          <w:p w14:paraId="250B1F4C" w14:textId="77777777" w:rsidR="00FD5EFD" w:rsidRPr="00CD55A8" w:rsidRDefault="00FD5EFD" w:rsidP="00CD55A8">
            <w:pPr>
              <w:pStyle w:val="TableCopy"/>
              <w:rPr>
                <w:b/>
                <w:lang w:val="en-GB"/>
              </w:rPr>
            </w:pPr>
            <w:r w:rsidRPr="00CD55A8">
              <w:rPr>
                <w:b/>
                <w:lang w:val="en-GB"/>
              </w:rPr>
              <w:t>4</w:t>
            </w:r>
          </w:p>
        </w:tc>
        <w:tc>
          <w:tcPr>
            <w:tcW w:w="2069" w:type="dxa"/>
            <w:hideMark/>
          </w:tcPr>
          <w:p w14:paraId="36BC6EEB" w14:textId="77777777" w:rsidR="00FD5EFD" w:rsidRPr="00CD55A8" w:rsidRDefault="00FD5EFD" w:rsidP="00CD55A8">
            <w:pPr>
              <w:pStyle w:val="TableCopy"/>
              <w:rPr>
                <w:b/>
                <w:lang w:val="en-GB"/>
              </w:rPr>
            </w:pPr>
            <w:r w:rsidRPr="00CD55A8">
              <w:rPr>
                <w:b/>
                <w:lang w:val="en-GB"/>
              </w:rPr>
              <w:t>3</w:t>
            </w:r>
          </w:p>
        </w:tc>
      </w:tr>
      <w:tr w:rsidR="00FD5EFD" w:rsidRPr="006E3F10" w14:paraId="61899B73" w14:textId="77777777" w:rsidTr="009F1546">
        <w:trPr>
          <w:cantSplit/>
        </w:trPr>
        <w:tc>
          <w:tcPr>
            <w:tcW w:w="2122" w:type="dxa"/>
            <w:hideMark/>
          </w:tcPr>
          <w:p w14:paraId="06086B5F" w14:textId="77777777" w:rsidR="00FD5EFD" w:rsidRPr="00CD55A8" w:rsidRDefault="00FD5EFD" w:rsidP="00CD55A8">
            <w:pPr>
              <w:pStyle w:val="TableCopy"/>
              <w:rPr>
                <w:b/>
                <w:lang w:val="en-GB"/>
              </w:rPr>
            </w:pPr>
            <w:r w:rsidRPr="00CD55A8">
              <w:rPr>
                <w:b/>
                <w:lang w:val="en-GB"/>
              </w:rPr>
              <w:t>Total</w:t>
            </w:r>
          </w:p>
        </w:tc>
        <w:tc>
          <w:tcPr>
            <w:tcW w:w="2015" w:type="dxa"/>
            <w:hideMark/>
          </w:tcPr>
          <w:p w14:paraId="0C0BDC7A" w14:textId="77777777" w:rsidR="00FD5EFD" w:rsidRPr="006E3F10" w:rsidRDefault="00FD5EFD" w:rsidP="00CD55A8">
            <w:pPr>
              <w:pStyle w:val="TableCopy"/>
              <w:rPr>
                <w:lang w:val="en-GB"/>
              </w:rPr>
            </w:pPr>
            <w:r w:rsidRPr="006E3F10">
              <w:rPr>
                <w:lang w:val="en-GB"/>
              </w:rPr>
              <w:t>38</w:t>
            </w:r>
          </w:p>
        </w:tc>
        <w:tc>
          <w:tcPr>
            <w:tcW w:w="2095" w:type="dxa"/>
            <w:hideMark/>
          </w:tcPr>
          <w:p w14:paraId="3E15FA4E" w14:textId="77777777" w:rsidR="00FD5EFD" w:rsidRPr="006E3F10" w:rsidRDefault="00FD5EFD" w:rsidP="00CD55A8">
            <w:pPr>
              <w:pStyle w:val="TableCopy"/>
              <w:rPr>
                <w:lang w:val="en-GB"/>
              </w:rPr>
            </w:pPr>
            <w:r w:rsidRPr="006E3F10">
              <w:rPr>
                <w:lang w:val="en-GB"/>
              </w:rPr>
              <w:t>18</w:t>
            </w:r>
          </w:p>
        </w:tc>
        <w:tc>
          <w:tcPr>
            <w:tcW w:w="2042" w:type="dxa"/>
            <w:hideMark/>
          </w:tcPr>
          <w:p w14:paraId="6C304ED6" w14:textId="77777777" w:rsidR="00FD5EFD" w:rsidRPr="00CD55A8" w:rsidRDefault="00FD5EFD" w:rsidP="00CD55A8">
            <w:pPr>
              <w:pStyle w:val="TableCopy"/>
              <w:rPr>
                <w:b/>
                <w:lang w:val="en-GB"/>
              </w:rPr>
            </w:pPr>
            <w:r w:rsidRPr="00CD55A8">
              <w:rPr>
                <w:b/>
                <w:lang w:val="en-GB"/>
              </w:rPr>
              <w:t>49</w:t>
            </w:r>
          </w:p>
        </w:tc>
        <w:tc>
          <w:tcPr>
            <w:tcW w:w="2069" w:type="dxa"/>
            <w:hideMark/>
          </w:tcPr>
          <w:p w14:paraId="144D530B" w14:textId="77777777" w:rsidR="00FD5EFD" w:rsidRPr="00CD55A8" w:rsidRDefault="00FD5EFD" w:rsidP="00CD55A8">
            <w:pPr>
              <w:pStyle w:val="TableCopy"/>
              <w:rPr>
                <w:b/>
                <w:lang w:val="en-GB"/>
              </w:rPr>
            </w:pPr>
            <w:r w:rsidRPr="00CD55A8">
              <w:rPr>
                <w:b/>
                <w:lang w:val="en-GB"/>
              </w:rPr>
              <w:t>25</w:t>
            </w:r>
          </w:p>
        </w:tc>
      </w:tr>
    </w:tbl>
    <w:p w14:paraId="44B34624" w14:textId="77777777" w:rsidR="006E3F10" w:rsidRDefault="006E3F10" w:rsidP="006E3F10">
      <w:pPr>
        <w:rPr>
          <w:lang w:val="en-GB"/>
        </w:rPr>
      </w:pPr>
    </w:p>
    <w:tbl>
      <w:tblPr>
        <w:tblStyle w:val="TableGrid"/>
        <w:tblW w:w="0" w:type="auto"/>
        <w:tblLook w:val="04A0" w:firstRow="1" w:lastRow="0" w:firstColumn="1" w:lastColumn="0" w:noHBand="0" w:noVBand="1"/>
      </w:tblPr>
      <w:tblGrid>
        <w:gridCol w:w="2164"/>
        <w:gridCol w:w="1973"/>
        <w:gridCol w:w="2095"/>
        <w:gridCol w:w="2042"/>
        <w:gridCol w:w="2069"/>
      </w:tblGrid>
      <w:tr w:rsidR="00FD5EFD" w:rsidRPr="006E3F10" w14:paraId="4659CE3B" w14:textId="77777777" w:rsidTr="009F1546">
        <w:trPr>
          <w:cantSplit/>
          <w:tblHeader/>
        </w:trPr>
        <w:tc>
          <w:tcPr>
            <w:tcW w:w="2164" w:type="dxa"/>
          </w:tcPr>
          <w:p w14:paraId="1B9D2EB7" w14:textId="77777777" w:rsidR="00FD5EFD" w:rsidRPr="006E3F10" w:rsidRDefault="00FD5EFD" w:rsidP="00CD55A8">
            <w:pPr>
              <w:pStyle w:val="TableHeading"/>
              <w:rPr>
                <w:lang w:val="en-GB"/>
              </w:rPr>
            </w:pPr>
          </w:p>
        </w:tc>
        <w:tc>
          <w:tcPr>
            <w:tcW w:w="4068" w:type="dxa"/>
            <w:gridSpan w:val="2"/>
          </w:tcPr>
          <w:p w14:paraId="7815D295" w14:textId="56761190" w:rsidR="00FD5EFD" w:rsidRPr="006E3F10" w:rsidRDefault="00FD5EFD" w:rsidP="000D799A">
            <w:pPr>
              <w:pStyle w:val="TableHeading"/>
              <w:jc w:val="center"/>
              <w:rPr>
                <w:bCs/>
                <w:lang w:val="en-GB"/>
              </w:rPr>
            </w:pPr>
            <w:r>
              <w:rPr>
                <w:bCs/>
                <w:lang w:val="en-GB"/>
              </w:rPr>
              <w:t>2016</w:t>
            </w:r>
          </w:p>
        </w:tc>
        <w:tc>
          <w:tcPr>
            <w:tcW w:w="4111" w:type="dxa"/>
            <w:gridSpan w:val="2"/>
          </w:tcPr>
          <w:p w14:paraId="783C8F7E" w14:textId="0A8CAC77" w:rsidR="00FD5EFD" w:rsidRPr="006E3F10" w:rsidRDefault="00FD5EFD" w:rsidP="000D799A">
            <w:pPr>
              <w:pStyle w:val="TableHeading"/>
              <w:jc w:val="center"/>
              <w:rPr>
                <w:bCs/>
                <w:lang w:val="en-GB"/>
              </w:rPr>
            </w:pPr>
            <w:r>
              <w:rPr>
                <w:bCs/>
                <w:lang w:val="en-GB"/>
              </w:rPr>
              <w:t>2017</w:t>
            </w:r>
          </w:p>
        </w:tc>
      </w:tr>
      <w:tr w:rsidR="00FD5EFD" w:rsidRPr="006E3F10" w14:paraId="68A6697B" w14:textId="77777777" w:rsidTr="009F1546">
        <w:trPr>
          <w:cantSplit/>
          <w:tblHeader/>
        </w:trPr>
        <w:tc>
          <w:tcPr>
            <w:tcW w:w="2164" w:type="dxa"/>
            <w:hideMark/>
          </w:tcPr>
          <w:p w14:paraId="7E499834" w14:textId="77777777" w:rsidR="00FD5EFD" w:rsidRPr="006E3F10" w:rsidRDefault="00FD5EFD" w:rsidP="00CD55A8">
            <w:pPr>
              <w:pStyle w:val="TableHeading"/>
              <w:rPr>
                <w:lang w:val="en-GB"/>
              </w:rPr>
            </w:pPr>
          </w:p>
        </w:tc>
        <w:tc>
          <w:tcPr>
            <w:tcW w:w="1973" w:type="dxa"/>
            <w:hideMark/>
          </w:tcPr>
          <w:p w14:paraId="6860FCDF" w14:textId="77777777" w:rsidR="00FD5EFD" w:rsidRPr="006E3F10" w:rsidRDefault="00FD5EFD" w:rsidP="00CD55A8">
            <w:pPr>
              <w:pStyle w:val="TableHeading"/>
              <w:rPr>
                <w:lang w:val="en-GB"/>
              </w:rPr>
            </w:pPr>
            <w:r w:rsidRPr="006E3F10">
              <w:rPr>
                <w:bCs/>
                <w:lang w:val="en-GB"/>
              </w:rPr>
              <w:t>Female</w:t>
            </w:r>
          </w:p>
        </w:tc>
        <w:tc>
          <w:tcPr>
            <w:tcW w:w="2095" w:type="dxa"/>
            <w:hideMark/>
          </w:tcPr>
          <w:p w14:paraId="6BD1EC1F" w14:textId="77777777" w:rsidR="00FD5EFD" w:rsidRPr="006E3F10" w:rsidRDefault="00FD5EFD" w:rsidP="00CD55A8">
            <w:pPr>
              <w:pStyle w:val="TableHeading"/>
              <w:rPr>
                <w:lang w:val="en-GB"/>
              </w:rPr>
            </w:pPr>
            <w:r w:rsidRPr="006E3F10">
              <w:rPr>
                <w:bCs/>
                <w:lang w:val="en-GB"/>
              </w:rPr>
              <w:t>Male</w:t>
            </w:r>
          </w:p>
        </w:tc>
        <w:tc>
          <w:tcPr>
            <w:tcW w:w="2042" w:type="dxa"/>
            <w:hideMark/>
          </w:tcPr>
          <w:p w14:paraId="6F5C5DCA" w14:textId="77777777" w:rsidR="00FD5EFD" w:rsidRPr="006E3F10" w:rsidRDefault="00FD5EFD" w:rsidP="00CD55A8">
            <w:pPr>
              <w:pStyle w:val="TableHeading"/>
              <w:rPr>
                <w:lang w:val="en-GB"/>
              </w:rPr>
            </w:pPr>
            <w:r w:rsidRPr="006E3F10">
              <w:rPr>
                <w:bCs/>
                <w:lang w:val="en-GB"/>
              </w:rPr>
              <w:t>Female</w:t>
            </w:r>
          </w:p>
        </w:tc>
        <w:tc>
          <w:tcPr>
            <w:tcW w:w="2069" w:type="dxa"/>
            <w:hideMark/>
          </w:tcPr>
          <w:p w14:paraId="45870A64" w14:textId="77777777" w:rsidR="00FD5EFD" w:rsidRPr="006E3F10" w:rsidRDefault="00FD5EFD" w:rsidP="00CD55A8">
            <w:pPr>
              <w:pStyle w:val="TableHeading"/>
              <w:rPr>
                <w:lang w:val="en-GB"/>
              </w:rPr>
            </w:pPr>
            <w:r w:rsidRPr="006E3F10">
              <w:rPr>
                <w:bCs/>
                <w:lang w:val="en-GB"/>
              </w:rPr>
              <w:t>Male</w:t>
            </w:r>
          </w:p>
        </w:tc>
      </w:tr>
      <w:tr w:rsidR="00FD5EFD" w:rsidRPr="006E3F10" w14:paraId="1C2E760B" w14:textId="77777777" w:rsidTr="009F1546">
        <w:trPr>
          <w:cantSplit/>
          <w:tblHeader/>
        </w:trPr>
        <w:tc>
          <w:tcPr>
            <w:tcW w:w="10343" w:type="dxa"/>
            <w:gridSpan w:val="5"/>
            <w:hideMark/>
          </w:tcPr>
          <w:p w14:paraId="29A78F3A" w14:textId="2C5109CA" w:rsidR="00FD5EFD" w:rsidRPr="006E3F10" w:rsidRDefault="00FD5EFD" w:rsidP="00CD55A8">
            <w:pPr>
              <w:pStyle w:val="TableHeading"/>
              <w:rPr>
                <w:lang w:val="en-GB"/>
              </w:rPr>
            </w:pPr>
            <w:r w:rsidRPr="006E3F10">
              <w:rPr>
                <w:bCs/>
                <w:lang w:val="en-GB"/>
              </w:rPr>
              <w:lastRenderedPageBreak/>
              <w:t>Grade</w:t>
            </w:r>
          </w:p>
        </w:tc>
      </w:tr>
      <w:tr w:rsidR="00FD5EFD" w:rsidRPr="006E3F10" w14:paraId="4D34D3C8" w14:textId="77777777" w:rsidTr="00FD5EFD">
        <w:tc>
          <w:tcPr>
            <w:tcW w:w="2164" w:type="dxa"/>
            <w:hideMark/>
          </w:tcPr>
          <w:p w14:paraId="3D7352E5" w14:textId="77777777" w:rsidR="00FD5EFD" w:rsidRPr="006E3F10" w:rsidRDefault="00FD5EFD" w:rsidP="00D67679">
            <w:pPr>
              <w:rPr>
                <w:lang w:val="en-GB"/>
              </w:rPr>
            </w:pPr>
            <w:r w:rsidRPr="006E3F10">
              <w:rPr>
                <w:lang w:val="en-GB"/>
              </w:rPr>
              <w:t>VPSG2</w:t>
            </w:r>
          </w:p>
        </w:tc>
        <w:tc>
          <w:tcPr>
            <w:tcW w:w="1973" w:type="dxa"/>
            <w:hideMark/>
          </w:tcPr>
          <w:p w14:paraId="0C3FFF4D" w14:textId="77777777" w:rsidR="00FD5EFD" w:rsidRPr="006E3F10" w:rsidRDefault="00FD5EFD" w:rsidP="00D67679">
            <w:pPr>
              <w:rPr>
                <w:lang w:val="en-GB"/>
              </w:rPr>
            </w:pPr>
            <w:r w:rsidRPr="006E3F10">
              <w:rPr>
                <w:lang w:val="en-GB"/>
              </w:rPr>
              <w:t>3</w:t>
            </w:r>
          </w:p>
        </w:tc>
        <w:tc>
          <w:tcPr>
            <w:tcW w:w="2095" w:type="dxa"/>
            <w:hideMark/>
          </w:tcPr>
          <w:p w14:paraId="0E31D3DD" w14:textId="77777777" w:rsidR="00FD5EFD" w:rsidRPr="006E3F10" w:rsidRDefault="00FD5EFD" w:rsidP="00D67679">
            <w:pPr>
              <w:rPr>
                <w:lang w:val="en-GB"/>
              </w:rPr>
            </w:pPr>
            <w:r w:rsidRPr="006E3F10">
              <w:rPr>
                <w:lang w:val="en-GB"/>
              </w:rPr>
              <w:t>-</w:t>
            </w:r>
          </w:p>
        </w:tc>
        <w:tc>
          <w:tcPr>
            <w:tcW w:w="2042" w:type="dxa"/>
            <w:hideMark/>
          </w:tcPr>
          <w:p w14:paraId="2899832D" w14:textId="77777777" w:rsidR="00FD5EFD" w:rsidRPr="000D799A" w:rsidRDefault="00FD5EFD" w:rsidP="00D67679">
            <w:pPr>
              <w:rPr>
                <w:b/>
                <w:lang w:val="en-GB"/>
              </w:rPr>
            </w:pPr>
            <w:r w:rsidRPr="000D799A">
              <w:rPr>
                <w:b/>
                <w:lang w:val="en-GB"/>
              </w:rPr>
              <w:t>2</w:t>
            </w:r>
          </w:p>
        </w:tc>
        <w:tc>
          <w:tcPr>
            <w:tcW w:w="2069" w:type="dxa"/>
            <w:hideMark/>
          </w:tcPr>
          <w:p w14:paraId="244A308A" w14:textId="77777777" w:rsidR="00FD5EFD" w:rsidRPr="000D799A" w:rsidRDefault="00FD5EFD" w:rsidP="00D67679">
            <w:pPr>
              <w:rPr>
                <w:b/>
                <w:lang w:val="en-GB"/>
              </w:rPr>
            </w:pPr>
            <w:r w:rsidRPr="000D799A">
              <w:rPr>
                <w:b/>
                <w:lang w:val="en-GB"/>
              </w:rPr>
              <w:t>1</w:t>
            </w:r>
          </w:p>
        </w:tc>
      </w:tr>
      <w:tr w:rsidR="00FD5EFD" w:rsidRPr="006E3F10" w14:paraId="4E48A55D" w14:textId="77777777" w:rsidTr="00FD5EFD">
        <w:tc>
          <w:tcPr>
            <w:tcW w:w="2164" w:type="dxa"/>
            <w:hideMark/>
          </w:tcPr>
          <w:p w14:paraId="7EAD7B97" w14:textId="77777777" w:rsidR="00FD5EFD" w:rsidRPr="006E3F10" w:rsidRDefault="00FD5EFD" w:rsidP="00D67679">
            <w:pPr>
              <w:rPr>
                <w:lang w:val="en-GB"/>
              </w:rPr>
            </w:pPr>
            <w:r w:rsidRPr="006E3F10">
              <w:rPr>
                <w:lang w:val="en-GB"/>
              </w:rPr>
              <w:t>VPSG3</w:t>
            </w:r>
          </w:p>
        </w:tc>
        <w:tc>
          <w:tcPr>
            <w:tcW w:w="1973" w:type="dxa"/>
            <w:hideMark/>
          </w:tcPr>
          <w:p w14:paraId="606B4B30" w14:textId="77777777" w:rsidR="00FD5EFD" w:rsidRPr="006E3F10" w:rsidRDefault="00FD5EFD" w:rsidP="00D67679">
            <w:pPr>
              <w:rPr>
                <w:lang w:val="en-GB"/>
              </w:rPr>
            </w:pPr>
            <w:r w:rsidRPr="006E3F10">
              <w:rPr>
                <w:lang w:val="en-GB"/>
              </w:rPr>
              <w:t>5</w:t>
            </w:r>
          </w:p>
        </w:tc>
        <w:tc>
          <w:tcPr>
            <w:tcW w:w="2095" w:type="dxa"/>
            <w:hideMark/>
          </w:tcPr>
          <w:p w14:paraId="0F3049AE" w14:textId="77777777" w:rsidR="00FD5EFD" w:rsidRPr="006E3F10" w:rsidRDefault="00FD5EFD" w:rsidP="00D67679">
            <w:pPr>
              <w:rPr>
                <w:lang w:val="en-GB"/>
              </w:rPr>
            </w:pPr>
            <w:r w:rsidRPr="006E3F10">
              <w:rPr>
                <w:lang w:val="en-GB"/>
              </w:rPr>
              <w:t>-</w:t>
            </w:r>
          </w:p>
        </w:tc>
        <w:tc>
          <w:tcPr>
            <w:tcW w:w="2042" w:type="dxa"/>
            <w:hideMark/>
          </w:tcPr>
          <w:p w14:paraId="4A875880" w14:textId="77777777" w:rsidR="00FD5EFD" w:rsidRPr="000D799A" w:rsidRDefault="00FD5EFD" w:rsidP="00D67679">
            <w:pPr>
              <w:rPr>
                <w:b/>
                <w:lang w:val="en-GB"/>
              </w:rPr>
            </w:pPr>
            <w:r w:rsidRPr="000D799A">
              <w:rPr>
                <w:b/>
                <w:lang w:val="en-GB"/>
              </w:rPr>
              <w:t>6</w:t>
            </w:r>
          </w:p>
        </w:tc>
        <w:tc>
          <w:tcPr>
            <w:tcW w:w="2069" w:type="dxa"/>
            <w:hideMark/>
          </w:tcPr>
          <w:p w14:paraId="455AFA7F" w14:textId="77777777" w:rsidR="00FD5EFD" w:rsidRPr="000D799A" w:rsidRDefault="00FD5EFD" w:rsidP="00D67679">
            <w:pPr>
              <w:rPr>
                <w:b/>
                <w:lang w:val="en-GB"/>
              </w:rPr>
            </w:pPr>
            <w:r w:rsidRPr="000D799A">
              <w:rPr>
                <w:b/>
                <w:lang w:val="en-GB"/>
              </w:rPr>
              <w:t>-</w:t>
            </w:r>
          </w:p>
        </w:tc>
      </w:tr>
      <w:tr w:rsidR="00FD5EFD" w:rsidRPr="006E3F10" w14:paraId="5B3B5D8A" w14:textId="77777777" w:rsidTr="00FD5EFD">
        <w:tc>
          <w:tcPr>
            <w:tcW w:w="2164" w:type="dxa"/>
            <w:hideMark/>
          </w:tcPr>
          <w:p w14:paraId="53FCC8B6" w14:textId="77777777" w:rsidR="00FD5EFD" w:rsidRPr="006E3F10" w:rsidRDefault="00FD5EFD" w:rsidP="00D67679">
            <w:pPr>
              <w:rPr>
                <w:lang w:val="en-GB"/>
              </w:rPr>
            </w:pPr>
            <w:r w:rsidRPr="006E3F10">
              <w:rPr>
                <w:lang w:val="en-GB"/>
              </w:rPr>
              <w:t>VPSG4</w:t>
            </w:r>
          </w:p>
        </w:tc>
        <w:tc>
          <w:tcPr>
            <w:tcW w:w="1973" w:type="dxa"/>
            <w:hideMark/>
          </w:tcPr>
          <w:p w14:paraId="23ACC57C" w14:textId="77777777" w:rsidR="00FD5EFD" w:rsidRPr="006E3F10" w:rsidRDefault="00FD5EFD" w:rsidP="00D67679">
            <w:pPr>
              <w:rPr>
                <w:lang w:val="en-GB"/>
              </w:rPr>
            </w:pPr>
            <w:r w:rsidRPr="006E3F10">
              <w:rPr>
                <w:lang w:val="en-GB"/>
              </w:rPr>
              <w:t>4</w:t>
            </w:r>
          </w:p>
        </w:tc>
        <w:tc>
          <w:tcPr>
            <w:tcW w:w="2095" w:type="dxa"/>
            <w:hideMark/>
          </w:tcPr>
          <w:p w14:paraId="3620F7F2" w14:textId="77777777" w:rsidR="00FD5EFD" w:rsidRPr="006E3F10" w:rsidRDefault="00FD5EFD" w:rsidP="00D67679">
            <w:pPr>
              <w:rPr>
                <w:lang w:val="en-GB"/>
              </w:rPr>
            </w:pPr>
            <w:r w:rsidRPr="006E3F10">
              <w:rPr>
                <w:lang w:val="en-GB"/>
              </w:rPr>
              <w:t>4</w:t>
            </w:r>
          </w:p>
        </w:tc>
        <w:tc>
          <w:tcPr>
            <w:tcW w:w="2042" w:type="dxa"/>
            <w:hideMark/>
          </w:tcPr>
          <w:p w14:paraId="29D4C6D9" w14:textId="77777777" w:rsidR="00FD5EFD" w:rsidRPr="000D799A" w:rsidRDefault="00FD5EFD" w:rsidP="00D67679">
            <w:pPr>
              <w:rPr>
                <w:b/>
                <w:lang w:val="en-GB"/>
              </w:rPr>
            </w:pPr>
            <w:r w:rsidRPr="000D799A">
              <w:rPr>
                <w:b/>
                <w:lang w:val="en-GB"/>
              </w:rPr>
              <w:t>6</w:t>
            </w:r>
          </w:p>
        </w:tc>
        <w:tc>
          <w:tcPr>
            <w:tcW w:w="2069" w:type="dxa"/>
            <w:hideMark/>
          </w:tcPr>
          <w:p w14:paraId="62DD34B1" w14:textId="77777777" w:rsidR="00FD5EFD" w:rsidRPr="000D799A" w:rsidRDefault="00FD5EFD" w:rsidP="00D67679">
            <w:pPr>
              <w:rPr>
                <w:b/>
                <w:lang w:val="en-GB"/>
              </w:rPr>
            </w:pPr>
            <w:r w:rsidRPr="000D799A">
              <w:rPr>
                <w:b/>
                <w:lang w:val="en-GB"/>
              </w:rPr>
              <w:t>8</w:t>
            </w:r>
          </w:p>
        </w:tc>
      </w:tr>
      <w:tr w:rsidR="00FD5EFD" w:rsidRPr="006E3F10" w14:paraId="4F28641F" w14:textId="77777777" w:rsidTr="00FD5EFD">
        <w:tc>
          <w:tcPr>
            <w:tcW w:w="2164" w:type="dxa"/>
            <w:hideMark/>
          </w:tcPr>
          <w:p w14:paraId="0F805EE9" w14:textId="77777777" w:rsidR="00FD5EFD" w:rsidRPr="006E3F10" w:rsidRDefault="00FD5EFD" w:rsidP="00D67679">
            <w:pPr>
              <w:rPr>
                <w:lang w:val="en-GB"/>
              </w:rPr>
            </w:pPr>
            <w:r w:rsidRPr="006E3F10">
              <w:rPr>
                <w:lang w:val="en-GB"/>
              </w:rPr>
              <w:t>VPSG5</w:t>
            </w:r>
          </w:p>
        </w:tc>
        <w:tc>
          <w:tcPr>
            <w:tcW w:w="1973" w:type="dxa"/>
            <w:hideMark/>
          </w:tcPr>
          <w:p w14:paraId="4AC5DA13" w14:textId="77777777" w:rsidR="00FD5EFD" w:rsidRPr="006E3F10" w:rsidRDefault="00FD5EFD" w:rsidP="00D67679">
            <w:pPr>
              <w:rPr>
                <w:lang w:val="en-GB"/>
              </w:rPr>
            </w:pPr>
            <w:r w:rsidRPr="006E3F10">
              <w:rPr>
                <w:lang w:val="en-GB"/>
              </w:rPr>
              <w:t>9</w:t>
            </w:r>
          </w:p>
        </w:tc>
        <w:tc>
          <w:tcPr>
            <w:tcW w:w="2095" w:type="dxa"/>
            <w:hideMark/>
          </w:tcPr>
          <w:p w14:paraId="234BE50B" w14:textId="77777777" w:rsidR="00FD5EFD" w:rsidRPr="006E3F10" w:rsidRDefault="00FD5EFD" w:rsidP="00D67679">
            <w:pPr>
              <w:rPr>
                <w:lang w:val="en-GB"/>
              </w:rPr>
            </w:pPr>
            <w:r w:rsidRPr="006E3F10">
              <w:rPr>
                <w:lang w:val="en-GB"/>
              </w:rPr>
              <w:t>8</w:t>
            </w:r>
          </w:p>
        </w:tc>
        <w:tc>
          <w:tcPr>
            <w:tcW w:w="2042" w:type="dxa"/>
            <w:hideMark/>
          </w:tcPr>
          <w:p w14:paraId="319E9E2E" w14:textId="77777777" w:rsidR="00FD5EFD" w:rsidRPr="000D799A" w:rsidRDefault="00FD5EFD" w:rsidP="00D67679">
            <w:pPr>
              <w:rPr>
                <w:b/>
                <w:lang w:val="en-GB"/>
              </w:rPr>
            </w:pPr>
            <w:r w:rsidRPr="000D799A">
              <w:rPr>
                <w:b/>
                <w:lang w:val="en-GB"/>
              </w:rPr>
              <w:t>18</w:t>
            </w:r>
          </w:p>
        </w:tc>
        <w:tc>
          <w:tcPr>
            <w:tcW w:w="2069" w:type="dxa"/>
            <w:hideMark/>
          </w:tcPr>
          <w:p w14:paraId="2D27139E" w14:textId="77777777" w:rsidR="00FD5EFD" w:rsidRPr="000D799A" w:rsidRDefault="00FD5EFD" w:rsidP="00D67679">
            <w:pPr>
              <w:rPr>
                <w:b/>
                <w:lang w:val="en-GB"/>
              </w:rPr>
            </w:pPr>
            <w:r w:rsidRPr="000D799A">
              <w:rPr>
                <w:b/>
                <w:lang w:val="en-GB"/>
              </w:rPr>
              <w:t>10</w:t>
            </w:r>
          </w:p>
        </w:tc>
      </w:tr>
      <w:tr w:rsidR="00FD5EFD" w:rsidRPr="006E3F10" w14:paraId="3A17075A" w14:textId="77777777" w:rsidTr="00FD5EFD">
        <w:tc>
          <w:tcPr>
            <w:tcW w:w="2164" w:type="dxa"/>
            <w:hideMark/>
          </w:tcPr>
          <w:p w14:paraId="5B95DD4A" w14:textId="77777777" w:rsidR="00FD5EFD" w:rsidRPr="006E3F10" w:rsidRDefault="00FD5EFD" w:rsidP="00D67679">
            <w:pPr>
              <w:rPr>
                <w:lang w:val="en-GB"/>
              </w:rPr>
            </w:pPr>
            <w:r w:rsidRPr="006E3F10">
              <w:rPr>
                <w:lang w:val="en-GB"/>
              </w:rPr>
              <w:t>VPSG6</w:t>
            </w:r>
          </w:p>
        </w:tc>
        <w:tc>
          <w:tcPr>
            <w:tcW w:w="1973" w:type="dxa"/>
            <w:hideMark/>
          </w:tcPr>
          <w:p w14:paraId="1F574C88" w14:textId="77777777" w:rsidR="00FD5EFD" w:rsidRPr="006E3F10" w:rsidRDefault="00FD5EFD" w:rsidP="00D67679">
            <w:pPr>
              <w:rPr>
                <w:lang w:val="en-GB"/>
              </w:rPr>
            </w:pPr>
            <w:r w:rsidRPr="006E3F10">
              <w:rPr>
                <w:lang w:val="en-GB"/>
              </w:rPr>
              <w:t>12</w:t>
            </w:r>
          </w:p>
        </w:tc>
        <w:tc>
          <w:tcPr>
            <w:tcW w:w="2095" w:type="dxa"/>
            <w:hideMark/>
          </w:tcPr>
          <w:p w14:paraId="731FBF6A" w14:textId="77777777" w:rsidR="00FD5EFD" w:rsidRPr="006E3F10" w:rsidRDefault="00FD5EFD" w:rsidP="00D67679">
            <w:pPr>
              <w:rPr>
                <w:lang w:val="en-GB"/>
              </w:rPr>
            </w:pPr>
            <w:r w:rsidRPr="006E3F10">
              <w:rPr>
                <w:lang w:val="en-GB"/>
              </w:rPr>
              <w:t>4</w:t>
            </w:r>
          </w:p>
        </w:tc>
        <w:tc>
          <w:tcPr>
            <w:tcW w:w="2042" w:type="dxa"/>
            <w:hideMark/>
          </w:tcPr>
          <w:p w14:paraId="23FF46B0" w14:textId="77777777" w:rsidR="00FD5EFD" w:rsidRPr="000D799A" w:rsidRDefault="00FD5EFD" w:rsidP="00D67679">
            <w:pPr>
              <w:rPr>
                <w:b/>
                <w:lang w:val="en-GB"/>
              </w:rPr>
            </w:pPr>
            <w:r w:rsidRPr="000D799A">
              <w:rPr>
                <w:b/>
                <w:lang w:val="en-GB"/>
              </w:rPr>
              <w:t>12</w:t>
            </w:r>
          </w:p>
        </w:tc>
        <w:tc>
          <w:tcPr>
            <w:tcW w:w="2069" w:type="dxa"/>
            <w:hideMark/>
          </w:tcPr>
          <w:p w14:paraId="1347871C" w14:textId="77777777" w:rsidR="00FD5EFD" w:rsidRPr="000D799A" w:rsidRDefault="00FD5EFD" w:rsidP="00D67679">
            <w:pPr>
              <w:rPr>
                <w:b/>
                <w:lang w:val="en-GB"/>
              </w:rPr>
            </w:pPr>
            <w:r w:rsidRPr="000D799A">
              <w:rPr>
                <w:b/>
                <w:lang w:val="en-GB"/>
              </w:rPr>
              <w:t>4</w:t>
            </w:r>
          </w:p>
        </w:tc>
      </w:tr>
      <w:tr w:rsidR="00FD5EFD" w:rsidRPr="006E3F10" w14:paraId="776A96FF" w14:textId="77777777" w:rsidTr="00FD5EFD">
        <w:tc>
          <w:tcPr>
            <w:tcW w:w="2164" w:type="dxa"/>
            <w:hideMark/>
          </w:tcPr>
          <w:p w14:paraId="2081DACB" w14:textId="77777777" w:rsidR="00FD5EFD" w:rsidRPr="006E3F10" w:rsidRDefault="00FD5EFD" w:rsidP="00D67679">
            <w:pPr>
              <w:rPr>
                <w:lang w:val="en-GB"/>
              </w:rPr>
            </w:pPr>
            <w:r w:rsidRPr="006E3F10">
              <w:rPr>
                <w:lang w:val="en-GB"/>
              </w:rPr>
              <w:t>STS</w:t>
            </w:r>
          </w:p>
        </w:tc>
        <w:tc>
          <w:tcPr>
            <w:tcW w:w="1973" w:type="dxa"/>
            <w:hideMark/>
          </w:tcPr>
          <w:p w14:paraId="30B36215" w14:textId="77777777" w:rsidR="00FD5EFD" w:rsidRPr="006E3F10" w:rsidRDefault="00FD5EFD" w:rsidP="00D67679">
            <w:pPr>
              <w:rPr>
                <w:lang w:val="en-GB"/>
              </w:rPr>
            </w:pPr>
            <w:r w:rsidRPr="006E3F10">
              <w:rPr>
                <w:lang w:val="en-GB"/>
              </w:rPr>
              <w:t>1</w:t>
            </w:r>
          </w:p>
        </w:tc>
        <w:tc>
          <w:tcPr>
            <w:tcW w:w="2095" w:type="dxa"/>
            <w:hideMark/>
          </w:tcPr>
          <w:p w14:paraId="6CC68C47" w14:textId="77777777" w:rsidR="00FD5EFD" w:rsidRPr="006E3F10" w:rsidRDefault="00FD5EFD" w:rsidP="00D67679">
            <w:pPr>
              <w:rPr>
                <w:lang w:val="en-GB"/>
              </w:rPr>
            </w:pPr>
            <w:r w:rsidRPr="006E3F10">
              <w:rPr>
                <w:lang w:val="en-GB"/>
              </w:rPr>
              <w:t>1</w:t>
            </w:r>
          </w:p>
        </w:tc>
        <w:tc>
          <w:tcPr>
            <w:tcW w:w="2042" w:type="dxa"/>
            <w:hideMark/>
          </w:tcPr>
          <w:p w14:paraId="18007908" w14:textId="77777777" w:rsidR="00FD5EFD" w:rsidRPr="000D799A" w:rsidRDefault="00FD5EFD" w:rsidP="00D67679">
            <w:pPr>
              <w:rPr>
                <w:b/>
                <w:lang w:val="en-GB"/>
              </w:rPr>
            </w:pPr>
            <w:r w:rsidRPr="000D799A">
              <w:rPr>
                <w:b/>
                <w:lang w:val="en-GB"/>
              </w:rPr>
              <w:t>-</w:t>
            </w:r>
          </w:p>
        </w:tc>
        <w:tc>
          <w:tcPr>
            <w:tcW w:w="2069" w:type="dxa"/>
            <w:hideMark/>
          </w:tcPr>
          <w:p w14:paraId="652FD77C" w14:textId="77777777" w:rsidR="00FD5EFD" w:rsidRPr="000D799A" w:rsidRDefault="00FD5EFD" w:rsidP="00D67679">
            <w:pPr>
              <w:rPr>
                <w:b/>
                <w:lang w:val="en-GB"/>
              </w:rPr>
            </w:pPr>
            <w:r w:rsidRPr="000D799A">
              <w:rPr>
                <w:b/>
                <w:lang w:val="en-GB"/>
              </w:rPr>
              <w:t>-</w:t>
            </w:r>
          </w:p>
        </w:tc>
      </w:tr>
      <w:tr w:rsidR="00FD5EFD" w:rsidRPr="006E3F10" w14:paraId="160501B0" w14:textId="77777777" w:rsidTr="00FD5EFD">
        <w:tc>
          <w:tcPr>
            <w:tcW w:w="2164" w:type="dxa"/>
            <w:hideMark/>
          </w:tcPr>
          <w:p w14:paraId="4F2FA481" w14:textId="77777777" w:rsidR="00FD5EFD" w:rsidRPr="006E3F10" w:rsidRDefault="00FD5EFD" w:rsidP="00D67679">
            <w:pPr>
              <w:rPr>
                <w:lang w:val="en-GB"/>
              </w:rPr>
            </w:pPr>
            <w:r w:rsidRPr="006E3F10">
              <w:rPr>
                <w:lang w:val="en-GB"/>
              </w:rPr>
              <w:t>EO3</w:t>
            </w:r>
          </w:p>
        </w:tc>
        <w:tc>
          <w:tcPr>
            <w:tcW w:w="1973" w:type="dxa"/>
            <w:hideMark/>
          </w:tcPr>
          <w:p w14:paraId="71C6CA0B" w14:textId="77777777" w:rsidR="00FD5EFD" w:rsidRPr="006E3F10" w:rsidRDefault="00FD5EFD" w:rsidP="00D67679">
            <w:pPr>
              <w:rPr>
                <w:lang w:val="en-GB"/>
              </w:rPr>
            </w:pPr>
            <w:r w:rsidRPr="006E3F10">
              <w:rPr>
                <w:lang w:val="en-GB"/>
              </w:rPr>
              <w:t>2</w:t>
            </w:r>
          </w:p>
        </w:tc>
        <w:tc>
          <w:tcPr>
            <w:tcW w:w="2095" w:type="dxa"/>
            <w:hideMark/>
          </w:tcPr>
          <w:p w14:paraId="7241F863" w14:textId="77777777" w:rsidR="00FD5EFD" w:rsidRPr="006E3F10" w:rsidRDefault="00FD5EFD" w:rsidP="00D67679">
            <w:pPr>
              <w:rPr>
                <w:lang w:val="en-GB"/>
              </w:rPr>
            </w:pPr>
            <w:r w:rsidRPr="006E3F10">
              <w:rPr>
                <w:lang w:val="en-GB"/>
              </w:rPr>
              <w:t>-</w:t>
            </w:r>
          </w:p>
        </w:tc>
        <w:tc>
          <w:tcPr>
            <w:tcW w:w="2042" w:type="dxa"/>
            <w:hideMark/>
          </w:tcPr>
          <w:p w14:paraId="67E2D97C" w14:textId="77777777" w:rsidR="00FD5EFD" w:rsidRPr="000D799A" w:rsidRDefault="00FD5EFD" w:rsidP="00D67679">
            <w:pPr>
              <w:rPr>
                <w:b/>
                <w:lang w:val="en-GB"/>
              </w:rPr>
            </w:pPr>
            <w:r w:rsidRPr="000D799A">
              <w:rPr>
                <w:b/>
                <w:lang w:val="en-GB"/>
              </w:rPr>
              <w:t>3</w:t>
            </w:r>
          </w:p>
        </w:tc>
        <w:tc>
          <w:tcPr>
            <w:tcW w:w="2069" w:type="dxa"/>
            <w:hideMark/>
          </w:tcPr>
          <w:p w14:paraId="04BE5D11" w14:textId="77777777" w:rsidR="00FD5EFD" w:rsidRPr="000D799A" w:rsidRDefault="00FD5EFD" w:rsidP="00D67679">
            <w:pPr>
              <w:rPr>
                <w:b/>
                <w:lang w:val="en-GB"/>
              </w:rPr>
            </w:pPr>
            <w:r w:rsidRPr="000D799A">
              <w:rPr>
                <w:b/>
                <w:lang w:val="en-GB"/>
              </w:rPr>
              <w:t>1</w:t>
            </w:r>
          </w:p>
        </w:tc>
      </w:tr>
      <w:tr w:rsidR="00FD5EFD" w:rsidRPr="006E3F10" w14:paraId="33DB0BF4" w14:textId="77777777" w:rsidTr="00FD5EFD">
        <w:tc>
          <w:tcPr>
            <w:tcW w:w="2164" w:type="dxa"/>
            <w:hideMark/>
          </w:tcPr>
          <w:p w14:paraId="591E6C5E" w14:textId="77777777" w:rsidR="00FD5EFD" w:rsidRPr="006E3F10" w:rsidRDefault="00FD5EFD" w:rsidP="00D67679">
            <w:pPr>
              <w:rPr>
                <w:lang w:val="en-GB"/>
              </w:rPr>
            </w:pPr>
            <w:r w:rsidRPr="006E3F10">
              <w:rPr>
                <w:lang w:val="en-GB"/>
              </w:rPr>
              <w:t>EO2</w:t>
            </w:r>
          </w:p>
        </w:tc>
        <w:tc>
          <w:tcPr>
            <w:tcW w:w="1973" w:type="dxa"/>
            <w:hideMark/>
          </w:tcPr>
          <w:p w14:paraId="7F302B29" w14:textId="77777777" w:rsidR="00FD5EFD" w:rsidRPr="006E3F10" w:rsidRDefault="00FD5EFD" w:rsidP="00D67679">
            <w:pPr>
              <w:rPr>
                <w:lang w:val="en-GB"/>
              </w:rPr>
            </w:pPr>
            <w:r w:rsidRPr="006E3F10">
              <w:rPr>
                <w:lang w:val="en-GB"/>
              </w:rPr>
              <w:t>2</w:t>
            </w:r>
          </w:p>
        </w:tc>
        <w:tc>
          <w:tcPr>
            <w:tcW w:w="2095" w:type="dxa"/>
            <w:hideMark/>
          </w:tcPr>
          <w:p w14:paraId="75F4BC00" w14:textId="77777777" w:rsidR="00FD5EFD" w:rsidRPr="006E3F10" w:rsidRDefault="00FD5EFD" w:rsidP="00D67679">
            <w:pPr>
              <w:rPr>
                <w:lang w:val="en-GB"/>
              </w:rPr>
            </w:pPr>
            <w:r w:rsidRPr="006E3F10">
              <w:rPr>
                <w:lang w:val="en-GB"/>
              </w:rPr>
              <w:t>1</w:t>
            </w:r>
          </w:p>
        </w:tc>
        <w:tc>
          <w:tcPr>
            <w:tcW w:w="2042" w:type="dxa"/>
            <w:hideMark/>
          </w:tcPr>
          <w:p w14:paraId="48DD52CC" w14:textId="77777777" w:rsidR="00FD5EFD" w:rsidRPr="000D799A" w:rsidRDefault="00FD5EFD" w:rsidP="00D67679">
            <w:pPr>
              <w:rPr>
                <w:b/>
                <w:lang w:val="en-GB"/>
              </w:rPr>
            </w:pPr>
            <w:r w:rsidRPr="000D799A">
              <w:rPr>
                <w:b/>
                <w:lang w:val="en-GB"/>
              </w:rPr>
              <w:t>2</w:t>
            </w:r>
          </w:p>
        </w:tc>
        <w:tc>
          <w:tcPr>
            <w:tcW w:w="2069" w:type="dxa"/>
            <w:hideMark/>
          </w:tcPr>
          <w:p w14:paraId="6DBE2D41" w14:textId="77777777" w:rsidR="00FD5EFD" w:rsidRPr="000D799A" w:rsidRDefault="00FD5EFD" w:rsidP="00D67679">
            <w:pPr>
              <w:rPr>
                <w:b/>
                <w:lang w:val="en-GB"/>
              </w:rPr>
            </w:pPr>
            <w:r w:rsidRPr="000D799A">
              <w:rPr>
                <w:b/>
                <w:lang w:val="en-GB"/>
              </w:rPr>
              <w:t>-</w:t>
            </w:r>
          </w:p>
        </w:tc>
      </w:tr>
      <w:tr w:rsidR="00FD5EFD" w:rsidRPr="006E3F10" w14:paraId="7441CC5E" w14:textId="77777777" w:rsidTr="00FD5EFD">
        <w:tc>
          <w:tcPr>
            <w:tcW w:w="2164" w:type="dxa"/>
            <w:hideMark/>
          </w:tcPr>
          <w:p w14:paraId="7566547F" w14:textId="77777777" w:rsidR="00FD5EFD" w:rsidRPr="006E3F10" w:rsidRDefault="00FD5EFD" w:rsidP="00D67679">
            <w:pPr>
              <w:rPr>
                <w:lang w:val="en-GB"/>
              </w:rPr>
            </w:pPr>
            <w:r w:rsidRPr="006E3F10">
              <w:rPr>
                <w:lang w:val="en-GB"/>
              </w:rPr>
              <w:t>EO1</w:t>
            </w:r>
          </w:p>
        </w:tc>
        <w:tc>
          <w:tcPr>
            <w:tcW w:w="1973" w:type="dxa"/>
            <w:hideMark/>
          </w:tcPr>
          <w:p w14:paraId="71C48990" w14:textId="77777777" w:rsidR="00FD5EFD" w:rsidRPr="006E3F10" w:rsidRDefault="00FD5EFD" w:rsidP="00D67679">
            <w:pPr>
              <w:rPr>
                <w:lang w:val="en-GB"/>
              </w:rPr>
            </w:pPr>
            <w:r w:rsidRPr="006E3F10">
              <w:rPr>
                <w:lang w:val="en-GB"/>
              </w:rPr>
              <w:t>-</w:t>
            </w:r>
          </w:p>
        </w:tc>
        <w:tc>
          <w:tcPr>
            <w:tcW w:w="2095" w:type="dxa"/>
            <w:hideMark/>
          </w:tcPr>
          <w:p w14:paraId="1BDE5C37" w14:textId="77777777" w:rsidR="00FD5EFD" w:rsidRPr="006E3F10" w:rsidRDefault="00FD5EFD" w:rsidP="00D67679">
            <w:pPr>
              <w:rPr>
                <w:lang w:val="en-GB"/>
              </w:rPr>
            </w:pPr>
            <w:r w:rsidRPr="006E3F10">
              <w:rPr>
                <w:lang w:val="en-GB"/>
              </w:rPr>
              <w:t>-</w:t>
            </w:r>
          </w:p>
        </w:tc>
        <w:tc>
          <w:tcPr>
            <w:tcW w:w="2042" w:type="dxa"/>
            <w:hideMark/>
          </w:tcPr>
          <w:p w14:paraId="3C846A0B" w14:textId="77777777" w:rsidR="00FD5EFD" w:rsidRPr="000D799A" w:rsidRDefault="00FD5EFD" w:rsidP="00D67679">
            <w:pPr>
              <w:rPr>
                <w:b/>
                <w:lang w:val="en-GB"/>
              </w:rPr>
            </w:pPr>
            <w:r w:rsidRPr="000D799A">
              <w:rPr>
                <w:b/>
                <w:lang w:val="en-GB"/>
              </w:rPr>
              <w:t>-</w:t>
            </w:r>
          </w:p>
        </w:tc>
        <w:tc>
          <w:tcPr>
            <w:tcW w:w="2069" w:type="dxa"/>
            <w:hideMark/>
          </w:tcPr>
          <w:p w14:paraId="3EE50D73" w14:textId="77777777" w:rsidR="00FD5EFD" w:rsidRPr="000D799A" w:rsidRDefault="00FD5EFD" w:rsidP="00D67679">
            <w:pPr>
              <w:rPr>
                <w:b/>
                <w:lang w:val="en-GB"/>
              </w:rPr>
            </w:pPr>
            <w:r w:rsidRPr="000D799A">
              <w:rPr>
                <w:b/>
                <w:lang w:val="en-GB"/>
              </w:rPr>
              <w:t>1</w:t>
            </w:r>
          </w:p>
        </w:tc>
      </w:tr>
    </w:tbl>
    <w:p w14:paraId="2C969FBB" w14:textId="77777777" w:rsidR="006E3F10" w:rsidRPr="006E3F10" w:rsidRDefault="006E3F10" w:rsidP="00DB10D3">
      <w:pPr>
        <w:pStyle w:val="Heading2"/>
        <w:rPr>
          <w:lang w:val="en-GB"/>
        </w:rPr>
      </w:pPr>
      <w:bookmarkStart w:id="52" w:name="_Toc494111980"/>
      <w:r w:rsidRPr="006E3F10">
        <w:rPr>
          <w:lang w:val="en-GB"/>
        </w:rPr>
        <w:t>Workforce Inclusion Policy</w:t>
      </w:r>
      <w:bookmarkEnd w:id="52"/>
    </w:p>
    <w:p w14:paraId="297A9BCE" w14:textId="77777777" w:rsidR="006E3F10" w:rsidRPr="006E3F10" w:rsidRDefault="006E3F10" w:rsidP="006E3F10">
      <w:pPr>
        <w:rPr>
          <w:lang w:val="en-GB"/>
        </w:rPr>
      </w:pPr>
      <w:r w:rsidRPr="006E3F10">
        <w:rPr>
          <w:lang w:val="en-GB"/>
        </w:rPr>
        <w:t>VPSC adopts the comparable policy of the Department of Premier and Cabinet (DPC).</w:t>
      </w:r>
    </w:p>
    <w:p w14:paraId="5FB803A1" w14:textId="77777777" w:rsidR="006E3F10" w:rsidRPr="006E3F10" w:rsidRDefault="006E3F10" w:rsidP="006E3F10">
      <w:pPr>
        <w:rPr>
          <w:lang w:val="en-GB"/>
        </w:rPr>
      </w:pPr>
      <w:r w:rsidRPr="006E3F10">
        <w:rPr>
          <w:lang w:val="en-GB"/>
        </w:rPr>
        <w:t>The relevant policy is DPC’s Equal Opportunity and Diversity Policy and Procedure which seeks to promote social inclusion, diversity and equity to increase participation from the Victorian community.</w:t>
      </w:r>
    </w:p>
    <w:p w14:paraId="31701081" w14:textId="77777777" w:rsidR="006E3F10" w:rsidRPr="006E3F10" w:rsidRDefault="006E3F10" w:rsidP="00DB10D3">
      <w:pPr>
        <w:pStyle w:val="Heading2"/>
        <w:rPr>
          <w:lang w:val="en-GB"/>
        </w:rPr>
      </w:pPr>
      <w:bookmarkStart w:id="53" w:name="_Toc494111981"/>
      <w:r w:rsidRPr="006E3F10">
        <w:rPr>
          <w:lang w:val="en-GB"/>
        </w:rPr>
        <w:t>Executive Officer Data</w:t>
      </w:r>
      <w:bookmarkEnd w:id="53"/>
    </w:p>
    <w:p w14:paraId="3335F69C" w14:textId="77777777" w:rsidR="006E3F10" w:rsidRPr="006E3F10" w:rsidRDefault="006E3F10" w:rsidP="006E3F10">
      <w:pPr>
        <w:rPr>
          <w:lang w:val="en-GB"/>
        </w:rPr>
      </w:pPr>
      <w:r w:rsidRPr="006E3F10">
        <w:rPr>
          <w:lang w:val="en-GB"/>
        </w:rPr>
        <w:t>All VPSC executives receive a total remuneration in excess of $100,000. All are contract-appointed ensuring no executive is appointed as ongoing or for special projects.</w:t>
      </w:r>
    </w:p>
    <w:p w14:paraId="38429F08" w14:textId="7BFF83B3" w:rsidR="006E3F10" w:rsidRPr="006E3F10" w:rsidRDefault="006E3F10" w:rsidP="006E3F10">
      <w:pPr>
        <w:rPr>
          <w:lang w:val="en-GB"/>
        </w:rPr>
      </w:pPr>
      <w:r w:rsidRPr="006E3F10">
        <w:rPr>
          <w:lang w:val="en-GB"/>
        </w:rPr>
        <w:t>The Executive Officer data is based on the 30 June payroll FTE report</w:t>
      </w:r>
      <w:r w:rsidR="00DB10D3">
        <w:rPr>
          <w:lang w:val="en-GB"/>
        </w:rPr>
        <w:t xml:space="preserve"> for the period 2016 and 2017. </w:t>
      </w:r>
      <w:r w:rsidRPr="006E3F10">
        <w:rPr>
          <w:lang w:val="en-GB"/>
        </w:rPr>
        <w:t>This does not include statutory appointments.</w:t>
      </w:r>
    </w:p>
    <w:p w14:paraId="6EDBC002" w14:textId="77777777" w:rsidR="006E3F10" w:rsidRPr="006E3F10" w:rsidRDefault="006E3F10" w:rsidP="003D687F">
      <w:pPr>
        <w:pStyle w:val="Heading3"/>
        <w:rPr>
          <w:lang w:val="en-GB"/>
        </w:rPr>
      </w:pPr>
      <w:bookmarkStart w:id="54" w:name="_Toc494111982"/>
      <w:r w:rsidRPr="006E3F10">
        <w:rPr>
          <w:lang w:val="en-GB"/>
        </w:rPr>
        <w:t>VPSC Executive Officer Data</w:t>
      </w:r>
      <w:bookmarkEnd w:id="54"/>
    </w:p>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DB10D3" w:rsidRPr="006E3F10" w14:paraId="3AB19731" w14:textId="77777777" w:rsidTr="00D67679">
        <w:tc>
          <w:tcPr>
            <w:tcW w:w="1477" w:type="dxa"/>
          </w:tcPr>
          <w:p w14:paraId="6C196C1C" w14:textId="77777777" w:rsidR="00DB10D3" w:rsidRPr="006E3F10" w:rsidRDefault="00DB10D3" w:rsidP="006E3F10">
            <w:pPr>
              <w:rPr>
                <w:lang w:val="en-GB"/>
              </w:rPr>
            </w:pPr>
          </w:p>
        </w:tc>
        <w:tc>
          <w:tcPr>
            <w:tcW w:w="4433" w:type="dxa"/>
            <w:gridSpan w:val="3"/>
          </w:tcPr>
          <w:p w14:paraId="567F5AE4" w14:textId="502A0CAA" w:rsidR="00DB10D3" w:rsidRPr="006E3F10" w:rsidRDefault="00DB10D3" w:rsidP="003D687F">
            <w:pPr>
              <w:pStyle w:val="TableHeading"/>
              <w:jc w:val="center"/>
              <w:rPr>
                <w:lang w:val="en-GB"/>
              </w:rPr>
            </w:pPr>
            <w:r>
              <w:rPr>
                <w:lang w:val="en-GB"/>
              </w:rPr>
              <w:t>2016</w:t>
            </w:r>
          </w:p>
        </w:tc>
        <w:tc>
          <w:tcPr>
            <w:tcW w:w="4433" w:type="dxa"/>
            <w:gridSpan w:val="3"/>
          </w:tcPr>
          <w:p w14:paraId="5854724B" w14:textId="7834BB22" w:rsidR="00DB10D3" w:rsidRPr="006E3F10" w:rsidRDefault="00DB10D3" w:rsidP="003D687F">
            <w:pPr>
              <w:pStyle w:val="TableHeading"/>
              <w:jc w:val="center"/>
              <w:rPr>
                <w:lang w:val="en-GB"/>
              </w:rPr>
            </w:pPr>
            <w:r>
              <w:rPr>
                <w:lang w:val="en-GB"/>
              </w:rPr>
              <w:t>2017</w:t>
            </w:r>
          </w:p>
        </w:tc>
      </w:tr>
      <w:tr w:rsidR="00DB10D3" w:rsidRPr="006E3F10" w14:paraId="3A222CE9" w14:textId="77777777" w:rsidTr="00DB10D3">
        <w:tc>
          <w:tcPr>
            <w:tcW w:w="1477" w:type="dxa"/>
            <w:hideMark/>
          </w:tcPr>
          <w:p w14:paraId="28A3F43D" w14:textId="77777777" w:rsidR="006E3F10" w:rsidRPr="006E3F10" w:rsidRDefault="006E3F10" w:rsidP="006E3F10">
            <w:pPr>
              <w:rPr>
                <w:lang w:val="en-GB"/>
              </w:rPr>
            </w:pPr>
          </w:p>
        </w:tc>
        <w:tc>
          <w:tcPr>
            <w:tcW w:w="1478" w:type="dxa"/>
            <w:hideMark/>
          </w:tcPr>
          <w:p w14:paraId="34DD9B8E" w14:textId="77777777" w:rsidR="006E3F10" w:rsidRPr="006E3F10" w:rsidRDefault="006E3F10" w:rsidP="003D687F">
            <w:pPr>
              <w:pStyle w:val="TableHeading"/>
              <w:rPr>
                <w:lang w:val="en-GB"/>
              </w:rPr>
            </w:pPr>
            <w:r w:rsidRPr="006E3F10">
              <w:rPr>
                <w:lang w:val="en-GB"/>
              </w:rPr>
              <w:t>Male</w:t>
            </w:r>
          </w:p>
        </w:tc>
        <w:tc>
          <w:tcPr>
            <w:tcW w:w="1477" w:type="dxa"/>
            <w:hideMark/>
          </w:tcPr>
          <w:p w14:paraId="34A576CB" w14:textId="77777777" w:rsidR="006E3F10" w:rsidRPr="006E3F10" w:rsidRDefault="006E3F10" w:rsidP="003D687F">
            <w:pPr>
              <w:pStyle w:val="TableHeading"/>
              <w:rPr>
                <w:lang w:val="en-GB"/>
              </w:rPr>
            </w:pPr>
            <w:r w:rsidRPr="006E3F10">
              <w:rPr>
                <w:lang w:val="en-GB"/>
              </w:rPr>
              <w:t>Female</w:t>
            </w:r>
          </w:p>
        </w:tc>
        <w:tc>
          <w:tcPr>
            <w:tcW w:w="1478" w:type="dxa"/>
            <w:hideMark/>
          </w:tcPr>
          <w:p w14:paraId="4ACB2C47" w14:textId="77777777" w:rsidR="006E3F10" w:rsidRPr="006E3F10" w:rsidRDefault="006E3F10" w:rsidP="003D687F">
            <w:pPr>
              <w:pStyle w:val="TableHeading"/>
              <w:rPr>
                <w:lang w:val="en-GB"/>
              </w:rPr>
            </w:pPr>
            <w:r w:rsidRPr="006E3F10">
              <w:rPr>
                <w:lang w:val="en-GB"/>
              </w:rPr>
              <w:t>Total</w:t>
            </w:r>
          </w:p>
        </w:tc>
        <w:tc>
          <w:tcPr>
            <w:tcW w:w="1477" w:type="dxa"/>
            <w:hideMark/>
          </w:tcPr>
          <w:p w14:paraId="6F6E7429" w14:textId="77777777" w:rsidR="006E3F10" w:rsidRPr="006E3F10" w:rsidRDefault="006E3F10" w:rsidP="003D687F">
            <w:pPr>
              <w:pStyle w:val="TableHeading"/>
              <w:rPr>
                <w:lang w:val="en-GB"/>
              </w:rPr>
            </w:pPr>
            <w:r w:rsidRPr="006E3F10">
              <w:rPr>
                <w:lang w:val="en-GB"/>
              </w:rPr>
              <w:t>Male</w:t>
            </w:r>
          </w:p>
        </w:tc>
        <w:tc>
          <w:tcPr>
            <w:tcW w:w="1478" w:type="dxa"/>
            <w:hideMark/>
          </w:tcPr>
          <w:p w14:paraId="7B6B36F6" w14:textId="77777777" w:rsidR="006E3F10" w:rsidRPr="006E3F10" w:rsidRDefault="006E3F10" w:rsidP="003D687F">
            <w:pPr>
              <w:pStyle w:val="TableHeading"/>
              <w:rPr>
                <w:lang w:val="en-GB"/>
              </w:rPr>
            </w:pPr>
            <w:r w:rsidRPr="006E3F10">
              <w:rPr>
                <w:lang w:val="en-GB"/>
              </w:rPr>
              <w:t>Female</w:t>
            </w:r>
          </w:p>
        </w:tc>
        <w:tc>
          <w:tcPr>
            <w:tcW w:w="1478" w:type="dxa"/>
            <w:hideMark/>
          </w:tcPr>
          <w:p w14:paraId="5B287520" w14:textId="77777777" w:rsidR="006E3F10" w:rsidRPr="006E3F10" w:rsidRDefault="006E3F10" w:rsidP="003D687F">
            <w:pPr>
              <w:pStyle w:val="TableHeading"/>
              <w:rPr>
                <w:lang w:val="en-GB"/>
              </w:rPr>
            </w:pPr>
            <w:r w:rsidRPr="006E3F10">
              <w:rPr>
                <w:lang w:val="en-GB"/>
              </w:rPr>
              <w:t>Total</w:t>
            </w:r>
          </w:p>
        </w:tc>
      </w:tr>
      <w:tr w:rsidR="00DB10D3" w:rsidRPr="006E3F10" w14:paraId="45906FC0" w14:textId="77777777" w:rsidTr="00DB10D3">
        <w:tc>
          <w:tcPr>
            <w:tcW w:w="1477" w:type="dxa"/>
            <w:hideMark/>
          </w:tcPr>
          <w:p w14:paraId="4C21A9C8" w14:textId="77777777" w:rsidR="006E3F10" w:rsidRPr="006E3F10" w:rsidRDefault="006E3F10" w:rsidP="003D687F">
            <w:pPr>
              <w:pStyle w:val="TableHeading"/>
              <w:rPr>
                <w:lang w:val="en-GB"/>
              </w:rPr>
            </w:pPr>
            <w:r w:rsidRPr="006E3F10">
              <w:rPr>
                <w:lang w:val="en-GB"/>
              </w:rPr>
              <w:t>EO3</w:t>
            </w:r>
          </w:p>
        </w:tc>
        <w:tc>
          <w:tcPr>
            <w:tcW w:w="1478" w:type="dxa"/>
            <w:hideMark/>
          </w:tcPr>
          <w:p w14:paraId="427B2DE8" w14:textId="77777777" w:rsidR="006E3F10" w:rsidRPr="006E3F10" w:rsidRDefault="006E3F10" w:rsidP="003D687F">
            <w:pPr>
              <w:pStyle w:val="TableCopy"/>
              <w:rPr>
                <w:lang w:val="en-GB"/>
              </w:rPr>
            </w:pPr>
            <w:r w:rsidRPr="006E3F10">
              <w:rPr>
                <w:lang w:val="en-GB"/>
              </w:rPr>
              <w:t>0</w:t>
            </w:r>
          </w:p>
        </w:tc>
        <w:tc>
          <w:tcPr>
            <w:tcW w:w="1477" w:type="dxa"/>
            <w:hideMark/>
          </w:tcPr>
          <w:p w14:paraId="0A9CE55E" w14:textId="77777777" w:rsidR="006E3F10" w:rsidRPr="006E3F10" w:rsidRDefault="006E3F10" w:rsidP="003D687F">
            <w:pPr>
              <w:pStyle w:val="TableCopy"/>
              <w:rPr>
                <w:lang w:val="en-GB"/>
              </w:rPr>
            </w:pPr>
            <w:r w:rsidRPr="006E3F10">
              <w:rPr>
                <w:lang w:val="en-GB"/>
              </w:rPr>
              <w:t>2</w:t>
            </w:r>
          </w:p>
        </w:tc>
        <w:tc>
          <w:tcPr>
            <w:tcW w:w="1478" w:type="dxa"/>
            <w:hideMark/>
          </w:tcPr>
          <w:p w14:paraId="4017F096" w14:textId="77777777" w:rsidR="006E3F10" w:rsidRPr="003D687F" w:rsidRDefault="006E3F10" w:rsidP="003D687F">
            <w:pPr>
              <w:pStyle w:val="TableCopy"/>
              <w:rPr>
                <w:b/>
                <w:lang w:val="en-GB"/>
              </w:rPr>
            </w:pPr>
            <w:r w:rsidRPr="003D687F">
              <w:rPr>
                <w:b/>
                <w:lang w:val="en-GB"/>
              </w:rPr>
              <w:t>2</w:t>
            </w:r>
          </w:p>
        </w:tc>
        <w:tc>
          <w:tcPr>
            <w:tcW w:w="1477" w:type="dxa"/>
            <w:hideMark/>
          </w:tcPr>
          <w:p w14:paraId="71756F20" w14:textId="77777777" w:rsidR="006E3F10" w:rsidRPr="006E3F10" w:rsidRDefault="006E3F10" w:rsidP="003D687F">
            <w:pPr>
              <w:pStyle w:val="TableCopy"/>
              <w:rPr>
                <w:lang w:val="en-GB"/>
              </w:rPr>
            </w:pPr>
            <w:r w:rsidRPr="006E3F10">
              <w:rPr>
                <w:lang w:val="en-GB"/>
              </w:rPr>
              <w:t>1</w:t>
            </w:r>
          </w:p>
        </w:tc>
        <w:tc>
          <w:tcPr>
            <w:tcW w:w="1478" w:type="dxa"/>
            <w:hideMark/>
          </w:tcPr>
          <w:p w14:paraId="41350726" w14:textId="77777777" w:rsidR="006E3F10" w:rsidRPr="006E3F10" w:rsidRDefault="006E3F10" w:rsidP="003D687F">
            <w:pPr>
              <w:pStyle w:val="TableCopy"/>
              <w:rPr>
                <w:lang w:val="en-GB"/>
              </w:rPr>
            </w:pPr>
            <w:r w:rsidRPr="006E3F10">
              <w:rPr>
                <w:lang w:val="en-GB"/>
              </w:rPr>
              <w:t>4</w:t>
            </w:r>
          </w:p>
        </w:tc>
        <w:tc>
          <w:tcPr>
            <w:tcW w:w="1478" w:type="dxa"/>
            <w:hideMark/>
          </w:tcPr>
          <w:p w14:paraId="2A6025A2" w14:textId="77777777" w:rsidR="006E3F10" w:rsidRPr="003D687F" w:rsidRDefault="006E3F10" w:rsidP="003D687F">
            <w:pPr>
              <w:pStyle w:val="TableCopy"/>
              <w:rPr>
                <w:b/>
                <w:lang w:val="en-GB"/>
              </w:rPr>
            </w:pPr>
            <w:r w:rsidRPr="003D687F">
              <w:rPr>
                <w:b/>
                <w:lang w:val="en-GB"/>
              </w:rPr>
              <w:t>5</w:t>
            </w:r>
          </w:p>
        </w:tc>
      </w:tr>
      <w:tr w:rsidR="00DB10D3" w:rsidRPr="006E3F10" w14:paraId="257C92A0" w14:textId="77777777" w:rsidTr="00DB10D3">
        <w:tc>
          <w:tcPr>
            <w:tcW w:w="1477" w:type="dxa"/>
            <w:hideMark/>
          </w:tcPr>
          <w:p w14:paraId="511BDF8E" w14:textId="77777777" w:rsidR="006E3F10" w:rsidRPr="006E3F10" w:rsidRDefault="006E3F10" w:rsidP="003D687F">
            <w:pPr>
              <w:pStyle w:val="TableHeading"/>
              <w:rPr>
                <w:lang w:val="en-GB"/>
              </w:rPr>
            </w:pPr>
            <w:r w:rsidRPr="006E3F10">
              <w:rPr>
                <w:lang w:val="en-GB"/>
              </w:rPr>
              <w:t>EO2</w:t>
            </w:r>
          </w:p>
        </w:tc>
        <w:tc>
          <w:tcPr>
            <w:tcW w:w="1478" w:type="dxa"/>
            <w:hideMark/>
          </w:tcPr>
          <w:p w14:paraId="355C3D61" w14:textId="77777777" w:rsidR="006E3F10" w:rsidRPr="006E3F10" w:rsidRDefault="006E3F10" w:rsidP="003D687F">
            <w:pPr>
              <w:pStyle w:val="TableCopy"/>
              <w:rPr>
                <w:lang w:val="en-GB"/>
              </w:rPr>
            </w:pPr>
            <w:r w:rsidRPr="006E3F10">
              <w:rPr>
                <w:lang w:val="en-GB"/>
              </w:rPr>
              <w:t>1</w:t>
            </w:r>
          </w:p>
        </w:tc>
        <w:tc>
          <w:tcPr>
            <w:tcW w:w="1477" w:type="dxa"/>
            <w:hideMark/>
          </w:tcPr>
          <w:p w14:paraId="2EAB7035" w14:textId="77777777" w:rsidR="006E3F10" w:rsidRPr="006E3F10" w:rsidRDefault="006E3F10" w:rsidP="003D687F">
            <w:pPr>
              <w:pStyle w:val="TableCopy"/>
              <w:rPr>
                <w:lang w:val="en-GB"/>
              </w:rPr>
            </w:pPr>
            <w:r w:rsidRPr="006E3F10">
              <w:rPr>
                <w:lang w:val="en-GB"/>
              </w:rPr>
              <w:t>2</w:t>
            </w:r>
          </w:p>
        </w:tc>
        <w:tc>
          <w:tcPr>
            <w:tcW w:w="1478" w:type="dxa"/>
            <w:hideMark/>
          </w:tcPr>
          <w:p w14:paraId="01FC5D0D" w14:textId="77777777" w:rsidR="006E3F10" w:rsidRPr="003D687F" w:rsidRDefault="006E3F10" w:rsidP="003D687F">
            <w:pPr>
              <w:pStyle w:val="TableCopy"/>
              <w:rPr>
                <w:b/>
                <w:lang w:val="en-GB"/>
              </w:rPr>
            </w:pPr>
            <w:r w:rsidRPr="003D687F">
              <w:rPr>
                <w:b/>
                <w:lang w:val="en-GB"/>
              </w:rPr>
              <w:t>3</w:t>
            </w:r>
          </w:p>
        </w:tc>
        <w:tc>
          <w:tcPr>
            <w:tcW w:w="1477" w:type="dxa"/>
            <w:hideMark/>
          </w:tcPr>
          <w:p w14:paraId="498A6D40" w14:textId="77777777" w:rsidR="006E3F10" w:rsidRPr="006E3F10" w:rsidRDefault="006E3F10" w:rsidP="003D687F">
            <w:pPr>
              <w:pStyle w:val="TableCopy"/>
              <w:rPr>
                <w:lang w:val="en-GB"/>
              </w:rPr>
            </w:pPr>
            <w:r w:rsidRPr="006E3F10">
              <w:rPr>
                <w:lang w:val="en-GB"/>
              </w:rPr>
              <w:t>0</w:t>
            </w:r>
          </w:p>
        </w:tc>
        <w:tc>
          <w:tcPr>
            <w:tcW w:w="1478" w:type="dxa"/>
            <w:hideMark/>
          </w:tcPr>
          <w:p w14:paraId="5E8E0C90" w14:textId="77777777" w:rsidR="006E3F10" w:rsidRPr="006E3F10" w:rsidRDefault="006E3F10" w:rsidP="003D687F">
            <w:pPr>
              <w:pStyle w:val="TableCopy"/>
              <w:rPr>
                <w:lang w:val="en-GB"/>
              </w:rPr>
            </w:pPr>
            <w:r w:rsidRPr="006E3F10">
              <w:rPr>
                <w:lang w:val="en-GB"/>
              </w:rPr>
              <w:t>2</w:t>
            </w:r>
          </w:p>
        </w:tc>
        <w:tc>
          <w:tcPr>
            <w:tcW w:w="1478" w:type="dxa"/>
            <w:hideMark/>
          </w:tcPr>
          <w:p w14:paraId="0A84D8C4" w14:textId="77777777" w:rsidR="006E3F10" w:rsidRPr="003D687F" w:rsidRDefault="006E3F10" w:rsidP="003D687F">
            <w:pPr>
              <w:pStyle w:val="TableCopy"/>
              <w:rPr>
                <w:b/>
                <w:lang w:val="en-GB"/>
              </w:rPr>
            </w:pPr>
            <w:r w:rsidRPr="003D687F">
              <w:rPr>
                <w:b/>
                <w:lang w:val="en-GB"/>
              </w:rPr>
              <w:t>2</w:t>
            </w:r>
          </w:p>
        </w:tc>
      </w:tr>
      <w:tr w:rsidR="00DB10D3" w:rsidRPr="006E3F10" w14:paraId="7558D24B" w14:textId="77777777" w:rsidTr="00DB10D3">
        <w:tc>
          <w:tcPr>
            <w:tcW w:w="1477" w:type="dxa"/>
            <w:hideMark/>
          </w:tcPr>
          <w:p w14:paraId="3711B92D" w14:textId="77777777" w:rsidR="006E3F10" w:rsidRPr="006E3F10" w:rsidRDefault="006E3F10" w:rsidP="003D687F">
            <w:pPr>
              <w:pStyle w:val="TableHeading"/>
              <w:rPr>
                <w:lang w:val="en-GB"/>
              </w:rPr>
            </w:pPr>
            <w:r w:rsidRPr="006E3F10">
              <w:rPr>
                <w:lang w:val="en-GB"/>
              </w:rPr>
              <w:t>EO1</w:t>
            </w:r>
          </w:p>
        </w:tc>
        <w:tc>
          <w:tcPr>
            <w:tcW w:w="1478" w:type="dxa"/>
            <w:hideMark/>
          </w:tcPr>
          <w:p w14:paraId="3DF9BDE7" w14:textId="77777777" w:rsidR="006E3F10" w:rsidRPr="006E3F10" w:rsidRDefault="006E3F10" w:rsidP="003D687F">
            <w:pPr>
              <w:pStyle w:val="TableCopy"/>
              <w:rPr>
                <w:lang w:val="en-GB"/>
              </w:rPr>
            </w:pPr>
            <w:r w:rsidRPr="006E3F10">
              <w:rPr>
                <w:lang w:val="en-GB"/>
              </w:rPr>
              <w:t>0</w:t>
            </w:r>
          </w:p>
        </w:tc>
        <w:tc>
          <w:tcPr>
            <w:tcW w:w="1477" w:type="dxa"/>
            <w:hideMark/>
          </w:tcPr>
          <w:p w14:paraId="30F7167E" w14:textId="77777777" w:rsidR="006E3F10" w:rsidRPr="006E3F10" w:rsidRDefault="006E3F10" w:rsidP="003D687F">
            <w:pPr>
              <w:pStyle w:val="TableCopy"/>
              <w:rPr>
                <w:lang w:val="en-GB"/>
              </w:rPr>
            </w:pPr>
            <w:r w:rsidRPr="006E3F10">
              <w:rPr>
                <w:lang w:val="en-GB"/>
              </w:rPr>
              <w:t>0</w:t>
            </w:r>
          </w:p>
        </w:tc>
        <w:tc>
          <w:tcPr>
            <w:tcW w:w="1478" w:type="dxa"/>
            <w:hideMark/>
          </w:tcPr>
          <w:p w14:paraId="1226B5DF" w14:textId="77777777" w:rsidR="006E3F10" w:rsidRPr="003D687F" w:rsidRDefault="006E3F10" w:rsidP="003D687F">
            <w:pPr>
              <w:pStyle w:val="TableCopy"/>
              <w:rPr>
                <w:b/>
                <w:lang w:val="en-GB"/>
              </w:rPr>
            </w:pPr>
            <w:r w:rsidRPr="003D687F">
              <w:rPr>
                <w:b/>
                <w:lang w:val="en-GB"/>
              </w:rPr>
              <w:t>0</w:t>
            </w:r>
          </w:p>
        </w:tc>
        <w:tc>
          <w:tcPr>
            <w:tcW w:w="1477" w:type="dxa"/>
            <w:hideMark/>
          </w:tcPr>
          <w:p w14:paraId="721BD42C" w14:textId="77777777" w:rsidR="006E3F10" w:rsidRPr="006E3F10" w:rsidRDefault="006E3F10" w:rsidP="003D687F">
            <w:pPr>
              <w:pStyle w:val="TableCopy"/>
              <w:rPr>
                <w:lang w:val="en-GB"/>
              </w:rPr>
            </w:pPr>
            <w:r w:rsidRPr="006E3F10">
              <w:rPr>
                <w:lang w:val="en-GB"/>
              </w:rPr>
              <w:t>1</w:t>
            </w:r>
          </w:p>
        </w:tc>
        <w:tc>
          <w:tcPr>
            <w:tcW w:w="1478" w:type="dxa"/>
            <w:hideMark/>
          </w:tcPr>
          <w:p w14:paraId="30A7839D" w14:textId="77777777" w:rsidR="006E3F10" w:rsidRPr="006E3F10" w:rsidRDefault="006E3F10" w:rsidP="003D687F">
            <w:pPr>
              <w:pStyle w:val="TableCopy"/>
              <w:rPr>
                <w:lang w:val="en-GB"/>
              </w:rPr>
            </w:pPr>
            <w:r w:rsidRPr="006E3F10">
              <w:rPr>
                <w:lang w:val="en-GB"/>
              </w:rPr>
              <w:t>0</w:t>
            </w:r>
          </w:p>
        </w:tc>
        <w:tc>
          <w:tcPr>
            <w:tcW w:w="1478" w:type="dxa"/>
            <w:hideMark/>
          </w:tcPr>
          <w:p w14:paraId="2570D99B" w14:textId="77777777" w:rsidR="006E3F10" w:rsidRPr="003D687F" w:rsidRDefault="006E3F10" w:rsidP="003D687F">
            <w:pPr>
              <w:pStyle w:val="TableCopy"/>
              <w:rPr>
                <w:b/>
                <w:lang w:val="en-GB"/>
              </w:rPr>
            </w:pPr>
            <w:r w:rsidRPr="003D687F">
              <w:rPr>
                <w:b/>
                <w:lang w:val="en-GB"/>
              </w:rPr>
              <w:t>1</w:t>
            </w:r>
          </w:p>
        </w:tc>
      </w:tr>
    </w:tbl>
    <w:p w14:paraId="6C3A8121" w14:textId="77777777" w:rsidR="006E3F10" w:rsidRPr="006E3F10" w:rsidRDefault="006E3F10" w:rsidP="002D2C24">
      <w:pPr>
        <w:pStyle w:val="Heading1"/>
        <w:rPr>
          <w:lang w:val="en-GB"/>
        </w:rPr>
      </w:pPr>
      <w:bookmarkStart w:id="55" w:name="_Toc494111983"/>
      <w:r w:rsidRPr="006E3F10">
        <w:rPr>
          <w:lang w:val="en-GB"/>
        </w:rPr>
        <w:t>Section 4 – Other Disclosures</w:t>
      </w:r>
      <w:bookmarkEnd w:id="55"/>
    </w:p>
    <w:p w14:paraId="0421A305" w14:textId="77777777" w:rsidR="006E3F10" w:rsidRPr="006E3F10" w:rsidRDefault="006E3F10" w:rsidP="00A93265">
      <w:pPr>
        <w:pStyle w:val="Heading2"/>
        <w:rPr>
          <w:lang w:val="en-GB"/>
        </w:rPr>
      </w:pPr>
      <w:bookmarkStart w:id="56" w:name="_Toc494111984"/>
      <w:r w:rsidRPr="006E3F10">
        <w:rPr>
          <w:lang w:val="en-GB"/>
        </w:rPr>
        <w:t>Local Jobs First – Victorian Industry Participation Policy (VIPP)</w:t>
      </w:r>
      <w:bookmarkEnd w:id="56"/>
    </w:p>
    <w:p w14:paraId="197798B0" w14:textId="77777777" w:rsidR="006E3F10" w:rsidRPr="006E3F10" w:rsidRDefault="006E3F10" w:rsidP="006E3F10">
      <w:pPr>
        <w:rPr>
          <w:lang w:val="en-GB"/>
        </w:rPr>
      </w:pPr>
      <w:r w:rsidRPr="006E3F10">
        <w:rPr>
          <w:lang w:val="en-GB"/>
        </w:rPr>
        <w:t xml:space="preserve">In October 2003, the Victorian Parliament passed the </w:t>
      </w:r>
      <w:r w:rsidRPr="006E3F10">
        <w:rPr>
          <w:i/>
          <w:iCs/>
          <w:lang w:val="en-GB"/>
        </w:rPr>
        <w:t>Victorian Industry Participation Policy Act 2003</w:t>
      </w:r>
      <w:r w:rsidRPr="006E3F10">
        <w:rPr>
          <w:lang w:val="en-GB"/>
        </w:rPr>
        <w:t>, which requires public bodies and departments to report on the implementation of the V</w:t>
      </w:r>
      <w:r w:rsidRPr="006E3F10">
        <w:rPr>
          <w:i/>
          <w:iCs/>
          <w:lang w:val="en-GB"/>
        </w:rPr>
        <w:t>ictorian Industry Participation Policy (VIPP)</w:t>
      </w:r>
      <w:r w:rsidRPr="006E3F10">
        <w:rPr>
          <w:lang w:val="en-GB"/>
        </w:rPr>
        <w:t>.</w:t>
      </w:r>
    </w:p>
    <w:p w14:paraId="1C294F50" w14:textId="77777777" w:rsidR="006E3F10" w:rsidRPr="006E3F10" w:rsidRDefault="006E3F10" w:rsidP="006E3F10">
      <w:pPr>
        <w:rPr>
          <w:lang w:val="en-GB"/>
        </w:rPr>
      </w:pPr>
      <w:r w:rsidRPr="006E3F10">
        <w:rPr>
          <w:lang w:val="en-GB"/>
        </w:rPr>
        <w:t>VIPP was developed by Government to ensure that procurement and industry assistance activities across the whole of Government use local suppliers whenever and wherever they offer the best value for money.</w:t>
      </w:r>
    </w:p>
    <w:p w14:paraId="77D46C74" w14:textId="77777777" w:rsidR="006E3F10" w:rsidRPr="006E3F10" w:rsidRDefault="006E3F10" w:rsidP="006E3F10">
      <w:pPr>
        <w:rPr>
          <w:lang w:val="en-GB"/>
        </w:rPr>
      </w:pPr>
      <w:r w:rsidRPr="006E3F10">
        <w:rPr>
          <w:lang w:val="en-GB"/>
        </w:rPr>
        <w:lastRenderedPageBreak/>
        <w:t>A major focus of VIPP, is on improving the ability of regional suppliers to tender for projects that will boost the State’s overall development and the growth of regional economies.</w:t>
      </w:r>
    </w:p>
    <w:p w14:paraId="2B51876B" w14:textId="77777777" w:rsidR="006E3F10" w:rsidRPr="006E3F10" w:rsidRDefault="006E3F10" w:rsidP="006E3F10">
      <w:pPr>
        <w:rPr>
          <w:lang w:val="en-GB"/>
        </w:rPr>
      </w:pPr>
      <w:r w:rsidRPr="006E3F10">
        <w:rPr>
          <w:lang w:val="en-GB"/>
        </w:rPr>
        <w:t>During the reporting period, VPSC did not commence or conclude any contracts to which VIPP applied.</w:t>
      </w:r>
    </w:p>
    <w:p w14:paraId="2651254C" w14:textId="77777777" w:rsidR="006E3F10" w:rsidRPr="006E3F10" w:rsidRDefault="006E3F10" w:rsidP="00637E2C">
      <w:pPr>
        <w:pStyle w:val="Heading2"/>
        <w:rPr>
          <w:lang w:val="en-GB"/>
        </w:rPr>
      </w:pPr>
      <w:bookmarkStart w:id="57" w:name="_Toc494111985"/>
      <w:r w:rsidRPr="006E3F10">
        <w:rPr>
          <w:lang w:val="en-GB"/>
        </w:rPr>
        <w:t>Changes in Financial Position</w:t>
      </w:r>
      <w:bookmarkEnd w:id="57"/>
      <w:r w:rsidRPr="006E3F10">
        <w:rPr>
          <w:lang w:val="en-GB"/>
        </w:rPr>
        <w:t> </w:t>
      </w:r>
    </w:p>
    <w:p w14:paraId="12109F2B" w14:textId="77777777" w:rsidR="006E3F10" w:rsidRPr="006E3F10" w:rsidRDefault="006E3F10" w:rsidP="00637E2C">
      <w:pPr>
        <w:pStyle w:val="Heading3"/>
        <w:rPr>
          <w:lang w:val="en-GB"/>
        </w:rPr>
      </w:pPr>
      <w:bookmarkStart w:id="58" w:name="_Toc494111986"/>
      <w:r w:rsidRPr="006E3F10">
        <w:rPr>
          <w:lang w:val="en-GB"/>
        </w:rPr>
        <w:t>Consultancies</w:t>
      </w:r>
      <w:bookmarkEnd w:id="58"/>
    </w:p>
    <w:p w14:paraId="22B6DDD5" w14:textId="49FE6E5E" w:rsidR="006E3F10" w:rsidRPr="006E3F10" w:rsidRDefault="006E3F10" w:rsidP="006E3F10">
      <w:pPr>
        <w:rPr>
          <w:lang w:val="en-GB"/>
        </w:rPr>
      </w:pPr>
      <w:r w:rsidRPr="006E3F10">
        <w:rPr>
          <w:lang w:val="en-GB"/>
        </w:rPr>
        <w:t>In 2016-17, there were eight consultants where the total fees</w:t>
      </w:r>
      <w:r w:rsidR="00637E2C">
        <w:rPr>
          <w:lang w:val="en-GB"/>
        </w:rPr>
        <w:t xml:space="preserve"> payable to the consultant was </w:t>
      </w:r>
      <w:r w:rsidRPr="006E3F10">
        <w:rPr>
          <w:lang w:val="en-GB"/>
        </w:rPr>
        <w:t>$10,000 or greater. The total expenditure incurred during 2016-17 in r</w:t>
      </w:r>
      <w:r w:rsidR="00637E2C">
        <w:rPr>
          <w:lang w:val="en-GB"/>
        </w:rPr>
        <w:t xml:space="preserve">elation to these consultancies </w:t>
      </w:r>
      <w:r w:rsidRPr="006E3F10">
        <w:rPr>
          <w:lang w:val="en-GB"/>
        </w:rPr>
        <w:t>is $1,174,253 excluding GST. Details are outlined below.</w:t>
      </w:r>
    </w:p>
    <w:tbl>
      <w:tblPr>
        <w:tblStyle w:val="TableGrid"/>
        <w:tblW w:w="0" w:type="auto"/>
        <w:tblLook w:val="04A0" w:firstRow="1" w:lastRow="0" w:firstColumn="1" w:lastColumn="0" w:noHBand="0" w:noVBand="1"/>
      </w:tblPr>
      <w:tblGrid>
        <w:gridCol w:w="1511"/>
        <w:gridCol w:w="2652"/>
        <w:gridCol w:w="1177"/>
        <w:gridCol w:w="1177"/>
        <w:gridCol w:w="1288"/>
        <w:gridCol w:w="1447"/>
        <w:gridCol w:w="1430"/>
      </w:tblGrid>
      <w:tr w:rsidR="006E3F10" w:rsidRPr="006E3F10" w14:paraId="44E1D9D8" w14:textId="77777777" w:rsidTr="00FF0745">
        <w:trPr>
          <w:cantSplit/>
          <w:tblHeader/>
        </w:trPr>
        <w:tc>
          <w:tcPr>
            <w:tcW w:w="0" w:type="auto"/>
            <w:hideMark/>
          </w:tcPr>
          <w:p w14:paraId="5C690A78" w14:textId="77777777" w:rsidR="006E3F10" w:rsidRPr="006E3F10" w:rsidRDefault="006E3F10" w:rsidP="00FF0745">
            <w:pPr>
              <w:pStyle w:val="TableHeading"/>
              <w:rPr>
                <w:lang w:val="en-GB"/>
              </w:rPr>
            </w:pPr>
            <w:r w:rsidRPr="006E3F10">
              <w:rPr>
                <w:lang w:val="en-GB"/>
              </w:rPr>
              <w:t>Consultant</w:t>
            </w:r>
          </w:p>
        </w:tc>
        <w:tc>
          <w:tcPr>
            <w:tcW w:w="0" w:type="auto"/>
            <w:hideMark/>
          </w:tcPr>
          <w:p w14:paraId="44C3927B" w14:textId="77777777" w:rsidR="006E3F10" w:rsidRPr="006E3F10" w:rsidRDefault="006E3F10" w:rsidP="00FF0745">
            <w:pPr>
              <w:pStyle w:val="TableHeading"/>
              <w:rPr>
                <w:lang w:val="en-GB"/>
              </w:rPr>
            </w:pPr>
            <w:r w:rsidRPr="006E3F10">
              <w:rPr>
                <w:lang w:val="en-GB"/>
              </w:rPr>
              <w:t>Purpose of Consultancy</w:t>
            </w:r>
          </w:p>
        </w:tc>
        <w:tc>
          <w:tcPr>
            <w:tcW w:w="0" w:type="auto"/>
            <w:hideMark/>
          </w:tcPr>
          <w:p w14:paraId="1DD76050" w14:textId="77777777" w:rsidR="006E3F10" w:rsidRPr="006E3F10" w:rsidRDefault="006E3F10" w:rsidP="00FF0745">
            <w:pPr>
              <w:pStyle w:val="TableHeading"/>
              <w:rPr>
                <w:lang w:val="en-GB"/>
              </w:rPr>
            </w:pPr>
            <w:r w:rsidRPr="006E3F10">
              <w:rPr>
                <w:lang w:val="en-GB"/>
              </w:rPr>
              <w:t>Start Date</w:t>
            </w:r>
          </w:p>
        </w:tc>
        <w:tc>
          <w:tcPr>
            <w:tcW w:w="0" w:type="auto"/>
            <w:hideMark/>
          </w:tcPr>
          <w:p w14:paraId="6A96988E" w14:textId="77777777" w:rsidR="006E3F10" w:rsidRPr="006E3F10" w:rsidRDefault="006E3F10" w:rsidP="00FF0745">
            <w:pPr>
              <w:pStyle w:val="TableHeading"/>
              <w:rPr>
                <w:lang w:val="en-GB"/>
              </w:rPr>
            </w:pPr>
            <w:r w:rsidRPr="006E3F10">
              <w:rPr>
                <w:lang w:val="en-GB"/>
              </w:rPr>
              <w:t>End Date</w:t>
            </w:r>
          </w:p>
        </w:tc>
        <w:tc>
          <w:tcPr>
            <w:tcW w:w="0" w:type="auto"/>
            <w:hideMark/>
          </w:tcPr>
          <w:p w14:paraId="2E6761F8" w14:textId="77777777" w:rsidR="006E3F10" w:rsidRPr="006E3F10" w:rsidRDefault="006E3F10" w:rsidP="00FF0745">
            <w:pPr>
              <w:pStyle w:val="TableHeading"/>
              <w:rPr>
                <w:lang w:val="en-GB"/>
              </w:rPr>
            </w:pPr>
            <w:r w:rsidRPr="006E3F10">
              <w:rPr>
                <w:lang w:val="en-GB"/>
              </w:rPr>
              <w:t xml:space="preserve">Total </w:t>
            </w:r>
            <w:r w:rsidRPr="006E3F10">
              <w:rPr>
                <w:lang w:val="en-GB"/>
              </w:rPr>
              <w:br/>
              <w:t>Approved Project Fee</w:t>
            </w:r>
          </w:p>
        </w:tc>
        <w:tc>
          <w:tcPr>
            <w:tcW w:w="0" w:type="auto"/>
            <w:hideMark/>
          </w:tcPr>
          <w:p w14:paraId="4F262D87" w14:textId="77777777" w:rsidR="006E3F10" w:rsidRPr="006E3F10" w:rsidRDefault="006E3F10" w:rsidP="00FF0745">
            <w:pPr>
              <w:pStyle w:val="TableHeading"/>
              <w:rPr>
                <w:lang w:val="en-GB"/>
              </w:rPr>
            </w:pPr>
            <w:r w:rsidRPr="006E3F10">
              <w:rPr>
                <w:lang w:val="en-GB"/>
              </w:rPr>
              <w:t xml:space="preserve">Expenditure 2016-17 </w:t>
            </w:r>
            <w:r w:rsidRPr="006E3F10">
              <w:rPr>
                <w:lang w:val="en-GB"/>
              </w:rPr>
              <w:br/>
              <w:t>(excl. GST)</w:t>
            </w:r>
          </w:p>
        </w:tc>
        <w:tc>
          <w:tcPr>
            <w:tcW w:w="0" w:type="auto"/>
            <w:hideMark/>
          </w:tcPr>
          <w:p w14:paraId="06AD63FF" w14:textId="77777777" w:rsidR="006E3F10" w:rsidRPr="006E3F10" w:rsidRDefault="006E3F10" w:rsidP="00FF0745">
            <w:pPr>
              <w:pStyle w:val="TableHeading"/>
              <w:rPr>
                <w:lang w:val="en-GB"/>
              </w:rPr>
            </w:pPr>
            <w:r w:rsidRPr="006E3F10">
              <w:rPr>
                <w:lang w:val="en-GB"/>
              </w:rPr>
              <w:t xml:space="preserve">Future Expenditure </w:t>
            </w:r>
            <w:r w:rsidRPr="006E3F10">
              <w:rPr>
                <w:lang w:val="en-GB"/>
              </w:rPr>
              <w:br/>
              <w:t>(excl. GST)</w:t>
            </w:r>
          </w:p>
        </w:tc>
      </w:tr>
      <w:tr w:rsidR="006E3F10" w:rsidRPr="006E3F10" w14:paraId="678F7483" w14:textId="77777777" w:rsidTr="008B2DC9">
        <w:tc>
          <w:tcPr>
            <w:tcW w:w="0" w:type="auto"/>
            <w:hideMark/>
          </w:tcPr>
          <w:p w14:paraId="276F13C1" w14:textId="77777777" w:rsidR="006E3F10" w:rsidRPr="006E3F10" w:rsidRDefault="006E3F10" w:rsidP="00FF0745">
            <w:pPr>
              <w:pStyle w:val="TableCopy"/>
              <w:rPr>
                <w:lang w:val="en-GB"/>
              </w:rPr>
            </w:pPr>
            <w:r w:rsidRPr="006E3F10">
              <w:rPr>
                <w:lang w:val="en-GB"/>
              </w:rPr>
              <w:t>Rachel Hunter Consulting Pty Ltd</w:t>
            </w:r>
          </w:p>
        </w:tc>
        <w:tc>
          <w:tcPr>
            <w:tcW w:w="0" w:type="auto"/>
            <w:hideMark/>
          </w:tcPr>
          <w:p w14:paraId="6B55963F" w14:textId="77777777" w:rsidR="006E3F10" w:rsidRPr="006E3F10" w:rsidRDefault="006E3F10" w:rsidP="00FF0745">
            <w:pPr>
              <w:pStyle w:val="TableCopy"/>
              <w:rPr>
                <w:lang w:val="en-GB"/>
              </w:rPr>
            </w:pPr>
            <w:r w:rsidRPr="006E3F10">
              <w:rPr>
                <w:lang w:val="en-GB"/>
              </w:rPr>
              <w:t xml:space="preserve">DET Monitoring </w:t>
            </w:r>
            <w:r w:rsidRPr="006E3F10">
              <w:rPr>
                <w:lang w:val="en-GB"/>
              </w:rPr>
              <w:br/>
              <w:t>&amp; Integrity Review</w:t>
            </w:r>
          </w:p>
        </w:tc>
        <w:tc>
          <w:tcPr>
            <w:tcW w:w="0" w:type="auto"/>
            <w:hideMark/>
          </w:tcPr>
          <w:p w14:paraId="4D71E57F" w14:textId="77777777" w:rsidR="006E3F10" w:rsidRPr="006E3F10" w:rsidRDefault="006E3F10" w:rsidP="00FF0745">
            <w:pPr>
              <w:pStyle w:val="TableCopy"/>
              <w:rPr>
                <w:lang w:val="en-GB"/>
              </w:rPr>
            </w:pPr>
            <w:r w:rsidRPr="006E3F10">
              <w:rPr>
                <w:lang w:val="en-GB"/>
              </w:rPr>
              <w:t>15/09/2016</w:t>
            </w:r>
          </w:p>
        </w:tc>
        <w:tc>
          <w:tcPr>
            <w:tcW w:w="0" w:type="auto"/>
            <w:hideMark/>
          </w:tcPr>
          <w:p w14:paraId="257E27A8" w14:textId="77777777" w:rsidR="006E3F10" w:rsidRPr="006E3F10" w:rsidRDefault="006E3F10" w:rsidP="00FF0745">
            <w:pPr>
              <w:pStyle w:val="TableCopy"/>
              <w:rPr>
                <w:lang w:val="en-GB"/>
              </w:rPr>
            </w:pPr>
            <w:r w:rsidRPr="006E3F10">
              <w:rPr>
                <w:lang w:val="en-GB"/>
              </w:rPr>
              <w:t>31/12/2017</w:t>
            </w:r>
          </w:p>
        </w:tc>
        <w:tc>
          <w:tcPr>
            <w:tcW w:w="0" w:type="auto"/>
            <w:hideMark/>
          </w:tcPr>
          <w:p w14:paraId="73C42ECC" w14:textId="77777777" w:rsidR="006E3F10" w:rsidRPr="006E3F10" w:rsidRDefault="006E3F10" w:rsidP="00FF0745">
            <w:pPr>
              <w:pStyle w:val="TableCopy"/>
              <w:rPr>
                <w:lang w:val="en-GB"/>
              </w:rPr>
            </w:pPr>
            <w:r w:rsidRPr="006E3F10">
              <w:rPr>
                <w:lang w:val="en-GB"/>
              </w:rPr>
              <w:t>115,000</w:t>
            </w:r>
          </w:p>
        </w:tc>
        <w:tc>
          <w:tcPr>
            <w:tcW w:w="0" w:type="auto"/>
            <w:hideMark/>
          </w:tcPr>
          <w:p w14:paraId="48442EFC" w14:textId="77777777" w:rsidR="006E3F10" w:rsidRPr="006E3F10" w:rsidRDefault="006E3F10" w:rsidP="00FF0745">
            <w:pPr>
              <w:pStyle w:val="TableCopy"/>
              <w:rPr>
                <w:lang w:val="en-GB"/>
              </w:rPr>
            </w:pPr>
            <w:r w:rsidRPr="006E3F10">
              <w:rPr>
                <w:lang w:val="en-GB"/>
              </w:rPr>
              <w:t>25,000</w:t>
            </w:r>
          </w:p>
        </w:tc>
        <w:tc>
          <w:tcPr>
            <w:tcW w:w="0" w:type="auto"/>
            <w:hideMark/>
          </w:tcPr>
          <w:p w14:paraId="7ACB6285" w14:textId="77777777" w:rsidR="006E3F10" w:rsidRPr="006E3F10" w:rsidRDefault="006E3F10" w:rsidP="00FF0745">
            <w:pPr>
              <w:pStyle w:val="TableCopy"/>
              <w:rPr>
                <w:lang w:val="en-GB"/>
              </w:rPr>
            </w:pPr>
            <w:r w:rsidRPr="006E3F10">
              <w:rPr>
                <w:lang w:val="en-GB"/>
              </w:rPr>
              <w:t>90,000</w:t>
            </w:r>
          </w:p>
        </w:tc>
      </w:tr>
      <w:tr w:rsidR="006E3F10" w:rsidRPr="006E3F10" w14:paraId="52D92C1F" w14:textId="77777777" w:rsidTr="008B2DC9">
        <w:tc>
          <w:tcPr>
            <w:tcW w:w="0" w:type="auto"/>
            <w:hideMark/>
          </w:tcPr>
          <w:p w14:paraId="0575AA86" w14:textId="77777777" w:rsidR="006E3F10" w:rsidRPr="006E3F10" w:rsidRDefault="006E3F10" w:rsidP="00FF0745">
            <w:pPr>
              <w:pStyle w:val="TableCopy"/>
              <w:rPr>
                <w:lang w:val="en-GB"/>
              </w:rPr>
            </w:pPr>
            <w:r w:rsidRPr="006E3F10">
              <w:rPr>
                <w:lang w:val="en-GB"/>
              </w:rPr>
              <w:t>Hudson Global Resources (Aust) </w:t>
            </w:r>
          </w:p>
        </w:tc>
        <w:tc>
          <w:tcPr>
            <w:tcW w:w="0" w:type="auto"/>
            <w:hideMark/>
          </w:tcPr>
          <w:p w14:paraId="0E1B7D7F" w14:textId="77777777" w:rsidR="006E3F10" w:rsidRPr="006E3F10" w:rsidRDefault="006E3F10" w:rsidP="00FF0745">
            <w:pPr>
              <w:pStyle w:val="TableCopy"/>
              <w:rPr>
                <w:lang w:val="en-GB"/>
              </w:rPr>
            </w:pPr>
            <w:r w:rsidRPr="006E3F10">
              <w:rPr>
                <w:lang w:val="en-GB"/>
              </w:rPr>
              <w:t xml:space="preserve">Independent </w:t>
            </w:r>
            <w:r w:rsidRPr="006E3F10">
              <w:rPr>
                <w:lang w:val="en-GB"/>
              </w:rPr>
              <w:br/>
              <w:t>Assessor for the Victorian Leadership Academy</w:t>
            </w:r>
          </w:p>
        </w:tc>
        <w:tc>
          <w:tcPr>
            <w:tcW w:w="0" w:type="auto"/>
            <w:hideMark/>
          </w:tcPr>
          <w:p w14:paraId="4FAA280F" w14:textId="77777777" w:rsidR="006E3F10" w:rsidRPr="006E3F10" w:rsidRDefault="006E3F10" w:rsidP="00FF0745">
            <w:pPr>
              <w:pStyle w:val="TableCopy"/>
              <w:rPr>
                <w:lang w:val="en-GB"/>
              </w:rPr>
            </w:pPr>
            <w:r w:rsidRPr="006E3F10">
              <w:rPr>
                <w:lang w:val="en-GB"/>
              </w:rPr>
              <w:t>16/09/2016</w:t>
            </w:r>
          </w:p>
        </w:tc>
        <w:tc>
          <w:tcPr>
            <w:tcW w:w="0" w:type="auto"/>
            <w:hideMark/>
          </w:tcPr>
          <w:p w14:paraId="4DCFA6C2" w14:textId="77777777" w:rsidR="006E3F10" w:rsidRPr="006E3F10" w:rsidRDefault="006E3F10" w:rsidP="00FF0745">
            <w:pPr>
              <w:pStyle w:val="TableCopy"/>
              <w:rPr>
                <w:lang w:val="en-GB"/>
              </w:rPr>
            </w:pPr>
            <w:r w:rsidRPr="006E3F10">
              <w:rPr>
                <w:lang w:val="en-GB"/>
              </w:rPr>
              <w:t>23/12/2020</w:t>
            </w:r>
          </w:p>
        </w:tc>
        <w:tc>
          <w:tcPr>
            <w:tcW w:w="0" w:type="auto"/>
            <w:hideMark/>
          </w:tcPr>
          <w:p w14:paraId="323D3C1D" w14:textId="77777777" w:rsidR="006E3F10" w:rsidRPr="006E3F10" w:rsidRDefault="006E3F10" w:rsidP="00FF0745">
            <w:pPr>
              <w:pStyle w:val="TableCopy"/>
              <w:rPr>
                <w:lang w:val="en-GB"/>
              </w:rPr>
            </w:pPr>
            <w:r w:rsidRPr="006E3F10">
              <w:rPr>
                <w:lang w:val="en-GB"/>
              </w:rPr>
              <w:t>2,535,741</w:t>
            </w:r>
          </w:p>
        </w:tc>
        <w:tc>
          <w:tcPr>
            <w:tcW w:w="0" w:type="auto"/>
            <w:hideMark/>
          </w:tcPr>
          <w:p w14:paraId="723803FE" w14:textId="77777777" w:rsidR="006E3F10" w:rsidRPr="006E3F10" w:rsidRDefault="006E3F10" w:rsidP="00FF0745">
            <w:pPr>
              <w:pStyle w:val="TableCopy"/>
              <w:rPr>
                <w:lang w:val="en-GB"/>
              </w:rPr>
            </w:pPr>
            <w:r w:rsidRPr="006E3F10">
              <w:rPr>
                <w:lang w:val="en-GB"/>
              </w:rPr>
              <w:t>861,118</w:t>
            </w:r>
          </w:p>
        </w:tc>
        <w:tc>
          <w:tcPr>
            <w:tcW w:w="0" w:type="auto"/>
            <w:hideMark/>
          </w:tcPr>
          <w:p w14:paraId="69FE10D8" w14:textId="77777777" w:rsidR="006E3F10" w:rsidRPr="006E3F10" w:rsidRDefault="006E3F10" w:rsidP="00FF0745">
            <w:pPr>
              <w:pStyle w:val="TableCopy"/>
              <w:rPr>
                <w:lang w:val="en-GB"/>
              </w:rPr>
            </w:pPr>
            <w:r w:rsidRPr="006E3F10">
              <w:rPr>
                <w:lang w:val="en-GB"/>
              </w:rPr>
              <w:t>1,674,623</w:t>
            </w:r>
          </w:p>
        </w:tc>
      </w:tr>
      <w:tr w:rsidR="006E3F10" w:rsidRPr="006E3F10" w14:paraId="61DDFC60" w14:textId="77777777" w:rsidTr="008B2DC9">
        <w:tc>
          <w:tcPr>
            <w:tcW w:w="0" w:type="auto"/>
            <w:hideMark/>
          </w:tcPr>
          <w:p w14:paraId="707E928D" w14:textId="77777777" w:rsidR="006E3F10" w:rsidRPr="006E3F10" w:rsidRDefault="006E3F10" w:rsidP="00FF0745">
            <w:pPr>
              <w:pStyle w:val="TableCopy"/>
              <w:rPr>
                <w:lang w:val="en-GB"/>
              </w:rPr>
            </w:pPr>
            <w:r w:rsidRPr="006E3F10">
              <w:rPr>
                <w:lang w:val="en-GB"/>
              </w:rPr>
              <w:t>Deloitte Touche Tohmatsu</w:t>
            </w:r>
          </w:p>
        </w:tc>
        <w:tc>
          <w:tcPr>
            <w:tcW w:w="0" w:type="auto"/>
            <w:hideMark/>
          </w:tcPr>
          <w:p w14:paraId="42C91DA3" w14:textId="77777777" w:rsidR="006E3F10" w:rsidRPr="006E3F10" w:rsidRDefault="006E3F10" w:rsidP="00FF0745">
            <w:pPr>
              <w:pStyle w:val="TableCopy"/>
              <w:rPr>
                <w:lang w:val="en-GB"/>
              </w:rPr>
            </w:pPr>
            <w:r w:rsidRPr="006E3F10">
              <w:rPr>
                <w:lang w:val="en-GB"/>
              </w:rPr>
              <w:t>Independent evaluator for the Victorian Leadership Academy</w:t>
            </w:r>
          </w:p>
        </w:tc>
        <w:tc>
          <w:tcPr>
            <w:tcW w:w="0" w:type="auto"/>
            <w:hideMark/>
          </w:tcPr>
          <w:p w14:paraId="3882DE24" w14:textId="77777777" w:rsidR="006E3F10" w:rsidRPr="006E3F10" w:rsidRDefault="006E3F10" w:rsidP="00FF0745">
            <w:pPr>
              <w:pStyle w:val="TableCopy"/>
              <w:rPr>
                <w:lang w:val="en-GB"/>
              </w:rPr>
            </w:pPr>
            <w:r w:rsidRPr="006E3F10">
              <w:rPr>
                <w:lang w:val="en-GB"/>
              </w:rPr>
              <w:t>05/12/2016</w:t>
            </w:r>
          </w:p>
        </w:tc>
        <w:tc>
          <w:tcPr>
            <w:tcW w:w="0" w:type="auto"/>
            <w:hideMark/>
          </w:tcPr>
          <w:p w14:paraId="0F90E273" w14:textId="77777777" w:rsidR="006E3F10" w:rsidRPr="006E3F10" w:rsidRDefault="006E3F10" w:rsidP="00FF0745">
            <w:pPr>
              <w:pStyle w:val="TableCopy"/>
              <w:rPr>
                <w:lang w:val="en-GB"/>
              </w:rPr>
            </w:pPr>
            <w:r w:rsidRPr="006E3F10">
              <w:rPr>
                <w:lang w:val="en-GB"/>
              </w:rPr>
              <w:t>20/10/2017</w:t>
            </w:r>
          </w:p>
        </w:tc>
        <w:tc>
          <w:tcPr>
            <w:tcW w:w="0" w:type="auto"/>
            <w:hideMark/>
          </w:tcPr>
          <w:p w14:paraId="444C0150" w14:textId="77777777" w:rsidR="006E3F10" w:rsidRPr="006E3F10" w:rsidRDefault="006E3F10" w:rsidP="00FF0745">
            <w:pPr>
              <w:pStyle w:val="TableCopy"/>
              <w:rPr>
                <w:lang w:val="en-GB"/>
              </w:rPr>
            </w:pPr>
            <w:r w:rsidRPr="006E3F10">
              <w:rPr>
                <w:lang w:val="en-GB"/>
              </w:rPr>
              <w:t>242,491</w:t>
            </w:r>
          </w:p>
        </w:tc>
        <w:tc>
          <w:tcPr>
            <w:tcW w:w="0" w:type="auto"/>
            <w:hideMark/>
          </w:tcPr>
          <w:p w14:paraId="32DB21FF" w14:textId="77777777" w:rsidR="006E3F10" w:rsidRPr="006E3F10" w:rsidRDefault="006E3F10" w:rsidP="00FF0745">
            <w:pPr>
              <w:pStyle w:val="TableCopy"/>
              <w:rPr>
                <w:lang w:val="en-GB"/>
              </w:rPr>
            </w:pPr>
            <w:r w:rsidRPr="006E3F10">
              <w:rPr>
                <w:lang w:val="en-GB"/>
              </w:rPr>
              <w:t>134,464</w:t>
            </w:r>
          </w:p>
        </w:tc>
        <w:tc>
          <w:tcPr>
            <w:tcW w:w="0" w:type="auto"/>
            <w:hideMark/>
          </w:tcPr>
          <w:p w14:paraId="1BB3F580" w14:textId="77777777" w:rsidR="006E3F10" w:rsidRPr="006E3F10" w:rsidRDefault="006E3F10" w:rsidP="00FF0745">
            <w:pPr>
              <w:pStyle w:val="TableCopy"/>
              <w:rPr>
                <w:lang w:val="en-GB"/>
              </w:rPr>
            </w:pPr>
            <w:r w:rsidRPr="006E3F10">
              <w:rPr>
                <w:lang w:val="en-GB"/>
              </w:rPr>
              <w:t>108,027</w:t>
            </w:r>
          </w:p>
        </w:tc>
      </w:tr>
      <w:tr w:rsidR="006E3F10" w:rsidRPr="006E3F10" w14:paraId="2407C11E" w14:textId="77777777" w:rsidTr="008B2DC9">
        <w:tc>
          <w:tcPr>
            <w:tcW w:w="0" w:type="auto"/>
            <w:hideMark/>
          </w:tcPr>
          <w:p w14:paraId="1C27D6A7" w14:textId="77777777" w:rsidR="006E3F10" w:rsidRPr="006E3F10" w:rsidRDefault="006E3F10" w:rsidP="00FF0745">
            <w:pPr>
              <w:pStyle w:val="TableCopy"/>
              <w:rPr>
                <w:lang w:val="en-GB"/>
              </w:rPr>
            </w:pPr>
            <w:r w:rsidRPr="006E3F10">
              <w:rPr>
                <w:lang w:val="en-GB"/>
              </w:rPr>
              <w:t xml:space="preserve">Jo </w:t>
            </w:r>
            <w:r w:rsidRPr="006E3F10">
              <w:rPr>
                <w:lang w:val="en-GB"/>
              </w:rPr>
              <w:br/>
              <w:t>Grisard</w:t>
            </w:r>
          </w:p>
        </w:tc>
        <w:tc>
          <w:tcPr>
            <w:tcW w:w="0" w:type="auto"/>
            <w:hideMark/>
          </w:tcPr>
          <w:p w14:paraId="3F628E19" w14:textId="77777777" w:rsidR="006E3F10" w:rsidRPr="006E3F10" w:rsidRDefault="006E3F10" w:rsidP="00FF0745">
            <w:pPr>
              <w:pStyle w:val="TableCopy"/>
              <w:rPr>
                <w:lang w:val="en-GB"/>
              </w:rPr>
            </w:pPr>
            <w:r w:rsidRPr="006E3F10">
              <w:rPr>
                <w:lang w:val="en-GB"/>
              </w:rPr>
              <w:t>Strategic advice: Victorian Leadership Academy</w:t>
            </w:r>
          </w:p>
        </w:tc>
        <w:tc>
          <w:tcPr>
            <w:tcW w:w="0" w:type="auto"/>
            <w:hideMark/>
          </w:tcPr>
          <w:p w14:paraId="42F22F39" w14:textId="77777777" w:rsidR="006E3F10" w:rsidRPr="006E3F10" w:rsidRDefault="006E3F10" w:rsidP="00FF0745">
            <w:pPr>
              <w:pStyle w:val="TableCopy"/>
              <w:rPr>
                <w:lang w:val="en-GB"/>
              </w:rPr>
            </w:pPr>
            <w:r w:rsidRPr="006E3F10">
              <w:rPr>
                <w:lang w:val="en-GB"/>
              </w:rPr>
              <w:t>08/08/2016</w:t>
            </w:r>
          </w:p>
        </w:tc>
        <w:tc>
          <w:tcPr>
            <w:tcW w:w="0" w:type="auto"/>
            <w:hideMark/>
          </w:tcPr>
          <w:p w14:paraId="600A64E3" w14:textId="77777777" w:rsidR="006E3F10" w:rsidRPr="006E3F10" w:rsidRDefault="006E3F10" w:rsidP="00FF0745">
            <w:pPr>
              <w:pStyle w:val="TableCopy"/>
              <w:rPr>
                <w:lang w:val="en-GB"/>
              </w:rPr>
            </w:pPr>
            <w:r w:rsidRPr="006E3F10">
              <w:rPr>
                <w:lang w:val="en-GB"/>
              </w:rPr>
              <w:t>31/12/2016</w:t>
            </w:r>
          </w:p>
        </w:tc>
        <w:tc>
          <w:tcPr>
            <w:tcW w:w="0" w:type="auto"/>
            <w:hideMark/>
          </w:tcPr>
          <w:p w14:paraId="09CD47BD" w14:textId="77777777" w:rsidR="006E3F10" w:rsidRPr="006E3F10" w:rsidRDefault="006E3F10" w:rsidP="00FF0745">
            <w:pPr>
              <w:pStyle w:val="TableCopy"/>
              <w:rPr>
                <w:lang w:val="en-GB"/>
              </w:rPr>
            </w:pPr>
            <w:r w:rsidRPr="006E3F10">
              <w:rPr>
                <w:lang w:val="en-GB"/>
              </w:rPr>
              <w:t>27,353</w:t>
            </w:r>
          </w:p>
        </w:tc>
        <w:tc>
          <w:tcPr>
            <w:tcW w:w="0" w:type="auto"/>
            <w:hideMark/>
          </w:tcPr>
          <w:p w14:paraId="2345C706" w14:textId="77777777" w:rsidR="006E3F10" w:rsidRPr="006E3F10" w:rsidRDefault="006E3F10" w:rsidP="00FF0745">
            <w:pPr>
              <w:pStyle w:val="TableCopy"/>
              <w:rPr>
                <w:lang w:val="en-GB"/>
              </w:rPr>
            </w:pPr>
            <w:r w:rsidRPr="006E3F10">
              <w:rPr>
                <w:lang w:val="en-GB"/>
              </w:rPr>
              <w:t>27,353</w:t>
            </w:r>
          </w:p>
        </w:tc>
        <w:tc>
          <w:tcPr>
            <w:tcW w:w="0" w:type="auto"/>
            <w:hideMark/>
          </w:tcPr>
          <w:p w14:paraId="46F0EED8" w14:textId="77777777" w:rsidR="006E3F10" w:rsidRPr="006E3F10" w:rsidRDefault="006E3F10" w:rsidP="00FF0745">
            <w:pPr>
              <w:pStyle w:val="TableCopy"/>
              <w:rPr>
                <w:lang w:val="en-GB"/>
              </w:rPr>
            </w:pPr>
            <w:r w:rsidRPr="006E3F10">
              <w:rPr>
                <w:lang w:val="en-GB"/>
              </w:rPr>
              <w:t>-</w:t>
            </w:r>
          </w:p>
        </w:tc>
      </w:tr>
      <w:tr w:rsidR="006E3F10" w:rsidRPr="006E3F10" w14:paraId="1402899D" w14:textId="77777777" w:rsidTr="008B2DC9">
        <w:tc>
          <w:tcPr>
            <w:tcW w:w="0" w:type="auto"/>
            <w:hideMark/>
          </w:tcPr>
          <w:p w14:paraId="58885DE9" w14:textId="77777777" w:rsidR="006E3F10" w:rsidRPr="006E3F10" w:rsidRDefault="006E3F10" w:rsidP="00FF0745">
            <w:pPr>
              <w:pStyle w:val="TableCopy"/>
              <w:rPr>
                <w:lang w:val="en-GB"/>
              </w:rPr>
            </w:pPr>
            <w:r w:rsidRPr="006E3F10">
              <w:rPr>
                <w:lang w:val="en-GB"/>
              </w:rPr>
              <w:t>Michael Kinnane</w:t>
            </w:r>
          </w:p>
        </w:tc>
        <w:tc>
          <w:tcPr>
            <w:tcW w:w="0" w:type="auto"/>
            <w:hideMark/>
          </w:tcPr>
          <w:p w14:paraId="02878E76" w14:textId="77777777" w:rsidR="006E3F10" w:rsidRPr="006E3F10" w:rsidRDefault="006E3F10" w:rsidP="00FF0745">
            <w:pPr>
              <w:pStyle w:val="TableCopy"/>
              <w:rPr>
                <w:lang w:val="en-GB"/>
              </w:rPr>
            </w:pPr>
            <w:r w:rsidRPr="006E3F10">
              <w:rPr>
                <w:lang w:val="en-GB"/>
              </w:rPr>
              <w:t xml:space="preserve">Independent Lead Reviewer – Organisational Capability Review </w:t>
            </w:r>
            <w:r w:rsidRPr="006E3F10">
              <w:rPr>
                <w:lang w:val="en-GB"/>
              </w:rPr>
              <w:br/>
              <w:t>of Ambulance Victoria</w:t>
            </w:r>
          </w:p>
        </w:tc>
        <w:tc>
          <w:tcPr>
            <w:tcW w:w="0" w:type="auto"/>
            <w:hideMark/>
          </w:tcPr>
          <w:p w14:paraId="2570FE0A" w14:textId="77777777" w:rsidR="006E3F10" w:rsidRPr="006E3F10" w:rsidRDefault="006E3F10" w:rsidP="00FF0745">
            <w:pPr>
              <w:pStyle w:val="TableCopy"/>
              <w:rPr>
                <w:lang w:val="en-GB"/>
              </w:rPr>
            </w:pPr>
            <w:r w:rsidRPr="006E3F10">
              <w:rPr>
                <w:lang w:val="en-GB"/>
              </w:rPr>
              <w:t>17/08/2016</w:t>
            </w:r>
          </w:p>
        </w:tc>
        <w:tc>
          <w:tcPr>
            <w:tcW w:w="0" w:type="auto"/>
            <w:hideMark/>
          </w:tcPr>
          <w:p w14:paraId="7ACE8FD0" w14:textId="77777777" w:rsidR="006E3F10" w:rsidRPr="006E3F10" w:rsidRDefault="006E3F10" w:rsidP="00FF0745">
            <w:pPr>
              <w:pStyle w:val="TableCopy"/>
              <w:rPr>
                <w:lang w:val="en-GB"/>
              </w:rPr>
            </w:pPr>
            <w:r w:rsidRPr="006E3F10">
              <w:rPr>
                <w:lang w:val="en-GB"/>
              </w:rPr>
              <w:t>31/12/2016</w:t>
            </w:r>
          </w:p>
        </w:tc>
        <w:tc>
          <w:tcPr>
            <w:tcW w:w="0" w:type="auto"/>
            <w:hideMark/>
          </w:tcPr>
          <w:p w14:paraId="617008A9" w14:textId="77777777" w:rsidR="006E3F10" w:rsidRPr="006E3F10" w:rsidRDefault="006E3F10" w:rsidP="00FF0745">
            <w:pPr>
              <w:pStyle w:val="TableCopy"/>
              <w:rPr>
                <w:lang w:val="en-GB"/>
              </w:rPr>
            </w:pPr>
            <w:r w:rsidRPr="006E3F10">
              <w:rPr>
                <w:lang w:val="en-GB"/>
              </w:rPr>
              <w:t>55,000</w:t>
            </w:r>
          </w:p>
        </w:tc>
        <w:tc>
          <w:tcPr>
            <w:tcW w:w="0" w:type="auto"/>
            <w:hideMark/>
          </w:tcPr>
          <w:p w14:paraId="22091D07" w14:textId="77777777" w:rsidR="006E3F10" w:rsidRPr="006E3F10" w:rsidRDefault="006E3F10" w:rsidP="00FF0745">
            <w:pPr>
              <w:pStyle w:val="TableCopy"/>
              <w:rPr>
                <w:lang w:val="en-GB"/>
              </w:rPr>
            </w:pPr>
            <w:r w:rsidRPr="006E3F10">
              <w:rPr>
                <w:lang w:val="en-GB"/>
              </w:rPr>
              <w:t>28,110</w:t>
            </w:r>
          </w:p>
        </w:tc>
        <w:tc>
          <w:tcPr>
            <w:tcW w:w="0" w:type="auto"/>
            <w:hideMark/>
          </w:tcPr>
          <w:p w14:paraId="52AB6305" w14:textId="77777777" w:rsidR="006E3F10" w:rsidRPr="006E3F10" w:rsidRDefault="006E3F10" w:rsidP="00FF0745">
            <w:pPr>
              <w:pStyle w:val="TableCopy"/>
              <w:rPr>
                <w:lang w:val="en-GB"/>
              </w:rPr>
            </w:pPr>
            <w:r w:rsidRPr="006E3F10">
              <w:rPr>
                <w:lang w:val="en-GB"/>
              </w:rPr>
              <w:t>-</w:t>
            </w:r>
          </w:p>
        </w:tc>
      </w:tr>
      <w:tr w:rsidR="006E3F10" w:rsidRPr="006E3F10" w14:paraId="5E011D15" w14:textId="77777777" w:rsidTr="008B2DC9">
        <w:tc>
          <w:tcPr>
            <w:tcW w:w="0" w:type="auto"/>
            <w:hideMark/>
          </w:tcPr>
          <w:p w14:paraId="40661ADC" w14:textId="77777777" w:rsidR="006E3F10" w:rsidRPr="006E3F10" w:rsidRDefault="006E3F10" w:rsidP="00FF0745">
            <w:pPr>
              <w:pStyle w:val="TableCopy"/>
              <w:rPr>
                <w:lang w:val="en-GB"/>
              </w:rPr>
            </w:pPr>
            <w:r w:rsidRPr="006E3F10">
              <w:rPr>
                <w:lang w:val="en-GB"/>
              </w:rPr>
              <w:t xml:space="preserve">Akiko </w:t>
            </w:r>
            <w:r w:rsidRPr="006E3F10">
              <w:rPr>
                <w:lang w:val="en-GB"/>
              </w:rPr>
              <w:br/>
              <w:t>Jackson</w:t>
            </w:r>
          </w:p>
        </w:tc>
        <w:tc>
          <w:tcPr>
            <w:tcW w:w="0" w:type="auto"/>
            <w:hideMark/>
          </w:tcPr>
          <w:p w14:paraId="2821470F" w14:textId="77777777" w:rsidR="006E3F10" w:rsidRPr="006E3F10" w:rsidRDefault="006E3F10" w:rsidP="00FF0745">
            <w:pPr>
              <w:pStyle w:val="TableCopy"/>
              <w:rPr>
                <w:lang w:val="en-GB"/>
              </w:rPr>
            </w:pPr>
            <w:r w:rsidRPr="006E3F10">
              <w:rPr>
                <w:lang w:val="en-GB"/>
              </w:rPr>
              <w:t xml:space="preserve">Lead Reviewer – </w:t>
            </w:r>
            <w:r w:rsidRPr="006E3F10">
              <w:rPr>
                <w:lang w:val="en-GB"/>
              </w:rPr>
              <w:br/>
              <w:t>Review of Remuneration of Public Health Organisation Boards</w:t>
            </w:r>
          </w:p>
        </w:tc>
        <w:tc>
          <w:tcPr>
            <w:tcW w:w="0" w:type="auto"/>
            <w:hideMark/>
          </w:tcPr>
          <w:p w14:paraId="1FAFDBD3" w14:textId="77777777" w:rsidR="006E3F10" w:rsidRPr="006E3F10" w:rsidRDefault="006E3F10" w:rsidP="00FF0745">
            <w:pPr>
              <w:pStyle w:val="TableCopy"/>
              <w:rPr>
                <w:lang w:val="en-GB"/>
              </w:rPr>
            </w:pPr>
            <w:r w:rsidRPr="006E3F10">
              <w:rPr>
                <w:lang w:val="en-GB"/>
              </w:rPr>
              <w:t>11/10/2016</w:t>
            </w:r>
          </w:p>
        </w:tc>
        <w:tc>
          <w:tcPr>
            <w:tcW w:w="0" w:type="auto"/>
            <w:hideMark/>
          </w:tcPr>
          <w:p w14:paraId="3890EB2B" w14:textId="77777777" w:rsidR="006E3F10" w:rsidRPr="006E3F10" w:rsidRDefault="006E3F10" w:rsidP="00FF0745">
            <w:pPr>
              <w:pStyle w:val="TableCopy"/>
              <w:rPr>
                <w:lang w:val="en-GB"/>
              </w:rPr>
            </w:pPr>
            <w:r w:rsidRPr="006E3F10">
              <w:rPr>
                <w:lang w:val="en-GB"/>
              </w:rPr>
              <w:t>13/12/2016</w:t>
            </w:r>
          </w:p>
        </w:tc>
        <w:tc>
          <w:tcPr>
            <w:tcW w:w="0" w:type="auto"/>
            <w:hideMark/>
          </w:tcPr>
          <w:p w14:paraId="2A9AAF55" w14:textId="77777777" w:rsidR="006E3F10" w:rsidRPr="006E3F10" w:rsidRDefault="006E3F10" w:rsidP="00FF0745">
            <w:pPr>
              <w:pStyle w:val="TableCopy"/>
              <w:rPr>
                <w:lang w:val="en-GB"/>
              </w:rPr>
            </w:pPr>
            <w:r w:rsidRPr="006E3F10">
              <w:rPr>
                <w:lang w:val="en-GB"/>
              </w:rPr>
              <w:t>30,800</w:t>
            </w:r>
          </w:p>
        </w:tc>
        <w:tc>
          <w:tcPr>
            <w:tcW w:w="0" w:type="auto"/>
            <w:hideMark/>
          </w:tcPr>
          <w:p w14:paraId="0B451A23" w14:textId="77777777" w:rsidR="006E3F10" w:rsidRPr="006E3F10" w:rsidRDefault="006E3F10" w:rsidP="00FF0745">
            <w:pPr>
              <w:pStyle w:val="TableCopy"/>
              <w:rPr>
                <w:lang w:val="en-GB"/>
              </w:rPr>
            </w:pPr>
            <w:r w:rsidRPr="006E3F10">
              <w:rPr>
                <w:lang w:val="en-GB"/>
              </w:rPr>
              <w:t>23,292</w:t>
            </w:r>
          </w:p>
        </w:tc>
        <w:tc>
          <w:tcPr>
            <w:tcW w:w="0" w:type="auto"/>
            <w:hideMark/>
          </w:tcPr>
          <w:p w14:paraId="7508646A" w14:textId="77777777" w:rsidR="006E3F10" w:rsidRPr="006E3F10" w:rsidRDefault="006E3F10" w:rsidP="00FF0745">
            <w:pPr>
              <w:pStyle w:val="TableCopy"/>
              <w:rPr>
                <w:lang w:val="en-GB"/>
              </w:rPr>
            </w:pPr>
            <w:r w:rsidRPr="006E3F10">
              <w:rPr>
                <w:lang w:val="en-GB"/>
              </w:rPr>
              <w:t>-</w:t>
            </w:r>
          </w:p>
        </w:tc>
      </w:tr>
      <w:tr w:rsidR="006E3F10" w:rsidRPr="006E3F10" w14:paraId="61326AF3" w14:textId="77777777" w:rsidTr="008B2DC9">
        <w:tc>
          <w:tcPr>
            <w:tcW w:w="0" w:type="auto"/>
            <w:hideMark/>
          </w:tcPr>
          <w:p w14:paraId="6BC5A217" w14:textId="77777777" w:rsidR="006E3F10" w:rsidRPr="006E3F10" w:rsidRDefault="006E3F10" w:rsidP="00FF0745">
            <w:pPr>
              <w:pStyle w:val="TableCopy"/>
              <w:rPr>
                <w:lang w:val="en-GB"/>
              </w:rPr>
            </w:pPr>
            <w:r w:rsidRPr="006E3F10">
              <w:rPr>
                <w:lang w:val="en-GB"/>
              </w:rPr>
              <w:t xml:space="preserve">David </w:t>
            </w:r>
            <w:r w:rsidRPr="006E3F10">
              <w:rPr>
                <w:lang w:val="en-GB"/>
              </w:rPr>
              <w:br/>
              <w:t>Butler</w:t>
            </w:r>
          </w:p>
        </w:tc>
        <w:tc>
          <w:tcPr>
            <w:tcW w:w="0" w:type="auto"/>
            <w:hideMark/>
          </w:tcPr>
          <w:p w14:paraId="17E8490A" w14:textId="77777777" w:rsidR="006E3F10" w:rsidRPr="006E3F10" w:rsidRDefault="006E3F10" w:rsidP="00FF0745">
            <w:pPr>
              <w:pStyle w:val="TableCopy"/>
              <w:rPr>
                <w:lang w:val="en-GB"/>
              </w:rPr>
            </w:pPr>
            <w:r w:rsidRPr="006E3F10">
              <w:rPr>
                <w:lang w:val="en-GB"/>
              </w:rPr>
              <w:t xml:space="preserve">Independent Lead Reviewer – Organisational Capability Review </w:t>
            </w:r>
            <w:r w:rsidRPr="006E3F10">
              <w:rPr>
                <w:lang w:val="en-GB"/>
              </w:rPr>
              <w:br/>
              <w:t>of Ambulance Victoria</w:t>
            </w:r>
          </w:p>
        </w:tc>
        <w:tc>
          <w:tcPr>
            <w:tcW w:w="0" w:type="auto"/>
            <w:hideMark/>
          </w:tcPr>
          <w:p w14:paraId="4546C1B3" w14:textId="77777777" w:rsidR="006E3F10" w:rsidRPr="006E3F10" w:rsidRDefault="006E3F10" w:rsidP="00FF0745">
            <w:pPr>
              <w:pStyle w:val="TableCopy"/>
              <w:rPr>
                <w:lang w:val="en-GB"/>
              </w:rPr>
            </w:pPr>
            <w:r w:rsidRPr="006E3F10">
              <w:rPr>
                <w:lang w:val="en-GB"/>
              </w:rPr>
              <w:t>13/08/2016</w:t>
            </w:r>
          </w:p>
        </w:tc>
        <w:tc>
          <w:tcPr>
            <w:tcW w:w="0" w:type="auto"/>
            <w:hideMark/>
          </w:tcPr>
          <w:p w14:paraId="4681CB4A" w14:textId="77777777" w:rsidR="006E3F10" w:rsidRPr="006E3F10" w:rsidRDefault="006E3F10" w:rsidP="00FF0745">
            <w:pPr>
              <w:pStyle w:val="TableCopy"/>
              <w:rPr>
                <w:lang w:val="en-GB"/>
              </w:rPr>
            </w:pPr>
            <w:r w:rsidRPr="006E3F10">
              <w:rPr>
                <w:lang w:val="en-GB"/>
              </w:rPr>
              <w:t>31/12/2016</w:t>
            </w:r>
          </w:p>
        </w:tc>
        <w:tc>
          <w:tcPr>
            <w:tcW w:w="0" w:type="auto"/>
            <w:hideMark/>
          </w:tcPr>
          <w:p w14:paraId="7C60B8DC" w14:textId="77777777" w:rsidR="006E3F10" w:rsidRPr="006E3F10" w:rsidRDefault="006E3F10" w:rsidP="00FF0745">
            <w:pPr>
              <w:pStyle w:val="TableCopy"/>
              <w:rPr>
                <w:lang w:val="en-GB"/>
              </w:rPr>
            </w:pPr>
            <w:r w:rsidRPr="006E3F10">
              <w:rPr>
                <w:lang w:val="en-GB"/>
              </w:rPr>
              <w:t>99,000</w:t>
            </w:r>
          </w:p>
        </w:tc>
        <w:tc>
          <w:tcPr>
            <w:tcW w:w="0" w:type="auto"/>
            <w:hideMark/>
          </w:tcPr>
          <w:p w14:paraId="25A0CE1A" w14:textId="77777777" w:rsidR="006E3F10" w:rsidRPr="006E3F10" w:rsidRDefault="006E3F10" w:rsidP="00FF0745">
            <w:pPr>
              <w:pStyle w:val="TableCopy"/>
              <w:rPr>
                <w:lang w:val="en-GB"/>
              </w:rPr>
            </w:pPr>
            <w:r w:rsidRPr="006E3F10">
              <w:rPr>
                <w:lang w:val="en-GB"/>
              </w:rPr>
              <w:t>59,222</w:t>
            </w:r>
          </w:p>
        </w:tc>
        <w:tc>
          <w:tcPr>
            <w:tcW w:w="0" w:type="auto"/>
            <w:hideMark/>
          </w:tcPr>
          <w:p w14:paraId="250F90CA" w14:textId="77777777" w:rsidR="006E3F10" w:rsidRPr="006E3F10" w:rsidRDefault="006E3F10" w:rsidP="00FF0745">
            <w:pPr>
              <w:pStyle w:val="TableCopy"/>
              <w:rPr>
                <w:lang w:val="en-GB"/>
              </w:rPr>
            </w:pPr>
            <w:r w:rsidRPr="006E3F10">
              <w:rPr>
                <w:lang w:val="en-GB"/>
              </w:rPr>
              <w:t>-</w:t>
            </w:r>
          </w:p>
        </w:tc>
      </w:tr>
      <w:tr w:rsidR="006E3F10" w:rsidRPr="006E3F10" w14:paraId="485D7C2A" w14:textId="77777777" w:rsidTr="008B2DC9">
        <w:tc>
          <w:tcPr>
            <w:tcW w:w="0" w:type="auto"/>
            <w:hideMark/>
          </w:tcPr>
          <w:p w14:paraId="663DD6C0" w14:textId="77777777" w:rsidR="006E3F10" w:rsidRPr="006E3F10" w:rsidRDefault="006E3F10" w:rsidP="00FF0745">
            <w:pPr>
              <w:pStyle w:val="TableCopy"/>
              <w:rPr>
                <w:lang w:val="en-GB"/>
              </w:rPr>
            </w:pPr>
            <w:r w:rsidRPr="006E3F10">
              <w:rPr>
                <w:lang w:val="en-GB"/>
              </w:rPr>
              <w:t xml:space="preserve">Ellis </w:t>
            </w:r>
            <w:r w:rsidRPr="006E3F10">
              <w:rPr>
                <w:lang w:val="en-GB"/>
              </w:rPr>
              <w:br/>
              <w:t>Jones</w:t>
            </w:r>
          </w:p>
        </w:tc>
        <w:tc>
          <w:tcPr>
            <w:tcW w:w="0" w:type="auto"/>
            <w:hideMark/>
          </w:tcPr>
          <w:p w14:paraId="6D6461DC" w14:textId="77777777" w:rsidR="006E3F10" w:rsidRPr="006E3F10" w:rsidRDefault="006E3F10" w:rsidP="00FF0745">
            <w:pPr>
              <w:pStyle w:val="TableCopy"/>
              <w:rPr>
                <w:lang w:val="en-GB"/>
              </w:rPr>
            </w:pPr>
            <w:r w:rsidRPr="006E3F10">
              <w:rPr>
                <w:lang w:val="en-GB"/>
              </w:rPr>
              <w:t xml:space="preserve">Advise VPSC on the most effective and appropriate communication modes to maximise effectiveness </w:t>
            </w:r>
            <w:r w:rsidRPr="006E3F10">
              <w:rPr>
                <w:lang w:val="en-GB"/>
              </w:rPr>
              <w:br/>
              <w:t>and reach</w:t>
            </w:r>
          </w:p>
        </w:tc>
        <w:tc>
          <w:tcPr>
            <w:tcW w:w="0" w:type="auto"/>
            <w:hideMark/>
          </w:tcPr>
          <w:p w14:paraId="3F0B1428" w14:textId="77777777" w:rsidR="006E3F10" w:rsidRPr="006E3F10" w:rsidRDefault="006E3F10" w:rsidP="00FF0745">
            <w:pPr>
              <w:pStyle w:val="TableCopy"/>
              <w:rPr>
                <w:lang w:val="en-GB"/>
              </w:rPr>
            </w:pPr>
            <w:r w:rsidRPr="006E3F10">
              <w:rPr>
                <w:lang w:val="en-GB"/>
              </w:rPr>
              <w:t>02/06/2017</w:t>
            </w:r>
          </w:p>
        </w:tc>
        <w:tc>
          <w:tcPr>
            <w:tcW w:w="0" w:type="auto"/>
            <w:hideMark/>
          </w:tcPr>
          <w:p w14:paraId="27111747" w14:textId="77777777" w:rsidR="006E3F10" w:rsidRPr="006E3F10" w:rsidRDefault="006E3F10" w:rsidP="00FF0745">
            <w:pPr>
              <w:pStyle w:val="TableCopy"/>
              <w:rPr>
                <w:lang w:val="en-GB"/>
              </w:rPr>
            </w:pPr>
            <w:r w:rsidRPr="006E3F10">
              <w:rPr>
                <w:lang w:val="en-GB"/>
              </w:rPr>
              <w:t>24/08/2017</w:t>
            </w:r>
          </w:p>
        </w:tc>
        <w:tc>
          <w:tcPr>
            <w:tcW w:w="0" w:type="auto"/>
            <w:hideMark/>
          </w:tcPr>
          <w:p w14:paraId="55B6C2FA" w14:textId="77777777" w:rsidR="006E3F10" w:rsidRPr="006E3F10" w:rsidRDefault="006E3F10" w:rsidP="00FF0745">
            <w:pPr>
              <w:pStyle w:val="TableCopy"/>
              <w:rPr>
                <w:lang w:val="en-GB"/>
              </w:rPr>
            </w:pPr>
            <w:r w:rsidRPr="006E3F10">
              <w:rPr>
                <w:lang w:val="en-GB"/>
              </w:rPr>
              <w:t>35,000</w:t>
            </w:r>
          </w:p>
        </w:tc>
        <w:tc>
          <w:tcPr>
            <w:tcW w:w="0" w:type="auto"/>
            <w:hideMark/>
          </w:tcPr>
          <w:p w14:paraId="5F62D5E6" w14:textId="77777777" w:rsidR="006E3F10" w:rsidRPr="006E3F10" w:rsidRDefault="006E3F10" w:rsidP="00FF0745">
            <w:pPr>
              <w:pStyle w:val="TableCopy"/>
              <w:rPr>
                <w:lang w:val="en-GB"/>
              </w:rPr>
            </w:pPr>
            <w:r w:rsidRPr="006E3F10">
              <w:rPr>
                <w:lang w:val="en-GB"/>
              </w:rPr>
              <w:t>15,694</w:t>
            </w:r>
          </w:p>
        </w:tc>
        <w:tc>
          <w:tcPr>
            <w:tcW w:w="0" w:type="auto"/>
            <w:hideMark/>
          </w:tcPr>
          <w:p w14:paraId="6DB4B3AA" w14:textId="77777777" w:rsidR="006E3F10" w:rsidRPr="006E3F10" w:rsidRDefault="006E3F10" w:rsidP="00FF0745">
            <w:pPr>
              <w:pStyle w:val="TableCopy"/>
              <w:rPr>
                <w:lang w:val="en-GB"/>
              </w:rPr>
            </w:pPr>
            <w:r w:rsidRPr="006E3F10">
              <w:rPr>
                <w:lang w:val="en-GB"/>
              </w:rPr>
              <w:t>19,305</w:t>
            </w:r>
          </w:p>
        </w:tc>
      </w:tr>
    </w:tbl>
    <w:p w14:paraId="3AB54D52" w14:textId="77777777" w:rsidR="006E3F10" w:rsidRPr="006E3F10" w:rsidRDefault="006E3F10" w:rsidP="008B2DC9">
      <w:pPr>
        <w:pStyle w:val="Heading3"/>
        <w:rPr>
          <w:lang w:val="en-GB"/>
        </w:rPr>
      </w:pPr>
      <w:bookmarkStart w:id="59" w:name="_Toc494111987"/>
      <w:r w:rsidRPr="006E3F10">
        <w:rPr>
          <w:lang w:val="en-GB"/>
        </w:rPr>
        <w:lastRenderedPageBreak/>
        <w:t>Information and Communication Technology Expenditure</w:t>
      </w:r>
      <w:bookmarkEnd w:id="59"/>
    </w:p>
    <w:tbl>
      <w:tblPr>
        <w:tblStyle w:val="TableGrid"/>
        <w:tblW w:w="0" w:type="auto"/>
        <w:tblLook w:val="04A0" w:firstRow="1" w:lastRow="0" w:firstColumn="1" w:lastColumn="0" w:noHBand="0" w:noVBand="1"/>
      </w:tblPr>
      <w:tblGrid>
        <w:gridCol w:w="1485"/>
        <w:gridCol w:w="2406"/>
        <w:gridCol w:w="3815"/>
        <w:gridCol w:w="1526"/>
        <w:gridCol w:w="1450"/>
      </w:tblGrid>
      <w:tr w:rsidR="006E3F10" w:rsidRPr="006E3F10" w14:paraId="32D4242A" w14:textId="77777777" w:rsidTr="00FF0745">
        <w:trPr>
          <w:cantSplit/>
        </w:trPr>
        <w:tc>
          <w:tcPr>
            <w:tcW w:w="0" w:type="auto"/>
            <w:hideMark/>
          </w:tcPr>
          <w:p w14:paraId="58640A1F" w14:textId="77777777" w:rsidR="006E3F10" w:rsidRPr="006E3F10" w:rsidRDefault="006E3F10" w:rsidP="006E3F10">
            <w:pPr>
              <w:rPr>
                <w:lang w:val="en-GB"/>
              </w:rPr>
            </w:pPr>
          </w:p>
        </w:tc>
        <w:tc>
          <w:tcPr>
            <w:tcW w:w="0" w:type="auto"/>
            <w:hideMark/>
          </w:tcPr>
          <w:p w14:paraId="10E51E1B" w14:textId="77777777" w:rsidR="006E3F10" w:rsidRPr="006E3F10" w:rsidRDefault="006E3F10" w:rsidP="00995F69">
            <w:pPr>
              <w:pStyle w:val="TableHeading"/>
              <w:rPr>
                <w:lang w:val="en-GB"/>
              </w:rPr>
            </w:pPr>
            <w:r w:rsidRPr="006E3F10">
              <w:rPr>
                <w:lang w:val="en-GB"/>
              </w:rPr>
              <w:t>All operational ICT expenditure Business as Usual (BAU) ICT expenditure (Total)</w:t>
            </w:r>
          </w:p>
        </w:tc>
        <w:tc>
          <w:tcPr>
            <w:tcW w:w="0" w:type="auto"/>
            <w:hideMark/>
          </w:tcPr>
          <w:p w14:paraId="40C0B94A" w14:textId="77777777" w:rsidR="006E3F10" w:rsidRPr="006E3F10" w:rsidRDefault="006E3F10" w:rsidP="00995F69">
            <w:pPr>
              <w:pStyle w:val="TableHeading"/>
              <w:rPr>
                <w:lang w:val="en-GB"/>
              </w:rPr>
            </w:pPr>
            <w:r w:rsidRPr="006E3F10">
              <w:rPr>
                <w:lang w:val="en-GB"/>
              </w:rPr>
              <w:t>ICT expenditure related to projects to create or enhance ICT capabilities Non-Business as Usual (non-BAU) (Total = Operational expenditure and capital expenditure)</w:t>
            </w:r>
          </w:p>
        </w:tc>
        <w:tc>
          <w:tcPr>
            <w:tcW w:w="0" w:type="auto"/>
            <w:hideMark/>
          </w:tcPr>
          <w:p w14:paraId="3C9130A9" w14:textId="77777777" w:rsidR="006E3F10" w:rsidRPr="006E3F10" w:rsidRDefault="006E3F10" w:rsidP="00995F69">
            <w:pPr>
              <w:pStyle w:val="TableHeading"/>
              <w:rPr>
                <w:lang w:val="en-GB"/>
              </w:rPr>
            </w:pPr>
            <w:r w:rsidRPr="006E3F10">
              <w:rPr>
                <w:lang w:val="en-GB"/>
              </w:rPr>
              <w:t>Operational Expenditure</w:t>
            </w:r>
          </w:p>
        </w:tc>
        <w:tc>
          <w:tcPr>
            <w:tcW w:w="0" w:type="auto"/>
            <w:hideMark/>
          </w:tcPr>
          <w:p w14:paraId="2904A900" w14:textId="77777777" w:rsidR="006E3F10" w:rsidRPr="006E3F10" w:rsidRDefault="006E3F10" w:rsidP="00995F69">
            <w:pPr>
              <w:pStyle w:val="TableHeading"/>
              <w:rPr>
                <w:lang w:val="en-GB"/>
              </w:rPr>
            </w:pPr>
            <w:r w:rsidRPr="006E3F10">
              <w:rPr>
                <w:lang w:val="en-GB"/>
              </w:rPr>
              <w:t>Capital Expenditure</w:t>
            </w:r>
          </w:p>
        </w:tc>
      </w:tr>
      <w:tr w:rsidR="006E3F10" w:rsidRPr="006E3F10" w14:paraId="66768420" w14:textId="77777777" w:rsidTr="00FF0745">
        <w:trPr>
          <w:cantSplit/>
        </w:trPr>
        <w:tc>
          <w:tcPr>
            <w:tcW w:w="0" w:type="auto"/>
            <w:hideMark/>
          </w:tcPr>
          <w:p w14:paraId="0F7C3DD2" w14:textId="77777777" w:rsidR="006E3F10" w:rsidRPr="006E3F10" w:rsidRDefault="006E3F10" w:rsidP="00995F69">
            <w:pPr>
              <w:pStyle w:val="TableCopy"/>
              <w:rPr>
                <w:lang w:val="en-GB"/>
              </w:rPr>
            </w:pPr>
            <w:r w:rsidRPr="006E3F10">
              <w:rPr>
                <w:lang w:val="en-GB"/>
              </w:rPr>
              <w:t>Appropriation Account</w:t>
            </w:r>
          </w:p>
        </w:tc>
        <w:tc>
          <w:tcPr>
            <w:tcW w:w="0" w:type="auto"/>
            <w:hideMark/>
          </w:tcPr>
          <w:p w14:paraId="2C5C5D9C" w14:textId="77777777" w:rsidR="006E3F10" w:rsidRPr="006E3F10" w:rsidRDefault="006E3F10" w:rsidP="00995F69">
            <w:pPr>
              <w:pStyle w:val="TableCopy"/>
              <w:rPr>
                <w:lang w:val="en-GB"/>
              </w:rPr>
            </w:pPr>
            <w:r w:rsidRPr="006E3F10">
              <w:rPr>
                <w:lang w:val="en-GB"/>
              </w:rPr>
              <w:t>831,732</w:t>
            </w:r>
          </w:p>
        </w:tc>
        <w:tc>
          <w:tcPr>
            <w:tcW w:w="0" w:type="auto"/>
            <w:hideMark/>
          </w:tcPr>
          <w:p w14:paraId="6E7FE59D" w14:textId="77777777" w:rsidR="006E3F10" w:rsidRPr="006E3F10" w:rsidRDefault="006E3F10" w:rsidP="00995F69">
            <w:pPr>
              <w:pStyle w:val="TableCopy"/>
              <w:rPr>
                <w:lang w:val="en-GB"/>
              </w:rPr>
            </w:pPr>
            <w:r w:rsidRPr="006E3F10">
              <w:rPr>
                <w:lang w:val="en-GB"/>
              </w:rPr>
              <w:t>69,000</w:t>
            </w:r>
          </w:p>
        </w:tc>
        <w:tc>
          <w:tcPr>
            <w:tcW w:w="0" w:type="auto"/>
            <w:hideMark/>
          </w:tcPr>
          <w:p w14:paraId="3B989DDD" w14:textId="77777777" w:rsidR="006E3F10" w:rsidRPr="006E3F10" w:rsidRDefault="006E3F10" w:rsidP="00995F69">
            <w:pPr>
              <w:pStyle w:val="TableCopy"/>
              <w:rPr>
                <w:lang w:val="en-GB"/>
              </w:rPr>
            </w:pPr>
            <w:r w:rsidRPr="006E3F10">
              <w:rPr>
                <w:lang w:val="en-GB"/>
              </w:rPr>
              <w:t>-</w:t>
            </w:r>
          </w:p>
        </w:tc>
        <w:tc>
          <w:tcPr>
            <w:tcW w:w="0" w:type="auto"/>
            <w:hideMark/>
          </w:tcPr>
          <w:p w14:paraId="68ECFB6D" w14:textId="77777777" w:rsidR="006E3F10" w:rsidRPr="006E3F10" w:rsidRDefault="006E3F10" w:rsidP="00995F69">
            <w:pPr>
              <w:pStyle w:val="TableCopy"/>
              <w:rPr>
                <w:lang w:val="en-GB"/>
              </w:rPr>
            </w:pPr>
            <w:r w:rsidRPr="006E3F10">
              <w:rPr>
                <w:lang w:val="en-GB"/>
              </w:rPr>
              <w:t>69,000</w:t>
            </w:r>
          </w:p>
        </w:tc>
      </w:tr>
      <w:tr w:rsidR="006E3F10" w:rsidRPr="006E3F10" w14:paraId="6E5938EA" w14:textId="77777777" w:rsidTr="00FF0745">
        <w:trPr>
          <w:cantSplit/>
        </w:trPr>
        <w:tc>
          <w:tcPr>
            <w:tcW w:w="0" w:type="auto"/>
            <w:hideMark/>
          </w:tcPr>
          <w:p w14:paraId="6BB79F4E" w14:textId="77777777" w:rsidR="006E3F10" w:rsidRPr="006E3F10" w:rsidRDefault="006E3F10" w:rsidP="00995F69">
            <w:pPr>
              <w:pStyle w:val="TableCopy"/>
              <w:rPr>
                <w:lang w:val="en-GB"/>
              </w:rPr>
            </w:pPr>
            <w:r w:rsidRPr="006E3F10">
              <w:rPr>
                <w:lang w:val="en-GB"/>
              </w:rPr>
              <w:t>Trust Account</w:t>
            </w:r>
          </w:p>
        </w:tc>
        <w:tc>
          <w:tcPr>
            <w:tcW w:w="0" w:type="auto"/>
            <w:hideMark/>
          </w:tcPr>
          <w:p w14:paraId="7E6771D0" w14:textId="77777777" w:rsidR="006E3F10" w:rsidRPr="006E3F10" w:rsidRDefault="006E3F10" w:rsidP="00995F69">
            <w:pPr>
              <w:pStyle w:val="TableCopy"/>
              <w:rPr>
                <w:lang w:val="en-GB"/>
              </w:rPr>
            </w:pPr>
            <w:r w:rsidRPr="006E3F10">
              <w:rPr>
                <w:lang w:val="en-GB"/>
              </w:rPr>
              <w:t>560,240</w:t>
            </w:r>
          </w:p>
        </w:tc>
        <w:tc>
          <w:tcPr>
            <w:tcW w:w="0" w:type="auto"/>
            <w:hideMark/>
          </w:tcPr>
          <w:p w14:paraId="618629C7" w14:textId="77777777" w:rsidR="006E3F10" w:rsidRPr="006E3F10" w:rsidRDefault="006E3F10" w:rsidP="00995F69">
            <w:pPr>
              <w:pStyle w:val="TableCopy"/>
              <w:rPr>
                <w:lang w:val="en-GB"/>
              </w:rPr>
            </w:pPr>
            <w:r w:rsidRPr="006E3F10">
              <w:rPr>
                <w:lang w:val="en-GB"/>
              </w:rPr>
              <w:t>30,000</w:t>
            </w:r>
          </w:p>
        </w:tc>
        <w:tc>
          <w:tcPr>
            <w:tcW w:w="0" w:type="auto"/>
            <w:hideMark/>
          </w:tcPr>
          <w:p w14:paraId="72FDA2D0" w14:textId="77777777" w:rsidR="006E3F10" w:rsidRPr="006E3F10" w:rsidRDefault="006E3F10" w:rsidP="00995F69">
            <w:pPr>
              <w:pStyle w:val="TableCopy"/>
              <w:rPr>
                <w:lang w:val="en-GB"/>
              </w:rPr>
            </w:pPr>
            <w:r w:rsidRPr="006E3F10">
              <w:rPr>
                <w:lang w:val="en-GB"/>
              </w:rPr>
              <w:t>-</w:t>
            </w:r>
          </w:p>
        </w:tc>
        <w:tc>
          <w:tcPr>
            <w:tcW w:w="0" w:type="auto"/>
            <w:hideMark/>
          </w:tcPr>
          <w:p w14:paraId="075BF882" w14:textId="77777777" w:rsidR="006E3F10" w:rsidRPr="006E3F10" w:rsidRDefault="006E3F10" w:rsidP="00995F69">
            <w:pPr>
              <w:pStyle w:val="TableCopy"/>
              <w:rPr>
                <w:lang w:val="en-GB"/>
              </w:rPr>
            </w:pPr>
            <w:r w:rsidRPr="006E3F10">
              <w:rPr>
                <w:lang w:val="en-GB"/>
              </w:rPr>
              <w:t>30,000</w:t>
            </w:r>
          </w:p>
        </w:tc>
      </w:tr>
    </w:tbl>
    <w:p w14:paraId="64CFD878" w14:textId="7CCB648C" w:rsidR="006E3F10" w:rsidRPr="006E3F10" w:rsidRDefault="006E3F10" w:rsidP="006E3F10">
      <w:pPr>
        <w:rPr>
          <w:lang w:val="en-GB"/>
        </w:rPr>
      </w:pPr>
      <w:r w:rsidRPr="006E3F10">
        <w:rPr>
          <w:lang w:val="en-GB"/>
        </w:rPr>
        <w:t xml:space="preserve">The ICT expenditure reflected in the above table refers to VPSC’s costs </w:t>
      </w:r>
      <w:r w:rsidR="008B2DC9">
        <w:rPr>
          <w:lang w:val="en-GB"/>
        </w:rPr>
        <w:t xml:space="preserve">in providing business enabling </w:t>
      </w:r>
      <w:r w:rsidRPr="006E3F10">
        <w:rPr>
          <w:lang w:val="en-GB"/>
        </w:rPr>
        <w:t>ICT services within the current reporting period.</w:t>
      </w:r>
    </w:p>
    <w:p w14:paraId="14B057A0" w14:textId="77777777" w:rsidR="006E3F10" w:rsidRPr="006E3F10" w:rsidRDefault="006E3F10" w:rsidP="008B2DC9">
      <w:pPr>
        <w:pStyle w:val="Heading2"/>
        <w:rPr>
          <w:lang w:val="en-GB"/>
        </w:rPr>
      </w:pPr>
      <w:bookmarkStart w:id="60" w:name="_Toc494111988"/>
      <w:r w:rsidRPr="006E3F10">
        <w:rPr>
          <w:lang w:val="en-GB"/>
        </w:rPr>
        <w:t>Environmental Reporting</w:t>
      </w:r>
      <w:bookmarkEnd w:id="60"/>
    </w:p>
    <w:p w14:paraId="4C1E5B68" w14:textId="77777777" w:rsidR="006E3F10" w:rsidRPr="006E3F10" w:rsidRDefault="006E3F10" w:rsidP="006E3F10">
      <w:pPr>
        <w:rPr>
          <w:lang w:val="en-GB"/>
        </w:rPr>
      </w:pPr>
      <w:r w:rsidRPr="006E3F10">
        <w:rPr>
          <w:lang w:val="en-GB"/>
        </w:rPr>
        <w:t>The environmental report has been prepared in accordance with the Financial Reporting Directions issued by the Minister for Finance. Office-based environmental impact data is based on information provided by Cushman and Wakefield.</w:t>
      </w:r>
    </w:p>
    <w:p w14:paraId="43A58D28" w14:textId="69EFEA32" w:rsidR="006E3F10" w:rsidRPr="006E3F10" w:rsidRDefault="006E3F10" w:rsidP="00B926F8">
      <w:pPr>
        <w:pStyle w:val="Heading3"/>
        <w:rPr>
          <w:lang w:val="en-GB"/>
        </w:rPr>
      </w:pPr>
      <w:bookmarkStart w:id="61" w:name="_Toc494111989"/>
      <w:r w:rsidRPr="006E3F10">
        <w:rPr>
          <w:lang w:val="en-GB"/>
        </w:rPr>
        <w:t>Reporting of office-based environment impacts based on i</w:t>
      </w:r>
      <w:r w:rsidR="00535881">
        <w:rPr>
          <w:lang w:val="en-GB"/>
        </w:rPr>
        <w:t xml:space="preserve">nformation provided by Cushman </w:t>
      </w:r>
      <w:r w:rsidRPr="006E3F10">
        <w:rPr>
          <w:lang w:val="en-GB"/>
        </w:rPr>
        <w:t>and Wakefield</w:t>
      </w:r>
      <w:bookmarkEnd w:id="61"/>
    </w:p>
    <w:tbl>
      <w:tblPr>
        <w:tblStyle w:val="TableGrid"/>
        <w:tblW w:w="10343" w:type="dxa"/>
        <w:tblLook w:val="04A0" w:firstRow="1" w:lastRow="0" w:firstColumn="1" w:lastColumn="0" w:noHBand="0" w:noVBand="1"/>
      </w:tblPr>
      <w:tblGrid>
        <w:gridCol w:w="6374"/>
        <w:gridCol w:w="1984"/>
        <w:gridCol w:w="1985"/>
      </w:tblGrid>
      <w:tr w:rsidR="00535881" w:rsidRPr="006E3F10" w14:paraId="01A5DD18" w14:textId="77777777" w:rsidTr="00CE6B5A">
        <w:trPr>
          <w:cantSplit/>
          <w:tblHeader/>
        </w:trPr>
        <w:tc>
          <w:tcPr>
            <w:tcW w:w="6374" w:type="dxa"/>
            <w:hideMark/>
          </w:tcPr>
          <w:p w14:paraId="41251258" w14:textId="77777777" w:rsidR="006E3F10" w:rsidRPr="006E3F10" w:rsidRDefault="006E3F10" w:rsidP="006E3F10">
            <w:pPr>
              <w:rPr>
                <w:lang w:val="en-GB"/>
              </w:rPr>
            </w:pPr>
          </w:p>
        </w:tc>
        <w:tc>
          <w:tcPr>
            <w:tcW w:w="1984" w:type="dxa"/>
            <w:hideMark/>
          </w:tcPr>
          <w:p w14:paraId="463D9981" w14:textId="77777777" w:rsidR="006E3F10" w:rsidRPr="006E3F10" w:rsidRDefault="006E3F10" w:rsidP="003B13DF">
            <w:pPr>
              <w:pStyle w:val="TableHeading"/>
              <w:rPr>
                <w:lang w:val="en-GB"/>
              </w:rPr>
            </w:pPr>
            <w:r w:rsidRPr="006E3F10">
              <w:rPr>
                <w:lang w:val="en-GB"/>
              </w:rPr>
              <w:t>2016-17</w:t>
            </w:r>
          </w:p>
        </w:tc>
        <w:tc>
          <w:tcPr>
            <w:tcW w:w="1985" w:type="dxa"/>
            <w:hideMark/>
          </w:tcPr>
          <w:p w14:paraId="4436B40B" w14:textId="77777777" w:rsidR="006E3F10" w:rsidRPr="006E3F10" w:rsidRDefault="006E3F10" w:rsidP="003B13DF">
            <w:pPr>
              <w:pStyle w:val="TableHeading"/>
              <w:rPr>
                <w:lang w:val="en-GB"/>
              </w:rPr>
            </w:pPr>
            <w:r w:rsidRPr="006E3F10">
              <w:rPr>
                <w:lang w:val="en-GB"/>
              </w:rPr>
              <w:t>2015-16</w:t>
            </w:r>
          </w:p>
        </w:tc>
      </w:tr>
      <w:tr w:rsidR="00EF4FCB" w:rsidRPr="006E3F10" w14:paraId="5A5A7F6A" w14:textId="77777777" w:rsidTr="00534FA1">
        <w:trPr>
          <w:cantSplit/>
        </w:trPr>
        <w:tc>
          <w:tcPr>
            <w:tcW w:w="10343" w:type="dxa"/>
            <w:gridSpan w:val="3"/>
            <w:hideMark/>
          </w:tcPr>
          <w:p w14:paraId="20F7B7FF" w14:textId="77F2B5A3" w:rsidR="00EF4FCB" w:rsidRPr="006E3F10" w:rsidRDefault="00EF4FCB" w:rsidP="003B13DF">
            <w:pPr>
              <w:pStyle w:val="TableHeading"/>
              <w:rPr>
                <w:lang w:val="en-GB"/>
              </w:rPr>
            </w:pPr>
            <w:r w:rsidRPr="006E3F10">
              <w:rPr>
                <w:lang w:val="en-GB"/>
              </w:rPr>
              <w:t>Energy</w:t>
            </w:r>
          </w:p>
        </w:tc>
      </w:tr>
      <w:tr w:rsidR="00535881" w:rsidRPr="006E3F10" w14:paraId="3CB2F7D3" w14:textId="77777777" w:rsidTr="00534FA1">
        <w:trPr>
          <w:cantSplit/>
        </w:trPr>
        <w:tc>
          <w:tcPr>
            <w:tcW w:w="6374" w:type="dxa"/>
            <w:hideMark/>
          </w:tcPr>
          <w:p w14:paraId="5CD6DC33" w14:textId="77777777" w:rsidR="006E3F10" w:rsidRPr="006E3F10" w:rsidRDefault="006E3F10" w:rsidP="003B13DF">
            <w:pPr>
              <w:pStyle w:val="TableCopy"/>
              <w:rPr>
                <w:lang w:val="en-GB"/>
              </w:rPr>
            </w:pPr>
            <w:r w:rsidRPr="006E3F10">
              <w:rPr>
                <w:lang w:val="en-GB"/>
              </w:rPr>
              <w:t>Total electricity usage (gigajoules)</w:t>
            </w:r>
          </w:p>
        </w:tc>
        <w:tc>
          <w:tcPr>
            <w:tcW w:w="1984" w:type="dxa"/>
            <w:hideMark/>
          </w:tcPr>
          <w:p w14:paraId="39CA7070" w14:textId="77777777" w:rsidR="006E3F10" w:rsidRPr="003B13DF" w:rsidRDefault="006E3F10" w:rsidP="003B13DF">
            <w:pPr>
              <w:pStyle w:val="TableCopy"/>
              <w:rPr>
                <w:b/>
                <w:lang w:val="en-GB"/>
              </w:rPr>
            </w:pPr>
            <w:r w:rsidRPr="003B13DF">
              <w:rPr>
                <w:b/>
                <w:lang w:val="en-GB"/>
              </w:rPr>
              <w:t>652</w:t>
            </w:r>
          </w:p>
        </w:tc>
        <w:tc>
          <w:tcPr>
            <w:tcW w:w="1985" w:type="dxa"/>
            <w:hideMark/>
          </w:tcPr>
          <w:p w14:paraId="26483F59" w14:textId="77777777" w:rsidR="006E3F10" w:rsidRPr="006E3F10" w:rsidRDefault="006E3F10" w:rsidP="003B13DF">
            <w:pPr>
              <w:pStyle w:val="TableCopy"/>
              <w:rPr>
                <w:lang w:val="en-GB"/>
              </w:rPr>
            </w:pPr>
            <w:r w:rsidRPr="006E3F10">
              <w:rPr>
                <w:lang w:val="en-GB"/>
              </w:rPr>
              <w:t>500</w:t>
            </w:r>
          </w:p>
        </w:tc>
      </w:tr>
      <w:tr w:rsidR="00535881" w:rsidRPr="006E3F10" w14:paraId="636A97EF" w14:textId="77777777" w:rsidTr="00534FA1">
        <w:trPr>
          <w:cantSplit/>
        </w:trPr>
        <w:tc>
          <w:tcPr>
            <w:tcW w:w="6374" w:type="dxa"/>
            <w:hideMark/>
          </w:tcPr>
          <w:p w14:paraId="38DA1FDC" w14:textId="77777777" w:rsidR="006E3F10" w:rsidRPr="006E3F10" w:rsidRDefault="006E3F10" w:rsidP="003B13DF">
            <w:pPr>
              <w:pStyle w:val="TableCopy"/>
              <w:rPr>
                <w:lang w:val="en-GB"/>
              </w:rPr>
            </w:pPr>
            <w:r w:rsidRPr="006E3F10">
              <w:rPr>
                <w:lang w:val="en-GB"/>
              </w:rPr>
              <w:t>Total green electricity (gigajoules)</w:t>
            </w:r>
          </w:p>
        </w:tc>
        <w:tc>
          <w:tcPr>
            <w:tcW w:w="1984" w:type="dxa"/>
            <w:hideMark/>
          </w:tcPr>
          <w:p w14:paraId="23051C55" w14:textId="77777777" w:rsidR="006E3F10" w:rsidRPr="003B13DF" w:rsidRDefault="006E3F10" w:rsidP="003B13DF">
            <w:pPr>
              <w:pStyle w:val="TableCopy"/>
              <w:rPr>
                <w:b/>
                <w:lang w:val="en-GB"/>
              </w:rPr>
            </w:pPr>
            <w:r w:rsidRPr="003B13DF">
              <w:rPr>
                <w:b/>
                <w:lang w:val="en-GB"/>
              </w:rPr>
              <w:t>0</w:t>
            </w:r>
          </w:p>
        </w:tc>
        <w:tc>
          <w:tcPr>
            <w:tcW w:w="1985" w:type="dxa"/>
            <w:hideMark/>
          </w:tcPr>
          <w:p w14:paraId="161CA174" w14:textId="77777777" w:rsidR="006E3F10" w:rsidRPr="006E3F10" w:rsidRDefault="006E3F10" w:rsidP="003B13DF">
            <w:pPr>
              <w:pStyle w:val="TableCopy"/>
              <w:rPr>
                <w:lang w:val="en-GB"/>
              </w:rPr>
            </w:pPr>
            <w:r w:rsidRPr="006E3F10">
              <w:rPr>
                <w:lang w:val="en-GB"/>
              </w:rPr>
              <w:t>0</w:t>
            </w:r>
          </w:p>
        </w:tc>
      </w:tr>
      <w:tr w:rsidR="00535881" w:rsidRPr="006E3F10" w14:paraId="74AF4EE3" w14:textId="77777777" w:rsidTr="00534FA1">
        <w:trPr>
          <w:cantSplit/>
        </w:trPr>
        <w:tc>
          <w:tcPr>
            <w:tcW w:w="6374" w:type="dxa"/>
            <w:hideMark/>
          </w:tcPr>
          <w:p w14:paraId="0B539FE4" w14:textId="77777777" w:rsidR="006E3F10" w:rsidRPr="006E3F10" w:rsidRDefault="006E3F10" w:rsidP="003B13DF">
            <w:pPr>
              <w:pStyle w:val="TableCopy"/>
              <w:rPr>
                <w:lang w:val="en-GB"/>
              </w:rPr>
            </w:pPr>
            <w:r w:rsidRPr="006E3F10">
              <w:rPr>
                <w:lang w:val="en-GB"/>
              </w:rPr>
              <w:t>Total gas usage (gigajoules)</w:t>
            </w:r>
          </w:p>
        </w:tc>
        <w:tc>
          <w:tcPr>
            <w:tcW w:w="1984" w:type="dxa"/>
            <w:hideMark/>
          </w:tcPr>
          <w:p w14:paraId="2229AF2B" w14:textId="77777777" w:rsidR="006E3F10" w:rsidRPr="003B13DF" w:rsidRDefault="006E3F10" w:rsidP="003B13DF">
            <w:pPr>
              <w:pStyle w:val="TableCopy"/>
              <w:rPr>
                <w:b/>
                <w:lang w:val="en-GB"/>
              </w:rPr>
            </w:pPr>
            <w:r w:rsidRPr="003B13DF">
              <w:rPr>
                <w:b/>
                <w:lang w:val="en-GB"/>
              </w:rPr>
              <w:t>0</w:t>
            </w:r>
          </w:p>
        </w:tc>
        <w:tc>
          <w:tcPr>
            <w:tcW w:w="1985" w:type="dxa"/>
            <w:hideMark/>
          </w:tcPr>
          <w:p w14:paraId="3431C715" w14:textId="77777777" w:rsidR="006E3F10" w:rsidRPr="006E3F10" w:rsidRDefault="006E3F10" w:rsidP="003B13DF">
            <w:pPr>
              <w:pStyle w:val="TableCopy"/>
              <w:rPr>
                <w:lang w:val="en-GB"/>
              </w:rPr>
            </w:pPr>
            <w:r w:rsidRPr="006E3F10">
              <w:rPr>
                <w:lang w:val="en-GB"/>
              </w:rPr>
              <w:t>0</w:t>
            </w:r>
          </w:p>
        </w:tc>
      </w:tr>
      <w:tr w:rsidR="00535881" w:rsidRPr="006E3F10" w14:paraId="2ABE6F54" w14:textId="77777777" w:rsidTr="00534FA1">
        <w:trPr>
          <w:cantSplit/>
        </w:trPr>
        <w:tc>
          <w:tcPr>
            <w:tcW w:w="6374" w:type="dxa"/>
            <w:hideMark/>
          </w:tcPr>
          <w:p w14:paraId="047247A4" w14:textId="77777777" w:rsidR="006E3F10" w:rsidRPr="006E3F10" w:rsidRDefault="006E3F10" w:rsidP="003B13DF">
            <w:pPr>
              <w:pStyle w:val="TableCopy"/>
              <w:rPr>
                <w:lang w:val="en-GB"/>
              </w:rPr>
            </w:pPr>
            <w:r w:rsidRPr="006E3F10">
              <w:rPr>
                <w:lang w:val="en-GB"/>
              </w:rPr>
              <w:t>Percentage of electricity purchased as Green Power (%)</w:t>
            </w:r>
          </w:p>
        </w:tc>
        <w:tc>
          <w:tcPr>
            <w:tcW w:w="1984" w:type="dxa"/>
            <w:hideMark/>
          </w:tcPr>
          <w:p w14:paraId="2F3304B8" w14:textId="77777777" w:rsidR="006E3F10" w:rsidRPr="003B13DF" w:rsidRDefault="006E3F10" w:rsidP="003B13DF">
            <w:pPr>
              <w:pStyle w:val="TableCopy"/>
              <w:rPr>
                <w:b/>
                <w:lang w:val="en-GB"/>
              </w:rPr>
            </w:pPr>
            <w:r w:rsidRPr="003B13DF">
              <w:rPr>
                <w:b/>
                <w:lang w:val="en-GB"/>
              </w:rPr>
              <w:t>0.00%</w:t>
            </w:r>
          </w:p>
        </w:tc>
        <w:tc>
          <w:tcPr>
            <w:tcW w:w="1985" w:type="dxa"/>
            <w:hideMark/>
          </w:tcPr>
          <w:p w14:paraId="5348CBC7" w14:textId="77777777" w:rsidR="006E3F10" w:rsidRPr="006E3F10" w:rsidRDefault="006E3F10" w:rsidP="003B13DF">
            <w:pPr>
              <w:pStyle w:val="TableCopy"/>
              <w:rPr>
                <w:lang w:val="en-GB"/>
              </w:rPr>
            </w:pPr>
            <w:r w:rsidRPr="006E3F10">
              <w:rPr>
                <w:lang w:val="en-GB"/>
              </w:rPr>
              <w:t>0.00%</w:t>
            </w:r>
          </w:p>
        </w:tc>
      </w:tr>
      <w:tr w:rsidR="00535881" w:rsidRPr="006E3F10" w14:paraId="3B53901F" w14:textId="77777777" w:rsidTr="00534FA1">
        <w:trPr>
          <w:cantSplit/>
        </w:trPr>
        <w:tc>
          <w:tcPr>
            <w:tcW w:w="6374" w:type="dxa"/>
            <w:hideMark/>
          </w:tcPr>
          <w:p w14:paraId="66C1C1C7" w14:textId="2F962F8A" w:rsidR="006E3F10" w:rsidRPr="006E3F10" w:rsidRDefault="006E3F10" w:rsidP="003B13DF">
            <w:pPr>
              <w:pStyle w:val="TableCopy"/>
              <w:rPr>
                <w:lang w:val="en-GB"/>
              </w:rPr>
            </w:pPr>
            <w:r w:rsidRPr="006E3F10">
              <w:rPr>
                <w:lang w:val="en-GB"/>
              </w:rPr>
              <w:t>Units of ener</w:t>
            </w:r>
            <w:r w:rsidR="00EF4FCB">
              <w:rPr>
                <w:lang w:val="en-GB"/>
              </w:rPr>
              <w:t xml:space="preserve">gy used per Full Time Employee </w:t>
            </w:r>
            <w:r w:rsidRPr="006E3F10">
              <w:rPr>
                <w:lang w:val="en-GB"/>
              </w:rPr>
              <w:t>(megajoules per FTE)</w:t>
            </w:r>
          </w:p>
        </w:tc>
        <w:tc>
          <w:tcPr>
            <w:tcW w:w="1984" w:type="dxa"/>
            <w:hideMark/>
          </w:tcPr>
          <w:p w14:paraId="3233EE73" w14:textId="77777777" w:rsidR="006E3F10" w:rsidRPr="003B13DF" w:rsidRDefault="006E3F10" w:rsidP="003B13DF">
            <w:pPr>
              <w:pStyle w:val="TableCopy"/>
              <w:rPr>
                <w:b/>
                <w:lang w:val="en-GB"/>
              </w:rPr>
            </w:pPr>
            <w:r w:rsidRPr="003B13DF">
              <w:rPr>
                <w:b/>
                <w:lang w:val="en-GB"/>
              </w:rPr>
              <w:t>9616</w:t>
            </w:r>
          </w:p>
        </w:tc>
        <w:tc>
          <w:tcPr>
            <w:tcW w:w="1985" w:type="dxa"/>
            <w:hideMark/>
          </w:tcPr>
          <w:p w14:paraId="0D4F6E9F" w14:textId="77777777" w:rsidR="006E3F10" w:rsidRPr="006E3F10" w:rsidRDefault="006E3F10" w:rsidP="003B13DF">
            <w:pPr>
              <w:pStyle w:val="TableCopy"/>
              <w:rPr>
                <w:lang w:val="en-GB"/>
              </w:rPr>
            </w:pPr>
            <w:r w:rsidRPr="006E3F10">
              <w:rPr>
                <w:lang w:val="en-GB"/>
              </w:rPr>
              <w:t>10726</w:t>
            </w:r>
          </w:p>
        </w:tc>
      </w:tr>
      <w:tr w:rsidR="00535881" w:rsidRPr="006E3F10" w14:paraId="2B55197D" w14:textId="77777777" w:rsidTr="00534FA1">
        <w:trPr>
          <w:cantSplit/>
        </w:trPr>
        <w:tc>
          <w:tcPr>
            <w:tcW w:w="6374" w:type="dxa"/>
            <w:hideMark/>
          </w:tcPr>
          <w:p w14:paraId="0FCCBE3F" w14:textId="77777777" w:rsidR="006E3F10" w:rsidRPr="006E3F10" w:rsidRDefault="006E3F10" w:rsidP="003B13DF">
            <w:pPr>
              <w:pStyle w:val="TableCopy"/>
              <w:rPr>
                <w:lang w:val="en-GB"/>
              </w:rPr>
            </w:pPr>
            <w:r w:rsidRPr="006E3F10">
              <w:rPr>
                <w:lang w:val="en-GB"/>
              </w:rPr>
              <w:t>Units of energy used per unit office area (megajoules per m</w:t>
            </w:r>
            <w:r w:rsidRPr="006E3F10">
              <w:rPr>
                <w:vertAlign w:val="superscript"/>
                <w:lang w:val="en-GB"/>
              </w:rPr>
              <w:t>2</w:t>
            </w:r>
            <w:r w:rsidRPr="006E3F10">
              <w:rPr>
                <w:lang w:val="en-GB"/>
              </w:rPr>
              <w:t>)</w:t>
            </w:r>
          </w:p>
        </w:tc>
        <w:tc>
          <w:tcPr>
            <w:tcW w:w="1984" w:type="dxa"/>
            <w:hideMark/>
          </w:tcPr>
          <w:p w14:paraId="3CAB2737" w14:textId="77777777" w:rsidR="006E3F10" w:rsidRPr="003B13DF" w:rsidRDefault="006E3F10" w:rsidP="003B13DF">
            <w:pPr>
              <w:pStyle w:val="TableCopy"/>
              <w:rPr>
                <w:b/>
                <w:lang w:val="en-GB"/>
              </w:rPr>
            </w:pPr>
            <w:r w:rsidRPr="003B13DF">
              <w:rPr>
                <w:b/>
                <w:lang w:val="en-GB"/>
              </w:rPr>
              <w:t>634</w:t>
            </w:r>
          </w:p>
        </w:tc>
        <w:tc>
          <w:tcPr>
            <w:tcW w:w="1985" w:type="dxa"/>
            <w:hideMark/>
          </w:tcPr>
          <w:p w14:paraId="0D0C48E4" w14:textId="77777777" w:rsidR="006E3F10" w:rsidRPr="006E3F10" w:rsidRDefault="006E3F10" w:rsidP="003B13DF">
            <w:pPr>
              <w:pStyle w:val="TableCopy"/>
              <w:rPr>
                <w:lang w:val="en-GB"/>
              </w:rPr>
            </w:pPr>
            <w:r w:rsidRPr="006E3F10">
              <w:rPr>
                <w:lang w:val="en-GB"/>
              </w:rPr>
              <w:t>613</w:t>
            </w:r>
          </w:p>
        </w:tc>
      </w:tr>
      <w:tr w:rsidR="00EF4FCB" w:rsidRPr="006E3F10" w14:paraId="17E214B7" w14:textId="77777777" w:rsidTr="00534FA1">
        <w:trPr>
          <w:cantSplit/>
        </w:trPr>
        <w:tc>
          <w:tcPr>
            <w:tcW w:w="10343" w:type="dxa"/>
            <w:gridSpan w:val="3"/>
            <w:hideMark/>
          </w:tcPr>
          <w:p w14:paraId="425D7F1B" w14:textId="727E586B" w:rsidR="00EF4FCB" w:rsidRPr="006E3F10" w:rsidRDefault="00EF4FCB" w:rsidP="003B13DF">
            <w:pPr>
              <w:pStyle w:val="TableHeading"/>
              <w:rPr>
                <w:lang w:val="en-GB"/>
              </w:rPr>
            </w:pPr>
            <w:r w:rsidRPr="006E3F10">
              <w:rPr>
                <w:lang w:val="en-GB"/>
              </w:rPr>
              <w:t>Paper</w:t>
            </w:r>
          </w:p>
        </w:tc>
      </w:tr>
      <w:tr w:rsidR="00535881" w:rsidRPr="006E3F10" w14:paraId="343F9AA2" w14:textId="77777777" w:rsidTr="00534FA1">
        <w:trPr>
          <w:cantSplit/>
        </w:trPr>
        <w:tc>
          <w:tcPr>
            <w:tcW w:w="6374" w:type="dxa"/>
            <w:hideMark/>
          </w:tcPr>
          <w:p w14:paraId="57416527" w14:textId="77777777" w:rsidR="006E3F10" w:rsidRPr="006E3F10" w:rsidRDefault="006E3F10" w:rsidP="003B13DF">
            <w:pPr>
              <w:pStyle w:val="TableCopy"/>
              <w:rPr>
                <w:lang w:val="en-GB"/>
              </w:rPr>
            </w:pPr>
            <w:r w:rsidRPr="006E3F10">
              <w:rPr>
                <w:lang w:val="en-GB"/>
              </w:rPr>
              <w:t>Total units of paper used (A4 reams equivalent)</w:t>
            </w:r>
          </w:p>
        </w:tc>
        <w:tc>
          <w:tcPr>
            <w:tcW w:w="1984" w:type="dxa"/>
            <w:hideMark/>
          </w:tcPr>
          <w:p w14:paraId="02D27D9C" w14:textId="77777777" w:rsidR="006E3F10" w:rsidRPr="003B13DF" w:rsidRDefault="006E3F10" w:rsidP="003B13DF">
            <w:pPr>
              <w:pStyle w:val="TableCopy"/>
              <w:rPr>
                <w:b/>
                <w:lang w:val="en-GB"/>
              </w:rPr>
            </w:pPr>
            <w:r w:rsidRPr="003B13DF">
              <w:rPr>
                <w:b/>
                <w:lang w:val="en-GB"/>
              </w:rPr>
              <w:t>770</w:t>
            </w:r>
          </w:p>
        </w:tc>
        <w:tc>
          <w:tcPr>
            <w:tcW w:w="1985" w:type="dxa"/>
            <w:hideMark/>
          </w:tcPr>
          <w:p w14:paraId="6029877C" w14:textId="77777777" w:rsidR="006E3F10" w:rsidRPr="006E3F10" w:rsidRDefault="006E3F10" w:rsidP="003B13DF">
            <w:pPr>
              <w:pStyle w:val="TableCopy"/>
              <w:rPr>
                <w:lang w:val="en-GB"/>
              </w:rPr>
            </w:pPr>
            <w:r w:rsidRPr="006E3F10">
              <w:rPr>
                <w:lang w:val="en-GB"/>
              </w:rPr>
              <w:t>410</w:t>
            </w:r>
          </w:p>
        </w:tc>
      </w:tr>
      <w:tr w:rsidR="00535881" w:rsidRPr="006E3F10" w14:paraId="0D24F887" w14:textId="77777777" w:rsidTr="00534FA1">
        <w:trPr>
          <w:cantSplit/>
        </w:trPr>
        <w:tc>
          <w:tcPr>
            <w:tcW w:w="6374" w:type="dxa"/>
            <w:hideMark/>
          </w:tcPr>
          <w:p w14:paraId="071C09A1" w14:textId="77777777" w:rsidR="006E3F10" w:rsidRPr="006E3F10" w:rsidRDefault="006E3F10" w:rsidP="003B13DF">
            <w:pPr>
              <w:pStyle w:val="TableCopy"/>
              <w:rPr>
                <w:lang w:val="en-GB"/>
              </w:rPr>
            </w:pPr>
            <w:r w:rsidRPr="006E3F10">
              <w:rPr>
                <w:lang w:val="en-GB"/>
              </w:rPr>
              <w:t>Reams of paper used per FTE</w:t>
            </w:r>
          </w:p>
        </w:tc>
        <w:tc>
          <w:tcPr>
            <w:tcW w:w="1984" w:type="dxa"/>
            <w:hideMark/>
          </w:tcPr>
          <w:p w14:paraId="59AA119F" w14:textId="77777777" w:rsidR="006E3F10" w:rsidRPr="003B13DF" w:rsidRDefault="006E3F10" w:rsidP="003B13DF">
            <w:pPr>
              <w:pStyle w:val="TableCopy"/>
              <w:rPr>
                <w:b/>
                <w:lang w:val="en-GB"/>
              </w:rPr>
            </w:pPr>
            <w:r w:rsidRPr="003B13DF">
              <w:rPr>
                <w:b/>
                <w:lang w:val="en-GB"/>
              </w:rPr>
              <w:t>11.35</w:t>
            </w:r>
          </w:p>
        </w:tc>
        <w:tc>
          <w:tcPr>
            <w:tcW w:w="1985" w:type="dxa"/>
            <w:hideMark/>
          </w:tcPr>
          <w:p w14:paraId="6C72DA13" w14:textId="77777777" w:rsidR="006E3F10" w:rsidRPr="006E3F10" w:rsidRDefault="006E3F10" w:rsidP="003B13DF">
            <w:pPr>
              <w:pStyle w:val="TableCopy"/>
              <w:rPr>
                <w:lang w:val="en-GB"/>
              </w:rPr>
            </w:pPr>
            <w:r w:rsidRPr="006E3F10">
              <w:rPr>
                <w:lang w:val="en-GB"/>
              </w:rPr>
              <w:t>8.6</w:t>
            </w:r>
          </w:p>
        </w:tc>
      </w:tr>
      <w:tr w:rsidR="00535881" w:rsidRPr="006E3F10" w14:paraId="5365E982" w14:textId="77777777" w:rsidTr="00534FA1">
        <w:trPr>
          <w:cantSplit/>
        </w:trPr>
        <w:tc>
          <w:tcPr>
            <w:tcW w:w="6374" w:type="dxa"/>
            <w:hideMark/>
          </w:tcPr>
          <w:p w14:paraId="5E5EFCA0" w14:textId="77777777" w:rsidR="006E3F10" w:rsidRPr="006E3F10" w:rsidRDefault="006E3F10" w:rsidP="003B13DF">
            <w:pPr>
              <w:pStyle w:val="TableCopy"/>
              <w:rPr>
                <w:lang w:val="en-GB"/>
              </w:rPr>
            </w:pPr>
            <w:r w:rsidRPr="006E3F10">
              <w:rPr>
                <w:lang w:val="en-GB"/>
              </w:rPr>
              <w:t>Percentage of recycled content paper purchased (%)</w:t>
            </w:r>
          </w:p>
        </w:tc>
        <w:tc>
          <w:tcPr>
            <w:tcW w:w="1984" w:type="dxa"/>
            <w:hideMark/>
          </w:tcPr>
          <w:p w14:paraId="7D0E7F0E" w14:textId="77777777" w:rsidR="006E3F10" w:rsidRPr="003B13DF" w:rsidRDefault="006E3F10" w:rsidP="003B13DF">
            <w:pPr>
              <w:pStyle w:val="TableCopy"/>
              <w:rPr>
                <w:b/>
                <w:lang w:val="en-GB"/>
              </w:rPr>
            </w:pPr>
            <w:r w:rsidRPr="003B13DF">
              <w:rPr>
                <w:b/>
                <w:lang w:val="en-GB"/>
              </w:rPr>
              <w:t>80%</w:t>
            </w:r>
          </w:p>
        </w:tc>
        <w:tc>
          <w:tcPr>
            <w:tcW w:w="1985" w:type="dxa"/>
            <w:hideMark/>
          </w:tcPr>
          <w:p w14:paraId="302D42BC" w14:textId="77777777" w:rsidR="006E3F10" w:rsidRPr="006E3F10" w:rsidRDefault="006E3F10" w:rsidP="003B13DF">
            <w:pPr>
              <w:pStyle w:val="TableCopy"/>
              <w:rPr>
                <w:lang w:val="en-GB"/>
              </w:rPr>
            </w:pPr>
            <w:r w:rsidRPr="006E3F10">
              <w:rPr>
                <w:lang w:val="en-GB"/>
              </w:rPr>
              <w:t>80%</w:t>
            </w:r>
          </w:p>
        </w:tc>
      </w:tr>
      <w:tr w:rsidR="00EF4FCB" w:rsidRPr="006E3F10" w14:paraId="4CCA6ED6" w14:textId="77777777" w:rsidTr="00534FA1">
        <w:trPr>
          <w:cantSplit/>
        </w:trPr>
        <w:tc>
          <w:tcPr>
            <w:tcW w:w="10343" w:type="dxa"/>
            <w:gridSpan w:val="3"/>
            <w:hideMark/>
          </w:tcPr>
          <w:p w14:paraId="0418F70D" w14:textId="4B855578" w:rsidR="00EF4FCB" w:rsidRPr="006E3F10" w:rsidRDefault="00EF4FCB" w:rsidP="003B13DF">
            <w:pPr>
              <w:pStyle w:val="TableHeading"/>
              <w:rPr>
                <w:lang w:val="en-GB"/>
              </w:rPr>
            </w:pPr>
            <w:r w:rsidRPr="006E3F10">
              <w:rPr>
                <w:lang w:val="en-GB"/>
              </w:rPr>
              <w:t>Water</w:t>
            </w:r>
          </w:p>
        </w:tc>
      </w:tr>
      <w:tr w:rsidR="00535881" w:rsidRPr="006E3F10" w14:paraId="7CE24BA3" w14:textId="77777777" w:rsidTr="00534FA1">
        <w:trPr>
          <w:cantSplit/>
        </w:trPr>
        <w:tc>
          <w:tcPr>
            <w:tcW w:w="6374" w:type="dxa"/>
            <w:hideMark/>
          </w:tcPr>
          <w:p w14:paraId="0D0ADBAA" w14:textId="77777777" w:rsidR="006E3F10" w:rsidRPr="006E3F10" w:rsidRDefault="006E3F10" w:rsidP="003B13DF">
            <w:pPr>
              <w:pStyle w:val="TableCopy"/>
              <w:rPr>
                <w:lang w:val="en-GB"/>
              </w:rPr>
            </w:pPr>
            <w:r w:rsidRPr="006E3F10">
              <w:rPr>
                <w:lang w:val="en-GB"/>
              </w:rPr>
              <w:t>Total units of metered water consumed (kilolitres) </w:t>
            </w:r>
          </w:p>
        </w:tc>
        <w:tc>
          <w:tcPr>
            <w:tcW w:w="1984" w:type="dxa"/>
            <w:hideMark/>
          </w:tcPr>
          <w:p w14:paraId="7499CD04" w14:textId="77777777" w:rsidR="006E3F10" w:rsidRPr="003B13DF" w:rsidRDefault="006E3F10" w:rsidP="003B13DF">
            <w:pPr>
              <w:pStyle w:val="TableCopy"/>
              <w:rPr>
                <w:b/>
                <w:lang w:val="en-GB"/>
              </w:rPr>
            </w:pPr>
            <w:r w:rsidRPr="003B13DF">
              <w:rPr>
                <w:b/>
                <w:lang w:val="en-GB"/>
              </w:rPr>
              <w:t>29204</w:t>
            </w:r>
          </w:p>
        </w:tc>
        <w:tc>
          <w:tcPr>
            <w:tcW w:w="1985" w:type="dxa"/>
            <w:hideMark/>
          </w:tcPr>
          <w:p w14:paraId="4B5AFE80" w14:textId="77777777" w:rsidR="006E3F10" w:rsidRPr="006E3F10" w:rsidRDefault="006E3F10" w:rsidP="003B13DF">
            <w:pPr>
              <w:pStyle w:val="TableCopy"/>
              <w:rPr>
                <w:lang w:val="en-GB"/>
              </w:rPr>
            </w:pPr>
            <w:r w:rsidRPr="006E3F10">
              <w:rPr>
                <w:lang w:val="en-GB"/>
              </w:rPr>
              <w:t>18542</w:t>
            </w:r>
          </w:p>
        </w:tc>
      </w:tr>
      <w:tr w:rsidR="00535881" w:rsidRPr="006E3F10" w14:paraId="2EE9CF39" w14:textId="77777777" w:rsidTr="00534FA1">
        <w:trPr>
          <w:cantSplit/>
        </w:trPr>
        <w:tc>
          <w:tcPr>
            <w:tcW w:w="6374" w:type="dxa"/>
            <w:hideMark/>
          </w:tcPr>
          <w:p w14:paraId="107CB5F0" w14:textId="77777777" w:rsidR="006E3F10" w:rsidRPr="006E3F10" w:rsidRDefault="006E3F10" w:rsidP="003B13DF">
            <w:pPr>
              <w:pStyle w:val="TableCopy"/>
              <w:rPr>
                <w:lang w:val="en-GB"/>
              </w:rPr>
            </w:pPr>
            <w:r w:rsidRPr="006E3F10">
              <w:rPr>
                <w:lang w:val="en-GB"/>
              </w:rPr>
              <w:t>Units of metered water consumed per FTE (kilolitres/FTE)</w:t>
            </w:r>
          </w:p>
        </w:tc>
        <w:tc>
          <w:tcPr>
            <w:tcW w:w="1984" w:type="dxa"/>
            <w:hideMark/>
          </w:tcPr>
          <w:p w14:paraId="1B5C6645" w14:textId="77777777" w:rsidR="006E3F10" w:rsidRPr="003B13DF" w:rsidRDefault="006E3F10" w:rsidP="003B13DF">
            <w:pPr>
              <w:pStyle w:val="TableCopy"/>
              <w:rPr>
                <w:b/>
                <w:lang w:val="en-GB"/>
              </w:rPr>
            </w:pPr>
            <w:r w:rsidRPr="003B13DF">
              <w:rPr>
                <w:b/>
                <w:lang w:val="en-GB"/>
              </w:rPr>
              <w:t>430</w:t>
            </w:r>
          </w:p>
        </w:tc>
        <w:tc>
          <w:tcPr>
            <w:tcW w:w="1985" w:type="dxa"/>
            <w:hideMark/>
          </w:tcPr>
          <w:p w14:paraId="42CC33BE" w14:textId="77777777" w:rsidR="006E3F10" w:rsidRPr="006E3F10" w:rsidRDefault="006E3F10" w:rsidP="003B13DF">
            <w:pPr>
              <w:pStyle w:val="TableCopy"/>
              <w:rPr>
                <w:lang w:val="en-GB"/>
              </w:rPr>
            </w:pPr>
            <w:r w:rsidRPr="006E3F10">
              <w:rPr>
                <w:lang w:val="en-GB"/>
              </w:rPr>
              <w:t>386</w:t>
            </w:r>
          </w:p>
        </w:tc>
      </w:tr>
      <w:tr w:rsidR="00535881" w:rsidRPr="006E3F10" w14:paraId="38CFA0BB" w14:textId="77777777" w:rsidTr="00534FA1">
        <w:trPr>
          <w:cantSplit/>
        </w:trPr>
        <w:tc>
          <w:tcPr>
            <w:tcW w:w="6374" w:type="dxa"/>
            <w:hideMark/>
          </w:tcPr>
          <w:p w14:paraId="5ABF9752" w14:textId="3EBA779F" w:rsidR="006E3F10" w:rsidRPr="006E3F10" w:rsidRDefault="006E3F10" w:rsidP="003B13DF">
            <w:pPr>
              <w:pStyle w:val="TableCopy"/>
              <w:rPr>
                <w:lang w:val="en-GB"/>
              </w:rPr>
            </w:pPr>
            <w:r w:rsidRPr="006E3F10">
              <w:rPr>
                <w:lang w:val="en-GB"/>
              </w:rPr>
              <w:t>Units of measured wate</w:t>
            </w:r>
            <w:r w:rsidR="00EF4FCB">
              <w:rPr>
                <w:lang w:val="en-GB"/>
              </w:rPr>
              <w:t xml:space="preserve">r consumed in offices per unit </w:t>
            </w:r>
            <w:r w:rsidRPr="006E3F10">
              <w:rPr>
                <w:lang w:val="en-GB"/>
              </w:rPr>
              <w:t>of office area (kilolitres/m</w:t>
            </w:r>
            <w:r w:rsidRPr="006E3F10">
              <w:rPr>
                <w:vertAlign w:val="superscript"/>
                <w:lang w:val="en-GB"/>
              </w:rPr>
              <w:t>2</w:t>
            </w:r>
            <w:r w:rsidRPr="006E3F10">
              <w:rPr>
                <w:lang w:val="en-GB"/>
              </w:rPr>
              <w:t>)</w:t>
            </w:r>
          </w:p>
        </w:tc>
        <w:tc>
          <w:tcPr>
            <w:tcW w:w="1984" w:type="dxa"/>
            <w:hideMark/>
          </w:tcPr>
          <w:p w14:paraId="031D07EC" w14:textId="77777777" w:rsidR="006E3F10" w:rsidRPr="003B13DF" w:rsidRDefault="006E3F10" w:rsidP="003B13DF">
            <w:pPr>
              <w:pStyle w:val="TableCopy"/>
              <w:rPr>
                <w:b/>
                <w:lang w:val="en-GB"/>
              </w:rPr>
            </w:pPr>
            <w:r w:rsidRPr="003B13DF">
              <w:rPr>
                <w:b/>
                <w:lang w:val="en-GB"/>
              </w:rPr>
              <w:t>28</w:t>
            </w:r>
          </w:p>
        </w:tc>
        <w:tc>
          <w:tcPr>
            <w:tcW w:w="1985" w:type="dxa"/>
            <w:hideMark/>
          </w:tcPr>
          <w:p w14:paraId="0BC5A821" w14:textId="77777777" w:rsidR="006E3F10" w:rsidRPr="006E3F10" w:rsidRDefault="006E3F10" w:rsidP="003B13DF">
            <w:pPr>
              <w:pStyle w:val="TableCopy"/>
              <w:rPr>
                <w:lang w:val="en-GB"/>
              </w:rPr>
            </w:pPr>
            <w:r w:rsidRPr="006E3F10">
              <w:rPr>
                <w:lang w:val="en-GB"/>
              </w:rPr>
              <w:t>22</w:t>
            </w:r>
          </w:p>
        </w:tc>
      </w:tr>
    </w:tbl>
    <w:p w14:paraId="1055ECE2" w14:textId="77777777" w:rsidR="006E3F10" w:rsidRPr="006E3F10" w:rsidRDefault="006E3F10" w:rsidP="006E3F10">
      <w:pPr>
        <w:rPr>
          <w:lang w:val="en-GB"/>
        </w:rPr>
      </w:pPr>
    </w:p>
    <w:tbl>
      <w:tblPr>
        <w:tblStyle w:val="TableGrid"/>
        <w:tblW w:w="0" w:type="auto"/>
        <w:tblLook w:val="04A0" w:firstRow="1" w:lastRow="0" w:firstColumn="1" w:lastColumn="0" w:noHBand="0" w:noVBand="1"/>
      </w:tblPr>
      <w:tblGrid>
        <w:gridCol w:w="1292"/>
        <w:gridCol w:w="1293"/>
        <w:gridCol w:w="1293"/>
        <w:gridCol w:w="1293"/>
        <w:gridCol w:w="1293"/>
        <w:gridCol w:w="1293"/>
        <w:gridCol w:w="1293"/>
        <w:gridCol w:w="1293"/>
      </w:tblGrid>
      <w:tr w:rsidR="00B721AA" w:rsidRPr="006E3F10" w14:paraId="6B333E77" w14:textId="77777777" w:rsidTr="00A212E5">
        <w:trPr>
          <w:cantSplit/>
          <w:tblHeader/>
        </w:trPr>
        <w:tc>
          <w:tcPr>
            <w:tcW w:w="10343" w:type="dxa"/>
            <w:gridSpan w:val="8"/>
          </w:tcPr>
          <w:p w14:paraId="72BA2BE7" w14:textId="63EC1935" w:rsidR="00B721AA" w:rsidRPr="006E3F10" w:rsidRDefault="00B721AA" w:rsidP="003738E7">
            <w:pPr>
              <w:pStyle w:val="TableHeading"/>
              <w:rPr>
                <w:lang w:val="en-GB"/>
              </w:rPr>
            </w:pPr>
            <w:r>
              <w:rPr>
                <w:lang w:val="en-GB"/>
              </w:rPr>
              <w:t>Waste</w:t>
            </w:r>
          </w:p>
        </w:tc>
      </w:tr>
      <w:tr w:rsidR="003738E7" w:rsidRPr="006E3F10" w14:paraId="14C18824" w14:textId="77777777" w:rsidTr="00A212E5">
        <w:trPr>
          <w:cantSplit/>
          <w:tblHeader/>
        </w:trPr>
        <w:tc>
          <w:tcPr>
            <w:tcW w:w="1292" w:type="dxa"/>
            <w:vMerge w:val="restart"/>
          </w:tcPr>
          <w:p w14:paraId="6DDBDA53" w14:textId="77777777" w:rsidR="003738E7" w:rsidRPr="006E3F10" w:rsidRDefault="003738E7" w:rsidP="003738E7">
            <w:pPr>
              <w:pStyle w:val="TableHeading"/>
              <w:rPr>
                <w:lang w:val="en-GB"/>
              </w:rPr>
            </w:pPr>
          </w:p>
        </w:tc>
        <w:tc>
          <w:tcPr>
            <w:tcW w:w="2586" w:type="dxa"/>
            <w:gridSpan w:val="2"/>
          </w:tcPr>
          <w:p w14:paraId="6CC8656F" w14:textId="3AD345A3" w:rsidR="003738E7" w:rsidRPr="006E3F10" w:rsidRDefault="003738E7" w:rsidP="003738E7">
            <w:pPr>
              <w:pStyle w:val="TableHeading"/>
              <w:rPr>
                <w:lang w:val="en-GB"/>
              </w:rPr>
            </w:pPr>
            <w:r w:rsidRPr="006E3F10">
              <w:rPr>
                <w:lang w:val="en-GB"/>
              </w:rPr>
              <w:t xml:space="preserve">Total </w:t>
            </w:r>
            <w:r w:rsidR="00FE6C70">
              <w:rPr>
                <w:lang w:val="en-GB"/>
              </w:rPr>
              <w:t xml:space="preserve">units office waste disposed of by destination </w:t>
            </w:r>
            <w:r w:rsidRPr="006E3F10">
              <w:rPr>
                <w:lang w:val="en-GB"/>
              </w:rPr>
              <w:t>(kg per year)</w:t>
            </w:r>
          </w:p>
        </w:tc>
        <w:tc>
          <w:tcPr>
            <w:tcW w:w="2586" w:type="dxa"/>
            <w:gridSpan w:val="2"/>
          </w:tcPr>
          <w:p w14:paraId="0E8EF9C3" w14:textId="24240C33" w:rsidR="003738E7" w:rsidRPr="006E3F10" w:rsidRDefault="003738E7" w:rsidP="003738E7">
            <w:pPr>
              <w:pStyle w:val="TableHeading"/>
              <w:rPr>
                <w:lang w:val="en-GB"/>
              </w:rPr>
            </w:pPr>
            <w:r w:rsidRPr="006E3F10">
              <w:rPr>
                <w:lang w:val="en-GB"/>
              </w:rPr>
              <w:t>Units of office waste disp</w:t>
            </w:r>
            <w:r w:rsidR="00FE6C70">
              <w:rPr>
                <w:lang w:val="en-GB"/>
              </w:rPr>
              <w:t xml:space="preserve">osed of per FTE by destination </w:t>
            </w:r>
            <w:r w:rsidRPr="006E3F10">
              <w:rPr>
                <w:lang w:val="en-GB"/>
              </w:rPr>
              <w:t>(kg per FTE)</w:t>
            </w:r>
          </w:p>
        </w:tc>
        <w:tc>
          <w:tcPr>
            <w:tcW w:w="1293" w:type="dxa"/>
          </w:tcPr>
          <w:p w14:paraId="1E105AA6" w14:textId="76B2B31E" w:rsidR="003738E7" w:rsidRPr="006E3F10" w:rsidRDefault="003738E7" w:rsidP="003738E7">
            <w:pPr>
              <w:pStyle w:val="TableHeading"/>
              <w:rPr>
                <w:lang w:val="en-GB"/>
              </w:rPr>
            </w:pPr>
            <w:r w:rsidRPr="006E3F10">
              <w:rPr>
                <w:lang w:val="en-GB"/>
              </w:rPr>
              <w:t>Recycling rate (% of total waste by weight)</w:t>
            </w:r>
          </w:p>
        </w:tc>
        <w:tc>
          <w:tcPr>
            <w:tcW w:w="2586" w:type="dxa"/>
            <w:gridSpan w:val="2"/>
          </w:tcPr>
          <w:p w14:paraId="627DF233" w14:textId="408E7D2F" w:rsidR="003738E7" w:rsidRPr="006E3F10" w:rsidRDefault="003738E7" w:rsidP="003738E7">
            <w:pPr>
              <w:pStyle w:val="TableHeading"/>
              <w:rPr>
                <w:lang w:val="en-GB"/>
              </w:rPr>
            </w:pPr>
            <w:r w:rsidRPr="006E3F10">
              <w:rPr>
                <w:lang w:val="en-GB"/>
              </w:rPr>
              <w:t>Greenhouse gas emissions associated with waste disposal (tonnes CO</w:t>
            </w:r>
            <w:r w:rsidRPr="006E3F10">
              <w:rPr>
                <w:vertAlign w:val="subscript"/>
                <w:lang w:val="en-GB"/>
              </w:rPr>
              <w:t>2</w:t>
            </w:r>
            <w:r w:rsidRPr="006E3F10">
              <w:rPr>
                <w:lang w:val="en-GB"/>
              </w:rPr>
              <w:t>-e)</w:t>
            </w:r>
          </w:p>
        </w:tc>
      </w:tr>
      <w:tr w:rsidR="003738E7" w:rsidRPr="006E3F10" w14:paraId="7CAF6507" w14:textId="77777777" w:rsidTr="00A212E5">
        <w:trPr>
          <w:cantSplit/>
          <w:tblHeader/>
        </w:trPr>
        <w:tc>
          <w:tcPr>
            <w:tcW w:w="1292" w:type="dxa"/>
            <w:vMerge/>
            <w:hideMark/>
          </w:tcPr>
          <w:p w14:paraId="760030D1" w14:textId="77777777" w:rsidR="003738E7" w:rsidRPr="006E3F10" w:rsidRDefault="003738E7" w:rsidP="003738E7">
            <w:pPr>
              <w:pStyle w:val="TableHeading"/>
              <w:rPr>
                <w:lang w:val="en-GB"/>
              </w:rPr>
            </w:pPr>
          </w:p>
        </w:tc>
        <w:tc>
          <w:tcPr>
            <w:tcW w:w="1293" w:type="dxa"/>
            <w:hideMark/>
          </w:tcPr>
          <w:p w14:paraId="005DAFB3" w14:textId="77777777" w:rsidR="003738E7" w:rsidRPr="006E3F10" w:rsidRDefault="003738E7" w:rsidP="003738E7">
            <w:pPr>
              <w:pStyle w:val="TableHeading"/>
              <w:rPr>
                <w:lang w:val="en-GB"/>
              </w:rPr>
            </w:pPr>
            <w:r w:rsidRPr="006E3F10">
              <w:rPr>
                <w:lang w:val="en-GB"/>
              </w:rPr>
              <w:t>Landfill</w:t>
            </w:r>
          </w:p>
        </w:tc>
        <w:tc>
          <w:tcPr>
            <w:tcW w:w="1293" w:type="dxa"/>
            <w:hideMark/>
          </w:tcPr>
          <w:p w14:paraId="252A1D8D" w14:textId="77777777" w:rsidR="003738E7" w:rsidRPr="006E3F10" w:rsidRDefault="003738E7" w:rsidP="003738E7">
            <w:pPr>
              <w:pStyle w:val="TableHeading"/>
              <w:rPr>
                <w:lang w:val="en-GB"/>
              </w:rPr>
            </w:pPr>
            <w:r w:rsidRPr="006E3F10">
              <w:rPr>
                <w:lang w:val="en-GB"/>
              </w:rPr>
              <w:t>Other</w:t>
            </w:r>
          </w:p>
        </w:tc>
        <w:tc>
          <w:tcPr>
            <w:tcW w:w="1293" w:type="dxa"/>
            <w:hideMark/>
          </w:tcPr>
          <w:p w14:paraId="5BBC748D" w14:textId="77777777" w:rsidR="003738E7" w:rsidRPr="006E3F10" w:rsidRDefault="003738E7" w:rsidP="003738E7">
            <w:pPr>
              <w:pStyle w:val="TableHeading"/>
              <w:rPr>
                <w:lang w:val="en-GB"/>
              </w:rPr>
            </w:pPr>
            <w:r w:rsidRPr="006E3F10">
              <w:rPr>
                <w:lang w:val="en-GB"/>
              </w:rPr>
              <w:t>Landfill</w:t>
            </w:r>
          </w:p>
        </w:tc>
        <w:tc>
          <w:tcPr>
            <w:tcW w:w="1293" w:type="dxa"/>
            <w:hideMark/>
          </w:tcPr>
          <w:p w14:paraId="67D034A4" w14:textId="77777777" w:rsidR="003738E7" w:rsidRPr="006E3F10" w:rsidRDefault="003738E7" w:rsidP="003738E7">
            <w:pPr>
              <w:pStyle w:val="TableHeading"/>
              <w:rPr>
                <w:lang w:val="en-GB"/>
              </w:rPr>
            </w:pPr>
            <w:r w:rsidRPr="006E3F10">
              <w:rPr>
                <w:lang w:val="en-GB"/>
              </w:rPr>
              <w:t>Other</w:t>
            </w:r>
          </w:p>
        </w:tc>
        <w:tc>
          <w:tcPr>
            <w:tcW w:w="1293" w:type="dxa"/>
            <w:hideMark/>
          </w:tcPr>
          <w:p w14:paraId="3980553D" w14:textId="77777777" w:rsidR="003738E7" w:rsidRPr="006E3F10" w:rsidRDefault="003738E7" w:rsidP="003738E7">
            <w:pPr>
              <w:pStyle w:val="TableHeading"/>
              <w:rPr>
                <w:lang w:val="en-GB"/>
              </w:rPr>
            </w:pPr>
            <w:r w:rsidRPr="006E3F10">
              <w:rPr>
                <w:lang w:val="en-GB"/>
              </w:rPr>
              <w:t>%</w:t>
            </w:r>
          </w:p>
        </w:tc>
        <w:tc>
          <w:tcPr>
            <w:tcW w:w="1293" w:type="dxa"/>
            <w:hideMark/>
          </w:tcPr>
          <w:p w14:paraId="0B52E0F3" w14:textId="77777777" w:rsidR="003738E7" w:rsidRPr="006E3F10" w:rsidRDefault="003738E7" w:rsidP="003738E7">
            <w:pPr>
              <w:pStyle w:val="TableHeading"/>
              <w:rPr>
                <w:lang w:val="en-GB"/>
              </w:rPr>
            </w:pPr>
            <w:r w:rsidRPr="006E3F10">
              <w:rPr>
                <w:lang w:val="en-GB"/>
              </w:rPr>
              <w:t>Landfill</w:t>
            </w:r>
          </w:p>
        </w:tc>
        <w:tc>
          <w:tcPr>
            <w:tcW w:w="1293" w:type="dxa"/>
            <w:hideMark/>
          </w:tcPr>
          <w:p w14:paraId="058C9150" w14:textId="77777777" w:rsidR="003738E7" w:rsidRPr="006E3F10" w:rsidRDefault="003738E7" w:rsidP="003738E7">
            <w:pPr>
              <w:pStyle w:val="TableHeading"/>
              <w:rPr>
                <w:lang w:val="en-GB"/>
              </w:rPr>
            </w:pPr>
            <w:r w:rsidRPr="006E3F10">
              <w:rPr>
                <w:lang w:val="en-GB"/>
              </w:rPr>
              <w:t>Other</w:t>
            </w:r>
          </w:p>
        </w:tc>
      </w:tr>
      <w:tr w:rsidR="00B721AA" w:rsidRPr="006E3F10" w14:paraId="28C6EAC0" w14:textId="77777777" w:rsidTr="003738E7">
        <w:trPr>
          <w:cantSplit/>
        </w:trPr>
        <w:tc>
          <w:tcPr>
            <w:tcW w:w="1292" w:type="dxa"/>
            <w:hideMark/>
          </w:tcPr>
          <w:p w14:paraId="6FC3BBDF" w14:textId="77777777" w:rsidR="006E3F10" w:rsidRPr="006E3F10" w:rsidRDefault="006E3F10" w:rsidP="005E1987">
            <w:pPr>
              <w:pStyle w:val="TableHeading"/>
              <w:rPr>
                <w:lang w:val="en-GB"/>
              </w:rPr>
            </w:pPr>
            <w:r w:rsidRPr="006E3F10">
              <w:rPr>
                <w:lang w:val="en-GB"/>
              </w:rPr>
              <w:t>2015-16</w:t>
            </w:r>
          </w:p>
        </w:tc>
        <w:tc>
          <w:tcPr>
            <w:tcW w:w="1293" w:type="dxa"/>
            <w:hideMark/>
          </w:tcPr>
          <w:p w14:paraId="430B3D71" w14:textId="77777777" w:rsidR="006E3F10" w:rsidRPr="006E3F10" w:rsidRDefault="006E3F10" w:rsidP="005E1987">
            <w:pPr>
              <w:pStyle w:val="TableCopy"/>
              <w:rPr>
                <w:lang w:val="en-GB"/>
              </w:rPr>
            </w:pPr>
            <w:r w:rsidRPr="006E3F10">
              <w:rPr>
                <w:lang w:val="en-GB"/>
              </w:rPr>
              <w:t>3423</w:t>
            </w:r>
          </w:p>
        </w:tc>
        <w:tc>
          <w:tcPr>
            <w:tcW w:w="1293" w:type="dxa"/>
            <w:hideMark/>
          </w:tcPr>
          <w:p w14:paraId="2140F364" w14:textId="77777777" w:rsidR="006E3F10" w:rsidRPr="006E3F10" w:rsidRDefault="006E3F10" w:rsidP="005E1987">
            <w:pPr>
              <w:pStyle w:val="TableCopy"/>
              <w:rPr>
                <w:lang w:val="en-GB"/>
              </w:rPr>
            </w:pPr>
            <w:r w:rsidRPr="006E3F10">
              <w:rPr>
                <w:lang w:val="en-GB"/>
              </w:rPr>
              <w:t>3296</w:t>
            </w:r>
          </w:p>
        </w:tc>
        <w:tc>
          <w:tcPr>
            <w:tcW w:w="1293" w:type="dxa"/>
            <w:hideMark/>
          </w:tcPr>
          <w:p w14:paraId="53C606EA" w14:textId="77777777" w:rsidR="006E3F10" w:rsidRPr="006E3F10" w:rsidRDefault="006E3F10" w:rsidP="005E1987">
            <w:pPr>
              <w:pStyle w:val="TableCopy"/>
              <w:rPr>
                <w:lang w:val="en-GB"/>
              </w:rPr>
            </w:pPr>
            <w:r w:rsidRPr="006E3F10">
              <w:rPr>
                <w:lang w:val="en-GB"/>
              </w:rPr>
              <w:t>72</w:t>
            </w:r>
          </w:p>
        </w:tc>
        <w:tc>
          <w:tcPr>
            <w:tcW w:w="1293" w:type="dxa"/>
            <w:hideMark/>
          </w:tcPr>
          <w:p w14:paraId="6F0412B3" w14:textId="77777777" w:rsidR="006E3F10" w:rsidRPr="006E3F10" w:rsidRDefault="006E3F10" w:rsidP="005E1987">
            <w:pPr>
              <w:pStyle w:val="TableCopy"/>
              <w:rPr>
                <w:lang w:val="en-GB"/>
              </w:rPr>
            </w:pPr>
            <w:r w:rsidRPr="006E3F10">
              <w:rPr>
                <w:lang w:val="en-GB"/>
              </w:rPr>
              <w:t>69</w:t>
            </w:r>
          </w:p>
        </w:tc>
        <w:tc>
          <w:tcPr>
            <w:tcW w:w="1293" w:type="dxa"/>
            <w:hideMark/>
          </w:tcPr>
          <w:p w14:paraId="0A4E591D" w14:textId="77777777" w:rsidR="006E3F10" w:rsidRPr="006E3F10" w:rsidRDefault="006E3F10" w:rsidP="005E1987">
            <w:pPr>
              <w:pStyle w:val="TableCopy"/>
              <w:rPr>
                <w:lang w:val="en-GB"/>
              </w:rPr>
            </w:pPr>
            <w:r w:rsidRPr="006E3F10">
              <w:rPr>
                <w:lang w:val="en-GB"/>
              </w:rPr>
              <w:t>49</w:t>
            </w:r>
          </w:p>
        </w:tc>
        <w:tc>
          <w:tcPr>
            <w:tcW w:w="1293" w:type="dxa"/>
            <w:hideMark/>
          </w:tcPr>
          <w:p w14:paraId="7ABD5937" w14:textId="77777777" w:rsidR="006E3F10" w:rsidRPr="006E3F10" w:rsidRDefault="006E3F10" w:rsidP="005E1987">
            <w:pPr>
              <w:pStyle w:val="TableCopy"/>
              <w:rPr>
                <w:lang w:val="en-GB"/>
              </w:rPr>
            </w:pPr>
            <w:r w:rsidRPr="006E3F10">
              <w:rPr>
                <w:lang w:val="en-GB"/>
              </w:rPr>
              <w:t>4.44</w:t>
            </w:r>
          </w:p>
        </w:tc>
        <w:tc>
          <w:tcPr>
            <w:tcW w:w="1293" w:type="dxa"/>
            <w:hideMark/>
          </w:tcPr>
          <w:p w14:paraId="4D148F36" w14:textId="77777777" w:rsidR="006E3F10" w:rsidRPr="006E3F10" w:rsidRDefault="006E3F10" w:rsidP="005E1987">
            <w:pPr>
              <w:pStyle w:val="TableCopy"/>
              <w:rPr>
                <w:lang w:val="en-GB"/>
              </w:rPr>
            </w:pPr>
            <w:r w:rsidRPr="006E3F10">
              <w:rPr>
                <w:lang w:val="en-GB"/>
              </w:rPr>
              <w:t>2.97</w:t>
            </w:r>
          </w:p>
        </w:tc>
      </w:tr>
      <w:tr w:rsidR="00B721AA" w:rsidRPr="006E3F10" w14:paraId="23DC31E5" w14:textId="77777777" w:rsidTr="003738E7">
        <w:trPr>
          <w:cantSplit/>
        </w:trPr>
        <w:tc>
          <w:tcPr>
            <w:tcW w:w="1292" w:type="dxa"/>
            <w:hideMark/>
          </w:tcPr>
          <w:p w14:paraId="7228A34F" w14:textId="77777777" w:rsidR="006E3F10" w:rsidRPr="006E3F10" w:rsidRDefault="006E3F10" w:rsidP="005E1987">
            <w:pPr>
              <w:pStyle w:val="TableHeading"/>
              <w:rPr>
                <w:lang w:val="en-GB"/>
              </w:rPr>
            </w:pPr>
            <w:r w:rsidRPr="006E3F10">
              <w:rPr>
                <w:lang w:val="en-GB"/>
              </w:rPr>
              <w:t>2016-17</w:t>
            </w:r>
          </w:p>
        </w:tc>
        <w:tc>
          <w:tcPr>
            <w:tcW w:w="1293" w:type="dxa"/>
            <w:hideMark/>
          </w:tcPr>
          <w:p w14:paraId="1C0E0C8E" w14:textId="77777777" w:rsidR="006E3F10" w:rsidRPr="006E3F10" w:rsidRDefault="006E3F10" w:rsidP="005E1987">
            <w:pPr>
              <w:pStyle w:val="TableCopy"/>
              <w:rPr>
                <w:lang w:val="en-GB"/>
              </w:rPr>
            </w:pPr>
            <w:r w:rsidRPr="006E3F10">
              <w:rPr>
                <w:lang w:val="en-GB"/>
              </w:rPr>
              <w:t>1900</w:t>
            </w:r>
          </w:p>
        </w:tc>
        <w:tc>
          <w:tcPr>
            <w:tcW w:w="1293" w:type="dxa"/>
            <w:hideMark/>
          </w:tcPr>
          <w:p w14:paraId="62046AFE" w14:textId="77777777" w:rsidR="006E3F10" w:rsidRPr="006E3F10" w:rsidRDefault="006E3F10" w:rsidP="005E1987">
            <w:pPr>
              <w:pStyle w:val="TableCopy"/>
              <w:rPr>
                <w:lang w:val="en-GB"/>
              </w:rPr>
            </w:pPr>
            <w:r w:rsidRPr="006E3F10">
              <w:rPr>
                <w:lang w:val="en-GB"/>
              </w:rPr>
              <w:t>3244</w:t>
            </w:r>
          </w:p>
        </w:tc>
        <w:tc>
          <w:tcPr>
            <w:tcW w:w="1293" w:type="dxa"/>
            <w:hideMark/>
          </w:tcPr>
          <w:p w14:paraId="5E897015" w14:textId="77777777" w:rsidR="006E3F10" w:rsidRPr="006E3F10" w:rsidRDefault="006E3F10" w:rsidP="005E1987">
            <w:pPr>
              <w:pStyle w:val="TableCopy"/>
              <w:rPr>
                <w:lang w:val="en-GB"/>
              </w:rPr>
            </w:pPr>
            <w:r w:rsidRPr="006E3F10">
              <w:rPr>
                <w:lang w:val="en-GB"/>
              </w:rPr>
              <w:t>28</w:t>
            </w:r>
          </w:p>
        </w:tc>
        <w:tc>
          <w:tcPr>
            <w:tcW w:w="1293" w:type="dxa"/>
            <w:hideMark/>
          </w:tcPr>
          <w:p w14:paraId="599DBF5A" w14:textId="77777777" w:rsidR="006E3F10" w:rsidRPr="006E3F10" w:rsidRDefault="006E3F10" w:rsidP="005E1987">
            <w:pPr>
              <w:pStyle w:val="TableCopy"/>
              <w:rPr>
                <w:lang w:val="en-GB"/>
              </w:rPr>
            </w:pPr>
            <w:r w:rsidRPr="006E3F10">
              <w:rPr>
                <w:lang w:val="en-GB"/>
              </w:rPr>
              <w:t>48</w:t>
            </w:r>
          </w:p>
        </w:tc>
        <w:tc>
          <w:tcPr>
            <w:tcW w:w="1293" w:type="dxa"/>
            <w:hideMark/>
          </w:tcPr>
          <w:p w14:paraId="13C2C4DA" w14:textId="77777777" w:rsidR="006E3F10" w:rsidRPr="006E3F10" w:rsidRDefault="006E3F10" w:rsidP="005E1987">
            <w:pPr>
              <w:pStyle w:val="TableCopy"/>
              <w:rPr>
                <w:lang w:val="en-GB"/>
              </w:rPr>
            </w:pPr>
            <w:r w:rsidRPr="006E3F10">
              <w:rPr>
                <w:lang w:val="en-GB"/>
              </w:rPr>
              <w:t>64</w:t>
            </w:r>
          </w:p>
        </w:tc>
        <w:tc>
          <w:tcPr>
            <w:tcW w:w="1293" w:type="dxa"/>
            <w:hideMark/>
          </w:tcPr>
          <w:p w14:paraId="32069AEA" w14:textId="77777777" w:rsidR="006E3F10" w:rsidRPr="006E3F10" w:rsidRDefault="006E3F10" w:rsidP="005E1987">
            <w:pPr>
              <w:pStyle w:val="TableCopy"/>
              <w:rPr>
                <w:lang w:val="en-GB"/>
              </w:rPr>
            </w:pPr>
            <w:r w:rsidRPr="006E3F10">
              <w:rPr>
                <w:lang w:val="en-GB"/>
              </w:rPr>
              <w:t>2.7</w:t>
            </w:r>
          </w:p>
        </w:tc>
        <w:tc>
          <w:tcPr>
            <w:tcW w:w="1293" w:type="dxa"/>
            <w:hideMark/>
          </w:tcPr>
          <w:p w14:paraId="4271D3EE" w14:textId="77777777" w:rsidR="006E3F10" w:rsidRPr="006E3F10" w:rsidRDefault="006E3F10" w:rsidP="005E1987">
            <w:pPr>
              <w:pStyle w:val="TableCopy"/>
              <w:rPr>
                <w:lang w:val="en-GB"/>
              </w:rPr>
            </w:pPr>
            <w:r w:rsidRPr="006E3F10">
              <w:rPr>
                <w:lang w:val="en-GB"/>
              </w:rPr>
              <w:t>4.5</w:t>
            </w:r>
          </w:p>
        </w:tc>
      </w:tr>
    </w:tbl>
    <w:p w14:paraId="5172EF43" w14:textId="77777777" w:rsidR="006E3F10" w:rsidRPr="006E3F10" w:rsidRDefault="006E3F10" w:rsidP="006E3F10">
      <w:pPr>
        <w:rPr>
          <w:lang w:val="en-GB"/>
        </w:rPr>
      </w:pPr>
    </w:p>
    <w:tbl>
      <w:tblPr>
        <w:tblStyle w:val="TableGrid"/>
        <w:tblW w:w="0" w:type="auto"/>
        <w:tblLook w:val="04A0" w:firstRow="1" w:lastRow="0" w:firstColumn="1" w:lastColumn="0" w:noHBand="0" w:noVBand="1"/>
      </w:tblPr>
      <w:tblGrid>
        <w:gridCol w:w="988"/>
        <w:gridCol w:w="1185"/>
        <w:gridCol w:w="1335"/>
        <w:gridCol w:w="1510"/>
        <w:gridCol w:w="1593"/>
        <w:gridCol w:w="1222"/>
        <w:gridCol w:w="755"/>
        <w:gridCol w:w="877"/>
        <w:gridCol w:w="1217"/>
      </w:tblGrid>
      <w:tr w:rsidR="00D0339A" w:rsidRPr="006E3F10" w14:paraId="2B0CB675" w14:textId="77777777" w:rsidTr="00A212E5">
        <w:trPr>
          <w:tblHeader/>
        </w:trPr>
        <w:tc>
          <w:tcPr>
            <w:tcW w:w="0" w:type="auto"/>
            <w:gridSpan w:val="9"/>
          </w:tcPr>
          <w:p w14:paraId="4E1F8A62" w14:textId="5086F3BC" w:rsidR="00D0339A" w:rsidRPr="006E3F10" w:rsidRDefault="00D0339A" w:rsidP="005E1987">
            <w:pPr>
              <w:pStyle w:val="TableHeading"/>
              <w:rPr>
                <w:lang w:val="en-GB"/>
              </w:rPr>
            </w:pPr>
            <w:r>
              <w:rPr>
                <w:lang w:val="en-GB"/>
              </w:rPr>
              <w:t>Transport</w:t>
            </w:r>
          </w:p>
        </w:tc>
      </w:tr>
      <w:tr w:rsidR="00FB6376" w:rsidRPr="006E3F10" w14:paraId="3D9C9B15" w14:textId="77777777" w:rsidTr="00A212E5">
        <w:trPr>
          <w:tblHeader/>
        </w:trPr>
        <w:tc>
          <w:tcPr>
            <w:tcW w:w="988" w:type="dxa"/>
            <w:vMerge w:val="restart"/>
          </w:tcPr>
          <w:p w14:paraId="38BFCABB" w14:textId="77777777" w:rsidR="00E92FBA" w:rsidRPr="006E3F10" w:rsidRDefault="00E92FBA" w:rsidP="006E3F10">
            <w:pPr>
              <w:rPr>
                <w:lang w:val="en-GB"/>
              </w:rPr>
            </w:pPr>
          </w:p>
        </w:tc>
        <w:tc>
          <w:tcPr>
            <w:tcW w:w="1185" w:type="dxa"/>
            <w:vMerge w:val="restart"/>
          </w:tcPr>
          <w:p w14:paraId="30D14AFD" w14:textId="5D9A00F2" w:rsidR="00E92FBA" w:rsidRPr="006E3F10" w:rsidRDefault="00FC0F01" w:rsidP="006E3F10">
            <w:pPr>
              <w:rPr>
                <w:lang w:val="en-GB"/>
              </w:rPr>
            </w:pPr>
            <w:r>
              <w:rPr>
                <w:b/>
                <w:bCs/>
                <w:lang w:val="en-GB"/>
              </w:rPr>
              <w:t xml:space="preserve">Total energy consumed by </w:t>
            </w:r>
            <w:r w:rsidR="00E92FBA" w:rsidRPr="006E3F10">
              <w:rPr>
                <w:b/>
                <w:bCs/>
                <w:lang w:val="en-GB"/>
              </w:rPr>
              <w:t>vehicles (MJ)</w:t>
            </w:r>
          </w:p>
        </w:tc>
        <w:tc>
          <w:tcPr>
            <w:tcW w:w="0" w:type="auto"/>
            <w:vMerge w:val="restart"/>
          </w:tcPr>
          <w:p w14:paraId="6A0845EB" w14:textId="77777777" w:rsidR="00E92FBA" w:rsidRPr="006E3F10" w:rsidRDefault="00E92FBA" w:rsidP="005E1987">
            <w:pPr>
              <w:pStyle w:val="TableHeading"/>
              <w:rPr>
                <w:lang w:val="en-GB"/>
              </w:rPr>
            </w:pPr>
            <w:r w:rsidRPr="006E3F10">
              <w:rPr>
                <w:lang w:val="en-GB"/>
              </w:rPr>
              <w:t xml:space="preserve">Total </w:t>
            </w:r>
            <w:r w:rsidRPr="006E3F10">
              <w:rPr>
                <w:lang w:val="en-GB"/>
              </w:rPr>
              <w:br/>
              <w:t>Vehicle table associated with entity operations (km) </w:t>
            </w:r>
          </w:p>
          <w:p w14:paraId="6836AAB1" w14:textId="77777777" w:rsidR="00E92FBA" w:rsidRPr="006E3F10" w:rsidRDefault="00E92FBA" w:rsidP="005E1987">
            <w:pPr>
              <w:pStyle w:val="TableHeading"/>
              <w:rPr>
                <w:lang w:val="en-GB"/>
              </w:rPr>
            </w:pPr>
          </w:p>
        </w:tc>
        <w:tc>
          <w:tcPr>
            <w:tcW w:w="0" w:type="auto"/>
            <w:vMerge w:val="restart"/>
          </w:tcPr>
          <w:p w14:paraId="143F3FE4" w14:textId="5A6F42E1" w:rsidR="00E92FBA" w:rsidRPr="006E3F10" w:rsidRDefault="00E92FBA" w:rsidP="005E1987">
            <w:pPr>
              <w:pStyle w:val="TableHeading"/>
              <w:rPr>
                <w:lang w:val="en-GB"/>
              </w:rPr>
            </w:pPr>
            <w:r w:rsidRPr="006E3F10">
              <w:rPr>
                <w:lang w:val="en-GB"/>
              </w:rPr>
              <w:t>Total greenhouse gas emissions from vehicle fleet (tonnes of CO2 equivalent)</w:t>
            </w:r>
          </w:p>
        </w:tc>
        <w:tc>
          <w:tcPr>
            <w:tcW w:w="0" w:type="auto"/>
            <w:vMerge w:val="restart"/>
          </w:tcPr>
          <w:p w14:paraId="5982BD68" w14:textId="6B7CCEEB" w:rsidR="00E92FBA" w:rsidRPr="006E3F10" w:rsidRDefault="00FC0F01" w:rsidP="005E1987">
            <w:pPr>
              <w:pStyle w:val="TableHeading"/>
              <w:rPr>
                <w:lang w:val="en-GB"/>
              </w:rPr>
            </w:pPr>
            <w:r>
              <w:rPr>
                <w:lang w:val="en-GB"/>
              </w:rPr>
              <w:t>Greenhouse gas e</w:t>
            </w:r>
            <w:r w:rsidR="00E92FBA" w:rsidRPr="006E3F10">
              <w:rPr>
                <w:lang w:val="en-GB"/>
              </w:rPr>
              <w:t>missions from vehicle fleet p</w:t>
            </w:r>
            <w:r>
              <w:rPr>
                <w:lang w:val="en-GB"/>
              </w:rPr>
              <w:t xml:space="preserve">er 1,000km travelled (tonnes of </w:t>
            </w:r>
            <w:r w:rsidR="00E92FBA" w:rsidRPr="006E3F10">
              <w:rPr>
                <w:lang w:val="en-GB"/>
              </w:rPr>
              <w:t>CO</w:t>
            </w:r>
            <w:r w:rsidR="00E92FBA" w:rsidRPr="006E3F10">
              <w:rPr>
                <w:vertAlign w:val="subscript"/>
                <w:lang w:val="en-GB"/>
              </w:rPr>
              <w:t>2</w:t>
            </w:r>
            <w:r>
              <w:rPr>
                <w:lang w:val="en-GB"/>
              </w:rPr>
              <w:t xml:space="preserve"> </w:t>
            </w:r>
            <w:r w:rsidR="00E92FBA" w:rsidRPr="006E3F10">
              <w:rPr>
                <w:lang w:val="en-GB"/>
              </w:rPr>
              <w:t>equivalent)</w:t>
            </w:r>
          </w:p>
        </w:tc>
        <w:tc>
          <w:tcPr>
            <w:tcW w:w="0" w:type="auto"/>
            <w:vMerge w:val="restart"/>
          </w:tcPr>
          <w:p w14:paraId="07A925BD" w14:textId="478E9F9A" w:rsidR="00E92FBA" w:rsidRPr="006E3F10" w:rsidRDefault="00E92FBA" w:rsidP="005E1987">
            <w:pPr>
              <w:pStyle w:val="TableHeading"/>
              <w:rPr>
                <w:lang w:val="en-GB"/>
              </w:rPr>
            </w:pPr>
            <w:r w:rsidRPr="006E3F10">
              <w:rPr>
                <w:lang w:val="en-GB"/>
              </w:rPr>
              <w:t>Total distance travelled by aeroplane (km)</w:t>
            </w:r>
          </w:p>
        </w:tc>
        <w:tc>
          <w:tcPr>
            <w:tcW w:w="0" w:type="auto"/>
            <w:gridSpan w:val="3"/>
          </w:tcPr>
          <w:p w14:paraId="17EEC231" w14:textId="464AA8C7" w:rsidR="00E92FBA" w:rsidRPr="006E3F10" w:rsidRDefault="00E92FBA" w:rsidP="005E1987">
            <w:pPr>
              <w:pStyle w:val="TableHeading"/>
              <w:rPr>
                <w:lang w:val="en-GB"/>
              </w:rPr>
            </w:pPr>
            <w:r w:rsidRPr="006E3F10">
              <w:rPr>
                <w:lang w:val="en-GB"/>
              </w:rPr>
              <w:t>Percentage of employees regularly (75</w:t>
            </w:r>
            <w:r w:rsidR="00FC0F01">
              <w:rPr>
                <w:lang w:val="en-GB"/>
              </w:rPr>
              <w:t xml:space="preserve">% attendance days) using public transport, cycling, walking or </w:t>
            </w:r>
            <w:r w:rsidRPr="006E3F10">
              <w:rPr>
                <w:lang w:val="en-GB"/>
              </w:rPr>
              <w:t xml:space="preserve">car-pooling to and </w:t>
            </w:r>
            <w:r w:rsidR="00FC0F01">
              <w:rPr>
                <w:lang w:val="en-GB"/>
              </w:rPr>
              <w:t xml:space="preserve">from work or working from home </w:t>
            </w:r>
            <w:r w:rsidRPr="006E3F10">
              <w:rPr>
                <w:lang w:val="en-GB"/>
              </w:rPr>
              <w:t>by locality type</w:t>
            </w:r>
          </w:p>
        </w:tc>
      </w:tr>
      <w:tr w:rsidR="00FB6376" w:rsidRPr="006E3F10" w14:paraId="56FDF7B7" w14:textId="77777777" w:rsidTr="00A212E5">
        <w:trPr>
          <w:tblHeader/>
        </w:trPr>
        <w:tc>
          <w:tcPr>
            <w:tcW w:w="988" w:type="dxa"/>
            <w:vMerge/>
            <w:hideMark/>
          </w:tcPr>
          <w:p w14:paraId="14EE45BB" w14:textId="77777777" w:rsidR="00E92FBA" w:rsidRPr="006E3F10" w:rsidRDefault="00E92FBA" w:rsidP="006E3F10">
            <w:pPr>
              <w:rPr>
                <w:lang w:val="en-GB"/>
              </w:rPr>
            </w:pPr>
          </w:p>
        </w:tc>
        <w:tc>
          <w:tcPr>
            <w:tcW w:w="1185" w:type="dxa"/>
            <w:vMerge/>
            <w:hideMark/>
          </w:tcPr>
          <w:p w14:paraId="13F5DD38" w14:textId="77777777" w:rsidR="00E92FBA" w:rsidRPr="006E3F10" w:rsidRDefault="00E92FBA" w:rsidP="006E3F10">
            <w:pPr>
              <w:rPr>
                <w:lang w:val="en-GB"/>
              </w:rPr>
            </w:pPr>
          </w:p>
        </w:tc>
        <w:tc>
          <w:tcPr>
            <w:tcW w:w="0" w:type="auto"/>
            <w:vMerge/>
            <w:hideMark/>
          </w:tcPr>
          <w:p w14:paraId="5A346F5B" w14:textId="77777777" w:rsidR="00E92FBA" w:rsidRPr="006E3F10" w:rsidRDefault="00E92FBA" w:rsidP="005E1987">
            <w:pPr>
              <w:pStyle w:val="TableHeading"/>
              <w:rPr>
                <w:lang w:val="en-GB"/>
              </w:rPr>
            </w:pPr>
          </w:p>
        </w:tc>
        <w:tc>
          <w:tcPr>
            <w:tcW w:w="0" w:type="auto"/>
            <w:vMerge/>
            <w:hideMark/>
          </w:tcPr>
          <w:p w14:paraId="28A0D0E0" w14:textId="77777777" w:rsidR="00E92FBA" w:rsidRPr="006E3F10" w:rsidRDefault="00E92FBA" w:rsidP="005E1987">
            <w:pPr>
              <w:pStyle w:val="TableHeading"/>
              <w:rPr>
                <w:lang w:val="en-GB"/>
              </w:rPr>
            </w:pPr>
          </w:p>
        </w:tc>
        <w:tc>
          <w:tcPr>
            <w:tcW w:w="0" w:type="auto"/>
            <w:vMerge/>
            <w:hideMark/>
          </w:tcPr>
          <w:p w14:paraId="3C79DA8C" w14:textId="77777777" w:rsidR="00E92FBA" w:rsidRPr="006E3F10" w:rsidRDefault="00E92FBA" w:rsidP="005E1987">
            <w:pPr>
              <w:pStyle w:val="TableHeading"/>
              <w:rPr>
                <w:lang w:val="en-GB"/>
              </w:rPr>
            </w:pPr>
          </w:p>
        </w:tc>
        <w:tc>
          <w:tcPr>
            <w:tcW w:w="0" w:type="auto"/>
            <w:vMerge/>
            <w:hideMark/>
          </w:tcPr>
          <w:p w14:paraId="29C1F70A" w14:textId="77777777" w:rsidR="00E92FBA" w:rsidRPr="006E3F10" w:rsidRDefault="00E92FBA" w:rsidP="005E1987">
            <w:pPr>
              <w:pStyle w:val="TableHeading"/>
              <w:rPr>
                <w:lang w:val="en-GB"/>
              </w:rPr>
            </w:pPr>
          </w:p>
        </w:tc>
        <w:tc>
          <w:tcPr>
            <w:tcW w:w="0" w:type="auto"/>
            <w:hideMark/>
          </w:tcPr>
          <w:p w14:paraId="112F0DBB" w14:textId="77777777" w:rsidR="00E92FBA" w:rsidRPr="006E3F10" w:rsidRDefault="00E92FBA" w:rsidP="005E1987">
            <w:pPr>
              <w:pStyle w:val="TableHeading"/>
              <w:rPr>
                <w:lang w:val="en-GB"/>
              </w:rPr>
            </w:pPr>
            <w:r w:rsidRPr="006E3F10">
              <w:rPr>
                <w:lang w:val="en-GB"/>
              </w:rPr>
              <w:t>CBD</w:t>
            </w:r>
          </w:p>
        </w:tc>
        <w:tc>
          <w:tcPr>
            <w:tcW w:w="0" w:type="auto"/>
            <w:hideMark/>
          </w:tcPr>
          <w:p w14:paraId="552E8344" w14:textId="77777777" w:rsidR="00E92FBA" w:rsidRPr="006E3F10" w:rsidRDefault="00E92FBA" w:rsidP="005E1987">
            <w:pPr>
              <w:pStyle w:val="TableHeading"/>
              <w:rPr>
                <w:lang w:val="en-GB"/>
              </w:rPr>
            </w:pPr>
            <w:r w:rsidRPr="006E3F10">
              <w:rPr>
                <w:lang w:val="en-GB"/>
              </w:rPr>
              <w:t>Metro</w:t>
            </w:r>
          </w:p>
        </w:tc>
        <w:tc>
          <w:tcPr>
            <w:tcW w:w="0" w:type="auto"/>
            <w:hideMark/>
          </w:tcPr>
          <w:p w14:paraId="746EBAB7" w14:textId="77777777" w:rsidR="00E92FBA" w:rsidRPr="006E3F10" w:rsidRDefault="00E92FBA" w:rsidP="005E1987">
            <w:pPr>
              <w:pStyle w:val="TableHeading"/>
              <w:rPr>
                <w:lang w:val="en-GB"/>
              </w:rPr>
            </w:pPr>
            <w:r w:rsidRPr="006E3F10">
              <w:rPr>
                <w:lang w:val="en-GB"/>
              </w:rPr>
              <w:t>Regional</w:t>
            </w:r>
          </w:p>
        </w:tc>
      </w:tr>
      <w:tr w:rsidR="00FB6376" w:rsidRPr="006E3F10" w14:paraId="7E892111" w14:textId="77777777" w:rsidTr="00FB6376">
        <w:tc>
          <w:tcPr>
            <w:tcW w:w="988" w:type="dxa"/>
            <w:hideMark/>
          </w:tcPr>
          <w:p w14:paraId="6814FD6C" w14:textId="77777777" w:rsidR="00D0339A" w:rsidRPr="006E3F10" w:rsidRDefault="00D0339A" w:rsidP="005E1987">
            <w:pPr>
              <w:pStyle w:val="TableHeading"/>
              <w:rPr>
                <w:lang w:val="en-GB"/>
              </w:rPr>
            </w:pPr>
            <w:r w:rsidRPr="006E3F10">
              <w:rPr>
                <w:lang w:val="en-GB"/>
              </w:rPr>
              <w:t>2015-16</w:t>
            </w:r>
          </w:p>
        </w:tc>
        <w:tc>
          <w:tcPr>
            <w:tcW w:w="1185" w:type="dxa"/>
            <w:hideMark/>
          </w:tcPr>
          <w:p w14:paraId="084AFF31" w14:textId="77777777" w:rsidR="00D0339A" w:rsidRPr="006E3F10" w:rsidRDefault="00D0339A" w:rsidP="005E1987">
            <w:pPr>
              <w:pStyle w:val="TableCopy"/>
              <w:rPr>
                <w:lang w:val="en-GB"/>
              </w:rPr>
            </w:pPr>
            <w:r w:rsidRPr="006E3F10">
              <w:rPr>
                <w:lang w:val="en-GB"/>
              </w:rPr>
              <w:t>3,536</w:t>
            </w:r>
          </w:p>
        </w:tc>
        <w:tc>
          <w:tcPr>
            <w:tcW w:w="0" w:type="auto"/>
            <w:hideMark/>
          </w:tcPr>
          <w:p w14:paraId="402C9DF1" w14:textId="77777777" w:rsidR="00D0339A" w:rsidRPr="006E3F10" w:rsidRDefault="00D0339A" w:rsidP="005E1987">
            <w:pPr>
              <w:pStyle w:val="TableCopy"/>
              <w:rPr>
                <w:lang w:val="en-GB"/>
              </w:rPr>
            </w:pPr>
            <w:r w:rsidRPr="006E3F10">
              <w:rPr>
                <w:lang w:val="en-GB"/>
              </w:rPr>
              <w:t>1,286</w:t>
            </w:r>
          </w:p>
        </w:tc>
        <w:tc>
          <w:tcPr>
            <w:tcW w:w="0" w:type="auto"/>
            <w:hideMark/>
          </w:tcPr>
          <w:p w14:paraId="0AB407A9" w14:textId="77777777" w:rsidR="00D0339A" w:rsidRPr="006E3F10" w:rsidRDefault="00D0339A" w:rsidP="005E1987">
            <w:pPr>
              <w:pStyle w:val="TableCopy"/>
              <w:rPr>
                <w:lang w:val="en-GB"/>
              </w:rPr>
            </w:pPr>
            <w:r w:rsidRPr="006E3F10">
              <w:rPr>
                <w:lang w:val="en-GB"/>
              </w:rPr>
              <w:t>0.25</w:t>
            </w:r>
          </w:p>
        </w:tc>
        <w:tc>
          <w:tcPr>
            <w:tcW w:w="0" w:type="auto"/>
            <w:hideMark/>
          </w:tcPr>
          <w:p w14:paraId="3796A175" w14:textId="77777777" w:rsidR="00D0339A" w:rsidRPr="006E3F10" w:rsidRDefault="00D0339A" w:rsidP="005E1987">
            <w:pPr>
              <w:pStyle w:val="TableCopy"/>
              <w:rPr>
                <w:lang w:val="en-GB"/>
              </w:rPr>
            </w:pPr>
            <w:r w:rsidRPr="006E3F10">
              <w:rPr>
                <w:lang w:val="en-GB"/>
              </w:rPr>
              <w:t>0.19</w:t>
            </w:r>
          </w:p>
        </w:tc>
        <w:tc>
          <w:tcPr>
            <w:tcW w:w="0" w:type="auto"/>
            <w:gridSpan w:val="4"/>
            <w:hideMark/>
          </w:tcPr>
          <w:p w14:paraId="0D011B83" w14:textId="28E5BCE8" w:rsidR="00D0339A" w:rsidRPr="006E3F10" w:rsidRDefault="00D0339A" w:rsidP="005E1987">
            <w:pPr>
              <w:pStyle w:val="TableCopy"/>
              <w:rPr>
                <w:lang w:val="en-GB"/>
              </w:rPr>
            </w:pPr>
            <w:r w:rsidRPr="006E3F10">
              <w:rPr>
                <w:lang w:val="en-GB"/>
              </w:rPr>
              <w:t>Figures not available at time of reporting</w:t>
            </w:r>
          </w:p>
        </w:tc>
      </w:tr>
      <w:tr w:rsidR="00FB6376" w:rsidRPr="006E3F10" w14:paraId="222F0855" w14:textId="77777777" w:rsidTr="00FB6376">
        <w:tc>
          <w:tcPr>
            <w:tcW w:w="988" w:type="dxa"/>
            <w:hideMark/>
          </w:tcPr>
          <w:p w14:paraId="6DC67705" w14:textId="77777777" w:rsidR="00E92FBA" w:rsidRPr="006E3F10" w:rsidRDefault="00E92FBA" w:rsidP="005E1987">
            <w:pPr>
              <w:pStyle w:val="TableHeading"/>
              <w:rPr>
                <w:lang w:val="en-GB"/>
              </w:rPr>
            </w:pPr>
            <w:r w:rsidRPr="006E3F10">
              <w:rPr>
                <w:lang w:val="en-GB"/>
              </w:rPr>
              <w:t>2016-17</w:t>
            </w:r>
          </w:p>
        </w:tc>
        <w:tc>
          <w:tcPr>
            <w:tcW w:w="5611" w:type="dxa"/>
            <w:gridSpan w:val="4"/>
            <w:hideMark/>
          </w:tcPr>
          <w:p w14:paraId="32444ABA" w14:textId="1E0B8BBF" w:rsidR="00E92FBA" w:rsidRPr="006E3F10" w:rsidRDefault="00E92FBA" w:rsidP="005E1987">
            <w:pPr>
              <w:pStyle w:val="TableCopy"/>
              <w:rPr>
                <w:lang w:val="en-GB"/>
              </w:rPr>
            </w:pPr>
            <w:r w:rsidRPr="006E3F10">
              <w:rPr>
                <w:lang w:val="en-GB"/>
              </w:rPr>
              <w:t>Figures not available at time of reporting</w:t>
            </w:r>
          </w:p>
        </w:tc>
        <w:tc>
          <w:tcPr>
            <w:tcW w:w="0" w:type="auto"/>
            <w:hideMark/>
          </w:tcPr>
          <w:p w14:paraId="00F3A06F" w14:textId="5A42F10C" w:rsidR="00E92FBA" w:rsidRPr="006E3F10" w:rsidRDefault="00E92FBA" w:rsidP="005E1987">
            <w:pPr>
              <w:pStyle w:val="TableCopy"/>
              <w:rPr>
                <w:lang w:val="en-GB"/>
              </w:rPr>
            </w:pPr>
            <w:r w:rsidRPr="006E3F10">
              <w:rPr>
                <w:lang w:val="en-GB"/>
              </w:rPr>
              <w:t>145,742</w:t>
            </w:r>
          </w:p>
        </w:tc>
        <w:tc>
          <w:tcPr>
            <w:tcW w:w="0" w:type="auto"/>
            <w:gridSpan w:val="3"/>
            <w:hideMark/>
          </w:tcPr>
          <w:p w14:paraId="0CDD55BE" w14:textId="55263406" w:rsidR="00E92FBA" w:rsidRPr="006E3F10" w:rsidRDefault="00E92FBA" w:rsidP="005E1987">
            <w:pPr>
              <w:pStyle w:val="TableCopy"/>
              <w:rPr>
                <w:lang w:val="en-GB"/>
              </w:rPr>
            </w:pPr>
            <w:r w:rsidRPr="006E3F10">
              <w:rPr>
                <w:lang w:val="en-GB"/>
              </w:rPr>
              <w:t xml:space="preserve">Figures not available </w:t>
            </w:r>
            <w:r w:rsidRPr="006E3F10">
              <w:rPr>
                <w:lang w:val="en-GB"/>
              </w:rPr>
              <w:br/>
              <w:t>at time of reporting</w:t>
            </w:r>
          </w:p>
        </w:tc>
      </w:tr>
    </w:tbl>
    <w:p w14:paraId="015F6219" w14:textId="77777777" w:rsidR="006E3F10" w:rsidRPr="006E3F10" w:rsidRDefault="006E3F10" w:rsidP="006E3F10">
      <w:pPr>
        <w:rPr>
          <w:lang w:val="en-GB"/>
        </w:rPr>
      </w:pPr>
    </w:p>
    <w:tbl>
      <w:tblPr>
        <w:tblStyle w:val="TableGrid"/>
        <w:tblW w:w="10485" w:type="dxa"/>
        <w:tblLook w:val="04A0" w:firstRow="1" w:lastRow="0" w:firstColumn="1" w:lastColumn="0" w:noHBand="0" w:noVBand="1"/>
      </w:tblPr>
      <w:tblGrid>
        <w:gridCol w:w="6658"/>
        <w:gridCol w:w="1913"/>
        <w:gridCol w:w="1914"/>
      </w:tblGrid>
      <w:tr w:rsidR="00BA0839" w:rsidRPr="006E3F10" w14:paraId="0092E11D" w14:textId="77777777" w:rsidTr="00316384">
        <w:trPr>
          <w:cantSplit/>
          <w:trHeight w:val="444"/>
        </w:trPr>
        <w:tc>
          <w:tcPr>
            <w:tcW w:w="10485" w:type="dxa"/>
            <w:gridSpan w:val="3"/>
            <w:hideMark/>
          </w:tcPr>
          <w:p w14:paraId="43431BEB" w14:textId="0ADB2B50" w:rsidR="006E3F10" w:rsidRPr="006E3F10" w:rsidRDefault="00D84537" w:rsidP="001C2B9A">
            <w:pPr>
              <w:pStyle w:val="TableHeading"/>
              <w:rPr>
                <w:lang w:val="en-GB"/>
              </w:rPr>
            </w:pPr>
            <w:r w:rsidRPr="006E3F10">
              <w:rPr>
                <w:lang w:val="en-GB"/>
              </w:rPr>
              <w:t>Greenhouse Gas Emissions</w:t>
            </w:r>
          </w:p>
        </w:tc>
      </w:tr>
      <w:tr w:rsidR="00BA0839" w:rsidRPr="006E3F10" w14:paraId="2C12586C" w14:textId="77777777" w:rsidTr="00316384">
        <w:trPr>
          <w:cantSplit/>
        </w:trPr>
        <w:tc>
          <w:tcPr>
            <w:tcW w:w="6658" w:type="dxa"/>
            <w:hideMark/>
          </w:tcPr>
          <w:p w14:paraId="1DD2D334" w14:textId="77777777" w:rsidR="006E3F10" w:rsidRPr="006E3F10" w:rsidRDefault="006E3F10" w:rsidP="001C2B9A">
            <w:pPr>
              <w:pStyle w:val="TableHeading"/>
              <w:rPr>
                <w:lang w:val="en-GB"/>
              </w:rPr>
            </w:pPr>
          </w:p>
        </w:tc>
        <w:tc>
          <w:tcPr>
            <w:tcW w:w="1913" w:type="dxa"/>
            <w:hideMark/>
          </w:tcPr>
          <w:p w14:paraId="3BFD382D" w14:textId="77777777" w:rsidR="006E3F10" w:rsidRPr="006E3F10" w:rsidRDefault="006E3F10" w:rsidP="001C2B9A">
            <w:pPr>
              <w:pStyle w:val="TableHeading"/>
              <w:rPr>
                <w:lang w:val="en-GB"/>
              </w:rPr>
            </w:pPr>
            <w:r w:rsidRPr="006E3F10">
              <w:rPr>
                <w:lang w:val="en-GB"/>
              </w:rPr>
              <w:t>2016-17</w:t>
            </w:r>
          </w:p>
        </w:tc>
        <w:tc>
          <w:tcPr>
            <w:tcW w:w="1914" w:type="dxa"/>
            <w:hideMark/>
          </w:tcPr>
          <w:p w14:paraId="7C60E3DC" w14:textId="77777777" w:rsidR="006E3F10" w:rsidRPr="006E3F10" w:rsidRDefault="006E3F10" w:rsidP="001C2B9A">
            <w:pPr>
              <w:pStyle w:val="TableHeading"/>
              <w:rPr>
                <w:lang w:val="en-GB"/>
              </w:rPr>
            </w:pPr>
            <w:r w:rsidRPr="006E3F10">
              <w:rPr>
                <w:lang w:val="en-GB"/>
              </w:rPr>
              <w:t>2015-16</w:t>
            </w:r>
          </w:p>
        </w:tc>
      </w:tr>
      <w:tr w:rsidR="00BA0839" w:rsidRPr="006E3F10" w14:paraId="21B7FF05" w14:textId="77777777" w:rsidTr="00316384">
        <w:trPr>
          <w:cantSplit/>
        </w:trPr>
        <w:tc>
          <w:tcPr>
            <w:tcW w:w="6658" w:type="dxa"/>
            <w:hideMark/>
          </w:tcPr>
          <w:p w14:paraId="56D6F77B" w14:textId="77777777" w:rsidR="006E3F10" w:rsidRPr="006E3F10" w:rsidRDefault="006E3F10" w:rsidP="001C2B9A">
            <w:pPr>
              <w:pStyle w:val="TableCopy"/>
              <w:rPr>
                <w:lang w:val="en-GB"/>
              </w:rPr>
            </w:pPr>
            <w:r w:rsidRPr="006E3F10">
              <w:rPr>
                <w:lang w:val="en-GB"/>
              </w:rPr>
              <w:t>Total greenhouse gas emissions from energy (t CO</w:t>
            </w:r>
            <w:r w:rsidRPr="006E3F10">
              <w:rPr>
                <w:vertAlign w:val="subscript"/>
                <w:lang w:val="en-GB"/>
              </w:rPr>
              <w:t>2</w:t>
            </w:r>
            <w:r w:rsidRPr="006E3F10">
              <w:rPr>
                <w:lang w:val="en-GB"/>
              </w:rPr>
              <w:t xml:space="preserve"> e)</w:t>
            </w:r>
          </w:p>
        </w:tc>
        <w:tc>
          <w:tcPr>
            <w:tcW w:w="1913" w:type="dxa"/>
            <w:hideMark/>
          </w:tcPr>
          <w:p w14:paraId="0FE11822" w14:textId="77777777" w:rsidR="006E3F10" w:rsidRPr="001C2B9A" w:rsidRDefault="006E3F10" w:rsidP="001C2B9A">
            <w:pPr>
              <w:pStyle w:val="TableCopy"/>
              <w:rPr>
                <w:b/>
                <w:lang w:val="en-GB"/>
              </w:rPr>
            </w:pPr>
            <w:r w:rsidRPr="001C2B9A">
              <w:rPr>
                <w:b/>
                <w:lang w:val="en-GB"/>
              </w:rPr>
              <w:t>1.08</w:t>
            </w:r>
          </w:p>
        </w:tc>
        <w:tc>
          <w:tcPr>
            <w:tcW w:w="1914" w:type="dxa"/>
            <w:hideMark/>
          </w:tcPr>
          <w:p w14:paraId="496779C9" w14:textId="77777777" w:rsidR="006E3F10" w:rsidRPr="006E3F10" w:rsidRDefault="006E3F10" w:rsidP="001C2B9A">
            <w:pPr>
              <w:pStyle w:val="TableCopy"/>
              <w:rPr>
                <w:lang w:val="en-GB"/>
              </w:rPr>
            </w:pPr>
            <w:r w:rsidRPr="006E3F10">
              <w:rPr>
                <w:lang w:val="en-GB"/>
              </w:rPr>
              <w:t>0.03</w:t>
            </w:r>
          </w:p>
        </w:tc>
      </w:tr>
      <w:tr w:rsidR="00BA0839" w:rsidRPr="006E3F10" w14:paraId="5F91AACF" w14:textId="77777777" w:rsidTr="00316384">
        <w:trPr>
          <w:cantSplit/>
        </w:trPr>
        <w:tc>
          <w:tcPr>
            <w:tcW w:w="6658" w:type="dxa"/>
            <w:hideMark/>
          </w:tcPr>
          <w:p w14:paraId="2ABF24FB" w14:textId="77777777" w:rsidR="006E3F10" w:rsidRPr="006E3F10" w:rsidRDefault="006E3F10" w:rsidP="001C2B9A">
            <w:pPr>
              <w:pStyle w:val="TableCopy"/>
              <w:rPr>
                <w:lang w:val="en-GB"/>
              </w:rPr>
            </w:pPr>
            <w:r w:rsidRPr="006E3F10">
              <w:rPr>
                <w:lang w:val="en-GB"/>
              </w:rPr>
              <w:t>Total greenhouse gas emissions from vehicle use (t CO</w:t>
            </w:r>
            <w:r w:rsidRPr="006E3F10">
              <w:rPr>
                <w:vertAlign w:val="subscript"/>
                <w:lang w:val="en-GB"/>
              </w:rPr>
              <w:t>2</w:t>
            </w:r>
            <w:r w:rsidRPr="006E3F10">
              <w:rPr>
                <w:lang w:val="en-GB"/>
              </w:rPr>
              <w:t xml:space="preserve"> e)</w:t>
            </w:r>
          </w:p>
        </w:tc>
        <w:tc>
          <w:tcPr>
            <w:tcW w:w="1913" w:type="dxa"/>
            <w:hideMark/>
          </w:tcPr>
          <w:p w14:paraId="01FA7393" w14:textId="77777777" w:rsidR="006E3F10" w:rsidRPr="001C2B9A" w:rsidRDefault="006E3F10" w:rsidP="001C2B9A">
            <w:pPr>
              <w:pStyle w:val="TableCopy"/>
              <w:rPr>
                <w:b/>
                <w:lang w:val="en-GB"/>
              </w:rPr>
            </w:pPr>
            <w:r w:rsidRPr="001C2B9A">
              <w:rPr>
                <w:b/>
                <w:lang w:val="en-GB"/>
              </w:rPr>
              <w:t>n/a</w:t>
            </w:r>
          </w:p>
        </w:tc>
        <w:tc>
          <w:tcPr>
            <w:tcW w:w="1914" w:type="dxa"/>
            <w:hideMark/>
          </w:tcPr>
          <w:p w14:paraId="00307F56" w14:textId="77777777" w:rsidR="006E3F10" w:rsidRPr="006E3F10" w:rsidRDefault="006E3F10" w:rsidP="001C2B9A">
            <w:pPr>
              <w:pStyle w:val="TableCopy"/>
              <w:rPr>
                <w:lang w:val="en-GB"/>
              </w:rPr>
            </w:pPr>
            <w:r w:rsidRPr="006E3F10">
              <w:rPr>
                <w:lang w:val="en-GB"/>
              </w:rPr>
              <w:t>0.25</w:t>
            </w:r>
          </w:p>
        </w:tc>
      </w:tr>
      <w:tr w:rsidR="00BA0839" w:rsidRPr="006E3F10" w14:paraId="61FF2F71" w14:textId="77777777" w:rsidTr="00316384">
        <w:trPr>
          <w:cantSplit/>
        </w:trPr>
        <w:tc>
          <w:tcPr>
            <w:tcW w:w="6658" w:type="dxa"/>
            <w:hideMark/>
          </w:tcPr>
          <w:p w14:paraId="7252AA3F" w14:textId="77777777" w:rsidR="006E3F10" w:rsidRPr="006E3F10" w:rsidRDefault="006E3F10" w:rsidP="001C2B9A">
            <w:pPr>
              <w:pStyle w:val="TableCopy"/>
              <w:rPr>
                <w:lang w:val="en-GB"/>
              </w:rPr>
            </w:pPr>
            <w:r w:rsidRPr="006E3F10">
              <w:rPr>
                <w:lang w:val="en-GB"/>
              </w:rPr>
              <w:t>Total greenhouse gas emissions from air travel (t CO</w:t>
            </w:r>
            <w:r w:rsidRPr="006E3F10">
              <w:rPr>
                <w:vertAlign w:val="subscript"/>
                <w:lang w:val="en-GB"/>
              </w:rPr>
              <w:t>2</w:t>
            </w:r>
            <w:r w:rsidRPr="006E3F10">
              <w:rPr>
                <w:lang w:val="en-GB"/>
              </w:rPr>
              <w:t xml:space="preserve"> e)</w:t>
            </w:r>
          </w:p>
        </w:tc>
        <w:tc>
          <w:tcPr>
            <w:tcW w:w="1913" w:type="dxa"/>
            <w:hideMark/>
          </w:tcPr>
          <w:p w14:paraId="685A27C6" w14:textId="77777777" w:rsidR="006E3F10" w:rsidRPr="001C2B9A" w:rsidRDefault="006E3F10" w:rsidP="001C2B9A">
            <w:pPr>
              <w:pStyle w:val="TableCopy"/>
              <w:rPr>
                <w:b/>
                <w:lang w:val="en-GB"/>
              </w:rPr>
            </w:pPr>
            <w:r w:rsidRPr="001C2B9A">
              <w:rPr>
                <w:b/>
                <w:lang w:val="en-GB"/>
              </w:rPr>
              <w:t>n/a</w:t>
            </w:r>
          </w:p>
        </w:tc>
        <w:tc>
          <w:tcPr>
            <w:tcW w:w="1914" w:type="dxa"/>
            <w:hideMark/>
          </w:tcPr>
          <w:p w14:paraId="65B4BE8E" w14:textId="77777777" w:rsidR="006E3F10" w:rsidRPr="006E3F10" w:rsidRDefault="006E3F10" w:rsidP="001C2B9A">
            <w:pPr>
              <w:pStyle w:val="TableCopy"/>
              <w:rPr>
                <w:lang w:val="en-GB"/>
              </w:rPr>
            </w:pPr>
            <w:r w:rsidRPr="006E3F10">
              <w:rPr>
                <w:lang w:val="en-GB"/>
              </w:rPr>
              <w:t>n/a</w:t>
            </w:r>
          </w:p>
        </w:tc>
      </w:tr>
      <w:tr w:rsidR="00BA0839" w:rsidRPr="006E3F10" w14:paraId="6BDA5E2B" w14:textId="77777777" w:rsidTr="00316384">
        <w:trPr>
          <w:cantSplit/>
        </w:trPr>
        <w:tc>
          <w:tcPr>
            <w:tcW w:w="6658" w:type="dxa"/>
            <w:hideMark/>
          </w:tcPr>
          <w:p w14:paraId="15CBE46F" w14:textId="77777777" w:rsidR="006E3F10" w:rsidRPr="006E3F10" w:rsidRDefault="006E3F10" w:rsidP="001C2B9A">
            <w:pPr>
              <w:pStyle w:val="TableCopy"/>
              <w:rPr>
                <w:lang w:val="en-GB"/>
              </w:rPr>
            </w:pPr>
            <w:r w:rsidRPr="006E3F10">
              <w:rPr>
                <w:lang w:val="en-GB"/>
              </w:rPr>
              <w:t>Total greenhouse gas emissions from waste (t CO</w:t>
            </w:r>
            <w:r w:rsidRPr="006E3F10">
              <w:rPr>
                <w:vertAlign w:val="subscript"/>
                <w:lang w:val="en-GB"/>
              </w:rPr>
              <w:t>2</w:t>
            </w:r>
            <w:r w:rsidRPr="006E3F10">
              <w:rPr>
                <w:lang w:val="en-GB"/>
              </w:rPr>
              <w:t xml:space="preserve"> e)</w:t>
            </w:r>
          </w:p>
        </w:tc>
        <w:tc>
          <w:tcPr>
            <w:tcW w:w="1913" w:type="dxa"/>
            <w:hideMark/>
          </w:tcPr>
          <w:p w14:paraId="4A073CC2" w14:textId="77777777" w:rsidR="006E3F10" w:rsidRPr="001C2B9A" w:rsidRDefault="006E3F10" w:rsidP="001C2B9A">
            <w:pPr>
              <w:pStyle w:val="TableCopy"/>
              <w:rPr>
                <w:b/>
                <w:lang w:val="en-GB"/>
              </w:rPr>
            </w:pPr>
            <w:r w:rsidRPr="001C2B9A">
              <w:rPr>
                <w:b/>
                <w:lang w:val="en-GB"/>
              </w:rPr>
              <w:t>4.50</w:t>
            </w:r>
          </w:p>
        </w:tc>
        <w:tc>
          <w:tcPr>
            <w:tcW w:w="1914" w:type="dxa"/>
            <w:hideMark/>
          </w:tcPr>
          <w:p w14:paraId="12B2AE6E" w14:textId="77777777" w:rsidR="006E3F10" w:rsidRPr="006E3F10" w:rsidRDefault="006E3F10" w:rsidP="001C2B9A">
            <w:pPr>
              <w:pStyle w:val="TableCopy"/>
              <w:rPr>
                <w:lang w:val="en-GB"/>
              </w:rPr>
            </w:pPr>
            <w:r w:rsidRPr="006E3F10">
              <w:rPr>
                <w:lang w:val="en-GB"/>
              </w:rPr>
              <w:t>4.41</w:t>
            </w:r>
          </w:p>
        </w:tc>
      </w:tr>
      <w:tr w:rsidR="00BA0839" w:rsidRPr="006E3F10" w14:paraId="5DC5FE3B" w14:textId="77777777" w:rsidTr="00316384">
        <w:trPr>
          <w:cantSplit/>
        </w:trPr>
        <w:tc>
          <w:tcPr>
            <w:tcW w:w="6658" w:type="dxa"/>
            <w:hideMark/>
          </w:tcPr>
          <w:p w14:paraId="335B77E8" w14:textId="77777777" w:rsidR="006E3F10" w:rsidRPr="006E3F10" w:rsidRDefault="006E3F10" w:rsidP="001C2B9A">
            <w:pPr>
              <w:pStyle w:val="TableCopy"/>
              <w:rPr>
                <w:lang w:val="en-GB"/>
              </w:rPr>
            </w:pPr>
            <w:r w:rsidRPr="006E3F10">
              <w:rPr>
                <w:lang w:val="en-GB"/>
              </w:rPr>
              <w:t>Total greenhouse gas emissions offsets purchased (t CO</w:t>
            </w:r>
            <w:r w:rsidRPr="006E3F10">
              <w:rPr>
                <w:vertAlign w:val="subscript"/>
                <w:lang w:val="en-GB"/>
              </w:rPr>
              <w:t>2</w:t>
            </w:r>
            <w:r w:rsidRPr="006E3F10">
              <w:rPr>
                <w:lang w:val="en-GB"/>
              </w:rPr>
              <w:t xml:space="preserve"> e)</w:t>
            </w:r>
          </w:p>
        </w:tc>
        <w:tc>
          <w:tcPr>
            <w:tcW w:w="1913" w:type="dxa"/>
            <w:hideMark/>
          </w:tcPr>
          <w:p w14:paraId="5713C27E" w14:textId="77777777" w:rsidR="006E3F10" w:rsidRPr="001C2B9A" w:rsidRDefault="006E3F10" w:rsidP="001C2B9A">
            <w:pPr>
              <w:pStyle w:val="TableCopy"/>
              <w:rPr>
                <w:b/>
                <w:lang w:val="en-GB"/>
              </w:rPr>
            </w:pPr>
            <w:r w:rsidRPr="001C2B9A">
              <w:rPr>
                <w:b/>
                <w:lang w:val="en-GB"/>
              </w:rPr>
              <w:t>0.00</w:t>
            </w:r>
          </w:p>
        </w:tc>
        <w:tc>
          <w:tcPr>
            <w:tcW w:w="1914" w:type="dxa"/>
            <w:hideMark/>
          </w:tcPr>
          <w:p w14:paraId="2C1932FE" w14:textId="77777777" w:rsidR="006E3F10" w:rsidRPr="006E3F10" w:rsidRDefault="006E3F10" w:rsidP="001C2B9A">
            <w:pPr>
              <w:pStyle w:val="TableCopy"/>
              <w:rPr>
                <w:lang w:val="en-GB"/>
              </w:rPr>
            </w:pPr>
            <w:r w:rsidRPr="006E3F10">
              <w:rPr>
                <w:lang w:val="en-GB"/>
              </w:rPr>
              <w:t>0.00</w:t>
            </w:r>
          </w:p>
        </w:tc>
      </w:tr>
    </w:tbl>
    <w:p w14:paraId="179DCCF6" w14:textId="77777777" w:rsidR="006E3F10" w:rsidRPr="006E3F10" w:rsidRDefault="006E3F10" w:rsidP="00D84537">
      <w:pPr>
        <w:pStyle w:val="Heading2"/>
        <w:rPr>
          <w:lang w:val="en-GB"/>
        </w:rPr>
      </w:pPr>
      <w:bookmarkStart w:id="62" w:name="_Toc494111990"/>
      <w:r w:rsidRPr="006E3F10">
        <w:rPr>
          <w:lang w:val="en-GB"/>
        </w:rPr>
        <w:t>Compliance</w:t>
      </w:r>
      <w:bookmarkEnd w:id="62"/>
      <w:r w:rsidRPr="006E3F10">
        <w:rPr>
          <w:lang w:val="en-GB"/>
        </w:rPr>
        <w:t> </w:t>
      </w:r>
    </w:p>
    <w:p w14:paraId="1BCCBDA1" w14:textId="77777777" w:rsidR="006E3F10" w:rsidRPr="006E3F10" w:rsidRDefault="006E3F10" w:rsidP="00D84537">
      <w:pPr>
        <w:pStyle w:val="Heading3"/>
        <w:rPr>
          <w:lang w:val="en-GB"/>
        </w:rPr>
      </w:pPr>
      <w:bookmarkStart w:id="63" w:name="_Toc494111991"/>
      <w:r w:rsidRPr="006E3F10">
        <w:rPr>
          <w:lang w:val="en-GB"/>
        </w:rPr>
        <w:t xml:space="preserve">The </w:t>
      </w:r>
      <w:r w:rsidRPr="00D84537">
        <w:rPr>
          <w:i/>
          <w:lang w:val="en-GB"/>
        </w:rPr>
        <w:t>Building Act 1993</w:t>
      </w:r>
      <w:bookmarkEnd w:id="63"/>
    </w:p>
    <w:p w14:paraId="18938F2D" w14:textId="061F67CF" w:rsidR="006E3F10" w:rsidRPr="006E3F10" w:rsidRDefault="006E3F10" w:rsidP="006E3F10">
      <w:pPr>
        <w:rPr>
          <w:lang w:val="en-GB"/>
        </w:rPr>
      </w:pPr>
      <w:r w:rsidRPr="006E3F10">
        <w:rPr>
          <w:lang w:val="en-GB"/>
        </w:rPr>
        <w:t>VPSC does not own or control any Government buildings and consequently is exempt from not</w:t>
      </w:r>
      <w:r w:rsidR="00A6580C">
        <w:rPr>
          <w:lang w:val="en-GB"/>
        </w:rPr>
        <w:t xml:space="preserve">ifying </w:t>
      </w:r>
      <w:r w:rsidRPr="006E3F10">
        <w:rPr>
          <w:lang w:val="en-GB"/>
        </w:rPr>
        <w:t xml:space="preserve">its compliance with the building and maintenance provisions of the </w:t>
      </w:r>
      <w:r w:rsidRPr="006E3F10">
        <w:rPr>
          <w:i/>
          <w:iCs/>
          <w:lang w:val="en-GB"/>
        </w:rPr>
        <w:t xml:space="preserve">Building Act 1993 </w:t>
      </w:r>
      <w:r w:rsidR="00A6580C">
        <w:rPr>
          <w:lang w:val="en-GB"/>
        </w:rPr>
        <w:t xml:space="preserve">(for publicly </w:t>
      </w:r>
      <w:r w:rsidRPr="006E3F10">
        <w:rPr>
          <w:lang w:val="en-GB"/>
        </w:rPr>
        <w:t>owned buildings controlled by VPSC).</w:t>
      </w:r>
    </w:p>
    <w:p w14:paraId="6FE861F9" w14:textId="77777777" w:rsidR="006E3F10" w:rsidRPr="006E3F10" w:rsidRDefault="006E3F10" w:rsidP="00D84537">
      <w:pPr>
        <w:pStyle w:val="Heading3"/>
        <w:rPr>
          <w:lang w:val="en-GB"/>
        </w:rPr>
      </w:pPr>
      <w:bookmarkStart w:id="64" w:name="_Toc494111992"/>
      <w:r w:rsidRPr="006E3F10">
        <w:rPr>
          <w:lang w:val="en-GB"/>
        </w:rPr>
        <w:t xml:space="preserve">The </w:t>
      </w:r>
      <w:r w:rsidRPr="00D84537">
        <w:rPr>
          <w:i/>
          <w:lang w:val="en-GB"/>
        </w:rPr>
        <w:t>Freedom of Information Act 1982</w:t>
      </w:r>
      <w:bookmarkEnd w:id="64"/>
    </w:p>
    <w:p w14:paraId="4103893D" w14:textId="4B7EF2E0" w:rsidR="006E3F10" w:rsidRPr="006E3F10" w:rsidRDefault="006E3F10" w:rsidP="006E3F10">
      <w:pPr>
        <w:rPr>
          <w:lang w:val="en-GB"/>
        </w:rPr>
      </w:pPr>
      <w:r w:rsidRPr="006E3F10">
        <w:rPr>
          <w:lang w:val="en-GB"/>
        </w:rPr>
        <w:t xml:space="preserve">VPSC is subject to the </w:t>
      </w:r>
      <w:r w:rsidRPr="006E3F10">
        <w:rPr>
          <w:i/>
          <w:iCs/>
          <w:lang w:val="en-GB"/>
        </w:rPr>
        <w:t>Freedom and Information Act 1982</w:t>
      </w:r>
      <w:r w:rsidRPr="006E3F10">
        <w:rPr>
          <w:lang w:val="en-GB"/>
        </w:rPr>
        <w:t>. VPSC complied with</w:t>
      </w:r>
      <w:r w:rsidR="00A6580C">
        <w:rPr>
          <w:lang w:val="en-GB"/>
        </w:rPr>
        <w:t xml:space="preserve"> its responsibilities </w:t>
      </w:r>
      <w:r w:rsidRPr="006E3F10">
        <w:rPr>
          <w:lang w:val="en-GB"/>
        </w:rPr>
        <w:t xml:space="preserve">for implementing the </w:t>
      </w:r>
      <w:r w:rsidRPr="006E3F10">
        <w:rPr>
          <w:i/>
          <w:iCs/>
          <w:lang w:val="en-GB"/>
        </w:rPr>
        <w:t xml:space="preserve">Government’s Freedom of Information policy </w:t>
      </w:r>
      <w:r w:rsidRPr="006E3F10">
        <w:rPr>
          <w:lang w:val="en-GB"/>
        </w:rPr>
        <w:t>in 2016-17.</w:t>
      </w:r>
    </w:p>
    <w:p w14:paraId="3FB4C5B2" w14:textId="77777777" w:rsidR="006E3F10" w:rsidRPr="006E3F10" w:rsidRDefault="006E3F10" w:rsidP="00D84537">
      <w:pPr>
        <w:pStyle w:val="Heading3"/>
        <w:rPr>
          <w:lang w:val="en-GB"/>
        </w:rPr>
      </w:pPr>
      <w:bookmarkStart w:id="65" w:name="_Toc494111993"/>
      <w:r w:rsidRPr="006E3F10">
        <w:rPr>
          <w:lang w:val="en-GB"/>
        </w:rPr>
        <w:lastRenderedPageBreak/>
        <w:t>National Competition Policy</w:t>
      </w:r>
      <w:bookmarkEnd w:id="65"/>
    </w:p>
    <w:p w14:paraId="15112405" w14:textId="6E51D7D2" w:rsidR="006E3F10" w:rsidRPr="006E3F10" w:rsidRDefault="006E3F10" w:rsidP="006E3F10">
      <w:pPr>
        <w:rPr>
          <w:lang w:val="en-GB"/>
        </w:rPr>
      </w:pPr>
      <w:r w:rsidRPr="006E3F10">
        <w:rPr>
          <w:lang w:val="en-GB"/>
        </w:rPr>
        <w:t>As a portfolio agency, VPSC’s information on compliance is include</w:t>
      </w:r>
      <w:r w:rsidR="00A6580C">
        <w:rPr>
          <w:lang w:val="en-GB"/>
        </w:rPr>
        <w:t xml:space="preserve">d in the Department of Premier </w:t>
      </w:r>
      <w:r w:rsidRPr="006E3F10">
        <w:rPr>
          <w:lang w:val="en-GB"/>
        </w:rPr>
        <w:t>and Cabinet’s Annual Report.</w:t>
      </w:r>
    </w:p>
    <w:p w14:paraId="4D9F8BF0" w14:textId="77777777" w:rsidR="006E3F10" w:rsidRPr="006E3F10" w:rsidRDefault="006E3F10" w:rsidP="00D84537">
      <w:pPr>
        <w:pStyle w:val="Heading3"/>
        <w:rPr>
          <w:lang w:val="en-GB"/>
        </w:rPr>
      </w:pPr>
      <w:bookmarkStart w:id="66" w:name="_Toc494111994"/>
      <w:r w:rsidRPr="006E3F10">
        <w:rPr>
          <w:lang w:val="en-GB"/>
        </w:rPr>
        <w:t xml:space="preserve">The </w:t>
      </w:r>
      <w:r w:rsidRPr="00D84537">
        <w:rPr>
          <w:i/>
          <w:lang w:val="en-GB"/>
        </w:rPr>
        <w:t>Protected Disclosure Act 2012</w:t>
      </w:r>
      <w:r w:rsidRPr="006E3F10">
        <w:rPr>
          <w:lang w:val="en-GB"/>
        </w:rPr>
        <w:t xml:space="preserve"> (formerly </w:t>
      </w:r>
      <w:r w:rsidRPr="00D84537">
        <w:rPr>
          <w:i/>
          <w:lang w:val="en-GB"/>
        </w:rPr>
        <w:t>Whistleblowers Protection Act 2001</w:t>
      </w:r>
      <w:r w:rsidRPr="006E3F10">
        <w:rPr>
          <w:lang w:val="en-GB"/>
        </w:rPr>
        <w:t>)</w:t>
      </w:r>
      <w:bookmarkEnd w:id="66"/>
    </w:p>
    <w:p w14:paraId="7CC851E5" w14:textId="77777777" w:rsidR="006E3F10" w:rsidRPr="006E3F10" w:rsidRDefault="006E3F10" w:rsidP="006E3F10">
      <w:pPr>
        <w:rPr>
          <w:lang w:val="en-GB"/>
        </w:rPr>
      </w:pPr>
      <w:r w:rsidRPr="006E3F10">
        <w:rPr>
          <w:lang w:val="en-GB"/>
        </w:rPr>
        <w:t xml:space="preserve">The </w:t>
      </w:r>
      <w:r w:rsidRPr="006E3F10">
        <w:rPr>
          <w:i/>
          <w:iCs/>
          <w:lang w:val="en-GB"/>
        </w:rPr>
        <w:t>Protected Disclosure Act 2012</w:t>
      </w:r>
      <w:r w:rsidRPr="006E3F10">
        <w:rPr>
          <w:lang w:val="en-GB"/>
        </w:rPr>
        <w:t xml:space="preserve"> encourages and assists people in making disclosures of improper conduct by public officers and public bodies. The Act provides protection to prepare people who make disclosures in accordance with the Act and establishes a system for the matters to be disclosed, investigated and rectifying action to be taken.</w:t>
      </w:r>
    </w:p>
    <w:p w14:paraId="2BFACAFC" w14:textId="2A5087BF" w:rsidR="006E3F10" w:rsidRPr="006E3F10" w:rsidRDefault="006E3F10" w:rsidP="006E3F10">
      <w:pPr>
        <w:rPr>
          <w:lang w:val="en-GB"/>
        </w:rPr>
      </w:pPr>
      <w:r w:rsidRPr="006E3F10">
        <w:rPr>
          <w:lang w:val="en-GB"/>
        </w:rPr>
        <w:t xml:space="preserve">VPSC does not tolerate improper conduct of employees, nor the taking of reprisals against </w:t>
      </w:r>
      <w:r w:rsidR="00A6580C">
        <w:rPr>
          <w:lang w:val="en-GB"/>
        </w:rPr>
        <w:t xml:space="preserve">those who </w:t>
      </w:r>
      <w:r w:rsidRPr="006E3F10">
        <w:rPr>
          <w:lang w:val="en-GB"/>
        </w:rPr>
        <w:t>come forward to disclose such conduct. It is committed to ensuring t</w:t>
      </w:r>
      <w:r w:rsidR="00A6580C">
        <w:rPr>
          <w:lang w:val="en-GB"/>
        </w:rPr>
        <w:t xml:space="preserve">ransparency and accountability </w:t>
      </w:r>
      <w:r w:rsidRPr="006E3F10">
        <w:rPr>
          <w:lang w:val="en-GB"/>
        </w:rPr>
        <w:t>in its administrative and management practices and supports the mak</w:t>
      </w:r>
      <w:r w:rsidR="00A6580C">
        <w:rPr>
          <w:lang w:val="en-GB"/>
        </w:rPr>
        <w:t xml:space="preserve">ing of disclosures that reveal </w:t>
      </w:r>
      <w:r w:rsidRPr="006E3F10">
        <w:rPr>
          <w:lang w:val="en-GB"/>
        </w:rPr>
        <w:t>corrupt conduct, conduct involving substantial mismanagement o</w:t>
      </w:r>
      <w:r w:rsidR="00A6580C">
        <w:rPr>
          <w:lang w:val="en-GB"/>
        </w:rPr>
        <w:t xml:space="preserve">f public resources, or conduct </w:t>
      </w:r>
      <w:r w:rsidRPr="006E3F10">
        <w:rPr>
          <w:lang w:val="en-GB"/>
        </w:rPr>
        <w:t>involving a substantial risk to public health and safety or the environment.</w:t>
      </w:r>
    </w:p>
    <w:p w14:paraId="4F49E4B6" w14:textId="77777777" w:rsidR="006E3F10" w:rsidRPr="006E3F10" w:rsidRDefault="006E3F10" w:rsidP="006E3F10">
      <w:pPr>
        <w:rPr>
          <w:lang w:val="en-GB"/>
        </w:rPr>
      </w:pPr>
      <w:r w:rsidRPr="006E3F10">
        <w:rPr>
          <w:lang w:val="en-GB"/>
        </w:rPr>
        <w:t>VPSC will take all reasonable steps to protect people who make such disclosures from any detrimental action in reprisal for making the disclosure to the extent it is legally possible.</w:t>
      </w:r>
    </w:p>
    <w:p w14:paraId="60D7F8AD" w14:textId="77777777" w:rsidR="006E3F10" w:rsidRPr="006E3F10" w:rsidRDefault="006E3F10" w:rsidP="00D84537">
      <w:pPr>
        <w:pStyle w:val="Heading4"/>
        <w:rPr>
          <w:lang w:val="en-GB"/>
        </w:rPr>
      </w:pPr>
      <w:r w:rsidRPr="006E3F10">
        <w:rPr>
          <w:lang w:val="en-GB"/>
        </w:rPr>
        <w:t>Reporting Procedures</w:t>
      </w:r>
    </w:p>
    <w:p w14:paraId="586BE787" w14:textId="7A22AF7C" w:rsidR="006E3F10" w:rsidRPr="006E3F10" w:rsidRDefault="006E3F10" w:rsidP="006E3F10">
      <w:pPr>
        <w:rPr>
          <w:lang w:val="en-GB"/>
        </w:rPr>
      </w:pPr>
      <w:r w:rsidRPr="006E3F10">
        <w:rPr>
          <w:lang w:val="en-GB"/>
        </w:rPr>
        <w:t>Disclosures of improper conduct or detrimental action by the Depa</w:t>
      </w:r>
      <w:r w:rsidR="00B5062F">
        <w:rPr>
          <w:lang w:val="en-GB"/>
        </w:rPr>
        <w:t xml:space="preserve">rtment or any of its employees </w:t>
      </w:r>
      <w:r w:rsidRPr="006E3F10">
        <w:rPr>
          <w:lang w:val="en-GB"/>
        </w:rPr>
        <w:t>and/or officers may be made to VPSC’s Protected Disclosure Coordinator or alternative</w:t>
      </w:r>
      <w:r w:rsidR="00B5062F">
        <w:rPr>
          <w:lang w:val="en-GB"/>
        </w:rPr>
        <w:t xml:space="preserve">ly, disclosures </w:t>
      </w:r>
      <w:r w:rsidRPr="006E3F10">
        <w:rPr>
          <w:lang w:val="en-GB"/>
        </w:rPr>
        <w:t>may be made directly to the Independent Broad-based Anti-corruption Commission:</w:t>
      </w:r>
    </w:p>
    <w:p w14:paraId="31F49B59" w14:textId="02AD5F0E" w:rsidR="00D56122" w:rsidRDefault="006E3F10" w:rsidP="006E3F10">
      <w:pPr>
        <w:rPr>
          <w:b/>
          <w:lang w:val="en-GB"/>
        </w:rPr>
      </w:pPr>
      <w:r w:rsidRPr="006E3F10">
        <w:rPr>
          <w:lang w:val="en-GB"/>
        </w:rPr>
        <w:t>Level1, North Tower</w:t>
      </w:r>
      <w:r w:rsidRPr="006E3F10">
        <w:rPr>
          <w:lang w:val="en-GB"/>
        </w:rPr>
        <w:br/>
        <w:t>459 Collins Street</w:t>
      </w:r>
      <w:r w:rsidRPr="006E3F10">
        <w:rPr>
          <w:lang w:val="en-GB"/>
        </w:rPr>
        <w:br/>
        <w:t>Melbourne, VIC 3000</w:t>
      </w:r>
      <w:r w:rsidRPr="006E3F10">
        <w:rPr>
          <w:lang w:val="en-GB"/>
        </w:rPr>
        <w:br/>
        <w:t>Phone: 1300 735 135</w:t>
      </w:r>
      <w:r w:rsidRPr="006E3F10">
        <w:rPr>
          <w:lang w:val="en-GB"/>
        </w:rPr>
        <w:br/>
      </w:r>
      <w:hyperlink r:id="rId12" w:history="1">
        <w:r w:rsidR="00D56122" w:rsidRPr="00C07116">
          <w:rPr>
            <w:rStyle w:val="Hyperlink"/>
            <w:b/>
            <w:lang w:val="en-GB"/>
          </w:rPr>
          <w:t>www.ibac.vic.gov.au</w:t>
        </w:r>
      </w:hyperlink>
    </w:p>
    <w:p w14:paraId="4FB32429" w14:textId="77777777" w:rsidR="006E3F10" w:rsidRPr="006E3F10" w:rsidRDefault="006E3F10" w:rsidP="00D84537">
      <w:pPr>
        <w:pStyle w:val="Heading4"/>
        <w:rPr>
          <w:lang w:val="en-GB"/>
        </w:rPr>
      </w:pPr>
      <w:r w:rsidRPr="006E3F10">
        <w:rPr>
          <w:lang w:val="en-GB"/>
        </w:rPr>
        <w:t>Further Information</w:t>
      </w:r>
    </w:p>
    <w:p w14:paraId="267F0CF7" w14:textId="64E9DCE5" w:rsidR="006E3F10" w:rsidRPr="006E3F10" w:rsidRDefault="006E3F10" w:rsidP="006E3F10">
      <w:pPr>
        <w:rPr>
          <w:lang w:val="en-GB"/>
        </w:rPr>
      </w:pPr>
      <w:r w:rsidRPr="006E3F10">
        <w:rPr>
          <w:lang w:val="en-GB"/>
        </w:rPr>
        <w:t xml:space="preserve">The </w:t>
      </w:r>
      <w:r w:rsidRPr="006E3F10">
        <w:rPr>
          <w:i/>
          <w:iCs/>
          <w:lang w:val="en-GB"/>
        </w:rPr>
        <w:t>Protected Disclosure Policy and Procedures</w:t>
      </w:r>
      <w:r w:rsidRPr="006E3F10">
        <w:rPr>
          <w:lang w:val="en-GB"/>
        </w:rPr>
        <w:t>, which outline the proce</w:t>
      </w:r>
      <w:r w:rsidR="00B5062F">
        <w:rPr>
          <w:lang w:val="en-GB"/>
        </w:rPr>
        <w:t xml:space="preserve">dure for reporting disclosures </w:t>
      </w:r>
      <w:r w:rsidRPr="006E3F10">
        <w:rPr>
          <w:lang w:val="en-GB"/>
        </w:rPr>
        <w:t>of improper conduct or detrimental action by VPSC or any of its employees</w:t>
      </w:r>
      <w:r w:rsidR="00B5062F">
        <w:rPr>
          <w:lang w:val="en-GB"/>
        </w:rPr>
        <w:t xml:space="preserve"> and/or officers are available </w:t>
      </w:r>
      <w:r w:rsidRPr="006E3F10">
        <w:rPr>
          <w:lang w:val="en-GB"/>
        </w:rPr>
        <w:t>on the VPSC website.</w:t>
      </w:r>
    </w:p>
    <w:p w14:paraId="5B8534E7" w14:textId="77777777" w:rsidR="006E3F10" w:rsidRPr="006E3F10" w:rsidRDefault="006E3F10" w:rsidP="00956F76">
      <w:pPr>
        <w:pStyle w:val="Heading3"/>
        <w:rPr>
          <w:lang w:val="en-GB"/>
        </w:rPr>
      </w:pPr>
      <w:bookmarkStart w:id="67" w:name="_Toc494111995"/>
      <w:r w:rsidRPr="006E3F10">
        <w:rPr>
          <w:lang w:val="en-GB"/>
        </w:rPr>
        <w:t xml:space="preserve">Disclosures under the </w:t>
      </w:r>
      <w:r w:rsidRPr="00956F76">
        <w:rPr>
          <w:i/>
          <w:lang w:val="en-GB"/>
        </w:rPr>
        <w:t>Protected Disclosure Act 2012</w:t>
      </w:r>
      <w:bookmarkEnd w:id="67"/>
    </w:p>
    <w:p w14:paraId="05BB76C6" w14:textId="693EF400" w:rsidR="006E3F10" w:rsidRPr="006E3F10" w:rsidRDefault="006E3F10" w:rsidP="006E3F10">
      <w:pPr>
        <w:rPr>
          <w:lang w:val="en-GB"/>
        </w:rPr>
      </w:pPr>
      <w:r w:rsidRPr="006E3F10">
        <w:rPr>
          <w:lang w:val="en-GB"/>
        </w:rPr>
        <w:t xml:space="preserve">The table below indicates the number of disclosures made by an individual </w:t>
      </w:r>
      <w:r w:rsidR="00956F76">
        <w:rPr>
          <w:lang w:val="en-GB"/>
        </w:rPr>
        <w:t xml:space="preserve">to the Department and notified </w:t>
      </w:r>
      <w:r w:rsidRPr="006E3F10">
        <w:rPr>
          <w:lang w:val="en-GB"/>
        </w:rPr>
        <w:t>to the Independent Broad-based Anti-corruption Commission.</w:t>
      </w:r>
    </w:p>
    <w:tbl>
      <w:tblPr>
        <w:tblStyle w:val="TableGrid"/>
        <w:tblW w:w="0" w:type="auto"/>
        <w:tblLook w:val="04A0" w:firstRow="1" w:lastRow="0" w:firstColumn="1" w:lastColumn="0" w:noHBand="0" w:noVBand="1"/>
      </w:tblPr>
      <w:tblGrid>
        <w:gridCol w:w="3397"/>
        <w:gridCol w:w="2315"/>
        <w:gridCol w:w="2315"/>
        <w:gridCol w:w="2316"/>
      </w:tblGrid>
      <w:tr w:rsidR="00A80AAE" w:rsidRPr="006E3F10" w14:paraId="5B4199DD" w14:textId="77777777" w:rsidTr="00A80AAE">
        <w:tc>
          <w:tcPr>
            <w:tcW w:w="3397" w:type="dxa"/>
            <w:hideMark/>
          </w:tcPr>
          <w:p w14:paraId="03C83D42" w14:textId="77777777" w:rsidR="006E3F10" w:rsidRPr="006E3F10" w:rsidRDefault="006E3F10" w:rsidP="006E3F10">
            <w:pPr>
              <w:rPr>
                <w:lang w:val="en-GB"/>
              </w:rPr>
            </w:pPr>
          </w:p>
        </w:tc>
        <w:tc>
          <w:tcPr>
            <w:tcW w:w="2315" w:type="dxa"/>
            <w:hideMark/>
          </w:tcPr>
          <w:p w14:paraId="33E2D0B6" w14:textId="77777777" w:rsidR="006E3F10" w:rsidRPr="006E3F10" w:rsidRDefault="006E3F10" w:rsidP="00E74EFE">
            <w:pPr>
              <w:pStyle w:val="TableHeading"/>
              <w:rPr>
                <w:lang w:val="en-GB"/>
              </w:rPr>
            </w:pPr>
            <w:r w:rsidRPr="006E3F10">
              <w:rPr>
                <w:lang w:val="en-GB"/>
              </w:rPr>
              <w:t>2016-17</w:t>
            </w:r>
          </w:p>
        </w:tc>
        <w:tc>
          <w:tcPr>
            <w:tcW w:w="2315" w:type="dxa"/>
            <w:hideMark/>
          </w:tcPr>
          <w:p w14:paraId="1F6DB7C0" w14:textId="77777777" w:rsidR="006E3F10" w:rsidRPr="006E3F10" w:rsidRDefault="006E3F10" w:rsidP="00E74EFE">
            <w:pPr>
              <w:pStyle w:val="TableHeading"/>
              <w:rPr>
                <w:lang w:val="en-GB"/>
              </w:rPr>
            </w:pPr>
            <w:r w:rsidRPr="006E3F10">
              <w:rPr>
                <w:lang w:val="en-GB"/>
              </w:rPr>
              <w:t>2015-16</w:t>
            </w:r>
          </w:p>
        </w:tc>
        <w:tc>
          <w:tcPr>
            <w:tcW w:w="2316" w:type="dxa"/>
            <w:hideMark/>
          </w:tcPr>
          <w:p w14:paraId="4F2F0E3A" w14:textId="77777777" w:rsidR="006E3F10" w:rsidRPr="006E3F10" w:rsidRDefault="006E3F10" w:rsidP="00E74EFE">
            <w:pPr>
              <w:pStyle w:val="TableHeading"/>
              <w:rPr>
                <w:lang w:val="en-GB"/>
              </w:rPr>
            </w:pPr>
            <w:r w:rsidRPr="006E3F10">
              <w:rPr>
                <w:lang w:val="en-GB"/>
              </w:rPr>
              <w:t>2014-15</w:t>
            </w:r>
          </w:p>
        </w:tc>
      </w:tr>
      <w:tr w:rsidR="00A80AAE" w:rsidRPr="006E3F10" w14:paraId="6B60E165" w14:textId="77777777" w:rsidTr="00A80AAE">
        <w:tc>
          <w:tcPr>
            <w:tcW w:w="3397" w:type="dxa"/>
            <w:hideMark/>
          </w:tcPr>
          <w:p w14:paraId="7EB8A878" w14:textId="77777777" w:rsidR="006E3F10" w:rsidRPr="006E3F10" w:rsidRDefault="006E3F10" w:rsidP="00E74EFE">
            <w:pPr>
              <w:pStyle w:val="TableCopy"/>
              <w:rPr>
                <w:lang w:val="en-GB"/>
              </w:rPr>
            </w:pPr>
            <w:r w:rsidRPr="006E3F10">
              <w:rPr>
                <w:lang w:val="en-GB"/>
              </w:rPr>
              <w:t>Assessable disclosures</w:t>
            </w:r>
          </w:p>
        </w:tc>
        <w:tc>
          <w:tcPr>
            <w:tcW w:w="2315" w:type="dxa"/>
            <w:hideMark/>
          </w:tcPr>
          <w:p w14:paraId="0D240719" w14:textId="77777777" w:rsidR="006E3F10" w:rsidRPr="00DE76AA" w:rsidRDefault="006E3F10" w:rsidP="00E74EFE">
            <w:pPr>
              <w:pStyle w:val="TableCopy"/>
              <w:rPr>
                <w:b/>
                <w:lang w:val="en-GB"/>
              </w:rPr>
            </w:pPr>
            <w:r w:rsidRPr="00DE76AA">
              <w:rPr>
                <w:b/>
                <w:lang w:val="en-GB"/>
              </w:rPr>
              <w:t>0</w:t>
            </w:r>
          </w:p>
        </w:tc>
        <w:tc>
          <w:tcPr>
            <w:tcW w:w="2315" w:type="dxa"/>
            <w:hideMark/>
          </w:tcPr>
          <w:p w14:paraId="3A30F52B" w14:textId="77777777" w:rsidR="006E3F10" w:rsidRPr="006E3F10" w:rsidRDefault="006E3F10" w:rsidP="00E74EFE">
            <w:pPr>
              <w:pStyle w:val="TableCopy"/>
              <w:rPr>
                <w:lang w:val="en-GB"/>
              </w:rPr>
            </w:pPr>
            <w:r w:rsidRPr="006E3F10">
              <w:rPr>
                <w:lang w:val="en-GB"/>
              </w:rPr>
              <w:t>0</w:t>
            </w:r>
          </w:p>
        </w:tc>
        <w:tc>
          <w:tcPr>
            <w:tcW w:w="2316" w:type="dxa"/>
            <w:hideMark/>
          </w:tcPr>
          <w:p w14:paraId="033A371C" w14:textId="77777777" w:rsidR="006E3F10" w:rsidRPr="006E3F10" w:rsidRDefault="006E3F10" w:rsidP="00E74EFE">
            <w:pPr>
              <w:pStyle w:val="TableCopy"/>
              <w:rPr>
                <w:lang w:val="en-GB"/>
              </w:rPr>
            </w:pPr>
            <w:r w:rsidRPr="006E3F10">
              <w:rPr>
                <w:lang w:val="en-GB"/>
              </w:rPr>
              <w:t>n/a</w:t>
            </w:r>
          </w:p>
        </w:tc>
      </w:tr>
    </w:tbl>
    <w:p w14:paraId="5359B732" w14:textId="77777777" w:rsidR="006E3F10" w:rsidRPr="006E3F10" w:rsidRDefault="006E3F10" w:rsidP="00C65B44">
      <w:pPr>
        <w:pStyle w:val="Heading3"/>
        <w:rPr>
          <w:lang w:val="en-GB"/>
        </w:rPr>
      </w:pPr>
      <w:bookmarkStart w:id="68" w:name="_Toc494111996"/>
      <w:r w:rsidRPr="006E3F10">
        <w:rPr>
          <w:lang w:val="en-GB"/>
        </w:rPr>
        <w:t xml:space="preserve">The </w:t>
      </w:r>
      <w:r w:rsidRPr="00C65B44">
        <w:rPr>
          <w:i/>
          <w:lang w:val="en-GB"/>
        </w:rPr>
        <w:t>Carers Recognition Act 2012</w:t>
      </w:r>
      <w:bookmarkEnd w:id="68"/>
    </w:p>
    <w:p w14:paraId="33D5C91D" w14:textId="24A5F69C" w:rsidR="006E3F10" w:rsidRPr="006E3F10" w:rsidRDefault="006E3F10" w:rsidP="006E3F10">
      <w:pPr>
        <w:rPr>
          <w:lang w:val="en-GB"/>
        </w:rPr>
      </w:pPr>
      <w:r w:rsidRPr="006E3F10">
        <w:rPr>
          <w:lang w:val="en-GB"/>
        </w:rPr>
        <w:t>VPSC has taken all practical measures to comply with its obligations under the Act. This includes considering the carer relationship principles set out in the Act when setting policies and prov</w:t>
      </w:r>
      <w:r w:rsidR="00C65B44">
        <w:rPr>
          <w:lang w:val="en-GB"/>
        </w:rPr>
        <w:t xml:space="preserve">iding services (e.g. reviewing </w:t>
      </w:r>
      <w:r w:rsidRPr="006E3F10">
        <w:rPr>
          <w:lang w:val="en-GB"/>
        </w:rPr>
        <w:t>our employment policies such as flexible working arrangements and leave provisions to ensure these comply with the statement of principles in the Act).</w:t>
      </w:r>
    </w:p>
    <w:p w14:paraId="2B91301C" w14:textId="77777777" w:rsidR="006E3F10" w:rsidRPr="006E3F10" w:rsidRDefault="006E3F10" w:rsidP="00C65B44">
      <w:pPr>
        <w:pStyle w:val="Heading3"/>
        <w:rPr>
          <w:lang w:val="en-GB"/>
        </w:rPr>
      </w:pPr>
      <w:bookmarkStart w:id="69" w:name="_Toc494111997"/>
      <w:r w:rsidRPr="006E3F10">
        <w:rPr>
          <w:lang w:val="en-GB"/>
        </w:rPr>
        <w:t>Other Information</w:t>
      </w:r>
      <w:bookmarkEnd w:id="69"/>
    </w:p>
    <w:p w14:paraId="7BEF5C17" w14:textId="2E982DD9" w:rsidR="006E3F10" w:rsidRPr="006E3F10" w:rsidRDefault="006E3F10" w:rsidP="006E3F10">
      <w:pPr>
        <w:rPr>
          <w:lang w:val="en-GB"/>
        </w:rPr>
      </w:pPr>
      <w:r w:rsidRPr="006E3F10">
        <w:rPr>
          <w:lang w:val="en-GB"/>
        </w:rPr>
        <w:t>In compliance with the requirements of the Standing Directions of the Minister for Finance, details in respect of the terms listed below have now been retained by the Department and are</w:t>
      </w:r>
      <w:r w:rsidR="00C65B44">
        <w:rPr>
          <w:lang w:val="en-GB"/>
        </w:rPr>
        <w:t xml:space="preserve"> available on request, subject </w:t>
      </w:r>
      <w:r w:rsidRPr="006E3F10">
        <w:rPr>
          <w:lang w:val="en-GB"/>
        </w:rPr>
        <w:t xml:space="preserve">to the provisions of the </w:t>
      </w:r>
      <w:r w:rsidRPr="006E3F10">
        <w:rPr>
          <w:i/>
          <w:iCs/>
          <w:lang w:val="en-GB"/>
        </w:rPr>
        <w:t>Freedom of Information Act 1982</w:t>
      </w:r>
      <w:r w:rsidRPr="006E3F10">
        <w:rPr>
          <w:lang w:val="en-GB"/>
        </w:rPr>
        <w:t>.</w:t>
      </w:r>
    </w:p>
    <w:p w14:paraId="28ACC7DB" w14:textId="77777777" w:rsidR="006E3F10" w:rsidRPr="006E3F10" w:rsidRDefault="006E3F10" w:rsidP="00C65B44">
      <w:pPr>
        <w:pStyle w:val="Bullet"/>
        <w:rPr>
          <w:lang w:val="en-GB"/>
        </w:rPr>
      </w:pPr>
      <w:r w:rsidRPr="006E3F10">
        <w:rPr>
          <w:lang w:val="en-GB"/>
        </w:rPr>
        <w:lastRenderedPageBreak/>
        <w:t>a statement that declarations of pecuniary interest have been duly completed by all relevant officers</w:t>
      </w:r>
    </w:p>
    <w:p w14:paraId="077BECD0" w14:textId="39134A1B" w:rsidR="006E3F10" w:rsidRPr="006E3F10" w:rsidRDefault="006E3F10" w:rsidP="00C65B44">
      <w:pPr>
        <w:pStyle w:val="Bullet"/>
        <w:rPr>
          <w:lang w:val="en-GB"/>
        </w:rPr>
      </w:pPr>
      <w:r w:rsidRPr="006E3F10">
        <w:rPr>
          <w:lang w:val="en-GB"/>
        </w:rPr>
        <w:t>details of shares held by a senior officer as nominee or he</w:t>
      </w:r>
      <w:r w:rsidR="00C65B44">
        <w:rPr>
          <w:lang w:val="en-GB"/>
        </w:rPr>
        <w:t xml:space="preserve">ld beneficially in a statutory </w:t>
      </w:r>
      <w:r w:rsidRPr="006E3F10">
        <w:rPr>
          <w:lang w:val="en-GB"/>
        </w:rPr>
        <w:t>authority or subsidiary</w:t>
      </w:r>
    </w:p>
    <w:p w14:paraId="38388948" w14:textId="33002027" w:rsidR="006E3F10" w:rsidRPr="006E3F10" w:rsidRDefault="006E3F10" w:rsidP="00C65B44">
      <w:pPr>
        <w:pStyle w:val="Bullet"/>
        <w:rPr>
          <w:lang w:val="en-GB"/>
        </w:rPr>
      </w:pPr>
      <w:r w:rsidRPr="006E3F10">
        <w:rPr>
          <w:lang w:val="en-GB"/>
        </w:rPr>
        <w:t>details of publications produced by the entity, about th</w:t>
      </w:r>
      <w:r w:rsidR="00C65B44">
        <w:rPr>
          <w:lang w:val="en-GB"/>
        </w:rPr>
        <w:t xml:space="preserve">e entity, and the places where </w:t>
      </w:r>
      <w:r w:rsidRPr="006E3F10">
        <w:rPr>
          <w:lang w:val="en-GB"/>
        </w:rPr>
        <w:t>publications can be obtained</w:t>
      </w:r>
    </w:p>
    <w:p w14:paraId="6BF75EF4" w14:textId="77777777" w:rsidR="006E3F10" w:rsidRPr="006E3F10" w:rsidRDefault="006E3F10" w:rsidP="00C65B44">
      <w:pPr>
        <w:pStyle w:val="Bullet"/>
        <w:rPr>
          <w:lang w:val="en-GB"/>
        </w:rPr>
      </w:pPr>
      <w:r w:rsidRPr="006E3F10">
        <w:rPr>
          <w:lang w:val="en-GB"/>
        </w:rPr>
        <w:t>details of changes in prices, fees, charges, rates and levies charged by the entity</w:t>
      </w:r>
    </w:p>
    <w:p w14:paraId="0C02A1A4" w14:textId="77777777" w:rsidR="006E3F10" w:rsidRPr="006E3F10" w:rsidRDefault="006E3F10" w:rsidP="00C65B44">
      <w:pPr>
        <w:pStyle w:val="Bullet"/>
        <w:rPr>
          <w:lang w:val="en-GB"/>
        </w:rPr>
      </w:pPr>
      <w:r w:rsidRPr="006E3F10">
        <w:rPr>
          <w:lang w:val="en-GB"/>
        </w:rPr>
        <w:t>details of any major external reviews carried out by the entity</w:t>
      </w:r>
    </w:p>
    <w:p w14:paraId="5BFFD2BD" w14:textId="77777777" w:rsidR="006E3F10" w:rsidRPr="006E3F10" w:rsidRDefault="006E3F10" w:rsidP="00C65B44">
      <w:pPr>
        <w:pStyle w:val="Bullet"/>
        <w:rPr>
          <w:lang w:val="en-GB"/>
        </w:rPr>
      </w:pPr>
      <w:r w:rsidRPr="006E3F10">
        <w:rPr>
          <w:lang w:val="en-GB"/>
        </w:rPr>
        <w:t>details of any major research and development activities undertaken by the entity</w:t>
      </w:r>
    </w:p>
    <w:p w14:paraId="0044856A" w14:textId="77777777" w:rsidR="006E3F10" w:rsidRPr="006E3F10" w:rsidRDefault="006E3F10" w:rsidP="00C65B44">
      <w:pPr>
        <w:pStyle w:val="Bullet"/>
        <w:rPr>
          <w:lang w:val="en-GB"/>
        </w:rPr>
      </w:pPr>
      <w:r w:rsidRPr="006E3F10">
        <w:rPr>
          <w:lang w:val="en-GB"/>
        </w:rPr>
        <w:t>details of overseas visits undertaken including a summary of the objectives and outcomes of each visit</w:t>
      </w:r>
    </w:p>
    <w:p w14:paraId="5FBEE46F" w14:textId="77777777" w:rsidR="006E3F10" w:rsidRPr="006E3F10" w:rsidRDefault="006E3F10" w:rsidP="00C65B44">
      <w:pPr>
        <w:pStyle w:val="Bullet"/>
        <w:rPr>
          <w:lang w:val="en-GB"/>
        </w:rPr>
      </w:pPr>
      <w:r w:rsidRPr="006E3F10">
        <w:rPr>
          <w:lang w:val="en-GB"/>
        </w:rPr>
        <w:t>details of major promotional, public relations and marketing activities undertaken by the entity to develop community awareness of the entity and the services it provides</w:t>
      </w:r>
    </w:p>
    <w:p w14:paraId="394E679E" w14:textId="3B2D9AB1" w:rsidR="006E3F10" w:rsidRPr="006E3F10" w:rsidRDefault="006E3F10" w:rsidP="00C65B44">
      <w:pPr>
        <w:pStyle w:val="Bullet"/>
        <w:rPr>
          <w:lang w:val="en-GB"/>
        </w:rPr>
      </w:pPr>
      <w:r w:rsidRPr="006E3F10">
        <w:rPr>
          <w:lang w:val="en-GB"/>
        </w:rPr>
        <w:t>details of assessments and measures undertaken to i</w:t>
      </w:r>
      <w:r w:rsidR="00C65B44">
        <w:rPr>
          <w:lang w:val="en-GB"/>
        </w:rPr>
        <w:t xml:space="preserve">mprove the occupational health </w:t>
      </w:r>
      <w:r w:rsidRPr="006E3F10">
        <w:rPr>
          <w:lang w:val="en-GB"/>
        </w:rPr>
        <w:t>and safety of employees</w:t>
      </w:r>
    </w:p>
    <w:p w14:paraId="0FE9F2D7" w14:textId="77777777" w:rsidR="006E3F10" w:rsidRPr="006E3F10" w:rsidRDefault="006E3F10" w:rsidP="00C65B44">
      <w:pPr>
        <w:pStyle w:val="Bullet"/>
        <w:rPr>
          <w:lang w:val="en-GB"/>
        </w:rPr>
      </w:pPr>
      <w:r w:rsidRPr="006E3F10">
        <w:rPr>
          <w:lang w:val="en-GB"/>
        </w:rPr>
        <w:t>a general statement on industrial relations within the entity and details of time lost through industrial action and disputes</w:t>
      </w:r>
    </w:p>
    <w:p w14:paraId="1D15DECD" w14:textId="55D59B22" w:rsidR="006E3F10" w:rsidRPr="006E3F10" w:rsidRDefault="006E3F10" w:rsidP="00C65B44">
      <w:pPr>
        <w:pStyle w:val="Bullet"/>
        <w:rPr>
          <w:lang w:val="en-GB"/>
        </w:rPr>
      </w:pPr>
      <w:r w:rsidRPr="006E3F10">
        <w:rPr>
          <w:lang w:val="en-GB"/>
        </w:rPr>
        <w:t xml:space="preserve">a list of major committees sponsored by the entity, the purposes of </w:t>
      </w:r>
      <w:r w:rsidR="00C65B44">
        <w:rPr>
          <w:lang w:val="en-GB"/>
        </w:rPr>
        <w:t xml:space="preserve">each committee, and the extent </w:t>
      </w:r>
      <w:r w:rsidRPr="006E3F10">
        <w:rPr>
          <w:lang w:val="en-GB"/>
        </w:rPr>
        <w:t>to which the purposes have been achieved</w:t>
      </w:r>
    </w:p>
    <w:p w14:paraId="09A8206B" w14:textId="77777777" w:rsidR="006E3F10" w:rsidRPr="006E3F10" w:rsidRDefault="006E3F10" w:rsidP="00352B64">
      <w:pPr>
        <w:pStyle w:val="Heading4"/>
        <w:rPr>
          <w:lang w:val="en-GB"/>
        </w:rPr>
      </w:pPr>
      <w:r w:rsidRPr="006E3F10">
        <w:rPr>
          <w:lang w:val="en-GB"/>
        </w:rPr>
        <w:t>Attestation for Compliance with Ministerial Standing Direction 3.7.1</w:t>
      </w:r>
    </w:p>
    <w:p w14:paraId="1CD44171" w14:textId="765FC9EB" w:rsidR="006E3F10" w:rsidRPr="006E3F10" w:rsidRDefault="006E3F10" w:rsidP="006E3F10">
      <w:pPr>
        <w:rPr>
          <w:lang w:val="en-GB"/>
        </w:rPr>
      </w:pPr>
      <w:r w:rsidRPr="006E3F10">
        <w:rPr>
          <w:lang w:val="en-GB"/>
        </w:rPr>
        <w:t>I, Elizabeth Langdon, certify that the Vict</w:t>
      </w:r>
      <w:r w:rsidR="00352B64">
        <w:rPr>
          <w:lang w:val="en-GB"/>
        </w:rPr>
        <w:t xml:space="preserve">orian Public Sector Commission </w:t>
      </w:r>
      <w:r w:rsidRPr="006E3F10">
        <w:rPr>
          <w:lang w:val="en-GB"/>
        </w:rPr>
        <w:t>has complied with the Ministerial Standing Direction 3.7.1 – Risk Management Framework and Processes. The Audit</w:t>
      </w:r>
      <w:r w:rsidR="00352B64">
        <w:rPr>
          <w:lang w:val="en-GB"/>
        </w:rPr>
        <w:t xml:space="preserve"> and Risk Management Committee </w:t>
      </w:r>
      <w:r w:rsidRPr="006E3F10">
        <w:rPr>
          <w:lang w:val="en-GB"/>
        </w:rPr>
        <w:t>(ARMC) for VPSC has verified this.</w:t>
      </w:r>
    </w:p>
    <w:p w14:paraId="256B3844" w14:textId="77777777" w:rsidR="006E3F10" w:rsidRPr="006E3F10" w:rsidRDefault="006E3F10" w:rsidP="00352B64">
      <w:pPr>
        <w:rPr>
          <w:lang w:val="en-GB"/>
        </w:rPr>
      </w:pPr>
      <w:r w:rsidRPr="006E3F10">
        <w:rPr>
          <w:b/>
          <w:bCs/>
          <w:lang w:val="en-GB"/>
        </w:rPr>
        <w:t>Elizabeth Langdon</w:t>
      </w:r>
    </w:p>
    <w:p w14:paraId="1D5A54E8" w14:textId="77777777" w:rsidR="006E3F10" w:rsidRPr="006E3F10" w:rsidRDefault="006E3F10" w:rsidP="00352B64">
      <w:pPr>
        <w:rPr>
          <w:lang w:val="en-GB"/>
        </w:rPr>
      </w:pPr>
      <w:r w:rsidRPr="006E3F10">
        <w:rPr>
          <w:b/>
          <w:bCs/>
          <w:lang w:val="en-GB"/>
        </w:rPr>
        <w:t>A/Commissioner</w:t>
      </w:r>
    </w:p>
    <w:p w14:paraId="2D7817B5" w14:textId="77777777" w:rsidR="006E3F10" w:rsidRPr="006E3F10" w:rsidRDefault="006E3F10" w:rsidP="00352B64">
      <w:pPr>
        <w:rPr>
          <w:lang w:val="en-GB"/>
        </w:rPr>
      </w:pPr>
      <w:r w:rsidRPr="006E3F10">
        <w:rPr>
          <w:b/>
          <w:bCs/>
          <w:lang w:val="en-GB"/>
        </w:rPr>
        <w:t>Victorian Public Sector Commission </w:t>
      </w:r>
    </w:p>
    <w:p w14:paraId="733242E8" w14:textId="77777777" w:rsidR="006E3F10" w:rsidRPr="006E3F10" w:rsidRDefault="006E3F10" w:rsidP="00352B64">
      <w:pPr>
        <w:rPr>
          <w:lang w:val="en-GB"/>
        </w:rPr>
      </w:pPr>
      <w:r w:rsidRPr="006E3F10">
        <w:rPr>
          <w:b/>
          <w:bCs/>
          <w:lang w:val="en-GB"/>
        </w:rPr>
        <w:t>6 September 2017</w:t>
      </w:r>
      <w:r w:rsidRPr="006E3F10">
        <w:rPr>
          <w:b/>
          <w:bCs/>
          <w:lang w:val="en-GB"/>
        </w:rPr>
        <w:t> </w:t>
      </w:r>
    </w:p>
    <w:p w14:paraId="5D4B922B" w14:textId="77777777" w:rsidR="006E3F10" w:rsidRPr="006E3F10" w:rsidRDefault="006E3F10" w:rsidP="00C66C72">
      <w:pPr>
        <w:pStyle w:val="Heading3"/>
        <w:rPr>
          <w:lang w:val="en-GB"/>
        </w:rPr>
      </w:pPr>
      <w:bookmarkStart w:id="70" w:name="_Toc494111998"/>
      <w:r w:rsidRPr="006E3F10">
        <w:rPr>
          <w:lang w:val="en-GB"/>
        </w:rPr>
        <w:t>Disclosure Index</w:t>
      </w:r>
      <w:bookmarkEnd w:id="70"/>
    </w:p>
    <w:p w14:paraId="37337275" w14:textId="77777777" w:rsidR="006E3F10" w:rsidRPr="006E3F10" w:rsidRDefault="006E3F10" w:rsidP="006E3F10">
      <w:pPr>
        <w:rPr>
          <w:lang w:val="en-GB"/>
        </w:rPr>
      </w:pPr>
      <w:r w:rsidRPr="006E3F10">
        <w:rPr>
          <w:lang w:val="en-GB"/>
        </w:rPr>
        <w:t>This annual report of VPSC is prepared in accordance with all relevant Victorian legislations and pronouncements. This index has been prepared to facilitate identification of compliance with statutory disclosure and other requirements.</w:t>
      </w:r>
    </w:p>
    <w:tbl>
      <w:tblPr>
        <w:tblStyle w:val="TableGrid"/>
        <w:tblW w:w="0" w:type="auto"/>
        <w:tblLook w:val="04A0" w:firstRow="1" w:lastRow="0" w:firstColumn="1" w:lastColumn="0" w:noHBand="0" w:noVBand="1"/>
      </w:tblPr>
      <w:tblGrid>
        <w:gridCol w:w="3157"/>
        <w:gridCol w:w="6569"/>
        <w:gridCol w:w="730"/>
      </w:tblGrid>
      <w:tr w:rsidR="006E3F10" w:rsidRPr="006E3F10" w14:paraId="578521D5" w14:textId="77777777" w:rsidTr="004A0AF1">
        <w:trPr>
          <w:cantSplit/>
          <w:tblHeader/>
        </w:trPr>
        <w:tc>
          <w:tcPr>
            <w:tcW w:w="3157" w:type="dxa"/>
            <w:hideMark/>
          </w:tcPr>
          <w:p w14:paraId="4BBACF7D" w14:textId="77777777" w:rsidR="006E3F10" w:rsidRPr="006E3F10" w:rsidRDefault="006E3F10" w:rsidP="003D5040">
            <w:pPr>
              <w:pStyle w:val="TableHeading"/>
              <w:rPr>
                <w:lang w:val="en-GB"/>
              </w:rPr>
            </w:pPr>
            <w:r w:rsidRPr="006E3F10">
              <w:rPr>
                <w:lang w:val="en-GB"/>
              </w:rPr>
              <w:t>Legislation</w:t>
            </w:r>
          </w:p>
        </w:tc>
        <w:tc>
          <w:tcPr>
            <w:tcW w:w="6569" w:type="dxa"/>
            <w:hideMark/>
          </w:tcPr>
          <w:p w14:paraId="58B6D835" w14:textId="77777777" w:rsidR="006E3F10" w:rsidRPr="006E3F10" w:rsidRDefault="006E3F10" w:rsidP="003D5040">
            <w:pPr>
              <w:pStyle w:val="TableHeading"/>
              <w:rPr>
                <w:lang w:val="en-GB"/>
              </w:rPr>
            </w:pPr>
            <w:r w:rsidRPr="006E3F10">
              <w:rPr>
                <w:lang w:val="en-GB"/>
              </w:rPr>
              <w:t>Requirements</w:t>
            </w:r>
          </w:p>
        </w:tc>
        <w:tc>
          <w:tcPr>
            <w:tcW w:w="0" w:type="auto"/>
            <w:hideMark/>
          </w:tcPr>
          <w:p w14:paraId="7991555F" w14:textId="77777777" w:rsidR="006E3F10" w:rsidRPr="006E3F10" w:rsidRDefault="006E3F10" w:rsidP="003D5040">
            <w:pPr>
              <w:pStyle w:val="TableHeading"/>
              <w:rPr>
                <w:lang w:val="en-GB"/>
              </w:rPr>
            </w:pPr>
            <w:r w:rsidRPr="006E3F10">
              <w:rPr>
                <w:lang w:val="en-GB"/>
              </w:rPr>
              <w:t>Page </w:t>
            </w:r>
          </w:p>
        </w:tc>
      </w:tr>
      <w:tr w:rsidR="00C66C72" w:rsidRPr="006E3F10" w14:paraId="507D17CD" w14:textId="77777777" w:rsidTr="004A0AF1">
        <w:trPr>
          <w:cantSplit/>
        </w:trPr>
        <w:tc>
          <w:tcPr>
            <w:tcW w:w="10456" w:type="dxa"/>
            <w:gridSpan w:val="3"/>
            <w:hideMark/>
          </w:tcPr>
          <w:p w14:paraId="2EC4D71C" w14:textId="6B2B34AB" w:rsidR="00C66C72" w:rsidRPr="006E3F10" w:rsidRDefault="00C66C72" w:rsidP="003D5040">
            <w:pPr>
              <w:pStyle w:val="TableHeading"/>
              <w:rPr>
                <w:lang w:val="en-GB"/>
              </w:rPr>
            </w:pPr>
            <w:r w:rsidRPr="006E3F10">
              <w:rPr>
                <w:lang w:val="en-GB"/>
              </w:rPr>
              <w:t>Charter and purpose</w:t>
            </w:r>
          </w:p>
        </w:tc>
      </w:tr>
      <w:tr w:rsidR="006E3F10" w:rsidRPr="006E3F10" w14:paraId="1988953E" w14:textId="77777777" w:rsidTr="004A0AF1">
        <w:trPr>
          <w:cantSplit/>
        </w:trPr>
        <w:tc>
          <w:tcPr>
            <w:tcW w:w="3157" w:type="dxa"/>
            <w:hideMark/>
          </w:tcPr>
          <w:p w14:paraId="6A06EA03" w14:textId="77777777" w:rsidR="006E3F10" w:rsidRPr="006E3F10" w:rsidRDefault="006E3F10" w:rsidP="003D5040">
            <w:pPr>
              <w:pStyle w:val="TableCopy"/>
              <w:rPr>
                <w:lang w:val="en-GB"/>
              </w:rPr>
            </w:pPr>
            <w:r w:rsidRPr="006E3F10">
              <w:rPr>
                <w:lang w:val="en-GB"/>
              </w:rPr>
              <w:t>FRD 22H</w:t>
            </w:r>
          </w:p>
        </w:tc>
        <w:tc>
          <w:tcPr>
            <w:tcW w:w="6569" w:type="dxa"/>
            <w:hideMark/>
          </w:tcPr>
          <w:p w14:paraId="264C6D6D" w14:textId="77777777" w:rsidR="006E3F10" w:rsidRPr="006E3F10" w:rsidRDefault="006E3F10" w:rsidP="003D5040">
            <w:pPr>
              <w:pStyle w:val="TableCopy"/>
              <w:rPr>
                <w:lang w:val="en-GB"/>
              </w:rPr>
            </w:pPr>
            <w:r w:rsidRPr="006E3F10">
              <w:rPr>
                <w:lang w:val="en-GB"/>
              </w:rPr>
              <w:t>Manner of establishment and relevant Minister</w:t>
            </w:r>
          </w:p>
        </w:tc>
        <w:tc>
          <w:tcPr>
            <w:tcW w:w="0" w:type="auto"/>
            <w:hideMark/>
          </w:tcPr>
          <w:p w14:paraId="5D0EBD7F" w14:textId="77777777" w:rsidR="006E3F10" w:rsidRPr="006E3F10" w:rsidRDefault="006E3F10" w:rsidP="003D5040">
            <w:pPr>
              <w:pStyle w:val="TableCopy"/>
              <w:rPr>
                <w:lang w:val="en-GB"/>
              </w:rPr>
            </w:pPr>
            <w:r w:rsidRPr="006E3F10">
              <w:rPr>
                <w:lang w:val="en-GB"/>
              </w:rPr>
              <w:t>4</w:t>
            </w:r>
          </w:p>
        </w:tc>
      </w:tr>
      <w:tr w:rsidR="006E3F10" w:rsidRPr="006E3F10" w14:paraId="410B9C5A" w14:textId="77777777" w:rsidTr="004A0AF1">
        <w:trPr>
          <w:cantSplit/>
        </w:trPr>
        <w:tc>
          <w:tcPr>
            <w:tcW w:w="3157" w:type="dxa"/>
            <w:hideMark/>
          </w:tcPr>
          <w:p w14:paraId="27D238C7" w14:textId="77777777" w:rsidR="006E3F10" w:rsidRPr="006E3F10" w:rsidRDefault="006E3F10" w:rsidP="003D5040">
            <w:pPr>
              <w:pStyle w:val="TableCopy"/>
              <w:rPr>
                <w:lang w:val="en-GB"/>
              </w:rPr>
            </w:pPr>
            <w:r w:rsidRPr="006E3F10">
              <w:rPr>
                <w:lang w:val="en-GB"/>
              </w:rPr>
              <w:t>FRD 22H</w:t>
            </w:r>
          </w:p>
        </w:tc>
        <w:tc>
          <w:tcPr>
            <w:tcW w:w="6569" w:type="dxa"/>
            <w:hideMark/>
          </w:tcPr>
          <w:p w14:paraId="46D8E82F" w14:textId="77777777" w:rsidR="006E3F10" w:rsidRPr="006E3F10" w:rsidRDefault="006E3F10" w:rsidP="003D5040">
            <w:pPr>
              <w:pStyle w:val="TableCopy"/>
              <w:rPr>
                <w:lang w:val="en-GB"/>
              </w:rPr>
            </w:pPr>
            <w:r w:rsidRPr="006E3F10">
              <w:rPr>
                <w:lang w:val="en-GB"/>
              </w:rPr>
              <w:t>Objectives, functions, powers and duties</w:t>
            </w:r>
          </w:p>
        </w:tc>
        <w:tc>
          <w:tcPr>
            <w:tcW w:w="0" w:type="auto"/>
            <w:hideMark/>
          </w:tcPr>
          <w:p w14:paraId="0A502E44" w14:textId="77777777" w:rsidR="006E3F10" w:rsidRPr="006E3F10" w:rsidRDefault="006E3F10" w:rsidP="003D5040">
            <w:pPr>
              <w:pStyle w:val="TableCopy"/>
              <w:rPr>
                <w:lang w:val="en-GB"/>
              </w:rPr>
            </w:pPr>
            <w:r w:rsidRPr="006E3F10">
              <w:rPr>
                <w:lang w:val="en-GB"/>
              </w:rPr>
              <w:t>4</w:t>
            </w:r>
          </w:p>
        </w:tc>
      </w:tr>
      <w:tr w:rsidR="006E3F10" w:rsidRPr="006E3F10" w14:paraId="52D3D5B2" w14:textId="77777777" w:rsidTr="004A0AF1">
        <w:trPr>
          <w:cantSplit/>
        </w:trPr>
        <w:tc>
          <w:tcPr>
            <w:tcW w:w="3157" w:type="dxa"/>
            <w:hideMark/>
          </w:tcPr>
          <w:p w14:paraId="757A04A1" w14:textId="77777777" w:rsidR="006E3F10" w:rsidRPr="006E3F10" w:rsidRDefault="006E3F10" w:rsidP="003D5040">
            <w:pPr>
              <w:pStyle w:val="TableCopy"/>
              <w:rPr>
                <w:lang w:val="en-GB"/>
              </w:rPr>
            </w:pPr>
            <w:r w:rsidRPr="006E3F10">
              <w:rPr>
                <w:lang w:val="en-GB"/>
              </w:rPr>
              <w:t>FRD 22H</w:t>
            </w:r>
          </w:p>
        </w:tc>
        <w:tc>
          <w:tcPr>
            <w:tcW w:w="6569" w:type="dxa"/>
            <w:hideMark/>
          </w:tcPr>
          <w:p w14:paraId="65108FD1" w14:textId="77777777" w:rsidR="006E3F10" w:rsidRPr="006E3F10" w:rsidRDefault="006E3F10" w:rsidP="003D5040">
            <w:pPr>
              <w:pStyle w:val="TableCopy"/>
              <w:rPr>
                <w:lang w:val="en-GB"/>
              </w:rPr>
            </w:pPr>
            <w:r w:rsidRPr="006E3F10">
              <w:rPr>
                <w:lang w:val="en-GB"/>
              </w:rPr>
              <w:t>Nature of services provided</w:t>
            </w:r>
          </w:p>
        </w:tc>
        <w:tc>
          <w:tcPr>
            <w:tcW w:w="0" w:type="auto"/>
            <w:hideMark/>
          </w:tcPr>
          <w:p w14:paraId="476A4487" w14:textId="77777777" w:rsidR="006E3F10" w:rsidRPr="006E3F10" w:rsidRDefault="006E3F10" w:rsidP="003D5040">
            <w:pPr>
              <w:pStyle w:val="TableCopy"/>
              <w:rPr>
                <w:lang w:val="en-GB"/>
              </w:rPr>
            </w:pPr>
            <w:r w:rsidRPr="006E3F10">
              <w:rPr>
                <w:lang w:val="en-GB"/>
              </w:rPr>
              <w:t>4-5</w:t>
            </w:r>
          </w:p>
        </w:tc>
      </w:tr>
      <w:tr w:rsidR="00C66C72" w:rsidRPr="006E3F10" w14:paraId="1FBE194E" w14:textId="77777777" w:rsidTr="004A0AF1">
        <w:trPr>
          <w:cantSplit/>
        </w:trPr>
        <w:tc>
          <w:tcPr>
            <w:tcW w:w="10456" w:type="dxa"/>
            <w:gridSpan w:val="3"/>
            <w:hideMark/>
          </w:tcPr>
          <w:p w14:paraId="47804AB0" w14:textId="003A0A89" w:rsidR="00C66C72" w:rsidRPr="006E3F10" w:rsidRDefault="00C66C72" w:rsidP="003D5040">
            <w:pPr>
              <w:pStyle w:val="TableHeading"/>
              <w:rPr>
                <w:lang w:val="en-GB"/>
              </w:rPr>
            </w:pPr>
            <w:r w:rsidRPr="006E3F10">
              <w:rPr>
                <w:lang w:val="en-GB"/>
              </w:rPr>
              <w:t>Management and Structure </w:t>
            </w:r>
          </w:p>
        </w:tc>
      </w:tr>
      <w:tr w:rsidR="006E3F10" w:rsidRPr="006E3F10" w14:paraId="315A49FD" w14:textId="77777777" w:rsidTr="004A0AF1">
        <w:trPr>
          <w:cantSplit/>
        </w:trPr>
        <w:tc>
          <w:tcPr>
            <w:tcW w:w="3157" w:type="dxa"/>
            <w:hideMark/>
          </w:tcPr>
          <w:p w14:paraId="5ADD973B" w14:textId="77777777" w:rsidR="006E3F10" w:rsidRPr="006E3F10" w:rsidRDefault="006E3F10" w:rsidP="003D5040">
            <w:pPr>
              <w:pStyle w:val="TableCopy"/>
              <w:rPr>
                <w:lang w:val="en-GB"/>
              </w:rPr>
            </w:pPr>
            <w:r w:rsidRPr="006E3F10">
              <w:rPr>
                <w:lang w:val="en-GB"/>
              </w:rPr>
              <w:t>FRD 22H</w:t>
            </w:r>
          </w:p>
        </w:tc>
        <w:tc>
          <w:tcPr>
            <w:tcW w:w="6569" w:type="dxa"/>
            <w:hideMark/>
          </w:tcPr>
          <w:p w14:paraId="01FFA0BB" w14:textId="77777777" w:rsidR="006E3F10" w:rsidRPr="006E3F10" w:rsidRDefault="006E3F10" w:rsidP="003D5040">
            <w:pPr>
              <w:pStyle w:val="TableCopy"/>
              <w:rPr>
                <w:lang w:val="en-GB"/>
              </w:rPr>
            </w:pPr>
            <w:r w:rsidRPr="006E3F10">
              <w:rPr>
                <w:lang w:val="en-GB"/>
              </w:rPr>
              <w:t>Organisational Structure</w:t>
            </w:r>
          </w:p>
        </w:tc>
        <w:tc>
          <w:tcPr>
            <w:tcW w:w="0" w:type="auto"/>
            <w:hideMark/>
          </w:tcPr>
          <w:p w14:paraId="46C5E7CC" w14:textId="77777777" w:rsidR="006E3F10" w:rsidRPr="006E3F10" w:rsidRDefault="006E3F10" w:rsidP="003D5040">
            <w:pPr>
              <w:pStyle w:val="TableCopy"/>
              <w:rPr>
                <w:lang w:val="en-GB"/>
              </w:rPr>
            </w:pPr>
            <w:r w:rsidRPr="006E3F10">
              <w:rPr>
                <w:lang w:val="en-GB"/>
              </w:rPr>
              <w:t>16-17</w:t>
            </w:r>
          </w:p>
        </w:tc>
      </w:tr>
      <w:tr w:rsidR="006E3F10" w:rsidRPr="006E3F10" w14:paraId="5DC6935E" w14:textId="77777777" w:rsidTr="004A0AF1">
        <w:trPr>
          <w:cantSplit/>
        </w:trPr>
        <w:tc>
          <w:tcPr>
            <w:tcW w:w="3157" w:type="dxa"/>
            <w:hideMark/>
          </w:tcPr>
          <w:p w14:paraId="6FD54753" w14:textId="77777777" w:rsidR="006E3F10" w:rsidRPr="006E3F10" w:rsidRDefault="006E3F10" w:rsidP="003D5040">
            <w:pPr>
              <w:pStyle w:val="TableCopy"/>
              <w:rPr>
                <w:lang w:val="en-GB"/>
              </w:rPr>
            </w:pPr>
            <w:r w:rsidRPr="006E3F10">
              <w:rPr>
                <w:lang w:val="en-GB"/>
              </w:rPr>
              <w:t>FRD 22H</w:t>
            </w:r>
          </w:p>
        </w:tc>
        <w:tc>
          <w:tcPr>
            <w:tcW w:w="6569" w:type="dxa"/>
            <w:hideMark/>
          </w:tcPr>
          <w:p w14:paraId="641E21E1" w14:textId="77777777" w:rsidR="006E3F10" w:rsidRPr="006E3F10" w:rsidRDefault="006E3F10" w:rsidP="003D5040">
            <w:pPr>
              <w:pStyle w:val="TableCopy"/>
              <w:rPr>
                <w:lang w:val="en-GB"/>
              </w:rPr>
            </w:pPr>
            <w:r w:rsidRPr="006E3F10">
              <w:rPr>
                <w:lang w:val="en-GB"/>
              </w:rPr>
              <w:t>Audit Committee</w:t>
            </w:r>
          </w:p>
        </w:tc>
        <w:tc>
          <w:tcPr>
            <w:tcW w:w="0" w:type="auto"/>
            <w:hideMark/>
          </w:tcPr>
          <w:p w14:paraId="73068FC6" w14:textId="77777777" w:rsidR="006E3F10" w:rsidRPr="006E3F10" w:rsidRDefault="006E3F10" w:rsidP="003D5040">
            <w:pPr>
              <w:pStyle w:val="TableCopy"/>
              <w:rPr>
                <w:lang w:val="en-GB"/>
              </w:rPr>
            </w:pPr>
            <w:r w:rsidRPr="006E3F10">
              <w:rPr>
                <w:lang w:val="en-GB"/>
              </w:rPr>
              <w:t>18</w:t>
            </w:r>
          </w:p>
        </w:tc>
      </w:tr>
      <w:tr w:rsidR="006E3F10" w:rsidRPr="006E3F10" w14:paraId="34B772EE" w14:textId="77777777" w:rsidTr="004A0AF1">
        <w:trPr>
          <w:cantSplit/>
        </w:trPr>
        <w:tc>
          <w:tcPr>
            <w:tcW w:w="3157" w:type="dxa"/>
            <w:hideMark/>
          </w:tcPr>
          <w:p w14:paraId="2610617B" w14:textId="77777777" w:rsidR="006E3F10" w:rsidRPr="006E3F10" w:rsidRDefault="006E3F10" w:rsidP="003D5040">
            <w:pPr>
              <w:pStyle w:val="TableCopy"/>
              <w:rPr>
                <w:lang w:val="en-GB"/>
              </w:rPr>
            </w:pPr>
            <w:r w:rsidRPr="006E3F10">
              <w:rPr>
                <w:lang w:val="en-GB"/>
              </w:rPr>
              <w:t>FRD 22H</w:t>
            </w:r>
          </w:p>
        </w:tc>
        <w:tc>
          <w:tcPr>
            <w:tcW w:w="6569" w:type="dxa"/>
            <w:hideMark/>
          </w:tcPr>
          <w:p w14:paraId="5D78677A" w14:textId="77777777" w:rsidR="006E3F10" w:rsidRPr="006E3F10" w:rsidRDefault="006E3F10" w:rsidP="003D5040">
            <w:pPr>
              <w:pStyle w:val="TableCopy"/>
              <w:rPr>
                <w:lang w:val="en-GB"/>
              </w:rPr>
            </w:pPr>
            <w:r w:rsidRPr="006E3F10">
              <w:rPr>
                <w:lang w:val="en-GB"/>
              </w:rPr>
              <w:t>Occupational Health and Safety</w:t>
            </w:r>
          </w:p>
        </w:tc>
        <w:tc>
          <w:tcPr>
            <w:tcW w:w="0" w:type="auto"/>
            <w:hideMark/>
          </w:tcPr>
          <w:p w14:paraId="6F268B35" w14:textId="77777777" w:rsidR="006E3F10" w:rsidRPr="006E3F10" w:rsidRDefault="006E3F10" w:rsidP="003D5040">
            <w:pPr>
              <w:pStyle w:val="TableCopy"/>
              <w:rPr>
                <w:lang w:val="en-GB"/>
              </w:rPr>
            </w:pPr>
            <w:r w:rsidRPr="006E3F10">
              <w:rPr>
                <w:lang w:val="en-GB"/>
              </w:rPr>
              <w:t>18</w:t>
            </w:r>
          </w:p>
        </w:tc>
      </w:tr>
      <w:tr w:rsidR="006E3F10" w:rsidRPr="006E3F10" w14:paraId="1437B423" w14:textId="77777777" w:rsidTr="004A0AF1">
        <w:trPr>
          <w:cantSplit/>
        </w:trPr>
        <w:tc>
          <w:tcPr>
            <w:tcW w:w="3157" w:type="dxa"/>
            <w:hideMark/>
          </w:tcPr>
          <w:p w14:paraId="7CC0E5E8" w14:textId="77777777" w:rsidR="006E3F10" w:rsidRPr="006E3F10" w:rsidRDefault="006E3F10" w:rsidP="003D5040">
            <w:pPr>
              <w:pStyle w:val="TableCopy"/>
              <w:rPr>
                <w:lang w:val="en-GB"/>
              </w:rPr>
            </w:pPr>
            <w:r w:rsidRPr="006E3F10">
              <w:rPr>
                <w:lang w:val="en-GB"/>
              </w:rPr>
              <w:t>FRD 22H</w:t>
            </w:r>
          </w:p>
        </w:tc>
        <w:tc>
          <w:tcPr>
            <w:tcW w:w="6569" w:type="dxa"/>
            <w:hideMark/>
          </w:tcPr>
          <w:p w14:paraId="0F40E022" w14:textId="77777777" w:rsidR="006E3F10" w:rsidRPr="006E3F10" w:rsidRDefault="006E3F10" w:rsidP="003D5040">
            <w:pPr>
              <w:pStyle w:val="TableCopy"/>
              <w:rPr>
                <w:lang w:val="en-GB"/>
              </w:rPr>
            </w:pPr>
            <w:r w:rsidRPr="006E3F10">
              <w:rPr>
                <w:lang w:val="en-GB"/>
              </w:rPr>
              <w:t>Incident Management</w:t>
            </w:r>
          </w:p>
        </w:tc>
        <w:tc>
          <w:tcPr>
            <w:tcW w:w="0" w:type="auto"/>
            <w:hideMark/>
          </w:tcPr>
          <w:p w14:paraId="46E32CBA" w14:textId="77777777" w:rsidR="006E3F10" w:rsidRPr="006E3F10" w:rsidRDefault="006E3F10" w:rsidP="003D5040">
            <w:pPr>
              <w:pStyle w:val="TableCopy"/>
              <w:rPr>
                <w:lang w:val="en-GB"/>
              </w:rPr>
            </w:pPr>
            <w:r w:rsidRPr="006E3F10">
              <w:rPr>
                <w:lang w:val="en-GB"/>
              </w:rPr>
              <w:t>19</w:t>
            </w:r>
          </w:p>
        </w:tc>
      </w:tr>
      <w:tr w:rsidR="006E3F10" w:rsidRPr="006E3F10" w14:paraId="54BE5B26" w14:textId="77777777" w:rsidTr="004A0AF1">
        <w:trPr>
          <w:cantSplit/>
        </w:trPr>
        <w:tc>
          <w:tcPr>
            <w:tcW w:w="3157" w:type="dxa"/>
            <w:hideMark/>
          </w:tcPr>
          <w:p w14:paraId="38067104" w14:textId="77777777" w:rsidR="006E3F10" w:rsidRPr="006E3F10" w:rsidRDefault="006E3F10" w:rsidP="003D5040">
            <w:pPr>
              <w:pStyle w:val="TableCopy"/>
              <w:rPr>
                <w:lang w:val="en-GB"/>
              </w:rPr>
            </w:pPr>
            <w:r w:rsidRPr="006E3F10">
              <w:rPr>
                <w:lang w:val="en-GB"/>
              </w:rPr>
              <w:t>FRD 22H</w:t>
            </w:r>
          </w:p>
        </w:tc>
        <w:tc>
          <w:tcPr>
            <w:tcW w:w="6569" w:type="dxa"/>
            <w:hideMark/>
          </w:tcPr>
          <w:p w14:paraId="6A2A792C" w14:textId="77777777" w:rsidR="006E3F10" w:rsidRPr="006E3F10" w:rsidRDefault="006E3F10" w:rsidP="003D5040">
            <w:pPr>
              <w:pStyle w:val="TableCopy"/>
              <w:rPr>
                <w:lang w:val="en-GB"/>
              </w:rPr>
            </w:pPr>
            <w:r w:rsidRPr="006E3F10">
              <w:rPr>
                <w:lang w:val="en-GB"/>
              </w:rPr>
              <w:t>Employment Principals</w:t>
            </w:r>
          </w:p>
        </w:tc>
        <w:tc>
          <w:tcPr>
            <w:tcW w:w="0" w:type="auto"/>
            <w:hideMark/>
          </w:tcPr>
          <w:p w14:paraId="7A777B33" w14:textId="77777777" w:rsidR="006E3F10" w:rsidRPr="006E3F10" w:rsidRDefault="006E3F10" w:rsidP="003D5040">
            <w:pPr>
              <w:pStyle w:val="TableCopy"/>
              <w:rPr>
                <w:lang w:val="en-GB"/>
              </w:rPr>
            </w:pPr>
            <w:r w:rsidRPr="006E3F10">
              <w:rPr>
                <w:lang w:val="en-GB"/>
              </w:rPr>
              <w:t>19</w:t>
            </w:r>
          </w:p>
        </w:tc>
      </w:tr>
      <w:tr w:rsidR="00C66C72" w:rsidRPr="006E3F10" w14:paraId="5712D14D" w14:textId="77777777" w:rsidTr="004A0AF1">
        <w:trPr>
          <w:cantSplit/>
        </w:trPr>
        <w:tc>
          <w:tcPr>
            <w:tcW w:w="10456" w:type="dxa"/>
            <w:gridSpan w:val="3"/>
            <w:hideMark/>
          </w:tcPr>
          <w:p w14:paraId="197FCE1C" w14:textId="22F7D44A" w:rsidR="00C66C72" w:rsidRPr="006E3F10" w:rsidRDefault="00C66C72" w:rsidP="003D5040">
            <w:pPr>
              <w:pStyle w:val="TableHeading"/>
              <w:rPr>
                <w:lang w:val="en-GB"/>
              </w:rPr>
            </w:pPr>
            <w:r w:rsidRPr="006E3F10">
              <w:rPr>
                <w:lang w:val="en-GB"/>
              </w:rPr>
              <w:lastRenderedPageBreak/>
              <w:t>Financial and Other Information</w:t>
            </w:r>
          </w:p>
        </w:tc>
      </w:tr>
      <w:tr w:rsidR="006E3F10" w:rsidRPr="006E3F10" w14:paraId="13726CDD" w14:textId="77777777" w:rsidTr="004A0AF1">
        <w:trPr>
          <w:cantSplit/>
        </w:trPr>
        <w:tc>
          <w:tcPr>
            <w:tcW w:w="3157" w:type="dxa"/>
            <w:hideMark/>
          </w:tcPr>
          <w:p w14:paraId="07F45B9B" w14:textId="77777777" w:rsidR="006E3F10" w:rsidRPr="006E3F10" w:rsidRDefault="006E3F10" w:rsidP="003D5040">
            <w:pPr>
              <w:pStyle w:val="TableCopy"/>
              <w:rPr>
                <w:lang w:val="en-GB"/>
              </w:rPr>
            </w:pPr>
            <w:r w:rsidRPr="006E3F10">
              <w:rPr>
                <w:lang w:val="en-GB"/>
              </w:rPr>
              <w:t>FRD 8D</w:t>
            </w:r>
          </w:p>
        </w:tc>
        <w:tc>
          <w:tcPr>
            <w:tcW w:w="6569" w:type="dxa"/>
            <w:hideMark/>
          </w:tcPr>
          <w:p w14:paraId="446AFA9D" w14:textId="77777777" w:rsidR="006E3F10" w:rsidRPr="006E3F10" w:rsidRDefault="006E3F10" w:rsidP="003D5040">
            <w:pPr>
              <w:pStyle w:val="TableCopy"/>
              <w:rPr>
                <w:lang w:val="en-GB"/>
              </w:rPr>
            </w:pPr>
            <w:r w:rsidRPr="006E3F10">
              <w:rPr>
                <w:lang w:val="en-GB"/>
              </w:rPr>
              <w:t>Operational objectives and performance against objectives</w:t>
            </w:r>
          </w:p>
        </w:tc>
        <w:tc>
          <w:tcPr>
            <w:tcW w:w="0" w:type="auto"/>
            <w:hideMark/>
          </w:tcPr>
          <w:p w14:paraId="571D2071" w14:textId="77777777" w:rsidR="006E3F10" w:rsidRPr="006E3F10" w:rsidRDefault="006E3F10" w:rsidP="003D5040">
            <w:pPr>
              <w:pStyle w:val="TableCopy"/>
              <w:rPr>
                <w:lang w:val="en-GB"/>
              </w:rPr>
            </w:pPr>
            <w:r w:rsidRPr="006E3F10">
              <w:rPr>
                <w:lang w:val="en-GB"/>
              </w:rPr>
              <w:t>6-15</w:t>
            </w:r>
          </w:p>
        </w:tc>
      </w:tr>
      <w:tr w:rsidR="006E3F10" w:rsidRPr="006E3F10" w14:paraId="56BC4365" w14:textId="77777777" w:rsidTr="004A0AF1">
        <w:trPr>
          <w:cantSplit/>
        </w:trPr>
        <w:tc>
          <w:tcPr>
            <w:tcW w:w="3157" w:type="dxa"/>
            <w:hideMark/>
          </w:tcPr>
          <w:p w14:paraId="27C71DA6" w14:textId="77777777" w:rsidR="006E3F10" w:rsidRPr="006E3F10" w:rsidRDefault="006E3F10" w:rsidP="003D5040">
            <w:pPr>
              <w:pStyle w:val="TableCopy"/>
              <w:rPr>
                <w:lang w:val="en-GB"/>
              </w:rPr>
            </w:pPr>
            <w:r w:rsidRPr="006E3F10">
              <w:rPr>
                <w:lang w:val="en-GB"/>
              </w:rPr>
              <w:t>FRD 10A</w:t>
            </w:r>
          </w:p>
        </w:tc>
        <w:tc>
          <w:tcPr>
            <w:tcW w:w="6569" w:type="dxa"/>
            <w:hideMark/>
          </w:tcPr>
          <w:p w14:paraId="1CC92819" w14:textId="77777777" w:rsidR="006E3F10" w:rsidRPr="006E3F10" w:rsidRDefault="006E3F10" w:rsidP="003D5040">
            <w:pPr>
              <w:pStyle w:val="TableCopy"/>
              <w:rPr>
                <w:lang w:val="en-GB"/>
              </w:rPr>
            </w:pPr>
            <w:r w:rsidRPr="006E3F10">
              <w:rPr>
                <w:lang w:val="en-GB"/>
              </w:rPr>
              <w:t>Disclosure Index</w:t>
            </w:r>
          </w:p>
        </w:tc>
        <w:tc>
          <w:tcPr>
            <w:tcW w:w="0" w:type="auto"/>
            <w:hideMark/>
          </w:tcPr>
          <w:p w14:paraId="6C1402CC" w14:textId="77777777" w:rsidR="006E3F10" w:rsidRPr="006E3F10" w:rsidRDefault="006E3F10" w:rsidP="003D5040">
            <w:pPr>
              <w:pStyle w:val="TableCopy"/>
              <w:rPr>
                <w:lang w:val="en-GB"/>
              </w:rPr>
            </w:pPr>
            <w:r w:rsidRPr="006E3F10">
              <w:rPr>
                <w:lang w:val="en-GB"/>
              </w:rPr>
              <w:t>22</w:t>
            </w:r>
          </w:p>
        </w:tc>
      </w:tr>
      <w:tr w:rsidR="006E3F10" w:rsidRPr="006E3F10" w14:paraId="4FFEAF19" w14:textId="77777777" w:rsidTr="004A0AF1">
        <w:trPr>
          <w:cantSplit/>
        </w:trPr>
        <w:tc>
          <w:tcPr>
            <w:tcW w:w="3157" w:type="dxa"/>
            <w:hideMark/>
          </w:tcPr>
          <w:p w14:paraId="0F725A21" w14:textId="77777777" w:rsidR="006E3F10" w:rsidRPr="006E3F10" w:rsidRDefault="006E3F10" w:rsidP="003D5040">
            <w:pPr>
              <w:pStyle w:val="TableCopy"/>
              <w:rPr>
                <w:lang w:val="en-GB"/>
              </w:rPr>
            </w:pPr>
            <w:r w:rsidRPr="006E3F10">
              <w:rPr>
                <w:lang w:val="en-GB"/>
              </w:rPr>
              <w:t>FRD 29B</w:t>
            </w:r>
          </w:p>
        </w:tc>
        <w:tc>
          <w:tcPr>
            <w:tcW w:w="6569" w:type="dxa"/>
            <w:hideMark/>
          </w:tcPr>
          <w:p w14:paraId="30F84EB3" w14:textId="77777777" w:rsidR="006E3F10" w:rsidRPr="006E3F10" w:rsidRDefault="006E3F10" w:rsidP="003D5040">
            <w:pPr>
              <w:pStyle w:val="TableCopy"/>
              <w:rPr>
                <w:lang w:val="en-GB"/>
              </w:rPr>
            </w:pPr>
            <w:r w:rsidRPr="006E3F10">
              <w:rPr>
                <w:lang w:val="en-GB"/>
              </w:rPr>
              <w:t>Workforce Data</w:t>
            </w:r>
          </w:p>
        </w:tc>
        <w:tc>
          <w:tcPr>
            <w:tcW w:w="0" w:type="auto"/>
            <w:hideMark/>
          </w:tcPr>
          <w:p w14:paraId="40EFF109" w14:textId="77777777" w:rsidR="006E3F10" w:rsidRPr="006E3F10" w:rsidRDefault="006E3F10" w:rsidP="003D5040">
            <w:pPr>
              <w:pStyle w:val="TableCopy"/>
              <w:rPr>
                <w:lang w:val="en-GB"/>
              </w:rPr>
            </w:pPr>
            <w:r w:rsidRPr="006E3F10">
              <w:rPr>
                <w:lang w:val="en-GB"/>
              </w:rPr>
              <w:t>20-22</w:t>
            </w:r>
          </w:p>
        </w:tc>
      </w:tr>
      <w:tr w:rsidR="006E3F10" w:rsidRPr="006E3F10" w14:paraId="3F813089" w14:textId="77777777" w:rsidTr="004A0AF1">
        <w:trPr>
          <w:cantSplit/>
        </w:trPr>
        <w:tc>
          <w:tcPr>
            <w:tcW w:w="3157" w:type="dxa"/>
            <w:hideMark/>
          </w:tcPr>
          <w:p w14:paraId="78904133" w14:textId="77777777" w:rsidR="006E3F10" w:rsidRPr="006E3F10" w:rsidRDefault="006E3F10" w:rsidP="003D5040">
            <w:pPr>
              <w:pStyle w:val="TableCopy"/>
              <w:rPr>
                <w:lang w:val="en-GB"/>
              </w:rPr>
            </w:pPr>
            <w:r w:rsidRPr="006E3F10">
              <w:rPr>
                <w:lang w:val="en-GB"/>
              </w:rPr>
              <w:t>FRD 15D</w:t>
            </w:r>
          </w:p>
        </w:tc>
        <w:tc>
          <w:tcPr>
            <w:tcW w:w="6569" w:type="dxa"/>
            <w:hideMark/>
          </w:tcPr>
          <w:p w14:paraId="512229AD" w14:textId="77777777" w:rsidR="006E3F10" w:rsidRPr="006E3F10" w:rsidRDefault="006E3F10" w:rsidP="003D5040">
            <w:pPr>
              <w:pStyle w:val="TableCopy"/>
              <w:rPr>
                <w:lang w:val="en-GB"/>
              </w:rPr>
            </w:pPr>
            <w:r w:rsidRPr="006E3F10">
              <w:rPr>
                <w:lang w:val="en-GB"/>
              </w:rPr>
              <w:t>Executive Officer Data</w:t>
            </w:r>
          </w:p>
        </w:tc>
        <w:tc>
          <w:tcPr>
            <w:tcW w:w="0" w:type="auto"/>
            <w:hideMark/>
          </w:tcPr>
          <w:p w14:paraId="26A5BE45" w14:textId="77777777" w:rsidR="006E3F10" w:rsidRPr="006E3F10" w:rsidRDefault="006E3F10" w:rsidP="003D5040">
            <w:pPr>
              <w:pStyle w:val="TableCopy"/>
              <w:rPr>
                <w:lang w:val="en-GB"/>
              </w:rPr>
            </w:pPr>
            <w:r w:rsidRPr="006E3F10">
              <w:rPr>
                <w:lang w:val="en-GB"/>
              </w:rPr>
              <w:t>21</w:t>
            </w:r>
          </w:p>
        </w:tc>
      </w:tr>
      <w:tr w:rsidR="006E3F10" w:rsidRPr="006E3F10" w14:paraId="5381F7D0" w14:textId="77777777" w:rsidTr="004A0AF1">
        <w:trPr>
          <w:cantSplit/>
        </w:trPr>
        <w:tc>
          <w:tcPr>
            <w:tcW w:w="3157" w:type="dxa"/>
            <w:hideMark/>
          </w:tcPr>
          <w:p w14:paraId="5A2FDEF2" w14:textId="77777777" w:rsidR="006E3F10" w:rsidRPr="006E3F10" w:rsidRDefault="006E3F10" w:rsidP="003D5040">
            <w:pPr>
              <w:pStyle w:val="TableCopy"/>
              <w:rPr>
                <w:lang w:val="en-GB"/>
              </w:rPr>
            </w:pPr>
            <w:r w:rsidRPr="006E3F10">
              <w:rPr>
                <w:lang w:val="en-GB"/>
              </w:rPr>
              <w:t>FRD 25C</w:t>
            </w:r>
          </w:p>
        </w:tc>
        <w:tc>
          <w:tcPr>
            <w:tcW w:w="6569" w:type="dxa"/>
            <w:hideMark/>
          </w:tcPr>
          <w:p w14:paraId="7988C852" w14:textId="77777777" w:rsidR="006E3F10" w:rsidRPr="006E3F10" w:rsidRDefault="006E3F10" w:rsidP="003D5040">
            <w:pPr>
              <w:pStyle w:val="TableCopy"/>
              <w:rPr>
                <w:lang w:val="en-GB"/>
              </w:rPr>
            </w:pPr>
            <w:r w:rsidRPr="006E3F10">
              <w:rPr>
                <w:lang w:val="en-GB"/>
              </w:rPr>
              <w:t>VIPP</w:t>
            </w:r>
          </w:p>
        </w:tc>
        <w:tc>
          <w:tcPr>
            <w:tcW w:w="0" w:type="auto"/>
            <w:hideMark/>
          </w:tcPr>
          <w:p w14:paraId="0F79ECE6" w14:textId="77777777" w:rsidR="006E3F10" w:rsidRPr="006E3F10" w:rsidRDefault="006E3F10" w:rsidP="003D5040">
            <w:pPr>
              <w:pStyle w:val="TableCopy"/>
              <w:rPr>
                <w:lang w:val="en-GB"/>
              </w:rPr>
            </w:pPr>
            <w:r w:rsidRPr="006E3F10">
              <w:rPr>
                <w:lang w:val="en-GB"/>
              </w:rPr>
              <w:t>22</w:t>
            </w:r>
          </w:p>
        </w:tc>
      </w:tr>
      <w:tr w:rsidR="006E3F10" w:rsidRPr="006E3F10" w14:paraId="031296E3" w14:textId="77777777" w:rsidTr="004A0AF1">
        <w:trPr>
          <w:cantSplit/>
        </w:trPr>
        <w:tc>
          <w:tcPr>
            <w:tcW w:w="3157" w:type="dxa"/>
            <w:hideMark/>
          </w:tcPr>
          <w:p w14:paraId="3C0CD29C" w14:textId="77777777" w:rsidR="006E3F10" w:rsidRPr="006E3F10" w:rsidRDefault="006E3F10" w:rsidP="003D5040">
            <w:pPr>
              <w:pStyle w:val="TableCopy"/>
              <w:rPr>
                <w:lang w:val="en-GB"/>
              </w:rPr>
            </w:pPr>
            <w:r w:rsidRPr="006E3F10">
              <w:rPr>
                <w:lang w:val="en-GB"/>
              </w:rPr>
              <w:t>FRD 22H</w:t>
            </w:r>
          </w:p>
        </w:tc>
        <w:tc>
          <w:tcPr>
            <w:tcW w:w="6569" w:type="dxa"/>
            <w:hideMark/>
          </w:tcPr>
          <w:p w14:paraId="52F881AA" w14:textId="77777777" w:rsidR="006E3F10" w:rsidRPr="006E3F10" w:rsidRDefault="006E3F10" w:rsidP="003D5040">
            <w:pPr>
              <w:pStyle w:val="TableCopy"/>
              <w:rPr>
                <w:lang w:val="en-GB"/>
              </w:rPr>
            </w:pPr>
            <w:r w:rsidRPr="006E3F10">
              <w:rPr>
                <w:lang w:val="en-GB"/>
              </w:rPr>
              <w:t>Consultancy Expenditure</w:t>
            </w:r>
          </w:p>
        </w:tc>
        <w:tc>
          <w:tcPr>
            <w:tcW w:w="0" w:type="auto"/>
            <w:hideMark/>
          </w:tcPr>
          <w:p w14:paraId="22932C2E" w14:textId="77777777" w:rsidR="006E3F10" w:rsidRPr="006E3F10" w:rsidRDefault="006E3F10" w:rsidP="003D5040">
            <w:pPr>
              <w:pStyle w:val="TableCopy"/>
              <w:rPr>
                <w:lang w:val="en-GB"/>
              </w:rPr>
            </w:pPr>
            <w:r w:rsidRPr="006E3F10">
              <w:rPr>
                <w:lang w:val="en-GB"/>
              </w:rPr>
              <w:t>12</w:t>
            </w:r>
          </w:p>
        </w:tc>
      </w:tr>
      <w:tr w:rsidR="006E3F10" w:rsidRPr="006E3F10" w14:paraId="2C2F5B8B" w14:textId="77777777" w:rsidTr="004A0AF1">
        <w:trPr>
          <w:cantSplit/>
        </w:trPr>
        <w:tc>
          <w:tcPr>
            <w:tcW w:w="3157" w:type="dxa"/>
            <w:hideMark/>
          </w:tcPr>
          <w:p w14:paraId="7B334273" w14:textId="77777777" w:rsidR="006E3F10" w:rsidRPr="006E3F10" w:rsidRDefault="006E3F10" w:rsidP="003D5040">
            <w:pPr>
              <w:pStyle w:val="TableCopy"/>
              <w:rPr>
                <w:lang w:val="en-GB"/>
              </w:rPr>
            </w:pPr>
            <w:r w:rsidRPr="006E3F10">
              <w:rPr>
                <w:lang w:val="en-GB"/>
              </w:rPr>
              <w:t>FRD 22H</w:t>
            </w:r>
          </w:p>
        </w:tc>
        <w:tc>
          <w:tcPr>
            <w:tcW w:w="6569" w:type="dxa"/>
            <w:hideMark/>
          </w:tcPr>
          <w:p w14:paraId="78893AA0" w14:textId="77777777" w:rsidR="006E3F10" w:rsidRPr="006E3F10" w:rsidRDefault="006E3F10" w:rsidP="003D5040">
            <w:pPr>
              <w:pStyle w:val="TableCopy"/>
              <w:rPr>
                <w:lang w:val="en-GB"/>
              </w:rPr>
            </w:pPr>
            <w:r w:rsidRPr="006E3F10">
              <w:rPr>
                <w:lang w:val="en-GB"/>
              </w:rPr>
              <w:t>ICT Expenditure</w:t>
            </w:r>
          </w:p>
        </w:tc>
        <w:tc>
          <w:tcPr>
            <w:tcW w:w="0" w:type="auto"/>
            <w:hideMark/>
          </w:tcPr>
          <w:p w14:paraId="439AFED7" w14:textId="77777777" w:rsidR="006E3F10" w:rsidRPr="006E3F10" w:rsidRDefault="006E3F10" w:rsidP="003D5040">
            <w:pPr>
              <w:pStyle w:val="TableCopy"/>
              <w:rPr>
                <w:lang w:val="en-GB"/>
              </w:rPr>
            </w:pPr>
            <w:r w:rsidRPr="006E3F10">
              <w:rPr>
                <w:lang w:val="en-GB"/>
              </w:rPr>
              <w:t>24</w:t>
            </w:r>
          </w:p>
        </w:tc>
      </w:tr>
      <w:tr w:rsidR="006E3F10" w:rsidRPr="006E3F10" w14:paraId="24C5DAFB" w14:textId="77777777" w:rsidTr="004A0AF1">
        <w:trPr>
          <w:cantSplit/>
        </w:trPr>
        <w:tc>
          <w:tcPr>
            <w:tcW w:w="3157" w:type="dxa"/>
            <w:hideMark/>
          </w:tcPr>
          <w:p w14:paraId="2FD7AA61" w14:textId="77777777" w:rsidR="006E3F10" w:rsidRPr="006E3F10" w:rsidRDefault="006E3F10" w:rsidP="003D5040">
            <w:pPr>
              <w:pStyle w:val="TableCopy"/>
              <w:rPr>
                <w:lang w:val="en-GB"/>
              </w:rPr>
            </w:pPr>
            <w:r w:rsidRPr="006E3F10">
              <w:rPr>
                <w:lang w:val="en-GB"/>
              </w:rPr>
              <w:t>FRD 22H</w:t>
            </w:r>
          </w:p>
        </w:tc>
        <w:tc>
          <w:tcPr>
            <w:tcW w:w="6569" w:type="dxa"/>
            <w:hideMark/>
          </w:tcPr>
          <w:p w14:paraId="7FB01EA1" w14:textId="77777777" w:rsidR="006E3F10" w:rsidRPr="006E3F10" w:rsidRDefault="006E3F10" w:rsidP="003D5040">
            <w:pPr>
              <w:pStyle w:val="TableCopy"/>
              <w:rPr>
                <w:lang w:val="en-GB"/>
              </w:rPr>
            </w:pPr>
            <w:r w:rsidRPr="006E3F10">
              <w:rPr>
                <w:lang w:val="en-GB"/>
              </w:rPr>
              <w:t>Freedom of Information</w:t>
            </w:r>
          </w:p>
        </w:tc>
        <w:tc>
          <w:tcPr>
            <w:tcW w:w="0" w:type="auto"/>
            <w:hideMark/>
          </w:tcPr>
          <w:p w14:paraId="22940D10" w14:textId="77777777" w:rsidR="006E3F10" w:rsidRPr="006E3F10" w:rsidRDefault="006E3F10" w:rsidP="003D5040">
            <w:pPr>
              <w:pStyle w:val="TableCopy"/>
              <w:rPr>
                <w:lang w:val="en-GB"/>
              </w:rPr>
            </w:pPr>
            <w:r w:rsidRPr="006E3F10">
              <w:rPr>
                <w:lang w:val="en-GB"/>
              </w:rPr>
              <w:t>26</w:t>
            </w:r>
          </w:p>
        </w:tc>
      </w:tr>
      <w:tr w:rsidR="006E3F10" w:rsidRPr="006E3F10" w14:paraId="1C9259EB" w14:textId="77777777" w:rsidTr="004A0AF1">
        <w:trPr>
          <w:cantSplit/>
        </w:trPr>
        <w:tc>
          <w:tcPr>
            <w:tcW w:w="3157" w:type="dxa"/>
            <w:hideMark/>
          </w:tcPr>
          <w:p w14:paraId="556EA38D" w14:textId="77777777" w:rsidR="006E3F10" w:rsidRPr="006E3F10" w:rsidRDefault="006E3F10" w:rsidP="003D5040">
            <w:pPr>
              <w:pStyle w:val="TableCopy"/>
              <w:rPr>
                <w:lang w:val="en-GB"/>
              </w:rPr>
            </w:pPr>
            <w:r w:rsidRPr="006E3F10">
              <w:rPr>
                <w:lang w:val="en-GB"/>
              </w:rPr>
              <w:t>FRD 22H</w:t>
            </w:r>
          </w:p>
        </w:tc>
        <w:tc>
          <w:tcPr>
            <w:tcW w:w="6569" w:type="dxa"/>
            <w:hideMark/>
          </w:tcPr>
          <w:p w14:paraId="1085464C" w14:textId="77777777" w:rsidR="006E3F10" w:rsidRPr="006E3F10" w:rsidRDefault="006E3F10" w:rsidP="003D5040">
            <w:pPr>
              <w:pStyle w:val="TableCopy"/>
              <w:rPr>
                <w:lang w:val="en-GB"/>
              </w:rPr>
            </w:pPr>
            <w:r w:rsidRPr="006E3F10">
              <w:rPr>
                <w:i/>
                <w:iCs/>
                <w:lang w:val="en-GB"/>
              </w:rPr>
              <w:t>Building Act 1993</w:t>
            </w:r>
          </w:p>
        </w:tc>
        <w:tc>
          <w:tcPr>
            <w:tcW w:w="0" w:type="auto"/>
            <w:hideMark/>
          </w:tcPr>
          <w:p w14:paraId="63E67E91" w14:textId="77777777" w:rsidR="006E3F10" w:rsidRPr="006E3F10" w:rsidRDefault="006E3F10" w:rsidP="003D5040">
            <w:pPr>
              <w:pStyle w:val="TableCopy"/>
              <w:rPr>
                <w:lang w:val="en-GB"/>
              </w:rPr>
            </w:pPr>
            <w:r w:rsidRPr="006E3F10">
              <w:rPr>
                <w:lang w:val="en-GB"/>
              </w:rPr>
              <w:t>26</w:t>
            </w:r>
          </w:p>
        </w:tc>
      </w:tr>
      <w:tr w:rsidR="006E3F10" w:rsidRPr="006E3F10" w14:paraId="13B49584" w14:textId="77777777" w:rsidTr="004A0AF1">
        <w:trPr>
          <w:cantSplit/>
        </w:trPr>
        <w:tc>
          <w:tcPr>
            <w:tcW w:w="3157" w:type="dxa"/>
            <w:hideMark/>
          </w:tcPr>
          <w:p w14:paraId="35904CA9" w14:textId="77777777" w:rsidR="006E3F10" w:rsidRPr="006E3F10" w:rsidRDefault="006E3F10" w:rsidP="003D5040">
            <w:pPr>
              <w:pStyle w:val="TableCopy"/>
              <w:rPr>
                <w:lang w:val="en-GB"/>
              </w:rPr>
            </w:pPr>
            <w:r w:rsidRPr="006E3F10">
              <w:rPr>
                <w:lang w:val="en-GB"/>
              </w:rPr>
              <w:t>FRD 22H</w:t>
            </w:r>
          </w:p>
        </w:tc>
        <w:tc>
          <w:tcPr>
            <w:tcW w:w="6569" w:type="dxa"/>
            <w:hideMark/>
          </w:tcPr>
          <w:p w14:paraId="7BD9C363" w14:textId="77777777" w:rsidR="006E3F10" w:rsidRPr="006E3F10" w:rsidRDefault="006E3F10" w:rsidP="003D5040">
            <w:pPr>
              <w:pStyle w:val="TableCopy"/>
              <w:rPr>
                <w:lang w:val="en-GB"/>
              </w:rPr>
            </w:pPr>
            <w:r w:rsidRPr="006E3F10">
              <w:rPr>
                <w:i/>
                <w:iCs/>
                <w:lang w:val="en-GB"/>
              </w:rPr>
              <w:t>Protected Disclosure Act 2012</w:t>
            </w:r>
          </w:p>
        </w:tc>
        <w:tc>
          <w:tcPr>
            <w:tcW w:w="0" w:type="auto"/>
            <w:hideMark/>
          </w:tcPr>
          <w:p w14:paraId="6C299E8E" w14:textId="77777777" w:rsidR="006E3F10" w:rsidRPr="006E3F10" w:rsidRDefault="006E3F10" w:rsidP="003D5040">
            <w:pPr>
              <w:pStyle w:val="TableCopy"/>
              <w:rPr>
                <w:lang w:val="en-GB"/>
              </w:rPr>
            </w:pPr>
            <w:r w:rsidRPr="006E3F10">
              <w:rPr>
                <w:lang w:val="en-GB"/>
              </w:rPr>
              <w:t>26</w:t>
            </w:r>
          </w:p>
        </w:tc>
      </w:tr>
      <w:tr w:rsidR="006E3F10" w:rsidRPr="006E3F10" w14:paraId="16BE3343" w14:textId="77777777" w:rsidTr="004A0AF1">
        <w:trPr>
          <w:cantSplit/>
        </w:trPr>
        <w:tc>
          <w:tcPr>
            <w:tcW w:w="3157" w:type="dxa"/>
            <w:hideMark/>
          </w:tcPr>
          <w:p w14:paraId="11D89A09" w14:textId="77777777" w:rsidR="006E3F10" w:rsidRPr="006E3F10" w:rsidRDefault="006E3F10" w:rsidP="003D5040">
            <w:pPr>
              <w:pStyle w:val="TableCopy"/>
              <w:rPr>
                <w:lang w:val="en-GB"/>
              </w:rPr>
            </w:pPr>
            <w:r w:rsidRPr="006E3F10">
              <w:rPr>
                <w:lang w:val="en-GB"/>
              </w:rPr>
              <w:t>FRD 22H</w:t>
            </w:r>
          </w:p>
        </w:tc>
        <w:tc>
          <w:tcPr>
            <w:tcW w:w="6569" w:type="dxa"/>
            <w:hideMark/>
          </w:tcPr>
          <w:p w14:paraId="3D99FDC6" w14:textId="77777777" w:rsidR="006E3F10" w:rsidRPr="006E3F10" w:rsidRDefault="006E3F10" w:rsidP="003D5040">
            <w:pPr>
              <w:pStyle w:val="TableCopy"/>
              <w:rPr>
                <w:lang w:val="en-GB"/>
              </w:rPr>
            </w:pPr>
            <w:r w:rsidRPr="006E3F10">
              <w:rPr>
                <w:i/>
                <w:iCs/>
                <w:lang w:val="en-GB"/>
              </w:rPr>
              <w:t>Carers Recognition Act 2012</w:t>
            </w:r>
          </w:p>
        </w:tc>
        <w:tc>
          <w:tcPr>
            <w:tcW w:w="0" w:type="auto"/>
            <w:hideMark/>
          </w:tcPr>
          <w:p w14:paraId="57A958BD" w14:textId="77777777" w:rsidR="006E3F10" w:rsidRPr="006E3F10" w:rsidRDefault="006E3F10" w:rsidP="003D5040">
            <w:pPr>
              <w:pStyle w:val="TableCopy"/>
              <w:rPr>
                <w:lang w:val="en-GB"/>
              </w:rPr>
            </w:pPr>
            <w:r w:rsidRPr="006E3F10">
              <w:rPr>
                <w:lang w:val="en-GB"/>
              </w:rPr>
              <w:t>27</w:t>
            </w:r>
          </w:p>
        </w:tc>
      </w:tr>
      <w:tr w:rsidR="006E3F10" w:rsidRPr="006E3F10" w14:paraId="1C0556E4" w14:textId="77777777" w:rsidTr="004A0AF1">
        <w:trPr>
          <w:cantSplit/>
        </w:trPr>
        <w:tc>
          <w:tcPr>
            <w:tcW w:w="3157" w:type="dxa"/>
            <w:hideMark/>
          </w:tcPr>
          <w:p w14:paraId="19C15AB3" w14:textId="77777777" w:rsidR="006E3F10" w:rsidRPr="006E3F10" w:rsidRDefault="006E3F10" w:rsidP="003D5040">
            <w:pPr>
              <w:pStyle w:val="TableCopy"/>
              <w:rPr>
                <w:lang w:val="en-GB"/>
              </w:rPr>
            </w:pPr>
            <w:r w:rsidRPr="006E3F10">
              <w:rPr>
                <w:lang w:val="en-GB"/>
              </w:rPr>
              <w:t>FRD 24C</w:t>
            </w:r>
          </w:p>
        </w:tc>
        <w:tc>
          <w:tcPr>
            <w:tcW w:w="6569" w:type="dxa"/>
            <w:hideMark/>
          </w:tcPr>
          <w:p w14:paraId="29C131D6" w14:textId="77777777" w:rsidR="006E3F10" w:rsidRPr="006E3F10" w:rsidRDefault="006E3F10" w:rsidP="003D5040">
            <w:pPr>
              <w:pStyle w:val="TableCopy"/>
              <w:rPr>
                <w:lang w:val="en-GB"/>
              </w:rPr>
            </w:pPr>
            <w:r w:rsidRPr="006E3F10">
              <w:rPr>
                <w:lang w:val="en-GB"/>
              </w:rPr>
              <w:t>Office-based environmental impacts</w:t>
            </w:r>
          </w:p>
        </w:tc>
        <w:tc>
          <w:tcPr>
            <w:tcW w:w="0" w:type="auto"/>
            <w:hideMark/>
          </w:tcPr>
          <w:p w14:paraId="73A1AA0B" w14:textId="77777777" w:rsidR="006E3F10" w:rsidRPr="006E3F10" w:rsidRDefault="006E3F10" w:rsidP="003D5040">
            <w:pPr>
              <w:pStyle w:val="TableCopy"/>
              <w:rPr>
                <w:lang w:val="en-GB"/>
              </w:rPr>
            </w:pPr>
            <w:r w:rsidRPr="006E3F10">
              <w:rPr>
                <w:lang w:val="en-GB"/>
              </w:rPr>
              <w:t>24-25</w:t>
            </w:r>
          </w:p>
        </w:tc>
      </w:tr>
      <w:tr w:rsidR="006E3F10" w:rsidRPr="006E3F10" w14:paraId="1A688F19" w14:textId="77777777" w:rsidTr="004A0AF1">
        <w:trPr>
          <w:cantSplit/>
        </w:trPr>
        <w:tc>
          <w:tcPr>
            <w:tcW w:w="3157" w:type="dxa"/>
            <w:hideMark/>
          </w:tcPr>
          <w:p w14:paraId="13E33C14" w14:textId="77777777" w:rsidR="006E3F10" w:rsidRPr="006E3F10" w:rsidRDefault="006E3F10" w:rsidP="003D5040">
            <w:pPr>
              <w:pStyle w:val="TableCopy"/>
              <w:rPr>
                <w:lang w:val="en-GB"/>
              </w:rPr>
            </w:pPr>
            <w:r w:rsidRPr="006E3F10">
              <w:rPr>
                <w:lang w:val="en-GB"/>
              </w:rPr>
              <w:t>SD 3.7.1</w:t>
            </w:r>
          </w:p>
        </w:tc>
        <w:tc>
          <w:tcPr>
            <w:tcW w:w="6569" w:type="dxa"/>
            <w:hideMark/>
          </w:tcPr>
          <w:p w14:paraId="0F84772D" w14:textId="77777777" w:rsidR="006E3F10" w:rsidRPr="006E3F10" w:rsidRDefault="006E3F10" w:rsidP="003D5040">
            <w:pPr>
              <w:pStyle w:val="TableCopy"/>
              <w:rPr>
                <w:lang w:val="en-GB"/>
              </w:rPr>
            </w:pPr>
            <w:r w:rsidRPr="006E3F10">
              <w:rPr>
                <w:lang w:val="en-GB"/>
              </w:rPr>
              <w:t>Attestation for compliance with Ministerial Direction 3.7.1</w:t>
            </w:r>
          </w:p>
        </w:tc>
        <w:tc>
          <w:tcPr>
            <w:tcW w:w="0" w:type="auto"/>
            <w:hideMark/>
          </w:tcPr>
          <w:p w14:paraId="67DCBDC1" w14:textId="77777777" w:rsidR="006E3F10" w:rsidRPr="006E3F10" w:rsidRDefault="006E3F10" w:rsidP="003D5040">
            <w:pPr>
              <w:pStyle w:val="TableCopy"/>
              <w:rPr>
                <w:lang w:val="en-GB"/>
              </w:rPr>
            </w:pPr>
            <w:r w:rsidRPr="006E3F10">
              <w:rPr>
                <w:lang w:val="en-GB"/>
              </w:rPr>
              <w:t>28</w:t>
            </w:r>
          </w:p>
        </w:tc>
      </w:tr>
      <w:tr w:rsidR="006E3F10" w:rsidRPr="006E3F10" w14:paraId="0843F934" w14:textId="77777777" w:rsidTr="004A0AF1">
        <w:trPr>
          <w:cantSplit/>
        </w:trPr>
        <w:tc>
          <w:tcPr>
            <w:tcW w:w="3157" w:type="dxa"/>
            <w:hideMark/>
          </w:tcPr>
          <w:p w14:paraId="384680D5" w14:textId="77777777" w:rsidR="006E3F10" w:rsidRPr="006E3F10" w:rsidRDefault="006E3F10" w:rsidP="003D5040">
            <w:pPr>
              <w:pStyle w:val="TableCopy"/>
              <w:rPr>
                <w:lang w:val="en-GB"/>
              </w:rPr>
            </w:pPr>
            <w:r w:rsidRPr="006E3F10">
              <w:rPr>
                <w:lang w:val="en-GB"/>
              </w:rPr>
              <w:t>RFD 22H</w:t>
            </w:r>
          </w:p>
        </w:tc>
        <w:tc>
          <w:tcPr>
            <w:tcW w:w="6569" w:type="dxa"/>
            <w:hideMark/>
          </w:tcPr>
          <w:p w14:paraId="03C9418D" w14:textId="77777777" w:rsidR="006E3F10" w:rsidRPr="006E3F10" w:rsidRDefault="006E3F10" w:rsidP="003D5040">
            <w:pPr>
              <w:pStyle w:val="TableCopy"/>
              <w:rPr>
                <w:lang w:val="en-GB"/>
              </w:rPr>
            </w:pPr>
            <w:r w:rsidRPr="006E3F10">
              <w:rPr>
                <w:lang w:val="en-GB"/>
              </w:rPr>
              <w:t>Statement of Availability</w:t>
            </w:r>
          </w:p>
        </w:tc>
        <w:tc>
          <w:tcPr>
            <w:tcW w:w="0" w:type="auto"/>
            <w:hideMark/>
          </w:tcPr>
          <w:p w14:paraId="5AE46D5A" w14:textId="77777777" w:rsidR="006E3F10" w:rsidRPr="006E3F10" w:rsidRDefault="006E3F10" w:rsidP="003D5040">
            <w:pPr>
              <w:pStyle w:val="TableCopy"/>
              <w:rPr>
                <w:lang w:val="en-GB"/>
              </w:rPr>
            </w:pPr>
            <w:r w:rsidRPr="006E3F10">
              <w:rPr>
                <w:lang w:val="en-GB"/>
              </w:rPr>
              <w:t>27</w:t>
            </w:r>
          </w:p>
        </w:tc>
      </w:tr>
      <w:tr w:rsidR="0050795F" w:rsidRPr="006E3F10" w14:paraId="19D78339" w14:textId="77777777" w:rsidTr="004A0AF1">
        <w:trPr>
          <w:cantSplit/>
        </w:trPr>
        <w:tc>
          <w:tcPr>
            <w:tcW w:w="10456" w:type="dxa"/>
            <w:gridSpan w:val="3"/>
            <w:hideMark/>
          </w:tcPr>
          <w:p w14:paraId="16035B70" w14:textId="5B1774BF" w:rsidR="0050795F" w:rsidRPr="006E3F10" w:rsidRDefault="0050795F" w:rsidP="003D5040">
            <w:pPr>
              <w:pStyle w:val="TableHeading"/>
              <w:rPr>
                <w:lang w:val="en-GB"/>
              </w:rPr>
            </w:pPr>
            <w:r w:rsidRPr="006E3F10">
              <w:rPr>
                <w:lang w:val="en-GB"/>
              </w:rPr>
              <w:t xml:space="preserve">Financial Statements required Under Part 7 of the </w:t>
            </w:r>
            <w:r w:rsidRPr="0050795F">
              <w:rPr>
                <w:i/>
                <w:lang w:val="en-GB"/>
              </w:rPr>
              <w:t>Financial Management Act 1994</w:t>
            </w:r>
          </w:p>
        </w:tc>
      </w:tr>
      <w:tr w:rsidR="006E3F10" w:rsidRPr="006E3F10" w14:paraId="1DF484BF" w14:textId="77777777" w:rsidTr="004A0AF1">
        <w:trPr>
          <w:cantSplit/>
        </w:trPr>
        <w:tc>
          <w:tcPr>
            <w:tcW w:w="3157" w:type="dxa"/>
            <w:hideMark/>
          </w:tcPr>
          <w:p w14:paraId="7BD1E9A3" w14:textId="77777777" w:rsidR="006E3F10" w:rsidRPr="006E3F10" w:rsidRDefault="006E3F10" w:rsidP="003D5040">
            <w:pPr>
              <w:pStyle w:val="TableCopy"/>
              <w:rPr>
                <w:lang w:val="en-GB"/>
              </w:rPr>
            </w:pPr>
            <w:r w:rsidRPr="006E3F10">
              <w:rPr>
                <w:lang w:val="en-GB"/>
              </w:rPr>
              <w:t>FRD 110a</w:t>
            </w:r>
          </w:p>
        </w:tc>
        <w:tc>
          <w:tcPr>
            <w:tcW w:w="6569" w:type="dxa"/>
            <w:hideMark/>
          </w:tcPr>
          <w:p w14:paraId="3EFCFA71" w14:textId="77777777" w:rsidR="006E3F10" w:rsidRPr="006E3F10" w:rsidRDefault="006E3F10" w:rsidP="003D5040">
            <w:pPr>
              <w:pStyle w:val="TableCopy"/>
              <w:rPr>
                <w:lang w:val="en-GB"/>
              </w:rPr>
            </w:pPr>
            <w:r w:rsidRPr="006E3F10">
              <w:rPr>
                <w:lang w:val="en-GB"/>
              </w:rPr>
              <w:t>Balance Sheet</w:t>
            </w:r>
          </w:p>
        </w:tc>
        <w:tc>
          <w:tcPr>
            <w:tcW w:w="0" w:type="auto"/>
            <w:hideMark/>
          </w:tcPr>
          <w:p w14:paraId="0A208E01" w14:textId="77777777" w:rsidR="006E3F10" w:rsidRPr="006E3F10" w:rsidRDefault="006E3F10" w:rsidP="003D5040">
            <w:pPr>
              <w:pStyle w:val="TableCopy"/>
              <w:rPr>
                <w:lang w:val="en-GB"/>
              </w:rPr>
            </w:pPr>
            <w:r w:rsidRPr="006E3F10">
              <w:rPr>
                <w:lang w:val="en-GB"/>
              </w:rPr>
              <w:t>33</w:t>
            </w:r>
          </w:p>
        </w:tc>
      </w:tr>
      <w:tr w:rsidR="006E3F10" w:rsidRPr="006E3F10" w14:paraId="358DD62D" w14:textId="77777777" w:rsidTr="004A0AF1">
        <w:trPr>
          <w:cantSplit/>
        </w:trPr>
        <w:tc>
          <w:tcPr>
            <w:tcW w:w="3157" w:type="dxa"/>
            <w:hideMark/>
          </w:tcPr>
          <w:p w14:paraId="489558B2" w14:textId="77777777" w:rsidR="006E3F10" w:rsidRPr="006E3F10" w:rsidRDefault="006E3F10" w:rsidP="003D5040">
            <w:pPr>
              <w:pStyle w:val="TableCopy"/>
              <w:rPr>
                <w:lang w:val="en-GB"/>
              </w:rPr>
            </w:pPr>
            <w:r w:rsidRPr="006E3F10">
              <w:rPr>
                <w:lang w:val="en-GB"/>
              </w:rPr>
              <w:t>FRD 110a</w:t>
            </w:r>
          </w:p>
        </w:tc>
        <w:tc>
          <w:tcPr>
            <w:tcW w:w="6569" w:type="dxa"/>
            <w:hideMark/>
          </w:tcPr>
          <w:p w14:paraId="24787F2E" w14:textId="77777777" w:rsidR="006E3F10" w:rsidRPr="006E3F10" w:rsidRDefault="006E3F10" w:rsidP="003D5040">
            <w:pPr>
              <w:pStyle w:val="TableCopy"/>
              <w:rPr>
                <w:lang w:val="en-GB"/>
              </w:rPr>
            </w:pPr>
            <w:r w:rsidRPr="006E3F10">
              <w:rPr>
                <w:lang w:val="en-GB"/>
              </w:rPr>
              <w:t>Cash Flow Statement</w:t>
            </w:r>
          </w:p>
        </w:tc>
        <w:tc>
          <w:tcPr>
            <w:tcW w:w="0" w:type="auto"/>
            <w:hideMark/>
          </w:tcPr>
          <w:p w14:paraId="3DB3CB5F" w14:textId="77777777" w:rsidR="006E3F10" w:rsidRPr="006E3F10" w:rsidRDefault="006E3F10" w:rsidP="003D5040">
            <w:pPr>
              <w:pStyle w:val="TableCopy"/>
              <w:rPr>
                <w:lang w:val="en-GB"/>
              </w:rPr>
            </w:pPr>
            <w:r w:rsidRPr="006E3F10">
              <w:rPr>
                <w:lang w:val="en-GB"/>
              </w:rPr>
              <w:t>34</w:t>
            </w:r>
          </w:p>
        </w:tc>
      </w:tr>
      <w:tr w:rsidR="0050795F" w:rsidRPr="006E3F10" w14:paraId="7B1FF43B" w14:textId="77777777" w:rsidTr="004A0AF1">
        <w:trPr>
          <w:cantSplit/>
        </w:trPr>
        <w:tc>
          <w:tcPr>
            <w:tcW w:w="10456" w:type="dxa"/>
            <w:gridSpan w:val="3"/>
            <w:hideMark/>
          </w:tcPr>
          <w:p w14:paraId="66162896" w14:textId="73E55EDD" w:rsidR="0050795F" w:rsidRPr="006E3F10" w:rsidRDefault="0050795F" w:rsidP="003D5040">
            <w:pPr>
              <w:pStyle w:val="TableHeading"/>
              <w:rPr>
                <w:lang w:val="en-GB"/>
              </w:rPr>
            </w:pPr>
            <w:r w:rsidRPr="006E3F10">
              <w:rPr>
                <w:lang w:val="en-GB"/>
              </w:rPr>
              <w:t>Other Requirements Under Standing Directions 5.2</w:t>
            </w:r>
          </w:p>
        </w:tc>
      </w:tr>
      <w:tr w:rsidR="006E3F10" w:rsidRPr="006E3F10" w14:paraId="54D02BB1" w14:textId="77777777" w:rsidTr="004A0AF1">
        <w:trPr>
          <w:cantSplit/>
        </w:trPr>
        <w:tc>
          <w:tcPr>
            <w:tcW w:w="3157" w:type="dxa"/>
            <w:hideMark/>
          </w:tcPr>
          <w:p w14:paraId="13E9714C" w14:textId="77777777" w:rsidR="006E3F10" w:rsidRPr="006E3F10" w:rsidRDefault="006E3F10" w:rsidP="003D5040">
            <w:pPr>
              <w:pStyle w:val="TableCopy"/>
              <w:rPr>
                <w:lang w:val="en-GB"/>
              </w:rPr>
            </w:pPr>
            <w:r w:rsidRPr="006E3F10">
              <w:rPr>
                <w:lang w:val="en-GB"/>
              </w:rPr>
              <w:t>SD 5.2.2</w:t>
            </w:r>
          </w:p>
        </w:tc>
        <w:tc>
          <w:tcPr>
            <w:tcW w:w="6569" w:type="dxa"/>
            <w:hideMark/>
          </w:tcPr>
          <w:p w14:paraId="7DAC3FCE" w14:textId="77777777" w:rsidR="006E3F10" w:rsidRPr="006E3F10" w:rsidRDefault="006E3F10" w:rsidP="003D5040">
            <w:pPr>
              <w:pStyle w:val="TableCopy"/>
              <w:rPr>
                <w:lang w:val="en-GB"/>
              </w:rPr>
            </w:pPr>
            <w:r w:rsidRPr="006E3F10">
              <w:rPr>
                <w:lang w:val="en-GB"/>
              </w:rPr>
              <w:t>Accountable Officer’s and Chief Financial Officer’s Declaration</w:t>
            </w:r>
          </w:p>
        </w:tc>
        <w:tc>
          <w:tcPr>
            <w:tcW w:w="0" w:type="auto"/>
            <w:hideMark/>
          </w:tcPr>
          <w:p w14:paraId="5418C1D0" w14:textId="77777777" w:rsidR="006E3F10" w:rsidRPr="006E3F10" w:rsidRDefault="006E3F10" w:rsidP="003D5040">
            <w:pPr>
              <w:pStyle w:val="TableCopy"/>
              <w:rPr>
                <w:lang w:val="en-GB"/>
              </w:rPr>
            </w:pPr>
            <w:r w:rsidRPr="006E3F10">
              <w:rPr>
                <w:lang w:val="en-GB"/>
              </w:rPr>
              <w:t>60</w:t>
            </w:r>
          </w:p>
        </w:tc>
      </w:tr>
      <w:tr w:rsidR="006E3F10" w:rsidRPr="006E3F10" w14:paraId="7A60278A" w14:textId="77777777" w:rsidTr="004A0AF1">
        <w:trPr>
          <w:cantSplit/>
        </w:trPr>
        <w:tc>
          <w:tcPr>
            <w:tcW w:w="3157" w:type="dxa"/>
            <w:hideMark/>
          </w:tcPr>
          <w:p w14:paraId="51290B0D" w14:textId="77777777" w:rsidR="006E3F10" w:rsidRPr="006E3F10" w:rsidRDefault="006E3F10" w:rsidP="003D5040">
            <w:pPr>
              <w:pStyle w:val="TableCopy"/>
              <w:rPr>
                <w:lang w:val="en-GB"/>
              </w:rPr>
            </w:pPr>
            <w:r w:rsidRPr="006E3F10">
              <w:rPr>
                <w:lang w:val="en-GB"/>
              </w:rPr>
              <w:t>SD 5.2.1 a</w:t>
            </w:r>
          </w:p>
        </w:tc>
        <w:tc>
          <w:tcPr>
            <w:tcW w:w="6569" w:type="dxa"/>
            <w:hideMark/>
          </w:tcPr>
          <w:p w14:paraId="2E99E530" w14:textId="77777777" w:rsidR="006E3F10" w:rsidRPr="006E3F10" w:rsidRDefault="006E3F10" w:rsidP="003D5040">
            <w:pPr>
              <w:pStyle w:val="TableCopy"/>
              <w:rPr>
                <w:lang w:val="en-GB"/>
              </w:rPr>
            </w:pPr>
            <w:r w:rsidRPr="006E3F10">
              <w:rPr>
                <w:lang w:val="en-GB"/>
              </w:rPr>
              <w:t>Compliance with Ministerial Directions</w:t>
            </w:r>
          </w:p>
        </w:tc>
        <w:tc>
          <w:tcPr>
            <w:tcW w:w="0" w:type="auto"/>
            <w:hideMark/>
          </w:tcPr>
          <w:p w14:paraId="60FA38C1" w14:textId="77777777" w:rsidR="006E3F10" w:rsidRPr="006E3F10" w:rsidRDefault="006E3F10" w:rsidP="003D5040">
            <w:pPr>
              <w:pStyle w:val="TableCopy"/>
              <w:rPr>
                <w:lang w:val="en-GB"/>
              </w:rPr>
            </w:pPr>
            <w:r w:rsidRPr="006E3F10">
              <w:rPr>
                <w:lang w:val="en-GB"/>
              </w:rPr>
              <w:t>28</w:t>
            </w:r>
          </w:p>
        </w:tc>
      </w:tr>
      <w:tr w:rsidR="006E3F10" w:rsidRPr="006E3F10" w14:paraId="7A5271E9" w14:textId="77777777" w:rsidTr="004A0AF1">
        <w:trPr>
          <w:cantSplit/>
        </w:trPr>
        <w:tc>
          <w:tcPr>
            <w:tcW w:w="3157" w:type="dxa"/>
            <w:hideMark/>
          </w:tcPr>
          <w:p w14:paraId="55D9DAC2" w14:textId="77777777" w:rsidR="006E3F10" w:rsidRPr="006E3F10" w:rsidRDefault="006E3F10" w:rsidP="003D5040">
            <w:pPr>
              <w:pStyle w:val="TableCopy"/>
              <w:rPr>
                <w:lang w:val="en-GB"/>
              </w:rPr>
            </w:pPr>
            <w:r w:rsidRPr="006E3F10">
              <w:rPr>
                <w:lang w:val="en-GB"/>
              </w:rPr>
              <w:t>SD 5.2.1 a</w:t>
            </w:r>
          </w:p>
        </w:tc>
        <w:tc>
          <w:tcPr>
            <w:tcW w:w="6569" w:type="dxa"/>
            <w:hideMark/>
          </w:tcPr>
          <w:p w14:paraId="21AA279C" w14:textId="40B36F27" w:rsidR="006E3F10" w:rsidRPr="006E3F10" w:rsidRDefault="006E3F10" w:rsidP="003D5040">
            <w:pPr>
              <w:pStyle w:val="TableCopy"/>
              <w:rPr>
                <w:lang w:val="en-GB"/>
              </w:rPr>
            </w:pPr>
            <w:r w:rsidRPr="006E3F10">
              <w:rPr>
                <w:lang w:val="en-GB"/>
              </w:rPr>
              <w:t xml:space="preserve">Compliance with Australian </w:t>
            </w:r>
            <w:r w:rsidR="00483BD2">
              <w:rPr>
                <w:lang w:val="en-GB"/>
              </w:rPr>
              <w:t xml:space="preserve">accounting standards and other </w:t>
            </w:r>
            <w:r w:rsidRPr="006E3F10">
              <w:rPr>
                <w:lang w:val="en-GB"/>
              </w:rPr>
              <w:t>authoritative pronouncements</w:t>
            </w:r>
          </w:p>
        </w:tc>
        <w:tc>
          <w:tcPr>
            <w:tcW w:w="0" w:type="auto"/>
            <w:hideMark/>
          </w:tcPr>
          <w:p w14:paraId="17BE4B10" w14:textId="77777777" w:rsidR="006E3F10" w:rsidRPr="006E3F10" w:rsidRDefault="006E3F10" w:rsidP="003D5040">
            <w:pPr>
              <w:pStyle w:val="TableCopy"/>
              <w:rPr>
                <w:lang w:val="en-GB"/>
              </w:rPr>
            </w:pPr>
            <w:r w:rsidRPr="006E3F10">
              <w:rPr>
                <w:lang w:val="en-GB"/>
              </w:rPr>
              <w:t>36</w:t>
            </w:r>
          </w:p>
        </w:tc>
      </w:tr>
    </w:tbl>
    <w:p w14:paraId="4EF1F795" w14:textId="77777777" w:rsidR="006E3F10" w:rsidRPr="006E3F10" w:rsidRDefault="006E3F10" w:rsidP="00483BD2">
      <w:pPr>
        <w:pStyle w:val="TableHeading"/>
        <w:rPr>
          <w:lang w:val="en-GB"/>
        </w:rPr>
      </w:pPr>
      <w:r w:rsidRPr="006E3F10">
        <w:rPr>
          <w:lang w:val="en-GB"/>
        </w:rPr>
        <w:t>Legislation Page</w:t>
      </w:r>
    </w:p>
    <w:tbl>
      <w:tblPr>
        <w:tblStyle w:val="TableGrid"/>
        <w:tblW w:w="0" w:type="auto"/>
        <w:tblLook w:val="04A0" w:firstRow="1" w:lastRow="0" w:firstColumn="1" w:lastColumn="0" w:noHBand="0" w:noVBand="1"/>
      </w:tblPr>
      <w:tblGrid>
        <w:gridCol w:w="4390"/>
        <w:gridCol w:w="1275"/>
      </w:tblGrid>
      <w:tr w:rsidR="006E3F10" w:rsidRPr="006E3F10" w14:paraId="19576B85" w14:textId="77777777" w:rsidTr="00483BD2">
        <w:tc>
          <w:tcPr>
            <w:tcW w:w="4390" w:type="dxa"/>
            <w:hideMark/>
          </w:tcPr>
          <w:p w14:paraId="33B3EA65" w14:textId="77777777" w:rsidR="006E3F10" w:rsidRPr="003D5040" w:rsidRDefault="006E3F10" w:rsidP="003D5040">
            <w:pPr>
              <w:pStyle w:val="TableCopy"/>
              <w:rPr>
                <w:i/>
                <w:lang w:val="en-GB"/>
              </w:rPr>
            </w:pPr>
            <w:r w:rsidRPr="003D5040">
              <w:rPr>
                <w:i/>
                <w:lang w:val="en-GB"/>
              </w:rPr>
              <w:t>Freedom of Information Act 1992</w:t>
            </w:r>
          </w:p>
        </w:tc>
        <w:tc>
          <w:tcPr>
            <w:tcW w:w="1275" w:type="dxa"/>
            <w:hideMark/>
          </w:tcPr>
          <w:p w14:paraId="1833E150" w14:textId="77777777" w:rsidR="006E3F10" w:rsidRPr="006E3F10" w:rsidRDefault="006E3F10" w:rsidP="003D5040">
            <w:pPr>
              <w:pStyle w:val="TableCopy"/>
              <w:rPr>
                <w:lang w:val="en-GB"/>
              </w:rPr>
            </w:pPr>
            <w:r w:rsidRPr="006E3F10">
              <w:rPr>
                <w:lang w:val="en-GB"/>
              </w:rPr>
              <w:t>Page 26</w:t>
            </w:r>
          </w:p>
        </w:tc>
      </w:tr>
      <w:tr w:rsidR="006E3F10" w:rsidRPr="006E3F10" w14:paraId="0A27B9D3" w14:textId="77777777" w:rsidTr="00483BD2">
        <w:tc>
          <w:tcPr>
            <w:tcW w:w="4390" w:type="dxa"/>
            <w:hideMark/>
          </w:tcPr>
          <w:p w14:paraId="49C47C4C" w14:textId="77777777" w:rsidR="006E3F10" w:rsidRPr="003D5040" w:rsidRDefault="006E3F10" w:rsidP="003D5040">
            <w:pPr>
              <w:pStyle w:val="TableCopy"/>
              <w:rPr>
                <w:i/>
                <w:lang w:val="en-GB"/>
              </w:rPr>
            </w:pPr>
            <w:r w:rsidRPr="003D5040">
              <w:rPr>
                <w:i/>
                <w:lang w:val="en-GB"/>
              </w:rPr>
              <w:t>Building Act 1993</w:t>
            </w:r>
          </w:p>
        </w:tc>
        <w:tc>
          <w:tcPr>
            <w:tcW w:w="1275" w:type="dxa"/>
            <w:hideMark/>
          </w:tcPr>
          <w:p w14:paraId="11E1452E" w14:textId="77777777" w:rsidR="006E3F10" w:rsidRPr="006E3F10" w:rsidRDefault="006E3F10" w:rsidP="003D5040">
            <w:pPr>
              <w:pStyle w:val="TableCopy"/>
              <w:rPr>
                <w:lang w:val="en-GB"/>
              </w:rPr>
            </w:pPr>
            <w:r w:rsidRPr="006E3F10">
              <w:rPr>
                <w:lang w:val="en-GB"/>
              </w:rPr>
              <w:t>Page 26</w:t>
            </w:r>
          </w:p>
        </w:tc>
      </w:tr>
      <w:tr w:rsidR="006E3F10" w:rsidRPr="006E3F10" w14:paraId="13DE968E" w14:textId="77777777" w:rsidTr="00483BD2">
        <w:tc>
          <w:tcPr>
            <w:tcW w:w="4390" w:type="dxa"/>
            <w:hideMark/>
          </w:tcPr>
          <w:p w14:paraId="31108B66" w14:textId="77777777" w:rsidR="006E3F10" w:rsidRPr="003D5040" w:rsidRDefault="006E3F10" w:rsidP="003D5040">
            <w:pPr>
              <w:pStyle w:val="TableCopy"/>
              <w:rPr>
                <w:i/>
                <w:lang w:val="en-GB"/>
              </w:rPr>
            </w:pPr>
            <w:r w:rsidRPr="003D5040">
              <w:rPr>
                <w:i/>
                <w:lang w:val="en-GB"/>
              </w:rPr>
              <w:t>Protected Disclosure Act 2012</w:t>
            </w:r>
          </w:p>
        </w:tc>
        <w:tc>
          <w:tcPr>
            <w:tcW w:w="1275" w:type="dxa"/>
            <w:hideMark/>
          </w:tcPr>
          <w:p w14:paraId="62C0A749" w14:textId="77777777" w:rsidR="006E3F10" w:rsidRPr="006E3F10" w:rsidRDefault="006E3F10" w:rsidP="003D5040">
            <w:pPr>
              <w:pStyle w:val="TableCopy"/>
              <w:rPr>
                <w:lang w:val="en-GB"/>
              </w:rPr>
            </w:pPr>
            <w:r w:rsidRPr="006E3F10">
              <w:rPr>
                <w:lang w:val="en-GB"/>
              </w:rPr>
              <w:t>Page 27</w:t>
            </w:r>
          </w:p>
        </w:tc>
      </w:tr>
      <w:tr w:rsidR="006E3F10" w:rsidRPr="006E3F10" w14:paraId="45183039" w14:textId="77777777" w:rsidTr="00483BD2">
        <w:tc>
          <w:tcPr>
            <w:tcW w:w="4390" w:type="dxa"/>
            <w:hideMark/>
          </w:tcPr>
          <w:p w14:paraId="5D4282CD" w14:textId="77777777" w:rsidR="006E3F10" w:rsidRPr="003D5040" w:rsidRDefault="006E3F10" w:rsidP="003D5040">
            <w:pPr>
              <w:pStyle w:val="TableCopy"/>
              <w:rPr>
                <w:i/>
                <w:lang w:val="en-GB"/>
              </w:rPr>
            </w:pPr>
            <w:r w:rsidRPr="003D5040">
              <w:rPr>
                <w:i/>
                <w:lang w:val="en-GB"/>
              </w:rPr>
              <w:t>Carers Recognition Act 2012</w:t>
            </w:r>
          </w:p>
        </w:tc>
        <w:tc>
          <w:tcPr>
            <w:tcW w:w="1275" w:type="dxa"/>
            <w:hideMark/>
          </w:tcPr>
          <w:p w14:paraId="5BA0DBAC" w14:textId="77777777" w:rsidR="006E3F10" w:rsidRPr="006E3F10" w:rsidRDefault="006E3F10" w:rsidP="003D5040">
            <w:pPr>
              <w:pStyle w:val="TableCopy"/>
              <w:rPr>
                <w:lang w:val="en-GB"/>
              </w:rPr>
            </w:pPr>
            <w:r w:rsidRPr="006E3F10">
              <w:rPr>
                <w:lang w:val="en-GB"/>
              </w:rPr>
              <w:t>Page 27</w:t>
            </w:r>
          </w:p>
        </w:tc>
      </w:tr>
      <w:tr w:rsidR="006E3F10" w:rsidRPr="006E3F10" w14:paraId="219BC2A8" w14:textId="77777777" w:rsidTr="00483BD2">
        <w:tc>
          <w:tcPr>
            <w:tcW w:w="4390" w:type="dxa"/>
            <w:hideMark/>
          </w:tcPr>
          <w:p w14:paraId="4BFED346" w14:textId="77777777" w:rsidR="006E3F10" w:rsidRPr="003D5040" w:rsidRDefault="006E3F10" w:rsidP="003D5040">
            <w:pPr>
              <w:pStyle w:val="TableCopy"/>
              <w:rPr>
                <w:i/>
                <w:lang w:val="en-GB"/>
              </w:rPr>
            </w:pPr>
            <w:r w:rsidRPr="003D5040">
              <w:rPr>
                <w:i/>
                <w:lang w:val="en-GB"/>
              </w:rPr>
              <w:t>Victorian Industry Participation Policy Act 2003</w:t>
            </w:r>
          </w:p>
        </w:tc>
        <w:tc>
          <w:tcPr>
            <w:tcW w:w="1275" w:type="dxa"/>
            <w:hideMark/>
          </w:tcPr>
          <w:p w14:paraId="09FBF2BC" w14:textId="77777777" w:rsidR="006E3F10" w:rsidRPr="006E3F10" w:rsidRDefault="006E3F10" w:rsidP="003D5040">
            <w:pPr>
              <w:pStyle w:val="TableCopy"/>
              <w:rPr>
                <w:lang w:val="en-GB"/>
              </w:rPr>
            </w:pPr>
            <w:r w:rsidRPr="006E3F10">
              <w:rPr>
                <w:lang w:val="en-GB"/>
              </w:rPr>
              <w:t>Page 22</w:t>
            </w:r>
          </w:p>
        </w:tc>
      </w:tr>
      <w:tr w:rsidR="006E3F10" w:rsidRPr="006E3F10" w14:paraId="10BB195C" w14:textId="77777777" w:rsidTr="00483BD2">
        <w:tc>
          <w:tcPr>
            <w:tcW w:w="4390" w:type="dxa"/>
            <w:hideMark/>
          </w:tcPr>
          <w:p w14:paraId="6F876EE3" w14:textId="77777777" w:rsidR="006E3F10" w:rsidRPr="003D5040" w:rsidRDefault="006E3F10" w:rsidP="003D5040">
            <w:pPr>
              <w:pStyle w:val="TableCopy"/>
              <w:rPr>
                <w:i/>
                <w:lang w:val="en-GB"/>
              </w:rPr>
            </w:pPr>
            <w:r w:rsidRPr="003D5040">
              <w:rPr>
                <w:i/>
                <w:lang w:val="en-GB"/>
              </w:rPr>
              <w:t>Financial Management Act 1994</w:t>
            </w:r>
          </w:p>
        </w:tc>
        <w:tc>
          <w:tcPr>
            <w:tcW w:w="1275" w:type="dxa"/>
            <w:hideMark/>
          </w:tcPr>
          <w:p w14:paraId="39B5DBB9" w14:textId="77777777" w:rsidR="006E3F10" w:rsidRPr="006E3F10" w:rsidRDefault="006E3F10" w:rsidP="003D5040">
            <w:pPr>
              <w:pStyle w:val="TableCopy"/>
              <w:rPr>
                <w:lang w:val="en-GB"/>
              </w:rPr>
            </w:pPr>
            <w:r w:rsidRPr="006E3F10">
              <w:rPr>
                <w:lang w:val="en-GB"/>
              </w:rPr>
              <w:t>Page 54</w:t>
            </w:r>
          </w:p>
        </w:tc>
      </w:tr>
    </w:tbl>
    <w:p w14:paraId="4BF128FA" w14:textId="5488A7A6" w:rsidR="006E3F10" w:rsidRPr="006E3F10" w:rsidRDefault="0060353F" w:rsidP="0060353F">
      <w:pPr>
        <w:pStyle w:val="Heading1"/>
        <w:rPr>
          <w:lang w:val="en-GB"/>
        </w:rPr>
      </w:pPr>
      <w:bookmarkStart w:id="71" w:name="_Toc494111999"/>
      <w:r>
        <w:rPr>
          <w:lang w:val="en-GB"/>
        </w:rPr>
        <w:lastRenderedPageBreak/>
        <w:t xml:space="preserve">VPSC Financial Statements </w:t>
      </w:r>
      <w:r w:rsidR="006E3F10" w:rsidRPr="006E3F10">
        <w:rPr>
          <w:lang w:val="en-GB"/>
        </w:rPr>
        <w:t>for the year ended 30 June 2017</w:t>
      </w:r>
      <w:bookmarkEnd w:id="71"/>
    </w:p>
    <w:p w14:paraId="32D8C2B1" w14:textId="6F23D527" w:rsidR="006E3F10" w:rsidRPr="006E3F10" w:rsidRDefault="006E3F10" w:rsidP="0060353F">
      <w:pPr>
        <w:pStyle w:val="Heading2"/>
        <w:rPr>
          <w:lang w:val="en-GB"/>
        </w:rPr>
      </w:pPr>
      <w:bookmarkStart w:id="72" w:name="_Toc494112000"/>
      <w:r w:rsidRPr="006E3F10">
        <w:rPr>
          <w:lang w:val="en-GB"/>
        </w:rPr>
        <w:t>Co</w:t>
      </w:r>
      <w:r w:rsidR="0060353F">
        <w:rPr>
          <w:lang w:val="en-GB"/>
        </w:rPr>
        <w:t xml:space="preserve">mprehensive operating statement </w:t>
      </w:r>
      <w:r w:rsidRPr="006E3F10">
        <w:rPr>
          <w:lang w:val="en-GB"/>
        </w:rPr>
        <w:t>for the financial year ended 30 June 2017</w:t>
      </w:r>
      <w:bookmarkEnd w:id="72"/>
    </w:p>
    <w:tbl>
      <w:tblPr>
        <w:tblStyle w:val="TableGrid"/>
        <w:tblW w:w="10371" w:type="dxa"/>
        <w:tblLook w:val="04A0" w:firstRow="1" w:lastRow="0" w:firstColumn="1" w:lastColumn="0" w:noHBand="0" w:noVBand="1"/>
      </w:tblPr>
      <w:tblGrid>
        <w:gridCol w:w="5807"/>
        <w:gridCol w:w="1521"/>
        <w:gridCol w:w="1521"/>
        <w:gridCol w:w="1522"/>
      </w:tblGrid>
      <w:tr w:rsidR="00B25B0C" w:rsidRPr="006E3F10" w14:paraId="7BE4D16B" w14:textId="77777777" w:rsidTr="003817C2">
        <w:trPr>
          <w:cantSplit/>
          <w:trHeight w:val="113"/>
          <w:tblHeader/>
        </w:trPr>
        <w:tc>
          <w:tcPr>
            <w:tcW w:w="5807" w:type="dxa"/>
            <w:hideMark/>
          </w:tcPr>
          <w:p w14:paraId="40B1CB01" w14:textId="77777777" w:rsidR="006E3F10" w:rsidRPr="006E3F10" w:rsidRDefault="006E3F10" w:rsidP="00262DAB">
            <w:pPr>
              <w:pStyle w:val="TableHeading"/>
              <w:rPr>
                <w:lang w:val="en-GB"/>
              </w:rPr>
            </w:pPr>
          </w:p>
        </w:tc>
        <w:tc>
          <w:tcPr>
            <w:tcW w:w="1521" w:type="dxa"/>
            <w:hideMark/>
          </w:tcPr>
          <w:p w14:paraId="7FC5C2DF" w14:textId="77777777" w:rsidR="006E3F10" w:rsidRPr="006E3F10" w:rsidRDefault="006E3F10" w:rsidP="00262DAB">
            <w:pPr>
              <w:pStyle w:val="TableHeading"/>
              <w:rPr>
                <w:lang w:val="en-GB"/>
              </w:rPr>
            </w:pPr>
          </w:p>
        </w:tc>
        <w:tc>
          <w:tcPr>
            <w:tcW w:w="1521" w:type="dxa"/>
            <w:hideMark/>
          </w:tcPr>
          <w:p w14:paraId="60D1D939" w14:textId="77777777" w:rsidR="006E3F10" w:rsidRPr="006E3F10" w:rsidRDefault="006E3F10" w:rsidP="00262DAB">
            <w:pPr>
              <w:pStyle w:val="TableHeading"/>
              <w:rPr>
                <w:lang w:val="en-GB"/>
              </w:rPr>
            </w:pPr>
            <w:r w:rsidRPr="006E3F10">
              <w:rPr>
                <w:bCs/>
                <w:lang w:val="en-GB"/>
              </w:rPr>
              <w:t>2017</w:t>
            </w:r>
          </w:p>
        </w:tc>
        <w:tc>
          <w:tcPr>
            <w:tcW w:w="1522" w:type="dxa"/>
            <w:hideMark/>
          </w:tcPr>
          <w:p w14:paraId="6D87556B" w14:textId="77777777" w:rsidR="006E3F10" w:rsidRPr="006E3F10" w:rsidRDefault="006E3F10" w:rsidP="00262DAB">
            <w:pPr>
              <w:pStyle w:val="TableHeading"/>
              <w:rPr>
                <w:lang w:val="en-GB"/>
              </w:rPr>
            </w:pPr>
            <w:r w:rsidRPr="006E3F10">
              <w:rPr>
                <w:bCs/>
                <w:lang w:val="en-GB"/>
              </w:rPr>
              <w:t>2016</w:t>
            </w:r>
          </w:p>
        </w:tc>
      </w:tr>
      <w:tr w:rsidR="00B25B0C" w:rsidRPr="006E3F10" w14:paraId="1D3A9F52" w14:textId="77777777" w:rsidTr="003817C2">
        <w:trPr>
          <w:cantSplit/>
          <w:trHeight w:val="113"/>
          <w:tblHeader/>
        </w:trPr>
        <w:tc>
          <w:tcPr>
            <w:tcW w:w="5807" w:type="dxa"/>
            <w:hideMark/>
          </w:tcPr>
          <w:p w14:paraId="1442F746" w14:textId="77777777" w:rsidR="006E3F10" w:rsidRPr="006E3F10" w:rsidRDefault="006E3F10" w:rsidP="00262DAB">
            <w:pPr>
              <w:pStyle w:val="TableHeading"/>
              <w:rPr>
                <w:lang w:val="en-GB"/>
              </w:rPr>
            </w:pPr>
          </w:p>
        </w:tc>
        <w:tc>
          <w:tcPr>
            <w:tcW w:w="1521" w:type="dxa"/>
            <w:hideMark/>
          </w:tcPr>
          <w:p w14:paraId="68150694" w14:textId="77777777" w:rsidR="006E3F10" w:rsidRPr="006E3F10" w:rsidRDefault="006E3F10" w:rsidP="00262DAB">
            <w:pPr>
              <w:pStyle w:val="TableHeading"/>
              <w:rPr>
                <w:lang w:val="en-GB"/>
              </w:rPr>
            </w:pPr>
            <w:r w:rsidRPr="006E3F10">
              <w:rPr>
                <w:bCs/>
                <w:lang w:val="en-GB"/>
              </w:rPr>
              <w:t>Notes</w:t>
            </w:r>
          </w:p>
        </w:tc>
        <w:tc>
          <w:tcPr>
            <w:tcW w:w="1521" w:type="dxa"/>
            <w:hideMark/>
          </w:tcPr>
          <w:p w14:paraId="09AA46EB" w14:textId="77777777" w:rsidR="006E3F10" w:rsidRPr="006E3F10" w:rsidRDefault="006E3F10" w:rsidP="00262DAB">
            <w:pPr>
              <w:pStyle w:val="TableHeading"/>
              <w:rPr>
                <w:lang w:val="en-GB"/>
              </w:rPr>
            </w:pPr>
            <w:r w:rsidRPr="006E3F10">
              <w:rPr>
                <w:lang w:val="en-GB"/>
              </w:rPr>
              <w:t>$</w:t>
            </w:r>
          </w:p>
        </w:tc>
        <w:tc>
          <w:tcPr>
            <w:tcW w:w="1522" w:type="dxa"/>
            <w:hideMark/>
          </w:tcPr>
          <w:p w14:paraId="646F4F1B" w14:textId="77777777" w:rsidR="006E3F10" w:rsidRPr="006E3F10" w:rsidRDefault="006E3F10" w:rsidP="00262DAB">
            <w:pPr>
              <w:pStyle w:val="TableHeading"/>
              <w:rPr>
                <w:lang w:val="en-GB"/>
              </w:rPr>
            </w:pPr>
            <w:r w:rsidRPr="006E3F10">
              <w:rPr>
                <w:bCs/>
                <w:lang w:val="en-GB"/>
              </w:rPr>
              <w:t>$</w:t>
            </w:r>
          </w:p>
        </w:tc>
      </w:tr>
      <w:tr w:rsidR="00B25B0C" w:rsidRPr="006E3F10" w14:paraId="63A34549" w14:textId="77777777" w:rsidTr="00262DAB">
        <w:trPr>
          <w:cantSplit/>
          <w:trHeight w:val="113"/>
        </w:trPr>
        <w:tc>
          <w:tcPr>
            <w:tcW w:w="10371" w:type="dxa"/>
            <w:gridSpan w:val="4"/>
            <w:hideMark/>
          </w:tcPr>
          <w:p w14:paraId="564657CD" w14:textId="72A24F8A" w:rsidR="00B25B0C" w:rsidRPr="006E3F10" w:rsidRDefault="00B25B0C" w:rsidP="00262DAB">
            <w:pPr>
              <w:pStyle w:val="TableHeading"/>
              <w:rPr>
                <w:lang w:val="en-GB"/>
              </w:rPr>
            </w:pPr>
            <w:r w:rsidRPr="006E3F10">
              <w:rPr>
                <w:bCs/>
                <w:lang w:val="en-GB"/>
              </w:rPr>
              <w:t>Continuing operations</w:t>
            </w:r>
          </w:p>
        </w:tc>
      </w:tr>
      <w:tr w:rsidR="00B25B0C" w:rsidRPr="006E3F10" w14:paraId="0CE74A35" w14:textId="77777777" w:rsidTr="00262DAB">
        <w:trPr>
          <w:cantSplit/>
          <w:trHeight w:val="113"/>
        </w:trPr>
        <w:tc>
          <w:tcPr>
            <w:tcW w:w="10371" w:type="dxa"/>
            <w:gridSpan w:val="4"/>
            <w:hideMark/>
          </w:tcPr>
          <w:p w14:paraId="3AD4B317" w14:textId="0DA18FB5" w:rsidR="00B25B0C" w:rsidRPr="00713CBF" w:rsidRDefault="00B25B0C" w:rsidP="00713CBF">
            <w:pPr>
              <w:pStyle w:val="TableHeading"/>
              <w:rPr>
                <w:lang w:val="en-GB"/>
              </w:rPr>
            </w:pPr>
            <w:r w:rsidRPr="00713CBF">
              <w:rPr>
                <w:lang w:val="en-GB"/>
              </w:rPr>
              <w:t>Income from transactions</w:t>
            </w:r>
          </w:p>
        </w:tc>
      </w:tr>
      <w:tr w:rsidR="00B25B0C" w:rsidRPr="006E3F10" w14:paraId="7EA95584" w14:textId="77777777" w:rsidTr="00262DAB">
        <w:trPr>
          <w:cantSplit/>
          <w:trHeight w:val="113"/>
        </w:trPr>
        <w:tc>
          <w:tcPr>
            <w:tcW w:w="5807" w:type="dxa"/>
            <w:hideMark/>
          </w:tcPr>
          <w:p w14:paraId="2016865B" w14:textId="77777777" w:rsidR="006E3F10" w:rsidRPr="00713CBF" w:rsidRDefault="006E3F10" w:rsidP="00262DAB">
            <w:pPr>
              <w:pStyle w:val="TableCopy"/>
              <w:rPr>
                <w:lang w:val="en-GB"/>
              </w:rPr>
            </w:pPr>
            <w:r w:rsidRPr="00713CBF">
              <w:rPr>
                <w:lang w:val="en-GB"/>
              </w:rPr>
              <w:t>Grants</w:t>
            </w:r>
          </w:p>
        </w:tc>
        <w:tc>
          <w:tcPr>
            <w:tcW w:w="1521" w:type="dxa"/>
            <w:hideMark/>
          </w:tcPr>
          <w:p w14:paraId="1B2D2641" w14:textId="77777777" w:rsidR="006E3F10" w:rsidRPr="00713CBF" w:rsidRDefault="006E3F10" w:rsidP="00262DAB">
            <w:pPr>
              <w:pStyle w:val="TableCopy"/>
              <w:rPr>
                <w:lang w:val="en-GB"/>
              </w:rPr>
            </w:pPr>
            <w:r w:rsidRPr="00713CBF">
              <w:rPr>
                <w:lang w:val="en-GB"/>
              </w:rPr>
              <w:t>2.1.1</w:t>
            </w:r>
          </w:p>
        </w:tc>
        <w:tc>
          <w:tcPr>
            <w:tcW w:w="1521" w:type="dxa"/>
            <w:hideMark/>
          </w:tcPr>
          <w:p w14:paraId="2E21533F" w14:textId="77777777" w:rsidR="006E3F10" w:rsidRPr="00713CBF" w:rsidRDefault="006E3F10" w:rsidP="00262DAB">
            <w:pPr>
              <w:pStyle w:val="TableCopy"/>
              <w:rPr>
                <w:b/>
                <w:lang w:val="en-GB"/>
              </w:rPr>
            </w:pPr>
            <w:r w:rsidRPr="00713CBF">
              <w:rPr>
                <w:b/>
                <w:lang w:val="en-GB"/>
              </w:rPr>
              <w:t>13,143,075</w:t>
            </w:r>
          </w:p>
        </w:tc>
        <w:tc>
          <w:tcPr>
            <w:tcW w:w="1522" w:type="dxa"/>
            <w:hideMark/>
          </w:tcPr>
          <w:p w14:paraId="4F83643D" w14:textId="77777777" w:rsidR="006E3F10" w:rsidRPr="00713CBF" w:rsidRDefault="006E3F10" w:rsidP="00262DAB">
            <w:pPr>
              <w:pStyle w:val="TableCopy"/>
              <w:rPr>
                <w:lang w:val="en-GB"/>
              </w:rPr>
            </w:pPr>
            <w:r w:rsidRPr="00713CBF">
              <w:rPr>
                <w:lang w:val="en-GB"/>
              </w:rPr>
              <w:t>9,491,293</w:t>
            </w:r>
          </w:p>
        </w:tc>
      </w:tr>
      <w:tr w:rsidR="00B25B0C" w:rsidRPr="006E3F10" w14:paraId="026777D0" w14:textId="77777777" w:rsidTr="00262DAB">
        <w:trPr>
          <w:cantSplit/>
          <w:trHeight w:val="113"/>
        </w:trPr>
        <w:tc>
          <w:tcPr>
            <w:tcW w:w="5807" w:type="dxa"/>
            <w:hideMark/>
          </w:tcPr>
          <w:p w14:paraId="4142B598" w14:textId="77777777" w:rsidR="006E3F10" w:rsidRPr="00713CBF" w:rsidRDefault="006E3F10" w:rsidP="00262DAB">
            <w:pPr>
              <w:pStyle w:val="TableCopy"/>
              <w:rPr>
                <w:lang w:val="en-GB"/>
              </w:rPr>
            </w:pPr>
            <w:r w:rsidRPr="00713CBF">
              <w:rPr>
                <w:lang w:val="en-GB"/>
              </w:rPr>
              <w:t>Provision of services</w:t>
            </w:r>
          </w:p>
        </w:tc>
        <w:tc>
          <w:tcPr>
            <w:tcW w:w="1521" w:type="dxa"/>
            <w:hideMark/>
          </w:tcPr>
          <w:p w14:paraId="373D5FD0" w14:textId="77777777" w:rsidR="006E3F10" w:rsidRPr="00713CBF" w:rsidRDefault="006E3F10" w:rsidP="00262DAB">
            <w:pPr>
              <w:pStyle w:val="TableCopy"/>
              <w:rPr>
                <w:lang w:val="en-GB"/>
              </w:rPr>
            </w:pPr>
            <w:r w:rsidRPr="00713CBF">
              <w:rPr>
                <w:lang w:val="en-GB"/>
              </w:rPr>
              <w:t>2.1.2</w:t>
            </w:r>
          </w:p>
        </w:tc>
        <w:tc>
          <w:tcPr>
            <w:tcW w:w="1521" w:type="dxa"/>
            <w:hideMark/>
          </w:tcPr>
          <w:p w14:paraId="48916F00" w14:textId="77777777" w:rsidR="006E3F10" w:rsidRPr="00713CBF" w:rsidRDefault="006E3F10" w:rsidP="00262DAB">
            <w:pPr>
              <w:pStyle w:val="TableCopy"/>
              <w:rPr>
                <w:b/>
                <w:lang w:val="en-GB"/>
              </w:rPr>
            </w:pPr>
            <w:r w:rsidRPr="00713CBF">
              <w:rPr>
                <w:b/>
                <w:lang w:val="en-GB"/>
              </w:rPr>
              <w:t>2,670,013</w:t>
            </w:r>
          </w:p>
        </w:tc>
        <w:tc>
          <w:tcPr>
            <w:tcW w:w="1522" w:type="dxa"/>
            <w:hideMark/>
          </w:tcPr>
          <w:p w14:paraId="0E5C34EF" w14:textId="77777777" w:rsidR="006E3F10" w:rsidRPr="00713CBF" w:rsidRDefault="006E3F10" w:rsidP="00262DAB">
            <w:pPr>
              <w:pStyle w:val="TableCopy"/>
              <w:rPr>
                <w:lang w:val="en-GB"/>
              </w:rPr>
            </w:pPr>
            <w:r w:rsidRPr="00713CBF">
              <w:rPr>
                <w:lang w:val="en-GB"/>
              </w:rPr>
              <w:t>2,221,688</w:t>
            </w:r>
          </w:p>
        </w:tc>
      </w:tr>
      <w:tr w:rsidR="00B25B0C" w:rsidRPr="006E3F10" w14:paraId="4227265B" w14:textId="77777777" w:rsidTr="00262DAB">
        <w:trPr>
          <w:cantSplit/>
          <w:trHeight w:val="113"/>
        </w:trPr>
        <w:tc>
          <w:tcPr>
            <w:tcW w:w="5807" w:type="dxa"/>
            <w:hideMark/>
          </w:tcPr>
          <w:p w14:paraId="566C28DF" w14:textId="77777777" w:rsidR="006E3F10" w:rsidRPr="00713CBF" w:rsidRDefault="006E3F10" w:rsidP="00262DAB">
            <w:pPr>
              <w:pStyle w:val="TableCopy"/>
              <w:rPr>
                <w:lang w:val="en-GB"/>
              </w:rPr>
            </w:pPr>
            <w:r w:rsidRPr="00713CBF">
              <w:rPr>
                <w:lang w:val="en-GB"/>
              </w:rPr>
              <w:t>Total income from transactions</w:t>
            </w:r>
          </w:p>
        </w:tc>
        <w:tc>
          <w:tcPr>
            <w:tcW w:w="1521" w:type="dxa"/>
            <w:hideMark/>
          </w:tcPr>
          <w:p w14:paraId="0E68E9B4" w14:textId="77777777" w:rsidR="006E3F10" w:rsidRPr="00713CBF" w:rsidRDefault="006E3F10" w:rsidP="00262DAB">
            <w:pPr>
              <w:pStyle w:val="TableCopy"/>
              <w:rPr>
                <w:lang w:val="en-GB"/>
              </w:rPr>
            </w:pPr>
          </w:p>
        </w:tc>
        <w:tc>
          <w:tcPr>
            <w:tcW w:w="1521" w:type="dxa"/>
            <w:hideMark/>
          </w:tcPr>
          <w:p w14:paraId="69DA5E14" w14:textId="77777777" w:rsidR="006E3F10" w:rsidRPr="00713CBF" w:rsidRDefault="006E3F10" w:rsidP="00262DAB">
            <w:pPr>
              <w:pStyle w:val="TableCopy"/>
              <w:rPr>
                <w:b/>
                <w:lang w:val="en-GB"/>
              </w:rPr>
            </w:pPr>
            <w:r w:rsidRPr="00713CBF">
              <w:rPr>
                <w:b/>
                <w:lang w:val="en-GB"/>
              </w:rPr>
              <w:t>15,813,088</w:t>
            </w:r>
          </w:p>
        </w:tc>
        <w:tc>
          <w:tcPr>
            <w:tcW w:w="1522" w:type="dxa"/>
            <w:hideMark/>
          </w:tcPr>
          <w:p w14:paraId="79580E3D" w14:textId="77777777" w:rsidR="006E3F10" w:rsidRPr="00713CBF" w:rsidRDefault="006E3F10" w:rsidP="00262DAB">
            <w:pPr>
              <w:pStyle w:val="TableCopy"/>
              <w:rPr>
                <w:lang w:val="en-GB"/>
              </w:rPr>
            </w:pPr>
            <w:r w:rsidRPr="00713CBF">
              <w:rPr>
                <w:lang w:val="en-GB"/>
              </w:rPr>
              <w:t>11,712,981</w:t>
            </w:r>
          </w:p>
        </w:tc>
      </w:tr>
      <w:tr w:rsidR="00B25B0C" w:rsidRPr="006E3F10" w14:paraId="0CA454DE" w14:textId="77777777" w:rsidTr="00262DAB">
        <w:trPr>
          <w:cantSplit/>
          <w:trHeight w:val="113"/>
        </w:trPr>
        <w:tc>
          <w:tcPr>
            <w:tcW w:w="10371" w:type="dxa"/>
            <w:gridSpan w:val="4"/>
            <w:hideMark/>
          </w:tcPr>
          <w:p w14:paraId="333B7FD8" w14:textId="77777777" w:rsidR="00B25B0C" w:rsidRPr="00713CBF" w:rsidRDefault="00B25B0C" w:rsidP="00262DAB">
            <w:pPr>
              <w:pStyle w:val="TableCopy"/>
              <w:rPr>
                <w:lang w:val="en-GB"/>
              </w:rPr>
            </w:pPr>
          </w:p>
        </w:tc>
      </w:tr>
      <w:tr w:rsidR="00B25B0C" w:rsidRPr="006E3F10" w14:paraId="10EA0731" w14:textId="77777777" w:rsidTr="00262DAB">
        <w:trPr>
          <w:cantSplit/>
          <w:trHeight w:val="113"/>
        </w:trPr>
        <w:tc>
          <w:tcPr>
            <w:tcW w:w="10371" w:type="dxa"/>
            <w:gridSpan w:val="4"/>
            <w:hideMark/>
          </w:tcPr>
          <w:p w14:paraId="52974976" w14:textId="20B7C7C0" w:rsidR="00B25B0C" w:rsidRPr="00713CBF" w:rsidRDefault="00B25B0C" w:rsidP="00713CBF">
            <w:pPr>
              <w:pStyle w:val="TableHeading"/>
              <w:rPr>
                <w:lang w:val="en-GB"/>
              </w:rPr>
            </w:pPr>
            <w:r w:rsidRPr="00713CBF">
              <w:rPr>
                <w:lang w:val="en-GB"/>
              </w:rPr>
              <w:t>Expenses from transactions</w:t>
            </w:r>
          </w:p>
        </w:tc>
      </w:tr>
      <w:tr w:rsidR="00B25B0C" w:rsidRPr="006E3F10" w14:paraId="6FEDA87D" w14:textId="77777777" w:rsidTr="00262DAB">
        <w:trPr>
          <w:cantSplit/>
          <w:trHeight w:val="113"/>
        </w:trPr>
        <w:tc>
          <w:tcPr>
            <w:tcW w:w="5807" w:type="dxa"/>
            <w:hideMark/>
          </w:tcPr>
          <w:p w14:paraId="7D2295AC" w14:textId="77777777" w:rsidR="006E3F10" w:rsidRPr="00713CBF" w:rsidRDefault="006E3F10" w:rsidP="00262DAB">
            <w:pPr>
              <w:pStyle w:val="TableCopy"/>
              <w:rPr>
                <w:lang w:val="en-GB"/>
              </w:rPr>
            </w:pPr>
            <w:r w:rsidRPr="00713CBF">
              <w:rPr>
                <w:lang w:val="en-GB"/>
              </w:rPr>
              <w:t>Employee benefits expenses</w:t>
            </w:r>
          </w:p>
        </w:tc>
        <w:tc>
          <w:tcPr>
            <w:tcW w:w="1521" w:type="dxa"/>
            <w:hideMark/>
          </w:tcPr>
          <w:p w14:paraId="32D4F480" w14:textId="77777777" w:rsidR="006E3F10" w:rsidRPr="00713CBF" w:rsidRDefault="006E3F10" w:rsidP="00262DAB">
            <w:pPr>
              <w:pStyle w:val="TableCopy"/>
              <w:rPr>
                <w:lang w:val="en-GB"/>
              </w:rPr>
            </w:pPr>
            <w:r w:rsidRPr="00713CBF">
              <w:rPr>
                <w:lang w:val="en-GB"/>
              </w:rPr>
              <w:t>3.1.1</w:t>
            </w:r>
          </w:p>
        </w:tc>
        <w:tc>
          <w:tcPr>
            <w:tcW w:w="1521" w:type="dxa"/>
            <w:hideMark/>
          </w:tcPr>
          <w:p w14:paraId="2EB4A6A5" w14:textId="77777777" w:rsidR="006E3F10" w:rsidRPr="00713CBF" w:rsidRDefault="006E3F10" w:rsidP="00262DAB">
            <w:pPr>
              <w:pStyle w:val="TableCopy"/>
              <w:rPr>
                <w:b/>
                <w:lang w:val="en-GB"/>
              </w:rPr>
            </w:pPr>
            <w:r w:rsidRPr="00713CBF">
              <w:rPr>
                <w:b/>
                <w:lang w:val="en-GB"/>
              </w:rPr>
              <w:t>8,539,924</w:t>
            </w:r>
          </w:p>
        </w:tc>
        <w:tc>
          <w:tcPr>
            <w:tcW w:w="1522" w:type="dxa"/>
            <w:hideMark/>
          </w:tcPr>
          <w:p w14:paraId="6369E11B" w14:textId="77777777" w:rsidR="006E3F10" w:rsidRPr="00713CBF" w:rsidRDefault="006E3F10" w:rsidP="00262DAB">
            <w:pPr>
              <w:pStyle w:val="TableCopy"/>
              <w:rPr>
                <w:lang w:val="en-GB"/>
              </w:rPr>
            </w:pPr>
            <w:r w:rsidRPr="00713CBF">
              <w:rPr>
                <w:lang w:val="en-GB"/>
              </w:rPr>
              <w:t>6,303,788</w:t>
            </w:r>
          </w:p>
        </w:tc>
      </w:tr>
      <w:tr w:rsidR="00B25B0C" w:rsidRPr="006E3F10" w14:paraId="41C9D363" w14:textId="77777777" w:rsidTr="00262DAB">
        <w:trPr>
          <w:cantSplit/>
          <w:trHeight w:val="113"/>
        </w:trPr>
        <w:tc>
          <w:tcPr>
            <w:tcW w:w="5807" w:type="dxa"/>
            <w:hideMark/>
          </w:tcPr>
          <w:p w14:paraId="0B65C1E5" w14:textId="77777777" w:rsidR="006E3F10" w:rsidRPr="00713CBF" w:rsidRDefault="006E3F10" w:rsidP="00262DAB">
            <w:pPr>
              <w:pStyle w:val="TableCopy"/>
              <w:rPr>
                <w:lang w:val="en-GB"/>
              </w:rPr>
            </w:pPr>
            <w:r w:rsidRPr="00713CBF">
              <w:rPr>
                <w:lang w:val="en-GB"/>
              </w:rPr>
              <w:t>Depreciation</w:t>
            </w:r>
          </w:p>
        </w:tc>
        <w:tc>
          <w:tcPr>
            <w:tcW w:w="1521" w:type="dxa"/>
            <w:hideMark/>
          </w:tcPr>
          <w:p w14:paraId="59CC12AE" w14:textId="77777777" w:rsidR="006E3F10" w:rsidRPr="00713CBF" w:rsidRDefault="006E3F10" w:rsidP="00262DAB">
            <w:pPr>
              <w:pStyle w:val="TableCopy"/>
              <w:rPr>
                <w:lang w:val="en-GB"/>
              </w:rPr>
            </w:pPr>
            <w:r w:rsidRPr="00713CBF">
              <w:rPr>
                <w:lang w:val="en-GB"/>
              </w:rPr>
              <w:t>4.3</w:t>
            </w:r>
          </w:p>
        </w:tc>
        <w:tc>
          <w:tcPr>
            <w:tcW w:w="1521" w:type="dxa"/>
            <w:hideMark/>
          </w:tcPr>
          <w:p w14:paraId="04F588A9" w14:textId="77777777" w:rsidR="006E3F10" w:rsidRPr="00713CBF" w:rsidRDefault="006E3F10" w:rsidP="00262DAB">
            <w:pPr>
              <w:pStyle w:val="TableCopy"/>
              <w:rPr>
                <w:b/>
                <w:lang w:val="en-GB"/>
              </w:rPr>
            </w:pPr>
            <w:r w:rsidRPr="00713CBF">
              <w:rPr>
                <w:b/>
                <w:lang w:val="en-GB"/>
              </w:rPr>
              <w:t>102,265</w:t>
            </w:r>
          </w:p>
        </w:tc>
        <w:tc>
          <w:tcPr>
            <w:tcW w:w="1522" w:type="dxa"/>
            <w:hideMark/>
          </w:tcPr>
          <w:p w14:paraId="5A888100" w14:textId="77777777" w:rsidR="006E3F10" w:rsidRPr="00713CBF" w:rsidRDefault="006E3F10" w:rsidP="00262DAB">
            <w:pPr>
              <w:pStyle w:val="TableCopy"/>
              <w:rPr>
                <w:lang w:val="en-GB"/>
              </w:rPr>
            </w:pPr>
            <w:r w:rsidRPr="00713CBF">
              <w:rPr>
                <w:lang w:val="en-GB"/>
              </w:rPr>
              <w:t>169,105</w:t>
            </w:r>
          </w:p>
        </w:tc>
      </w:tr>
      <w:tr w:rsidR="00B25B0C" w:rsidRPr="006E3F10" w14:paraId="6140852E" w14:textId="77777777" w:rsidTr="00262DAB">
        <w:trPr>
          <w:cantSplit/>
          <w:trHeight w:val="113"/>
        </w:trPr>
        <w:tc>
          <w:tcPr>
            <w:tcW w:w="5807" w:type="dxa"/>
            <w:hideMark/>
          </w:tcPr>
          <w:p w14:paraId="76BF5680" w14:textId="77777777" w:rsidR="006E3F10" w:rsidRPr="00713CBF" w:rsidRDefault="006E3F10" w:rsidP="00262DAB">
            <w:pPr>
              <w:pStyle w:val="TableCopy"/>
              <w:rPr>
                <w:lang w:val="en-GB"/>
              </w:rPr>
            </w:pPr>
            <w:r w:rsidRPr="00713CBF">
              <w:rPr>
                <w:lang w:val="en-GB"/>
              </w:rPr>
              <w:t>Interest expense</w:t>
            </w:r>
          </w:p>
        </w:tc>
        <w:tc>
          <w:tcPr>
            <w:tcW w:w="1521" w:type="dxa"/>
            <w:hideMark/>
          </w:tcPr>
          <w:p w14:paraId="25666F07" w14:textId="77777777" w:rsidR="006E3F10" w:rsidRPr="00713CBF" w:rsidRDefault="006E3F10" w:rsidP="00262DAB">
            <w:pPr>
              <w:pStyle w:val="TableCopy"/>
              <w:rPr>
                <w:lang w:val="en-GB"/>
              </w:rPr>
            </w:pPr>
          </w:p>
        </w:tc>
        <w:tc>
          <w:tcPr>
            <w:tcW w:w="1521" w:type="dxa"/>
            <w:hideMark/>
          </w:tcPr>
          <w:p w14:paraId="65BE2334" w14:textId="77777777" w:rsidR="006E3F10" w:rsidRPr="00713CBF" w:rsidRDefault="006E3F10" w:rsidP="00262DAB">
            <w:pPr>
              <w:pStyle w:val="TableCopy"/>
              <w:rPr>
                <w:b/>
                <w:lang w:val="en-GB"/>
              </w:rPr>
            </w:pPr>
            <w:r w:rsidRPr="00713CBF">
              <w:rPr>
                <w:b/>
                <w:lang w:val="en-GB"/>
              </w:rPr>
              <w:t>3,963</w:t>
            </w:r>
          </w:p>
        </w:tc>
        <w:tc>
          <w:tcPr>
            <w:tcW w:w="1522" w:type="dxa"/>
            <w:hideMark/>
          </w:tcPr>
          <w:p w14:paraId="4A595C8E" w14:textId="77777777" w:rsidR="006E3F10" w:rsidRPr="00713CBF" w:rsidRDefault="006E3F10" w:rsidP="00262DAB">
            <w:pPr>
              <w:pStyle w:val="TableCopy"/>
              <w:rPr>
                <w:lang w:val="en-GB"/>
              </w:rPr>
            </w:pPr>
            <w:r w:rsidRPr="00713CBF">
              <w:rPr>
                <w:lang w:val="en-GB"/>
              </w:rPr>
              <w:t>1,635</w:t>
            </w:r>
          </w:p>
        </w:tc>
      </w:tr>
      <w:tr w:rsidR="00B25B0C" w:rsidRPr="006E3F10" w14:paraId="0292A782" w14:textId="77777777" w:rsidTr="00262DAB">
        <w:trPr>
          <w:cantSplit/>
          <w:trHeight w:val="113"/>
        </w:trPr>
        <w:tc>
          <w:tcPr>
            <w:tcW w:w="5807" w:type="dxa"/>
            <w:hideMark/>
          </w:tcPr>
          <w:p w14:paraId="03422E80" w14:textId="77777777" w:rsidR="006E3F10" w:rsidRPr="00713CBF" w:rsidRDefault="006E3F10" w:rsidP="00262DAB">
            <w:pPr>
              <w:pStyle w:val="TableCopy"/>
              <w:rPr>
                <w:lang w:val="en-GB"/>
              </w:rPr>
            </w:pPr>
            <w:r w:rsidRPr="00713CBF">
              <w:rPr>
                <w:lang w:val="en-GB"/>
              </w:rPr>
              <w:t>Capital asset charge</w:t>
            </w:r>
          </w:p>
        </w:tc>
        <w:tc>
          <w:tcPr>
            <w:tcW w:w="1521" w:type="dxa"/>
            <w:hideMark/>
          </w:tcPr>
          <w:p w14:paraId="1CFE907C" w14:textId="77777777" w:rsidR="006E3F10" w:rsidRPr="00713CBF" w:rsidRDefault="006E3F10" w:rsidP="00262DAB">
            <w:pPr>
              <w:pStyle w:val="TableCopy"/>
              <w:rPr>
                <w:lang w:val="en-GB"/>
              </w:rPr>
            </w:pPr>
            <w:r w:rsidRPr="00713CBF">
              <w:rPr>
                <w:lang w:val="en-GB"/>
              </w:rPr>
              <w:t>3.2</w:t>
            </w:r>
          </w:p>
        </w:tc>
        <w:tc>
          <w:tcPr>
            <w:tcW w:w="1521" w:type="dxa"/>
            <w:hideMark/>
          </w:tcPr>
          <w:p w14:paraId="6CF9B06D" w14:textId="77777777" w:rsidR="006E3F10" w:rsidRPr="00713CBF" w:rsidRDefault="006E3F10" w:rsidP="00262DAB">
            <w:pPr>
              <w:pStyle w:val="TableCopy"/>
              <w:rPr>
                <w:b/>
                <w:lang w:val="en-GB"/>
              </w:rPr>
            </w:pPr>
            <w:r w:rsidRPr="00713CBF">
              <w:rPr>
                <w:b/>
                <w:lang w:val="en-GB"/>
              </w:rPr>
              <w:t>69,008</w:t>
            </w:r>
          </w:p>
        </w:tc>
        <w:tc>
          <w:tcPr>
            <w:tcW w:w="1522" w:type="dxa"/>
            <w:hideMark/>
          </w:tcPr>
          <w:p w14:paraId="41F22C1A" w14:textId="77777777" w:rsidR="006E3F10" w:rsidRPr="00713CBF" w:rsidRDefault="006E3F10" w:rsidP="00262DAB">
            <w:pPr>
              <w:pStyle w:val="TableCopy"/>
              <w:rPr>
                <w:lang w:val="en-GB"/>
              </w:rPr>
            </w:pPr>
            <w:r w:rsidRPr="00713CBF">
              <w:rPr>
                <w:lang w:val="en-GB"/>
              </w:rPr>
              <w:t>67,000</w:t>
            </w:r>
          </w:p>
        </w:tc>
      </w:tr>
      <w:tr w:rsidR="00B25B0C" w:rsidRPr="006E3F10" w14:paraId="6A56F0B8" w14:textId="77777777" w:rsidTr="00262DAB">
        <w:trPr>
          <w:cantSplit/>
          <w:trHeight w:val="113"/>
        </w:trPr>
        <w:tc>
          <w:tcPr>
            <w:tcW w:w="5807" w:type="dxa"/>
            <w:hideMark/>
          </w:tcPr>
          <w:p w14:paraId="4F30D355" w14:textId="77777777" w:rsidR="006E3F10" w:rsidRPr="00713CBF" w:rsidRDefault="006E3F10" w:rsidP="00262DAB">
            <w:pPr>
              <w:pStyle w:val="TableCopy"/>
              <w:rPr>
                <w:lang w:val="en-GB"/>
              </w:rPr>
            </w:pPr>
            <w:r w:rsidRPr="00713CBF">
              <w:rPr>
                <w:lang w:val="en-GB"/>
              </w:rPr>
              <w:t>Grant expenses</w:t>
            </w:r>
          </w:p>
        </w:tc>
        <w:tc>
          <w:tcPr>
            <w:tcW w:w="1521" w:type="dxa"/>
            <w:hideMark/>
          </w:tcPr>
          <w:p w14:paraId="1F284B0F" w14:textId="77777777" w:rsidR="006E3F10" w:rsidRPr="00713CBF" w:rsidRDefault="006E3F10" w:rsidP="00262DAB">
            <w:pPr>
              <w:pStyle w:val="TableCopy"/>
              <w:rPr>
                <w:lang w:val="en-GB"/>
              </w:rPr>
            </w:pPr>
          </w:p>
        </w:tc>
        <w:tc>
          <w:tcPr>
            <w:tcW w:w="1521" w:type="dxa"/>
            <w:hideMark/>
          </w:tcPr>
          <w:p w14:paraId="67D44D7F" w14:textId="77777777" w:rsidR="006E3F10" w:rsidRPr="00713CBF" w:rsidRDefault="006E3F10" w:rsidP="00262DAB">
            <w:pPr>
              <w:pStyle w:val="TableCopy"/>
              <w:rPr>
                <w:b/>
                <w:lang w:val="en-GB"/>
              </w:rPr>
            </w:pPr>
            <w:r w:rsidRPr="00713CBF">
              <w:rPr>
                <w:b/>
                <w:lang w:val="en-GB"/>
              </w:rPr>
              <w:t>12,500</w:t>
            </w:r>
          </w:p>
        </w:tc>
        <w:tc>
          <w:tcPr>
            <w:tcW w:w="1522" w:type="dxa"/>
            <w:hideMark/>
          </w:tcPr>
          <w:p w14:paraId="56ADF32D" w14:textId="77777777" w:rsidR="006E3F10" w:rsidRPr="00713CBF" w:rsidRDefault="006E3F10" w:rsidP="00262DAB">
            <w:pPr>
              <w:pStyle w:val="TableCopy"/>
              <w:rPr>
                <w:lang w:val="en-GB"/>
              </w:rPr>
            </w:pPr>
            <w:r w:rsidRPr="00713CBF">
              <w:rPr>
                <w:lang w:val="en-GB"/>
              </w:rPr>
              <w:t>-</w:t>
            </w:r>
          </w:p>
        </w:tc>
      </w:tr>
      <w:tr w:rsidR="00B25B0C" w:rsidRPr="006E3F10" w14:paraId="2BC8FC8D" w14:textId="77777777" w:rsidTr="00262DAB">
        <w:trPr>
          <w:cantSplit/>
          <w:trHeight w:val="113"/>
        </w:trPr>
        <w:tc>
          <w:tcPr>
            <w:tcW w:w="5807" w:type="dxa"/>
            <w:hideMark/>
          </w:tcPr>
          <w:p w14:paraId="245DA7D9" w14:textId="77777777" w:rsidR="006E3F10" w:rsidRPr="00713CBF" w:rsidRDefault="006E3F10" w:rsidP="00262DAB">
            <w:pPr>
              <w:pStyle w:val="TableCopy"/>
              <w:rPr>
                <w:lang w:val="en-GB"/>
              </w:rPr>
            </w:pPr>
            <w:r w:rsidRPr="00713CBF">
              <w:rPr>
                <w:lang w:val="en-GB"/>
              </w:rPr>
              <w:t>Other operating expenses</w:t>
            </w:r>
          </w:p>
        </w:tc>
        <w:tc>
          <w:tcPr>
            <w:tcW w:w="1521" w:type="dxa"/>
            <w:hideMark/>
          </w:tcPr>
          <w:p w14:paraId="37FD03FA" w14:textId="77777777" w:rsidR="006E3F10" w:rsidRPr="00713CBF" w:rsidRDefault="006E3F10" w:rsidP="00262DAB">
            <w:pPr>
              <w:pStyle w:val="TableCopy"/>
              <w:rPr>
                <w:lang w:val="en-GB"/>
              </w:rPr>
            </w:pPr>
            <w:r w:rsidRPr="00713CBF">
              <w:rPr>
                <w:lang w:val="en-GB"/>
              </w:rPr>
              <w:t>3.3</w:t>
            </w:r>
          </w:p>
        </w:tc>
        <w:tc>
          <w:tcPr>
            <w:tcW w:w="1521" w:type="dxa"/>
            <w:hideMark/>
          </w:tcPr>
          <w:p w14:paraId="008E66FD" w14:textId="77777777" w:rsidR="006E3F10" w:rsidRPr="00713CBF" w:rsidRDefault="006E3F10" w:rsidP="00262DAB">
            <w:pPr>
              <w:pStyle w:val="TableCopy"/>
              <w:rPr>
                <w:b/>
                <w:lang w:val="en-GB"/>
              </w:rPr>
            </w:pPr>
            <w:r w:rsidRPr="00713CBF">
              <w:rPr>
                <w:b/>
                <w:lang w:val="en-GB"/>
              </w:rPr>
              <w:t>5,571,949</w:t>
            </w:r>
          </w:p>
        </w:tc>
        <w:tc>
          <w:tcPr>
            <w:tcW w:w="1522" w:type="dxa"/>
            <w:hideMark/>
          </w:tcPr>
          <w:p w14:paraId="7211B13A" w14:textId="77777777" w:rsidR="006E3F10" w:rsidRPr="00713CBF" w:rsidRDefault="006E3F10" w:rsidP="00262DAB">
            <w:pPr>
              <w:pStyle w:val="TableCopy"/>
              <w:rPr>
                <w:lang w:val="en-GB"/>
              </w:rPr>
            </w:pPr>
            <w:r w:rsidRPr="00713CBF">
              <w:rPr>
                <w:lang w:val="en-GB"/>
              </w:rPr>
              <w:t>3,808,009</w:t>
            </w:r>
          </w:p>
        </w:tc>
      </w:tr>
      <w:tr w:rsidR="00B25B0C" w:rsidRPr="006E3F10" w14:paraId="16504FCA" w14:textId="77777777" w:rsidTr="00262DAB">
        <w:trPr>
          <w:cantSplit/>
          <w:trHeight w:val="113"/>
        </w:trPr>
        <w:tc>
          <w:tcPr>
            <w:tcW w:w="5807" w:type="dxa"/>
            <w:hideMark/>
          </w:tcPr>
          <w:p w14:paraId="588D839D" w14:textId="77777777" w:rsidR="006E3F10" w:rsidRPr="00713CBF" w:rsidRDefault="006E3F10" w:rsidP="00262DAB">
            <w:pPr>
              <w:pStyle w:val="TableCopy"/>
              <w:rPr>
                <w:b/>
                <w:lang w:val="en-GB"/>
              </w:rPr>
            </w:pPr>
            <w:r w:rsidRPr="00713CBF">
              <w:rPr>
                <w:b/>
                <w:lang w:val="en-GB"/>
              </w:rPr>
              <w:t>Total expenses from transactions</w:t>
            </w:r>
          </w:p>
        </w:tc>
        <w:tc>
          <w:tcPr>
            <w:tcW w:w="1521" w:type="dxa"/>
            <w:hideMark/>
          </w:tcPr>
          <w:p w14:paraId="47FF086F" w14:textId="77777777" w:rsidR="006E3F10" w:rsidRPr="00713CBF" w:rsidRDefault="006E3F10" w:rsidP="00262DAB">
            <w:pPr>
              <w:pStyle w:val="TableCopy"/>
              <w:rPr>
                <w:lang w:val="en-GB"/>
              </w:rPr>
            </w:pPr>
          </w:p>
        </w:tc>
        <w:tc>
          <w:tcPr>
            <w:tcW w:w="1521" w:type="dxa"/>
            <w:hideMark/>
          </w:tcPr>
          <w:p w14:paraId="1DF36178" w14:textId="77777777" w:rsidR="006E3F10" w:rsidRPr="00713CBF" w:rsidRDefault="006E3F10" w:rsidP="00262DAB">
            <w:pPr>
              <w:pStyle w:val="TableCopy"/>
              <w:rPr>
                <w:b/>
                <w:lang w:val="en-GB"/>
              </w:rPr>
            </w:pPr>
            <w:r w:rsidRPr="00713CBF">
              <w:rPr>
                <w:b/>
                <w:lang w:val="en-GB"/>
              </w:rPr>
              <w:t>14,299,609</w:t>
            </w:r>
          </w:p>
        </w:tc>
        <w:tc>
          <w:tcPr>
            <w:tcW w:w="1522" w:type="dxa"/>
            <w:hideMark/>
          </w:tcPr>
          <w:p w14:paraId="1CEEF596" w14:textId="77777777" w:rsidR="006E3F10" w:rsidRPr="00713CBF" w:rsidRDefault="006E3F10" w:rsidP="00262DAB">
            <w:pPr>
              <w:pStyle w:val="TableCopy"/>
              <w:rPr>
                <w:lang w:val="en-GB"/>
              </w:rPr>
            </w:pPr>
            <w:r w:rsidRPr="00713CBF">
              <w:rPr>
                <w:lang w:val="en-GB"/>
              </w:rPr>
              <w:t>10,349,537</w:t>
            </w:r>
          </w:p>
        </w:tc>
      </w:tr>
      <w:tr w:rsidR="005B67B8" w:rsidRPr="006E3F10" w14:paraId="2B9C099F" w14:textId="77777777" w:rsidTr="00262DAB">
        <w:trPr>
          <w:cantSplit/>
          <w:trHeight w:val="113"/>
        </w:trPr>
        <w:tc>
          <w:tcPr>
            <w:tcW w:w="10371" w:type="dxa"/>
            <w:gridSpan w:val="4"/>
            <w:hideMark/>
          </w:tcPr>
          <w:p w14:paraId="0CE0EACA" w14:textId="77777777" w:rsidR="005B67B8" w:rsidRPr="00713CBF" w:rsidRDefault="005B67B8" w:rsidP="00262DAB">
            <w:pPr>
              <w:pStyle w:val="TableCopy"/>
              <w:rPr>
                <w:lang w:val="en-GB"/>
              </w:rPr>
            </w:pPr>
          </w:p>
        </w:tc>
      </w:tr>
      <w:tr w:rsidR="00B25B0C" w:rsidRPr="006E3F10" w14:paraId="5D363F3E" w14:textId="77777777" w:rsidTr="00262DAB">
        <w:trPr>
          <w:cantSplit/>
          <w:trHeight w:val="113"/>
        </w:trPr>
        <w:tc>
          <w:tcPr>
            <w:tcW w:w="5807" w:type="dxa"/>
            <w:hideMark/>
          </w:tcPr>
          <w:p w14:paraId="1C29E21E" w14:textId="77777777" w:rsidR="006E3F10" w:rsidRPr="00713CBF" w:rsidRDefault="006E3F10" w:rsidP="00262DAB">
            <w:pPr>
              <w:pStyle w:val="TableCopy"/>
              <w:rPr>
                <w:b/>
                <w:lang w:val="en-GB"/>
              </w:rPr>
            </w:pPr>
            <w:r w:rsidRPr="00713CBF">
              <w:rPr>
                <w:b/>
                <w:bCs/>
                <w:lang w:val="en-GB"/>
              </w:rPr>
              <w:t>Net result from transactions (net operating balance)</w:t>
            </w:r>
          </w:p>
        </w:tc>
        <w:tc>
          <w:tcPr>
            <w:tcW w:w="1521" w:type="dxa"/>
            <w:hideMark/>
          </w:tcPr>
          <w:p w14:paraId="0DD46C12" w14:textId="77777777" w:rsidR="006E3F10" w:rsidRPr="00713CBF" w:rsidRDefault="006E3F10" w:rsidP="00262DAB">
            <w:pPr>
              <w:pStyle w:val="TableCopy"/>
              <w:rPr>
                <w:b/>
                <w:lang w:val="en-GB"/>
              </w:rPr>
            </w:pPr>
          </w:p>
        </w:tc>
        <w:tc>
          <w:tcPr>
            <w:tcW w:w="1521" w:type="dxa"/>
            <w:hideMark/>
          </w:tcPr>
          <w:p w14:paraId="2942B9D8" w14:textId="77777777" w:rsidR="006E3F10" w:rsidRPr="00713CBF" w:rsidRDefault="006E3F10" w:rsidP="00262DAB">
            <w:pPr>
              <w:pStyle w:val="TableCopy"/>
              <w:rPr>
                <w:b/>
                <w:lang w:val="en-GB"/>
              </w:rPr>
            </w:pPr>
            <w:r w:rsidRPr="00713CBF">
              <w:rPr>
                <w:b/>
                <w:lang w:val="en-GB"/>
              </w:rPr>
              <w:t>1,513,479</w:t>
            </w:r>
          </w:p>
        </w:tc>
        <w:tc>
          <w:tcPr>
            <w:tcW w:w="1522" w:type="dxa"/>
            <w:hideMark/>
          </w:tcPr>
          <w:p w14:paraId="7FE05BFF" w14:textId="77777777" w:rsidR="006E3F10" w:rsidRPr="00713CBF" w:rsidRDefault="006E3F10" w:rsidP="00262DAB">
            <w:pPr>
              <w:pStyle w:val="TableCopy"/>
              <w:rPr>
                <w:lang w:val="en-GB"/>
              </w:rPr>
            </w:pPr>
            <w:r w:rsidRPr="00713CBF">
              <w:rPr>
                <w:lang w:val="en-GB"/>
              </w:rPr>
              <w:t>1,363,444</w:t>
            </w:r>
          </w:p>
        </w:tc>
      </w:tr>
      <w:tr w:rsidR="005B67B8" w:rsidRPr="006E3F10" w14:paraId="36833899" w14:textId="77777777" w:rsidTr="00262DAB">
        <w:trPr>
          <w:cantSplit/>
          <w:trHeight w:val="113"/>
        </w:trPr>
        <w:tc>
          <w:tcPr>
            <w:tcW w:w="10371" w:type="dxa"/>
            <w:gridSpan w:val="4"/>
            <w:hideMark/>
          </w:tcPr>
          <w:p w14:paraId="1A1F1C09" w14:textId="77777777" w:rsidR="005B67B8" w:rsidRPr="00713CBF" w:rsidRDefault="005B67B8" w:rsidP="00262DAB">
            <w:pPr>
              <w:pStyle w:val="TableCopy"/>
              <w:rPr>
                <w:lang w:val="en-GB"/>
              </w:rPr>
            </w:pPr>
          </w:p>
        </w:tc>
      </w:tr>
      <w:tr w:rsidR="00F1148D" w:rsidRPr="006E3F10" w14:paraId="32893C04" w14:textId="77777777" w:rsidTr="00262DAB">
        <w:trPr>
          <w:cantSplit/>
          <w:trHeight w:val="113"/>
        </w:trPr>
        <w:tc>
          <w:tcPr>
            <w:tcW w:w="10371" w:type="dxa"/>
            <w:gridSpan w:val="4"/>
            <w:hideMark/>
          </w:tcPr>
          <w:p w14:paraId="3F68CCE5" w14:textId="5C481760" w:rsidR="00F1148D" w:rsidRPr="00713CBF" w:rsidRDefault="00F1148D" w:rsidP="00713CBF">
            <w:pPr>
              <w:pStyle w:val="TableHeading"/>
              <w:rPr>
                <w:lang w:val="en-GB"/>
              </w:rPr>
            </w:pPr>
            <w:r w:rsidRPr="00713CBF">
              <w:rPr>
                <w:lang w:val="en-GB"/>
              </w:rPr>
              <w:t>Other economic flows included in net result</w:t>
            </w:r>
          </w:p>
        </w:tc>
      </w:tr>
      <w:tr w:rsidR="00B25B0C" w:rsidRPr="006E3F10" w14:paraId="33542C2A" w14:textId="77777777" w:rsidTr="00262DAB">
        <w:trPr>
          <w:cantSplit/>
          <w:trHeight w:val="113"/>
        </w:trPr>
        <w:tc>
          <w:tcPr>
            <w:tcW w:w="5807" w:type="dxa"/>
            <w:hideMark/>
          </w:tcPr>
          <w:p w14:paraId="55D04297" w14:textId="77777777" w:rsidR="006E3F10" w:rsidRPr="00713CBF" w:rsidRDefault="006E3F10" w:rsidP="00262DAB">
            <w:pPr>
              <w:pStyle w:val="TableCopy"/>
              <w:rPr>
                <w:lang w:val="en-GB"/>
              </w:rPr>
            </w:pPr>
            <w:r w:rsidRPr="00713CBF">
              <w:rPr>
                <w:lang w:val="en-GB"/>
              </w:rPr>
              <w:t>Net gain/(loss) on disposal of property, plant and equipment</w:t>
            </w:r>
          </w:p>
        </w:tc>
        <w:tc>
          <w:tcPr>
            <w:tcW w:w="1521" w:type="dxa"/>
            <w:hideMark/>
          </w:tcPr>
          <w:p w14:paraId="31976C3B" w14:textId="77777777" w:rsidR="006E3F10" w:rsidRPr="00713CBF" w:rsidRDefault="006E3F10" w:rsidP="00262DAB">
            <w:pPr>
              <w:pStyle w:val="TableCopy"/>
              <w:rPr>
                <w:lang w:val="en-GB"/>
              </w:rPr>
            </w:pPr>
          </w:p>
        </w:tc>
        <w:tc>
          <w:tcPr>
            <w:tcW w:w="1521" w:type="dxa"/>
            <w:hideMark/>
          </w:tcPr>
          <w:p w14:paraId="191FD0F4" w14:textId="77777777" w:rsidR="006E3F10" w:rsidRPr="00713CBF" w:rsidRDefault="006E3F10" w:rsidP="00262DAB">
            <w:pPr>
              <w:pStyle w:val="TableCopy"/>
              <w:rPr>
                <w:b/>
                <w:lang w:val="en-GB"/>
              </w:rPr>
            </w:pPr>
            <w:r w:rsidRPr="00713CBF">
              <w:rPr>
                <w:b/>
                <w:lang w:val="en-GB"/>
              </w:rPr>
              <w:t>-53,788</w:t>
            </w:r>
          </w:p>
        </w:tc>
        <w:tc>
          <w:tcPr>
            <w:tcW w:w="1522" w:type="dxa"/>
            <w:hideMark/>
          </w:tcPr>
          <w:p w14:paraId="749FD8FC" w14:textId="77777777" w:rsidR="006E3F10" w:rsidRPr="00713CBF" w:rsidRDefault="006E3F10" w:rsidP="00262DAB">
            <w:pPr>
              <w:pStyle w:val="TableCopy"/>
              <w:rPr>
                <w:lang w:val="en-GB"/>
              </w:rPr>
            </w:pPr>
            <w:r w:rsidRPr="00713CBF">
              <w:rPr>
                <w:lang w:val="en-GB"/>
              </w:rPr>
              <w:t>386</w:t>
            </w:r>
          </w:p>
        </w:tc>
      </w:tr>
      <w:tr w:rsidR="00B25B0C" w:rsidRPr="006E3F10" w14:paraId="4E42C095" w14:textId="77777777" w:rsidTr="00262DAB">
        <w:trPr>
          <w:cantSplit/>
          <w:trHeight w:val="113"/>
        </w:trPr>
        <w:tc>
          <w:tcPr>
            <w:tcW w:w="5807" w:type="dxa"/>
            <w:hideMark/>
          </w:tcPr>
          <w:p w14:paraId="3F2F2166" w14:textId="77777777" w:rsidR="006E3F10" w:rsidRPr="00713CBF" w:rsidRDefault="006E3F10" w:rsidP="00262DAB">
            <w:pPr>
              <w:pStyle w:val="TableCopy"/>
              <w:rPr>
                <w:lang w:val="en-GB"/>
              </w:rPr>
            </w:pPr>
            <w:r w:rsidRPr="00713CBF">
              <w:rPr>
                <w:lang w:val="en-GB"/>
              </w:rPr>
              <w:t>Net gain/(loss) arising from revaluation of leave liabilities</w:t>
            </w:r>
          </w:p>
        </w:tc>
        <w:tc>
          <w:tcPr>
            <w:tcW w:w="1521" w:type="dxa"/>
            <w:hideMark/>
          </w:tcPr>
          <w:p w14:paraId="0E210D3D" w14:textId="77777777" w:rsidR="006E3F10" w:rsidRPr="00713CBF" w:rsidRDefault="006E3F10" w:rsidP="00262DAB">
            <w:pPr>
              <w:pStyle w:val="TableCopy"/>
              <w:rPr>
                <w:lang w:val="en-GB"/>
              </w:rPr>
            </w:pPr>
          </w:p>
        </w:tc>
        <w:tc>
          <w:tcPr>
            <w:tcW w:w="1521" w:type="dxa"/>
            <w:hideMark/>
          </w:tcPr>
          <w:p w14:paraId="2505A611" w14:textId="77777777" w:rsidR="006E3F10" w:rsidRPr="00713CBF" w:rsidRDefault="006E3F10" w:rsidP="00262DAB">
            <w:pPr>
              <w:pStyle w:val="TableCopy"/>
              <w:rPr>
                <w:b/>
                <w:lang w:val="en-GB"/>
              </w:rPr>
            </w:pPr>
            <w:r w:rsidRPr="00713CBF">
              <w:rPr>
                <w:b/>
                <w:lang w:val="en-GB"/>
              </w:rPr>
              <w:t>31,566</w:t>
            </w:r>
          </w:p>
        </w:tc>
        <w:tc>
          <w:tcPr>
            <w:tcW w:w="1522" w:type="dxa"/>
            <w:hideMark/>
          </w:tcPr>
          <w:p w14:paraId="64C0A9E6" w14:textId="77777777" w:rsidR="006E3F10" w:rsidRPr="00713CBF" w:rsidRDefault="006E3F10" w:rsidP="00262DAB">
            <w:pPr>
              <w:pStyle w:val="TableCopy"/>
              <w:rPr>
                <w:lang w:val="en-GB"/>
              </w:rPr>
            </w:pPr>
            <w:r w:rsidRPr="00713CBF">
              <w:rPr>
                <w:lang w:val="en-GB"/>
              </w:rPr>
              <w:t>-38,369</w:t>
            </w:r>
          </w:p>
        </w:tc>
      </w:tr>
      <w:tr w:rsidR="00B25B0C" w:rsidRPr="006E3F10" w14:paraId="5150F1AD" w14:textId="77777777" w:rsidTr="00262DAB">
        <w:trPr>
          <w:cantSplit/>
          <w:trHeight w:val="113"/>
        </w:trPr>
        <w:tc>
          <w:tcPr>
            <w:tcW w:w="5807" w:type="dxa"/>
            <w:hideMark/>
          </w:tcPr>
          <w:p w14:paraId="71E300C6" w14:textId="77777777" w:rsidR="006E3F10" w:rsidRPr="00713CBF" w:rsidRDefault="006E3F10" w:rsidP="00262DAB">
            <w:pPr>
              <w:pStyle w:val="TableCopy"/>
              <w:rPr>
                <w:lang w:val="en-GB"/>
              </w:rPr>
            </w:pPr>
            <w:r w:rsidRPr="00713CBF">
              <w:rPr>
                <w:lang w:val="en-GB"/>
              </w:rPr>
              <w:t>Total other economic flows included in net result</w:t>
            </w:r>
          </w:p>
        </w:tc>
        <w:tc>
          <w:tcPr>
            <w:tcW w:w="1521" w:type="dxa"/>
            <w:hideMark/>
          </w:tcPr>
          <w:p w14:paraId="2CA1944E" w14:textId="77777777" w:rsidR="006E3F10" w:rsidRPr="00713CBF" w:rsidRDefault="006E3F10" w:rsidP="00262DAB">
            <w:pPr>
              <w:pStyle w:val="TableCopy"/>
              <w:rPr>
                <w:lang w:val="en-GB"/>
              </w:rPr>
            </w:pPr>
          </w:p>
        </w:tc>
        <w:tc>
          <w:tcPr>
            <w:tcW w:w="1521" w:type="dxa"/>
            <w:hideMark/>
          </w:tcPr>
          <w:p w14:paraId="4DC34F39" w14:textId="77777777" w:rsidR="006E3F10" w:rsidRPr="00713CBF" w:rsidRDefault="006E3F10" w:rsidP="00262DAB">
            <w:pPr>
              <w:pStyle w:val="TableCopy"/>
              <w:rPr>
                <w:b/>
                <w:lang w:val="en-GB"/>
              </w:rPr>
            </w:pPr>
            <w:r w:rsidRPr="00713CBF">
              <w:rPr>
                <w:b/>
                <w:lang w:val="en-GB"/>
              </w:rPr>
              <w:t>-22,222</w:t>
            </w:r>
          </w:p>
        </w:tc>
        <w:tc>
          <w:tcPr>
            <w:tcW w:w="1522" w:type="dxa"/>
            <w:hideMark/>
          </w:tcPr>
          <w:p w14:paraId="58C32435" w14:textId="77777777" w:rsidR="006E3F10" w:rsidRPr="00713CBF" w:rsidRDefault="006E3F10" w:rsidP="00262DAB">
            <w:pPr>
              <w:pStyle w:val="TableCopy"/>
              <w:rPr>
                <w:lang w:val="en-GB"/>
              </w:rPr>
            </w:pPr>
            <w:r w:rsidRPr="00713CBF">
              <w:rPr>
                <w:lang w:val="en-GB"/>
              </w:rPr>
              <w:t>-37,983</w:t>
            </w:r>
          </w:p>
        </w:tc>
      </w:tr>
      <w:tr w:rsidR="00F1148D" w:rsidRPr="006E3F10" w14:paraId="6670EF05" w14:textId="77777777" w:rsidTr="00262DAB">
        <w:trPr>
          <w:cantSplit/>
          <w:trHeight w:val="113"/>
        </w:trPr>
        <w:tc>
          <w:tcPr>
            <w:tcW w:w="10371" w:type="dxa"/>
            <w:gridSpan w:val="4"/>
            <w:hideMark/>
          </w:tcPr>
          <w:p w14:paraId="27EDBCCE" w14:textId="77777777" w:rsidR="00F1148D" w:rsidRPr="00713CBF" w:rsidRDefault="00F1148D" w:rsidP="00262DAB">
            <w:pPr>
              <w:pStyle w:val="TableCopy"/>
              <w:rPr>
                <w:lang w:val="en-GB"/>
              </w:rPr>
            </w:pPr>
          </w:p>
        </w:tc>
      </w:tr>
      <w:tr w:rsidR="00B25B0C" w:rsidRPr="006E3F10" w14:paraId="1290CD35" w14:textId="77777777" w:rsidTr="00262DAB">
        <w:trPr>
          <w:cantSplit/>
          <w:trHeight w:val="113"/>
        </w:trPr>
        <w:tc>
          <w:tcPr>
            <w:tcW w:w="5807" w:type="dxa"/>
            <w:hideMark/>
          </w:tcPr>
          <w:p w14:paraId="158E77E6" w14:textId="77777777" w:rsidR="006E3F10" w:rsidRPr="00713CBF" w:rsidRDefault="006E3F10" w:rsidP="00262DAB">
            <w:pPr>
              <w:pStyle w:val="TableCopy"/>
              <w:rPr>
                <w:b/>
                <w:lang w:val="en-GB"/>
              </w:rPr>
            </w:pPr>
            <w:r w:rsidRPr="00713CBF">
              <w:rPr>
                <w:b/>
                <w:bCs/>
                <w:lang w:val="en-GB"/>
              </w:rPr>
              <w:t>Net result</w:t>
            </w:r>
          </w:p>
        </w:tc>
        <w:tc>
          <w:tcPr>
            <w:tcW w:w="1521" w:type="dxa"/>
            <w:hideMark/>
          </w:tcPr>
          <w:p w14:paraId="159A674F" w14:textId="77777777" w:rsidR="006E3F10" w:rsidRPr="00713CBF" w:rsidRDefault="006E3F10" w:rsidP="00262DAB">
            <w:pPr>
              <w:pStyle w:val="TableCopy"/>
              <w:rPr>
                <w:lang w:val="en-GB"/>
              </w:rPr>
            </w:pPr>
          </w:p>
        </w:tc>
        <w:tc>
          <w:tcPr>
            <w:tcW w:w="1521" w:type="dxa"/>
            <w:hideMark/>
          </w:tcPr>
          <w:p w14:paraId="5F79F061" w14:textId="77777777" w:rsidR="006E3F10" w:rsidRPr="00713CBF" w:rsidRDefault="006E3F10" w:rsidP="00262DAB">
            <w:pPr>
              <w:pStyle w:val="TableCopy"/>
              <w:rPr>
                <w:b/>
                <w:lang w:val="en-GB"/>
              </w:rPr>
            </w:pPr>
            <w:r w:rsidRPr="00713CBF">
              <w:rPr>
                <w:b/>
                <w:lang w:val="en-GB"/>
              </w:rPr>
              <w:t>1,491,257</w:t>
            </w:r>
          </w:p>
        </w:tc>
        <w:tc>
          <w:tcPr>
            <w:tcW w:w="1522" w:type="dxa"/>
            <w:hideMark/>
          </w:tcPr>
          <w:p w14:paraId="6407994B" w14:textId="77777777" w:rsidR="006E3F10" w:rsidRPr="00713CBF" w:rsidRDefault="006E3F10" w:rsidP="00262DAB">
            <w:pPr>
              <w:pStyle w:val="TableCopy"/>
              <w:rPr>
                <w:lang w:val="en-GB"/>
              </w:rPr>
            </w:pPr>
            <w:r w:rsidRPr="00713CBF">
              <w:rPr>
                <w:lang w:val="en-GB"/>
              </w:rPr>
              <w:t>1,325,461</w:t>
            </w:r>
          </w:p>
        </w:tc>
      </w:tr>
      <w:tr w:rsidR="00F1148D" w:rsidRPr="006E3F10" w14:paraId="5934B1C2" w14:textId="77777777" w:rsidTr="00262DAB">
        <w:trPr>
          <w:cantSplit/>
          <w:trHeight w:val="113"/>
        </w:trPr>
        <w:tc>
          <w:tcPr>
            <w:tcW w:w="10371" w:type="dxa"/>
            <w:gridSpan w:val="4"/>
            <w:hideMark/>
          </w:tcPr>
          <w:p w14:paraId="0D217FE8" w14:textId="77777777" w:rsidR="00F1148D" w:rsidRPr="00713CBF" w:rsidRDefault="00F1148D" w:rsidP="00262DAB">
            <w:pPr>
              <w:pStyle w:val="TableCopy"/>
              <w:rPr>
                <w:lang w:val="en-GB"/>
              </w:rPr>
            </w:pPr>
          </w:p>
        </w:tc>
      </w:tr>
      <w:tr w:rsidR="00B25B0C" w:rsidRPr="006E3F10" w14:paraId="5933EEE2" w14:textId="77777777" w:rsidTr="00262DAB">
        <w:trPr>
          <w:cantSplit/>
          <w:trHeight w:val="113"/>
        </w:trPr>
        <w:tc>
          <w:tcPr>
            <w:tcW w:w="5807" w:type="dxa"/>
            <w:hideMark/>
          </w:tcPr>
          <w:p w14:paraId="55944E72" w14:textId="77777777" w:rsidR="006E3F10" w:rsidRPr="00713CBF" w:rsidRDefault="006E3F10" w:rsidP="00262DAB">
            <w:pPr>
              <w:pStyle w:val="TableCopy"/>
              <w:rPr>
                <w:b/>
                <w:lang w:val="en-GB"/>
              </w:rPr>
            </w:pPr>
            <w:r w:rsidRPr="00713CBF">
              <w:rPr>
                <w:b/>
                <w:bCs/>
                <w:lang w:val="en-GB"/>
              </w:rPr>
              <w:t>Comprehensive result</w:t>
            </w:r>
          </w:p>
        </w:tc>
        <w:tc>
          <w:tcPr>
            <w:tcW w:w="1521" w:type="dxa"/>
            <w:hideMark/>
          </w:tcPr>
          <w:p w14:paraId="359245A1" w14:textId="77777777" w:rsidR="006E3F10" w:rsidRPr="00713CBF" w:rsidRDefault="006E3F10" w:rsidP="00262DAB">
            <w:pPr>
              <w:pStyle w:val="TableCopy"/>
              <w:rPr>
                <w:lang w:val="en-GB"/>
              </w:rPr>
            </w:pPr>
          </w:p>
        </w:tc>
        <w:tc>
          <w:tcPr>
            <w:tcW w:w="1521" w:type="dxa"/>
            <w:hideMark/>
          </w:tcPr>
          <w:p w14:paraId="4785FFA3" w14:textId="77777777" w:rsidR="006E3F10" w:rsidRPr="00713CBF" w:rsidRDefault="006E3F10" w:rsidP="00262DAB">
            <w:pPr>
              <w:pStyle w:val="TableCopy"/>
              <w:rPr>
                <w:b/>
                <w:lang w:val="en-GB"/>
              </w:rPr>
            </w:pPr>
            <w:r w:rsidRPr="00713CBF">
              <w:rPr>
                <w:b/>
                <w:lang w:val="en-GB"/>
              </w:rPr>
              <w:t>1,491,257</w:t>
            </w:r>
          </w:p>
        </w:tc>
        <w:tc>
          <w:tcPr>
            <w:tcW w:w="1522" w:type="dxa"/>
            <w:hideMark/>
          </w:tcPr>
          <w:p w14:paraId="7AACFB5C" w14:textId="77777777" w:rsidR="006E3F10" w:rsidRPr="00713CBF" w:rsidRDefault="006E3F10" w:rsidP="00262DAB">
            <w:pPr>
              <w:pStyle w:val="TableCopy"/>
              <w:rPr>
                <w:lang w:val="en-GB"/>
              </w:rPr>
            </w:pPr>
            <w:r w:rsidRPr="00713CBF">
              <w:rPr>
                <w:lang w:val="en-GB"/>
              </w:rPr>
              <w:t>1,325,461</w:t>
            </w:r>
          </w:p>
        </w:tc>
      </w:tr>
    </w:tbl>
    <w:p w14:paraId="5DD1FC95" w14:textId="77777777" w:rsidR="006E3F10" w:rsidRPr="00D50179" w:rsidRDefault="006E3F10" w:rsidP="00D50179">
      <w:pPr>
        <w:rPr>
          <w:rStyle w:val="Emphasis"/>
        </w:rPr>
      </w:pPr>
      <w:r w:rsidRPr="00D50179">
        <w:rPr>
          <w:rStyle w:val="Emphasis"/>
        </w:rPr>
        <w:t>The accompanying notes form part of these financial statements.</w:t>
      </w:r>
    </w:p>
    <w:p w14:paraId="5BD3C641" w14:textId="759BA8CA" w:rsidR="006E3F10" w:rsidRPr="006E3F10" w:rsidRDefault="006928E0" w:rsidP="006928E0">
      <w:pPr>
        <w:pStyle w:val="Heading2"/>
        <w:rPr>
          <w:lang w:val="en-GB"/>
        </w:rPr>
      </w:pPr>
      <w:bookmarkStart w:id="73" w:name="_Toc494112001"/>
      <w:r>
        <w:rPr>
          <w:lang w:val="en-GB"/>
        </w:rPr>
        <w:lastRenderedPageBreak/>
        <w:t xml:space="preserve">Balance sheet </w:t>
      </w:r>
      <w:r w:rsidR="006E3F10" w:rsidRPr="006E3F10">
        <w:rPr>
          <w:lang w:val="en-GB"/>
        </w:rPr>
        <w:t>as at 30 June 2017</w:t>
      </w:r>
      <w:bookmarkEnd w:id="73"/>
    </w:p>
    <w:tbl>
      <w:tblPr>
        <w:tblStyle w:val="TableGrid"/>
        <w:tblW w:w="10386" w:type="dxa"/>
        <w:tblLook w:val="04A0" w:firstRow="1" w:lastRow="0" w:firstColumn="1" w:lastColumn="0" w:noHBand="0" w:noVBand="1"/>
      </w:tblPr>
      <w:tblGrid>
        <w:gridCol w:w="5807"/>
        <w:gridCol w:w="1526"/>
        <w:gridCol w:w="1526"/>
        <w:gridCol w:w="1527"/>
      </w:tblGrid>
      <w:tr w:rsidR="006928E0" w:rsidRPr="006E3F10" w14:paraId="1D041C42" w14:textId="77777777" w:rsidTr="003817C2">
        <w:trPr>
          <w:cantSplit/>
          <w:tblHeader/>
        </w:trPr>
        <w:tc>
          <w:tcPr>
            <w:tcW w:w="5807" w:type="dxa"/>
            <w:hideMark/>
          </w:tcPr>
          <w:p w14:paraId="66699B8E" w14:textId="77777777" w:rsidR="006E3F10" w:rsidRPr="003817C2" w:rsidRDefault="006E3F10" w:rsidP="003817C2">
            <w:pPr>
              <w:pStyle w:val="TableHeading"/>
              <w:rPr>
                <w:lang w:val="en-GB"/>
              </w:rPr>
            </w:pPr>
          </w:p>
        </w:tc>
        <w:tc>
          <w:tcPr>
            <w:tcW w:w="1526" w:type="dxa"/>
            <w:hideMark/>
          </w:tcPr>
          <w:p w14:paraId="7C817EA8" w14:textId="77777777" w:rsidR="006E3F10" w:rsidRPr="003817C2" w:rsidRDefault="006E3F10" w:rsidP="003817C2">
            <w:pPr>
              <w:pStyle w:val="TableHeading"/>
              <w:rPr>
                <w:lang w:val="en-GB"/>
              </w:rPr>
            </w:pPr>
          </w:p>
        </w:tc>
        <w:tc>
          <w:tcPr>
            <w:tcW w:w="1526" w:type="dxa"/>
            <w:hideMark/>
          </w:tcPr>
          <w:p w14:paraId="0EE4FEB3" w14:textId="77777777" w:rsidR="006E3F10" w:rsidRPr="003817C2" w:rsidRDefault="006E3F10" w:rsidP="003817C2">
            <w:pPr>
              <w:pStyle w:val="TableHeading"/>
              <w:rPr>
                <w:lang w:val="en-GB"/>
              </w:rPr>
            </w:pPr>
            <w:r w:rsidRPr="003817C2">
              <w:rPr>
                <w:bCs/>
                <w:lang w:val="en-GB"/>
              </w:rPr>
              <w:t>2017</w:t>
            </w:r>
          </w:p>
        </w:tc>
        <w:tc>
          <w:tcPr>
            <w:tcW w:w="1527" w:type="dxa"/>
            <w:hideMark/>
          </w:tcPr>
          <w:p w14:paraId="020BE2B0" w14:textId="77777777" w:rsidR="006E3F10" w:rsidRPr="003817C2" w:rsidRDefault="006E3F10" w:rsidP="003817C2">
            <w:pPr>
              <w:pStyle w:val="TableHeading"/>
              <w:rPr>
                <w:lang w:val="en-GB"/>
              </w:rPr>
            </w:pPr>
            <w:r w:rsidRPr="003817C2">
              <w:rPr>
                <w:bCs/>
                <w:lang w:val="en-GB"/>
              </w:rPr>
              <w:t>2016</w:t>
            </w:r>
          </w:p>
        </w:tc>
      </w:tr>
      <w:tr w:rsidR="006928E0" w:rsidRPr="006E3F10" w14:paraId="44AA43D1" w14:textId="77777777" w:rsidTr="003817C2">
        <w:trPr>
          <w:cantSplit/>
          <w:tblHeader/>
        </w:trPr>
        <w:tc>
          <w:tcPr>
            <w:tcW w:w="5807" w:type="dxa"/>
            <w:hideMark/>
          </w:tcPr>
          <w:p w14:paraId="41BCCACC" w14:textId="77777777" w:rsidR="006E3F10" w:rsidRPr="003817C2" w:rsidRDefault="006E3F10" w:rsidP="003817C2">
            <w:pPr>
              <w:pStyle w:val="TableHeading"/>
              <w:rPr>
                <w:lang w:val="en-GB"/>
              </w:rPr>
            </w:pPr>
          </w:p>
        </w:tc>
        <w:tc>
          <w:tcPr>
            <w:tcW w:w="1526" w:type="dxa"/>
            <w:hideMark/>
          </w:tcPr>
          <w:p w14:paraId="02BCD525" w14:textId="77777777" w:rsidR="006E3F10" w:rsidRPr="003817C2" w:rsidRDefault="006E3F10" w:rsidP="003817C2">
            <w:pPr>
              <w:pStyle w:val="TableHeading"/>
              <w:rPr>
                <w:lang w:val="en-GB"/>
              </w:rPr>
            </w:pPr>
            <w:r w:rsidRPr="003817C2">
              <w:rPr>
                <w:bCs/>
                <w:lang w:val="en-GB"/>
              </w:rPr>
              <w:t>Notes</w:t>
            </w:r>
          </w:p>
        </w:tc>
        <w:tc>
          <w:tcPr>
            <w:tcW w:w="1526" w:type="dxa"/>
            <w:hideMark/>
          </w:tcPr>
          <w:p w14:paraId="2149A889" w14:textId="77777777" w:rsidR="006E3F10" w:rsidRPr="003817C2" w:rsidRDefault="006E3F10" w:rsidP="003817C2">
            <w:pPr>
              <w:pStyle w:val="TableHeading"/>
              <w:rPr>
                <w:lang w:val="en-GB"/>
              </w:rPr>
            </w:pPr>
            <w:r w:rsidRPr="003817C2">
              <w:rPr>
                <w:bCs/>
                <w:lang w:val="en-GB"/>
              </w:rPr>
              <w:t>$</w:t>
            </w:r>
          </w:p>
        </w:tc>
        <w:tc>
          <w:tcPr>
            <w:tcW w:w="1527" w:type="dxa"/>
            <w:hideMark/>
          </w:tcPr>
          <w:p w14:paraId="21D35D2D" w14:textId="77777777" w:rsidR="006E3F10" w:rsidRPr="003817C2" w:rsidRDefault="006E3F10" w:rsidP="003817C2">
            <w:pPr>
              <w:pStyle w:val="TableHeading"/>
              <w:rPr>
                <w:lang w:val="en-GB"/>
              </w:rPr>
            </w:pPr>
            <w:r w:rsidRPr="003817C2">
              <w:rPr>
                <w:bCs/>
                <w:lang w:val="en-GB"/>
              </w:rPr>
              <w:t>$</w:t>
            </w:r>
          </w:p>
        </w:tc>
      </w:tr>
      <w:tr w:rsidR="006928E0" w:rsidRPr="006E3F10" w14:paraId="7080BB1D" w14:textId="77777777" w:rsidTr="003817C2">
        <w:trPr>
          <w:cantSplit/>
        </w:trPr>
        <w:tc>
          <w:tcPr>
            <w:tcW w:w="10386" w:type="dxa"/>
            <w:gridSpan w:val="4"/>
            <w:hideMark/>
          </w:tcPr>
          <w:p w14:paraId="543E2E3D" w14:textId="73D295E2" w:rsidR="006928E0" w:rsidRPr="003817C2" w:rsidRDefault="006928E0" w:rsidP="003817C2">
            <w:pPr>
              <w:pStyle w:val="TableHeading"/>
              <w:rPr>
                <w:lang w:val="en-GB"/>
              </w:rPr>
            </w:pPr>
            <w:r w:rsidRPr="003817C2">
              <w:rPr>
                <w:bCs/>
                <w:lang w:val="en-GB"/>
              </w:rPr>
              <w:t>Assets</w:t>
            </w:r>
          </w:p>
        </w:tc>
      </w:tr>
      <w:tr w:rsidR="006928E0" w:rsidRPr="006E3F10" w14:paraId="41F1BD52" w14:textId="77777777" w:rsidTr="003817C2">
        <w:trPr>
          <w:cantSplit/>
        </w:trPr>
        <w:tc>
          <w:tcPr>
            <w:tcW w:w="10386" w:type="dxa"/>
            <w:gridSpan w:val="4"/>
            <w:hideMark/>
          </w:tcPr>
          <w:p w14:paraId="25C998A5" w14:textId="1B1F2EF9" w:rsidR="006928E0" w:rsidRPr="003817C2" w:rsidRDefault="006928E0" w:rsidP="003817C2">
            <w:pPr>
              <w:pStyle w:val="TableHeading"/>
              <w:rPr>
                <w:lang w:val="en-GB"/>
              </w:rPr>
            </w:pPr>
            <w:r w:rsidRPr="003817C2">
              <w:rPr>
                <w:lang w:val="en-GB"/>
              </w:rPr>
              <w:t>Financial assets</w:t>
            </w:r>
          </w:p>
        </w:tc>
      </w:tr>
      <w:tr w:rsidR="006928E0" w:rsidRPr="006E3F10" w14:paraId="30B6EC17" w14:textId="77777777" w:rsidTr="003817C2">
        <w:trPr>
          <w:cantSplit/>
        </w:trPr>
        <w:tc>
          <w:tcPr>
            <w:tcW w:w="5807" w:type="dxa"/>
            <w:hideMark/>
          </w:tcPr>
          <w:p w14:paraId="71F8C249" w14:textId="77777777" w:rsidR="006E3F10" w:rsidRPr="003817C2" w:rsidRDefault="006E3F10" w:rsidP="003817C2">
            <w:pPr>
              <w:pStyle w:val="TableCopy"/>
              <w:rPr>
                <w:lang w:val="en-GB"/>
              </w:rPr>
            </w:pPr>
            <w:r w:rsidRPr="003817C2">
              <w:rPr>
                <w:lang w:val="en-GB"/>
              </w:rPr>
              <w:t>Cash and deposits</w:t>
            </w:r>
          </w:p>
        </w:tc>
        <w:tc>
          <w:tcPr>
            <w:tcW w:w="1526" w:type="dxa"/>
            <w:hideMark/>
          </w:tcPr>
          <w:p w14:paraId="6F426001" w14:textId="77777777" w:rsidR="006E3F10" w:rsidRPr="003817C2" w:rsidRDefault="006E3F10" w:rsidP="003817C2">
            <w:pPr>
              <w:pStyle w:val="TableCopy"/>
              <w:rPr>
                <w:lang w:val="en-GB"/>
              </w:rPr>
            </w:pPr>
          </w:p>
        </w:tc>
        <w:tc>
          <w:tcPr>
            <w:tcW w:w="1526" w:type="dxa"/>
            <w:hideMark/>
          </w:tcPr>
          <w:p w14:paraId="6069FF5F" w14:textId="77777777" w:rsidR="006E3F10" w:rsidRPr="003817C2" w:rsidRDefault="006E3F10" w:rsidP="003817C2">
            <w:pPr>
              <w:pStyle w:val="TableCopy"/>
              <w:rPr>
                <w:b/>
                <w:lang w:val="en-GB"/>
              </w:rPr>
            </w:pPr>
            <w:r w:rsidRPr="003817C2">
              <w:rPr>
                <w:b/>
                <w:lang w:val="en-GB"/>
              </w:rPr>
              <w:t>600</w:t>
            </w:r>
          </w:p>
        </w:tc>
        <w:tc>
          <w:tcPr>
            <w:tcW w:w="1527" w:type="dxa"/>
            <w:hideMark/>
          </w:tcPr>
          <w:p w14:paraId="5D76C6D6" w14:textId="77777777" w:rsidR="006E3F10" w:rsidRPr="003817C2" w:rsidRDefault="006E3F10" w:rsidP="003817C2">
            <w:pPr>
              <w:pStyle w:val="TableCopy"/>
              <w:rPr>
                <w:lang w:val="en-GB"/>
              </w:rPr>
            </w:pPr>
            <w:r w:rsidRPr="003817C2">
              <w:rPr>
                <w:lang w:val="en-GB"/>
              </w:rPr>
              <w:t>600</w:t>
            </w:r>
          </w:p>
        </w:tc>
      </w:tr>
      <w:tr w:rsidR="006928E0" w:rsidRPr="006E3F10" w14:paraId="515D5DD6" w14:textId="77777777" w:rsidTr="003817C2">
        <w:trPr>
          <w:cantSplit/>
        </w:trPr>
        <w:tc>
          <w:tcPr>
            <w:tcW w:w="5807" w:type="dxa"/>
            <w:hideMark/>
          </w:tcPr>
          <w:p w14:paraId="748BFADB" w14:textId="77777777" w:rsidR="006E3F10" w:rsidRPr="003817C2" w:rsidRDefault="006E3F10" w:rsidP="003817C2">
            <w:pPr>
              <w:pStyle w:val="TableCopy"/>
              <w:rPr>
                <w:lang w:val="en-GB"/>
              </w:rPr>
            </w:pPr>
            <w:r w:rsidRPr="003817C2">
              <w:rPr>
                <w:lang w:val="en-GB"/>
              </w:rPr>
              <w:t>Receivables</w:t>
            </w:r>
          </w:p>
        </w:tc>
        <w:tc>
          <w:tcPr>
            <w:tcW w:w="1526" w:type="dxa"/>
            <w:hideMark/>
          </w:tcPr>
          <w:p w14:paraId="39238EDB" w14:textId="77777777" w:rsidR="006E3F10" w:rsidRPr="003817C2" w:rsidRDefault="006E3F10" w:rsidP="003817C2">
            <w:pPr>
              <w:pStyle w:val="TableCopy"/>
              <w:rPr>
                <w:lang w:val="en-GB"/>
              </w:rPr>
            </w:pPr>
            <w:r w:rsidRPr="003817C2">
              <w:rPr>
                <w:lang w:val="en-GB"/>
              </w:rPr>
              <w:t>5.1</w:t>
            </w:r>
          </w:p>
        </w:tc>
        <w:tc>
          <w:tcPr>
            <w:tcW w:w="1526" w:type="dxa"/>
            <w:hideMark/>
          </w:tcPr>
          <w:p w14:paraId="242C4598" w14:textId="77777777" w:rsidR="006E3F10" w:rsidRPr="003817C2" w:rsidRDefault="006E3F10" w:rsidP="003817C2">
            <w:pPr>
              <w:pStyle w:val="TableCopy"/>
              <w:rPr>
                <w:b/>
                <w:lang w:val="en-GB"/>
              </w:rPr>
            </w:pPr>
            <w:r w:rsidRPr="003817C2">
              <w:rPr>
                <w:b/>
                <w:lang w:val="en-GB"/>
              </w:rPr>
              <w:t>9,627,928</w:t>
            </w:r>
          </w:p>
        </w:tc>
        <w:tc>
          <w:tcPr>
            <w:tcW w:w="1527" w:type="dxa"/>
            <w:hideMark/>
          </w:tcPr>
          <w:p w14:paraId="5176B07C" w14:textId="77777777" w:rsidR="006E3F10" w:rsidRPr="003817C2" w:rsidRDefault="006E3F10" w:rsidP="003817C2">
            <w:pPr>
              <w:pStyle w:val="TableCopy"/>
              <w:rPr>
                <w:lang w:val="en-GB"/>
              </w:rPr>
            </w:pPr>
            <w:r w:rsidRPr="003817C2">
              <w:rPr>
                <w:lang w:val="en-GB"/>
              </w:rPr>
              <w:t>6,652,291</w:t>
            </w:r>
          </w:p>
        </w:tc>
      </w:tr>
      <w:tr w:rsidR="006928E0" w:rsidRPr="006E3F10" w14:paraId="6E2DD877" w14:textId="77777777" w:rsidTr="003817C2">
        <w:trPr>
          <w:cantSplit/>
        </w:trPr>
        <w:tc>
          <w:tcPr>
            <w:tcW w:w="5807" w:type="dxa"/>
            <w:hideMark/>
          </w:tcPr>
          <w:p w14:paraId="05E5BDF3" w14:textId="77777777" w:rsidR="006E3F10" w:rsidRPr="003817C2" w:rsidRDefault="006E3F10" w:rsidP="003817C2">
            <w:pPr>
              <w:pStyle w:val="TableCopy"/>
              <w:rPr>
                <w:b/>
                <w:lang w:val="en-GB"/>
              </w:rPr>
            </w:pPr>
            <w:r w:rsidRPr="003817C2">
              <w:rPr>
                <w:b/>
                <w:lang w:val="en-GB"/>
              </w:rPr>
              <w:t>Total financial assets</w:t>
            </w:r>
          </w:p>
        </w:tc>
        <w:tc>
          <w:tcPr>
            <w:tcW w:w="1526" w:type="dxa"/>
            <w:hideMark/>
          </w:tcPr>
          <w:p w14:paraId="59B4D9A2" w14:textId="77777777" w:rsidR="006E3F10" w:rsidRPr="003817C2" w:rsidRDefault="006E3F10" w:rsidP="003817C2">
            <w:pPr>
              <w:pStyle w:val="TableCopy"/>
              <w:rPr>
                <w:lang w:val="en-GB"/>
              </w:rPr>
            </w:pPr>
          </w:p>
        </w:tc>
        <w:tc>
          <w:tcPr>
            <w:tcW w:w="1526" w:type="dxa"/>
            <w:hideMark/>
          </w:tcPr>
          <w:p w14:paraId="0A0E0B33" w14:textId="77777777" w:rsidR="006E3F10" w:rsidRPr="003817C2" w:rsidRDefault="006E3F10" w:rsidP="003817C2">
            <w:pPr>
              <w:pStyle w:val="TableCopy"/>
              <w:rPr>
                <w:b/>
                <w:lang w:val="en-GB"/>
              </w:rPr>
            </w:pPr>
            <w:r w:rsidRPr="003817C2">
              <w:rPr>
                <w:b/>
                <w:lang w:val="en-GB"/>
              </w:rPr>
              <w:t>9,628,528</w:t>
            </w:r>
          </w:p>
        </w:tc>
        <w:tc>
          <w:tcPr>
            <w:tcW w:w="1527" w:type="dxa"/>
            <w:hideMark/>
          </w:tcPr>
          <w:p w14:paraId="57D053DB" w14:textId="77777777" w:rsidR="006E3F10" w:rsidRPr="003817C2" w:rsidRDefault="006E3F10" w:rsidP="003817C2">
            <w:pPr>
              <w:pStyle w:val="TableCopy"/>
              <w:rPr>
                <w:lang w:val="en-GB"/>
              </w:rPr>
            </w:pPr>
            <w:r w:rsidRPr="003817C2">
              <w:rPr>
                <w:lang w:val="en-GB"/>
              </w:rPr>
              <w:t>6,652,891</w:t>
            </w:r>
          </w:p>
        </w:tc>
      </w:tr>
      <w:tr w:rsidR="006928E0" w:rsidRPr="006E3F10" w14:paraId="458C8AF3" w14:textId="77777777" w:rsidTr="003817C2">
        <w:trPr>
          <w:cantSplit/>
        </w:trPr>
        <w:tc>
          <w:tcPr>
            <w:tcW w:w="10386" w:type="dxa"/>
            <w:gridSpan w:val="4"/>
            <w:hideMark/>
          </w:tcPr>
          <w:p w14:paraId="1A518CA0" w14:textId="77777777" w:rsidR="006928E0" w:rsidRPr="003817C2" w:rsidRDefault="006928E0" w:rsidP="003817C2">
            <w:pPr>
              <w:pStyle w:val="TableCopy"/>
              <w:rPr>
                <w:lang w:val="en-GB"/>
              </w:rPr>
            </w:pPr>
          </w:p>
        </w:tc>
      </w:tr>
      <w:tr w:rsidR="006928E0" w:rsidRPr="006E3F10" w14:paraId="2D6124E4" w14:textId="77777777" w:rsidTr="003817C2">
        <w:trPr>
          <w:cantSplit/>
        </w:trPr>
        <w:tc>
          <w:tcPr>
            <w:tcW w:w="10386" w:type="dxa"/>
            <w:gridSpan w:val="4"/>
            <w:hideMark/>
          </w:tcPr>
          <w:p w14:paraId="5AFCC011" w14:textId="2E1475F0" w:rsidR="006928E0" w:rsidRPr="003817C2" w:rsidRDefault="006928E0" w:rsidP="003817C2">
            <w:pPr>
              <w:pStyle w:val="TableHeading"/>
              <w:rPr>
                <w:lang w:val="en-GB"/>
              </w:rPr>
            </w:pPr>
            <w:r w:rsidRPr="003817C2">
              <w:rPr>
                <w:lang w:val="en-GB"/>
              </w:rPr>
              <w:t>Non-financial assets</w:t>
            </w:r>
          </w:p>
        </w:tc>
      </w:tr>
      <w:tr w:rsidR="006928E0" w:rsidRPr="006E3F10" w14:paraId="5863A37B" w14:textId="77777777" w:rsidTr="003817C2">
        <w:trPr>
          <w:cantSplit/>
        </w:trPr>
        <w:tc>
          <w:tcPr>
            <w:tcW w:w="5807" w:type="dxa"/>
            <w:hideMark/>
          </w:tcPr>
          <w:p w14:paraId="02D11B12" w14:textId="77777777" w:rsidR="006E3F10" w:rsidRPr="003817C2" w:rsidRDefault="006E3F10" w:rsidP="003817C2">
            <w:pPr>
              <w:pStyle w:val="TableCopy"/>
              <w:rPr>
                <w:lang w:val="en-GB"/>
              </w:rPr>
            </w:pPr>
            <w:r w:rsidRPr="003817C2">
              <w:rPr>
                <w:lang w:val="en-GB"/>
              </w:rPr>
              <w:t>Prepayments</w:t>
            </w:r>
          </w:p>
        </w:tc>
        <w:tc>
          <w:tcPr>
            <w:tcW w:w="1526" w:type="dxa"/>
            <w:hideMark/>
          </w:tcPr>
          <w:p w14:paraId="2B0825A8" w14:textId="77777777" w:rsidR="006E3F10" w:rsidRPr="003817C2" w:rsidRDefault="006E3F10" w:rsidP="003817C2">
            <w:pPr>
              <w:pStyle w:val="TableCopy"/>
              <w:rPr>
                <w:lang w:val="en-GB"/>
              </w:rPr>
            </w:pPr>
            <w:r w:rsidRPr="003817C2">
              <w:rPr>
                <w:lang w:val="en-GB"/>
              </w:rPr>
              <w:t>5.3</w:t>
            </w:r>
          </w:p>
        </w:tc>
        <w:tc>
          <w:tcPr>
            <w:tcW w:w="1526" w:type="dxa"/>
            <w:hideMark/>
          </w:tcPr>
          <w:p w14:paraId="729966A3" w14:textId="77777777" w:rsidR="006E3F10" w:rsidRPr="003817C2" w:rsidRDefault="006E3F10" w:rsidP="003817C2">
            <w:pPr>
              <w:pStyle w:val="TableCopy"/>
              <w:rPr>
                <w:b/>
                <w:lang w:val="en-GB"/>
              </w:rPr>
            </w:pPr>
            <w:r w:rsidRPr="003817C2">
              <w:rPr>
                <w:b/>
                <w:lang w:val="en-GB"/>
              </w:rPr>
              <w:t>42,533</w:t>
            </w:r>
          </w:p>
        </w:tc>
        <w:tc>
          <w:tcPr>
            <w:tcW w:w="1527" w:type="dxa"/>
            <w:hideMark/>
          </w:tcPr>
          <w:p w14:paraId="02036C70" w14:textId="77777777" w:rsidR="006E3F10" w:rsidRPr="003817C2" w:rsidRDefault="006E3F10" w:rsidP="003817C2">
            <w:pPr>
              <w:pStyle w:val="TableCopy"/>
              <w:rPr>
                <w:lang w:val="en-GB"/>
              </w:rPr>
            </w:pPr>
            <w:r w:rsidRPr="003817C2">
              <w:rPr>
                <w:lang w:val="en-GB"/>
              </w:rPr>
              <w:t>466,590</w:t>
            </w:r>
          </w:p>
        </w:tc>
      </w:tr>
      <w:tr w:rsidR="006928E0" w:rsidRPr="006E3F10" w14:paraId="2B75941C" w14:textId="77777777" w:rsidTr="003817C2">
        <w:trPr>
          <w:cantSplit/>
        </w:trPr>
        <w:tc>
          <w:tcPr>
            <w:tcW w:w="5807" w:type="dxa"/>
            <w:hideMark/>
          </w:tcPr>
          <w:p w14:paraId="018398A1" w14:textId="77777777" w:rsidR="006E3F10" w:rsidRPr="003817C2" w:rsidRDefault="006E3F10" w:rsidP="003817C2">
            <w:pPr>
              <w:pStyle w:val="TableCopy"/>
              <w:rPr>
                <w:lang w:val="en-GB"/>
              </w:rPr>
            </w:pPr>
            <w:r w:rsidRPr="003817C2">
              <w:rPr>
                <w:lang w:val="en-GB"/>
              </w:rPr>
              <w:t>Property, plant and equipment</w:t>
            </w:r>
          </w:p>
        </w:tc>
        <w:tc>
          <w:tcPr>
            <w:tcW w:w="1526" w:type="dxa"/>
            <w:hideMark/>
          </w:tcPr>
          <w:p w14:paraId="30831508" w14:textId="77777777" w:rsidR="006E3F10" w:rsidRPr="003817C2" w:rsidRDefault="006E3F10" w:rsidP="003817C2">
            <w:pPr>
              <w:pStyle w:val="TableCopy"/>
              <w:rPr>
                <w:lang w:val="en-GB"/>
              </w:rPr>
            </w:pPr>
            <w:r w:rsidRPr="003817C2">
              <w:rPr>
                <w:lang w:val="en-GB"/>
              </w:rPr>
              <w:t>4.1</w:t>
            </w:r>
          </w:p>
        </w:tc>
        <w:tc>
          <w:tcPr>
            <w:tcW w:w="1526" w:type="dxa"/>
            <w:hideMark/>
          </w:tcPr>
          <w:p w14:paraId="2FCAA4C2" w14:textId="77777777" w:rsidR="006E3F10" w:rsidRPr="003817C2" w:rsidRDefault="006E3F10" w:rsidP="003817C2">
            <w:pPr>
              <w:pStyle w:val="TableCopy"/>
              <w:rPr>
                <w:b/>
                <w:lang w:val="en-GB"/>
              </w:rPr>
            </w:pPr>
            <w:r w:rsidRPr="003817C2">
              <w:rPr>
                <w:b/>
                <w:lang w:val="en-GB"/>
              </w:rPr>
              <w:t>110,928</w:t>
            </w:r>
          </w:p>
        </w:tc>
        <w:tc>
          <w:tcPr>
            <w:tcW w:w="1527" w:type="dxa"/>
            <w:hideMark/>
          </w:tcPr>
          <w:p w14:paraId="0C1F6515" w14:textId="77777777" w:rsidR="006E3F10" w:rsidRPr="003817C2" w:rsidRDefault="006E3F10" w:rsidP="003817C2">
            <w:pPr>
              <w:pStyle w:val="TableCopy"/>
              <w:rPr>
                <w:lang w:val="en-GB"/>
              </w:rPr>
            </w:pPr>
            <w:r w:rsidRPr="003817C2">
              <w:rPr>
                <w:lang w:val="en-GB"/>
              </w:rPr>
              <w:t>173,068</w:t>
            </w:r>
          </w:p>
        </w:tc>
      </w:tr>
      <w:tr w:rsidR="006928E0" w:rsidRPr="006E3F10" w14:paraId="1C69BCF5" w14:textId="77777777" w:rsidTr="003817C2">
        <w:trPr>
          <w:cantSplit/>
        </w:trPr>
        <w:tc>
          <w:tcPr>
            <w:tcW w:w="5807" w:type="dxa"/>
            <w:hideMark/>
          </w:tcPr>
          <w:p w14:paraId="58BFBE37" w14:textId="77777777" w:rsidR="006E3F10" w:rsidRPr="003817C2" w:rsidRDefault="006E3F10" w:rsidP="003817C2">
            <w:pPr>
              <w:pStyle w:val="TableCopy"/>
              <w:rPr>
                <w:lang w:val="en-GB"/>
              </w:rPr>
            </w:pPr>
            <w:r w:rsidRPr="003817C2">
              <w:rPr>
                <w:lang w:val="en-GB"/>
              </w:rPr>
              <w:t>Intangible assets</w:t>
            </w:r>
          </w:p>
        </w:tc>
        <w:tc>
          <w:tcPr>
            <w:tcW w:w="1526" w:type="dxa"/>
            <w:hideMark/>
          </w:tcPr>
          <w:p w14:paraId="4EF1237A" w14:textId="77777777" w:rsidR="006E3F10" w:rsidRPr="003817C2" w:rsidRDefault="006E3F10" w:rsidP="003817C2">
            <w:pPr>
              <w:pStyle w:val="TableCopy"/>
              <w:rPr>
                <w:lang w:val="en-GB"/>
              </w:rPr>
            </w:pPr>
            <w:r w:rsidRPr="003817C2">
              <w:rPr>
                <w:lang w:val="en-GB"/>
              </w:rPr>
              <w:t>4.2</w:t>
            </w:r>
          </w:p>
        </w:tc>
        <w:tc>
          <w:tcPr>
            <w:tcW w:w="1526" w:type="dxa"/>
            <w:hideMark/>
          </w:tcPr>
          <w:p w14:paraId="13EAD93D" w14:textId="77777777" w:rsidR="006E3F10" w:rsidRPr="003817C2" w:rsidRDefault="006E3F10" w:rsidP="003817C2">
            <w:pPr>
              <w:pStyle w:val="TableCopy"/>
              <w:rPr>
                <w:b/>
                <w:lang w:val="en-GB"/>
              </w:rPr>
            </w:pPr>
            <w:r w:rsidRPr="003817C2">
              <w:rPr>
                <w:b/>
                <w:lang w:val="en-GB"/>
              </w:rPr>
              <w:t>111,941</w:t>
            </w:r>
          </w:p>
        </w:tc>
        <w:tc>
          <w:tcPr>
            <w:tcW w:w="1527" w:type="dxa"/>
            <w:hideMark/>
          </w:tcPr>
          <w:p w14:paraId="339CAB70" w14:textId="77777777" w:rsidR="006E3F10" w:rsidRPr="003817C2" w:rsidRDefault="006E3F10" w:rsidP="003817C2">
            <w:pPr>
              <w:pStyle w:val="TableCopy"/>
              <w:rPr>
                <w:lang w:val="en-GB"/>
              </w:rPr>
            </w:pPr>
            <w:r w:rsidRPr="003817C2">
              <w:rPr>
                <w:lang w:val="en-GB"/>
              </w:rPr>
              <w:t>167,911</w:t>
            </w:r>
          </w:p>
        </w:tc>
      </w:tr>
      <w:tr w:rsidR="006928E0" w:rsidRPr="006E3F10" w14:paraId="65CA3190" w14:textId="77777777" w:rsidTr="003817C2">
        <w:trPr>
          <w:cantSplit/>
        </w:trPr>
        <w:tc>
          <w:tcPr>
            <w:tcW w:w="5807" w:type="dxa"/>
            <w:hideMark/>
          </w:tcPr>
          <w:p w14:paraId="1F82D19B" w14:textId="77777777" w:rsidR="006E3F10" w:rsidRPr="003817C2" w:rsidRDefault="006E3F10" w:rsidP="003817C2">
            <w:pPr>
              <w:pStyle w:val="TableCopy"/>
              <w:rPr>
                <w:b/>
                <w:lang w:val="en-GB"/>
              </w:rPr>
            </w:pPr>
            <w:r w:rsidRPr="003817C2">
              <w:rPr>
                <w:b/>
                <w:lang w:val="en-GB"/>
              </w:rPr>
              <w:t>Total non-financial assets</w:t>
            </w:r>
          </w:p>
        </w:tc>
        <w:tc>
          <w:tcPr>
            <w:tcW w:w="1526" w:type="dxa"/>
            <w:hideMark/>
          </w:tcPr>
          <w:p w14:paraId="78AFEF89" w14:textId="77777777" w:rsidR="006E3F10" w:rsidRPr="003817C2" w:rsidRDefault="006E3F10" w:rsidP="003817C2">
            <w:pPr>
              <w:pStyle w:val="TableCopy"/>
              <w:rPr>
                <w:lang w:val="en-GB"/>
              </w:rPr>
            </w:pPr>
          </w:p>
        </w:tc>
        <w:tc>
          <w:tcPr>
            <w:tcW w:w="1526" w:type="dxa"/>
            <w:hideMark/>
          </w:tcPr>
          <w:p w14:paraId="10855EDF" w14:textId="77777777" w:rsidR="006E3F10" w:rsidRPr="003817C2" w:rsidRDefault="006E3F10" w:rsidP="003817C2">
            <w:pPr>
              <w:pStyle w:val="TableCopy"/>
              <w:rPr>
                <w:b/>
                <w:lang w:val="en-GB"/>
              </w:rPr>
            </w:pPr>
            <w:r w:rsidRPr="003817C2">
              <w:rPr>
                <w:b/>
                <w:lang w:val="en-GB"/>
              </w:rPr>
              <w:t>265,402</w:t>
            </w:r>
          </w:p>
        </w:tc>
        <w:tc>
          <w:tcPr>
            <w:tcW w:w="1527" w:type="dxa"/>
            <w:hideMark/>
          </w:tcPr>
          <w:p w14:paraId="67954D7A" w14:textId="77777777" w:rsidR="006E3F10" w:rsidRPr="003817C2" w:rsidRDefault="006E3F10" w:rsidP="003817C2">
            <w:pPr>
              <w:pStyle w:val="TableCopy"/>
              <w:rPr>
                <w:lang w:val="en-GB"/>
              </w:rPr>
            </w:pPr>
            <w:r w:rsidRPr="003817C2">
              <w:rPr>
                <w:lang w:val="en-GB"/>
              </w:rPr>
              <w:t>807,569</w:t>
            </w:r>
          </w:p>
        </w:tc>
      </w:tr>
      <w:tr w:rsidR="006928E0" w:rsidRPr="006E3F10" w14:paraId="73B75AFC" w14:textId="77777777" w:rsidTr="003817C2">
        <w:trPr>
          <w:cantSplit/>
        </w:trPr>
        <w:tc>
          <w:tcPr>
            <w:tcW w:w="10386" w:type="dxa"/>
            <w:gridSpan w:val="4"/>
            <w:hideMark/>
          </w:tcPr>
          <w:p w14:paraId="1ABD8581" w14:textId="77777777" w:rsidR="006928E0" w:rsidRPr="003817C2" w:rsidRDefault="006928E0" w:rsidP="003817C2">
            <w:pPr>
              <w:pStyle w:val="TableCopy"/>
              <w:rPr>
                <w:lang w:val="en-GB"/>
              </w:rPr>
            </w:pPr>
          </w:p>
        </w:tc>
      </w:tr>
      <w:tr w:rsidR="006928E0" w:rsidRPr="006E3F10" w14:paraId="2CA14E7E" w14:textId="77777777" w:rsidTr="003817C2">
        <w:trPr>
          <w:cantSplit/>
        </w:trPr>
        <w:tc>
          <w:tcPr>
            <w:tcW w:w="5807" w:type="dxa"/>
            <w:hideMark/>
          </w:tcPr>
          <w:p w14:paraId="5C2A6D6E" w14:textId="77777777" w:rsidR="006E3F10" w:rsidRPr="003817C2" w:rsidRDefault="006E3F10" w:rsidP="003817C2">
            <w:pPr>
              <w:pStyle w:val="TableCopy"/>
              <w:rPr>
                <w:b/>
                <w:lang w:val="en-GB"/>
              </w:rPr>
            </w:pPr>
            <w:r w:rsidRPr="003817C2">
              <w:rPr>
                <w:b/>
                <w:bCs/>
                <w:lang w:val="en-GB"/>
              </w:rPr>
              <w:t>Total assets</w:t>
            </w:r>
          </w:p>
        </w:tc>
        <w:tc>
          <w:tcPr>
            <w:tcW w:w="1526" w:type="dxa"/>
            <w:hideMark/>
          </w:tcPr>
          <w:p w14:paraId="62B506C6" w14:textId="77777777" w:rsidR="006E3F10" w:rsidRPr="003817C2" w:rsidRDefault="006E3F10" w:rsidP="003817C2">
            <w:pPr>
              <w:pStyle w:val="TableCopy"/>
              <w:rPr>
                <w:lang w:val="en-GB"/>
              </w:rPr>
            </w:pPr>
          </w:p>
        </w:tc>
        <w:tc>
          <w:tcPr>
            <w:tcW w:w="1526" w:type="dxa"/>
            <w:hideMark/>
          </w:tcPr>
          <w:p w14:paraId="55D1D6C2" w14:textId="77777777" w:rsidR="006E3F10" w:rsidRPr="003817C2" w:rsidRDefault="006E3F10" w:rsidP="003817C2">
            <w:pPr>
              <w:pStyle w:val="TableCopy"/>
              <w:rPr>
                <w:b/>
                <w:lang w:val="en-GB"/>
              </w:rPr>
            </w:pPr>
            <w:r w:rsidRPr="003817C2">
              <w:rPr>
                <w:b/>
                <w:lang w:val="en-GB"/>
              </w:rPr>
              <w:t>9,893,930</w:t>
            </w:r>
          </w:p>
        </w:tc>
        <w:tc>
          <w:tcPr>
            <w:tcW w:w="1527" w:type="dxa"/>
            <w:hideMark/>
          </w:tcPr>
          <w:p w14:paraId="6E28C1D7" w14:textId="77777777" w:rsidR="006E3F10" w:rsidRPr="003817C2" w:rsidRDefault="006E3F10" w:rsidP="003817C2">
            <w:pPr>
              <w:pStyle w:val="TableCopy"/>
              <w:rPr>
                <w:lang w:val="en-GB"/>
              </w:rPr>
            </w:pPr>
            <w:r w:rsidRPr="003817C2">
              <w:rPr>
                <w:lang w:val="en-GB"/>
              </w:rPr>
              <w:t>7,460,460</w:t>
            </w:r>
          </w:p>
        </w:tc>
      </w:tr>
      <w:tr w:rsidR="006928E0" w:rsidRPr="006E3F10" w14:paraId="77B90A86" w14:textId="77777777" w:rsidTr="003817C2">
        <w:trPr>
          <w:cantSplit/>
        </w:trPr>
        <w:tc>
          <w:tcPr>
            <w:tcW w:w="10386" w:type="dxa"/>
            <w:gridSpan w:val="4"/>
            <w:hideMark/>
          </w:tcPr>
          <w:p w14:paraId="57912EB0" w14:textId="77777777" w:rsidR="006928E0" w:rsidRPr="003817C2" w:rsidRDefault="006928E0" w:rsidP="003817C2">
            <w:pPr>
              <w:pStyle w:val="TableCopy"/>
              <w:rPr>
                <w:lang w:val="en-GB"/>
              </w:rPr>
            </w:pPr>
          </w:p>
        </w:tc>
      </w:tr>
      <w:tr w:rsidR="006928E0" w:rsidRPr="006E3F10" w14:paraId="7DD771C6" w14:textId="77777777" w:rsidTr="003817C2">
        <w:trPr>
          <w:cantSplit/>
        </w:trPr>
        <w:tc>
          <w:tcPr>
            <w:tcW w:w="10386" w:type="dxa"/>
            <w:gridSpan w:val="4"/>
            <w:hideMark/>
          </w:tcPr>
          <w:p w14:paraId="77BBE1EE" w14:textId="5E8D4102" w:rsidR="006928E0" w:rsidRPr="003817C2" w:rsidRDefault="006928E0" w:rsidP="003817C2">
            <w:pPr>
              <w:pStyle w:val="TableHeading"/>
              <w:rPr>
                <w:lang w:val="en-GB"/>
              </w:rPr>
            </w:pPr>
            <w:r w:rsidRPr="003817C2">
              <w:rPr>
                <w:lang w:val="en-GB"/>
              </w:rPr>
              <w:t>Liabilities</w:t>
            </w:r>
          </w:p>
        </w:tc>
      </w:tr>
      <w:tr w:rsidR="006928E0" w:rsidRPr="006E3F10" w14:paraId="6BF4CC70" w14:textId="77777777" w:rsidTr="003817C2">
        <w:trPr>
          <w:cantSplit/>
        </w:trPr>
        <w:tc>
          <w:tcPr>
            <w:tcW w:w="5807" w:type="dxa"/>
            <w:hideMark/>
          </w:tcPr>
          <w:p w14:paraId="4D34C51F" w14:textId="77777777" w:rsidR="006E3F10" w:rsidRPr="003817C2" w:rsidRDefault="006E3F10" w:rsidP="003817C2">
            <w:pPr>
              <w:pStyle w:val="TableCopy"/>
              <w:rPr>
                <w:lang w:val="en-GB"/>
              </w:rPr>
            </w:pPr>
            <w:r w:rsidRPr="003817C2">
              <w:rPr>
                <w:lang w:val="en-GB"/>
              </w:rPr>
              <w:t>Payables</w:t>
            </w:r>
          </w:p>
        </w:tc>
        <w:tc>
          <w:tcPr>
            <w:tcW w:w="1526" w:type="dxa"/>
            <w:hideMark/>
          </w:tcPr>
          <w:p w14:paraId="7C7B0A67" w14:textId="77777777" w:rsidR="006E3F10" w:rsidRPr="003817C2" w:rsidRDefault="006E3F10" w:rsidP="003817C2">
            <w:pPr>
              <w:pStyle w:val="TableCopy"/>
              <w:rPr>
                <w:lang w:val="en-GB"/>
              </w:rPr>
            </w:pPr>
            <w:r w:rsidRPr="003817C2">
              <w:rPr>
                <w:lang w:val="en-GB"/>
              </w:rPr>
              <w:t>5.2</w:t>
            </w:r>
          </w:p>
        </w:tc>
        <w:tc>
          <w:tcPr>
            <w:tcW w:w="1526" w:type="dxa"/>
            <w:hideMark/>
          </w:tcPr>
          <w:p w14:paraId="174B10F3" w14:textId="77777777" w:rsidR="006E3F10" w:rsidRPr="003817C2" w:rsidRDefault="006E3F10" w:rsidP="003817C2">
            <w:pPr>
              <w:pStyle w:val="TableCopy"/>
              <w:rPr>
                <w:b/>
                <w:lang w:val="en-GB"/>
              </w:rPr>
            </w:pPr>
            <w:r w:rsidRPr="003817C2">
              <w:rPr>
                <w:b/>
                <w:lang w:val="en-GB"/>
              </w:rPr>
              <w:t>514,300</w:t>
            </w:r>
          </w:p>
        </w:tc>
        <w:tc>
          <w:tcPr>
            <w:tcW w:w="1527" w:type="dxa"/>
            <w:hideMark/>
          </w:tcPr>
          <w:p w14:paraId="35D5F3C0" w14:textId="77777777" w:rsidR="006E3F10" w:rsidRPr="003817C2" w:rsidRDefault="006E3F10" w:rsidP="003817C2">
            <w:pPr>
              <w:pStyle w:val="TableCopy"/>
              <w:rPr>
                <w:lang w:val="en-GB"/>
              </w:rPr>
            </w:pPr>
            <w:r w:rsidRPr="003817C2">
              <w:rPr>
                <w:lang w:val="en-GB"/>
              </w:rPr>
              <w:t>337,257</w:t>
            </w:r>
          </w:p>
        </w:tc>
      </w:tr>
      <w:tr w:rsidR="006928E0" w:rsidRPr="006E3F10" w14:paraId="09F16CA8" w14:textId="77777777" w:rsidTr="003817C2">
        <w:trPr>
          <w:cantSplit/>
        </w:trPr>
        <w:tc>
          <w:tcPr>
            <w:tcW w:w="5807" w:type="dxa"/>
            <w:hideMark/>
          </w:tcPr>
          <w:p w14:paraId="2953CDAA" w14:textId="77777777" w:rsidR="006E3F10" w:rsidRPr="003817C2" w:rsidRDefault="006E3F10" w:rsidP="003817C2">
            <w:pPr>
              <w:pStyle w:val="TableCopy"/>
              <w:rPr>
                <w:lang w:val="en-GB"/>
              </w:rPr>
            </w:pPr>
            <w:r w:rsidRPr="003817C2">
              <w:rPr>
                <w:lang w:val="en-GB"/>
              </w:rPr>
              <w:t>Borrowings</w:t>
            </w:r>
          </w:p>
        </w:tc>
        <w:tc>
          <w:tcPr>
            <w:tcW w:w="1526" w:type="dxa"/>
            <w:hideMark/>
          </w:tcPr>
          <w:p w14:paraId="0F05B8AB" w14:textId="77777777" w:rsidR="006E3F10" w:rsidRPr="003817C2" w:rsidRDefault="006E3F10" w:rsidP="003817C2">
            <w:pPr>
              <w:pStyle w:val="TableCopy"/>
              <w:rPr>
                <w:lang w:val="en-GB"/>
              </w:rPr>
            </w:pPr>
            <w:r w:rsidRPr="003817C2">
              <w:rPr>
                <w:lang w:val="en-GB"/>
              </w:rPr>
              <w:t>6.1</w:t>
            </w:r>
          </w:p>
        </w:tc>
        <w:tc>
          <w:tcPr>
            <w:tcW w:w="1526" w:type="dxa"/>
            <w:hideMark/>
          </w:tcPr>
          <w:p w14:paraId="698A3DA7" w14:textId="77777777" w:rsidR="006E3F10" w:rsidRPr="003817C2" w:rsidRDefault="006E3F10" w:rsidP="003817C2">
            <w:pPr>
              <w:pStyle w:val="TableCopy"/>
              <w:rPr>
                <w:b/>
                <w:lang w:val="en-GB"/>
              </w:rPr>
            </w:pPr>
            <w:r w:rsidRPr="003817C2">
              <w:rPr>
                <w:b/>
                <w:lang w:val="en-GB"/>
              </w:rPr>
              <w:t>90,596</w:t>
            </w:r>
          </w:p>
        </w:tc>
        <w:tc>
          <w:tcPr>
            <w:tcW w:w="1527" w:type="dxa"/>
            <w:hideMark/>
          </w:tcPr>
          <w:p w14:paraId="776C1F15" w14:textId="77777777" w:rsidR="006E3F10" w:rsidRPr="003817C2" w:rsidRDefault="006E3F10" w:rsidP="003817C2">
            <w:pPr>
              <w:pStyle w:val="TableCopy"/>
              <w:rPr>
                <w:lang w:val="en-GB"/>
              </w:rPr>
            </w:pPr>
            <w:r w:rsidRPr="003817C2">
              <w:rPr>
                <w:lang w:val="en-GB"/>
              </w:rPr>
              <w:t>74,588</w:t>
            </w:r>
          </w:p>
        </w:tc>
      </w:tr>
      <w:tr w:rsidR="006928E0" w:rsidRPr="006E3F10" w14:paraId="2A3D712A" w14:textId="77777777" w:rsidTr="003817C2">
        <w:trPr>
          <w:cantSplit/>
        </w:trPr>
        <w:tc>
          <w:tcPr>
            <w:tcW w:w="5807" w:type="dxa"/>
            <w:hideMark/>
          </w:tcPr>
          <w:p w14:paraId="0DE21E9C" w14:textId="77777777" w:rsidR="006E3F10" w:rsidRPr="003817C2" w:rsidRDefault="006E3F10" w:rsidP="003817C2">
            <w:pPr>
              <w:pStyle w:val="TableCopy"/>
              <w:rPr>
                <w:lang w:val="en-GB"/>
              </w:rPr>
            </w:pPr>
            <w:r w:rsidRPr="003817C2">
              <w:rPr>
                <w:lang w:val="en-GB"/>
              </w:rPr>
              <w:t>Employee related provisions</w:t>
            </w:r>
          </w:p>
        </w:tc>
        <w:tc>
          <w:tcPr>
            <w:tcW w:w="1526" w:type="dxa"/>
            <w:hideMark/>
          </w:tcPr>
          <w:p w14:paraId="36BCF547" w14:textId="77777777" w:rsidR="006E3F10" w:rsidRPr="003817C2" w:rsidRDefault="006E3F10" w:rsidP="003817C2">
            <w:pPr>
              <w:pStyle w:val="TableCopy"/>
              <w:rPr>
                <w:lang w:val="en-GB"/>
              </w:rPr>
            </w:pPr>
            <w:r w:rsidRPr="003817C2">
              <w:rPr>
                <w:lang w:val="en-GB"/>
              </w:rPr>
              <w:t>3.1.2</w:t>
            </w:r>
          </w:p>
        </w:tc>
        <w:tc>
          <w:tcPr>
            <w:tcW w:w="1526" w:type="dxa"/>
            <w:hideMark/>
          </w:tcPr>
          <w:p w14:paraId="0A1A7DE3" w14:textId="77777777" w:rsidR="006E3F10" w:rsidRPr="003817C2" w:rsidRDefault="006E3F10" w:rsidP="003817C2">
            <w:pPr>
              <w:pStyle w:val="TableCopy"/>
              <w:rPr>
                <w:b/>
                <w:lang w:val="en-GB"/>
              </w:rPr>
            </w:pPr>
            <w:r w:rsidRPr="003817C2">
              <w:rPr>
                <w:b/>
                <w:lang w:val="en-GB"/>
              </w:rPr>
              <w:t>1,937,874</w:t>
            </w:r>
          </w:p>
        </w:tc>
        <w:tc>
          <w:tcPr>
            <w:tcW w:w="1527" w:type="dxa"/>
            <w:hideMark/>
          </w:tcPr>
          <w:p w14:paraId="355C1FD1" w14:textId="77777777" w:rsidR="006E3F10" w:rsidRPr="003817C2" w:rsidRDefault="006E3F10" w:rsidP="003817C2">
            <w:pPr>
              <w:pStyle w:val="TableCopy"/>
              <w:rPr>
                <w:lang w:val="en-GB"/>
              </w:rPr>
            </w:pPr>
            <w:r w:rsidRPr="003817C2">
              <w:rPr>
                <w:lang w:val="en-GB"/>
              </w:rPr>
              <w:t>1,557,118</w:t>
            </w:r>
          </w:p>
        </w:tc>
      </w:tr>
      <w:tr w:rsidR="006928E0" w:rsidRPr="006E3F10" w14:paraId="2F93CD77" w14:textId="77777777" w:rsidTr="003817C2">
        <w:trPr>
          <w:cantSplit/>
        </w:trPr>
        <w:tc>
          <w:tcPr>
            <w:tcW w:w="5807" w:type="dxa"/>
            <w:hideMark/>
          </w:tcPr>
          <w:p w14:paraId="122B22BD" w14:textId="77777777" w:rsidR="006E3F10" w:rsidRPr="003817C2" w:rsidRDefault="006E3F10" w:rsidP="003817C2">
            <w:pPr>
              <w:pStyle w:val="TableCopy"/>
              <w:rPr>
                <w:lang w:val="en-GB"/>
              </w:rPr>
            </w:pPr>
            <w:r w:rsidRPr="003817C2">
              <w:rPr>
                <w:lang w:val="en-GB"/>
              </w:rPr>
              <w:t>Unearned income</w:t>
            </w:r>
          </w:p>
        </w:tc>
        <w:tc>
          <w:tcPr>
            <w:tcW w:w="1526" w:type="dxa"/>
            <w:hideMark/>
          </w:tcPr>
          <w:p w14:paraId="1BE07545" w14:textId="77777777" w:rsidR="006E3F10" w:rsidRPr="003817C2" w:rsidRDefault="006E3F10" w:rsidP="003817C2">
            <w:pPr>
              <w:pStyle w:val="TableCopy"/>
              <w:rPr>
                <w:lang w:val="en-GB"/>
              </w:rPr>
            </w:pPr>
            <w:r w:rsidRPr="003817C2">
              <w:rPr>
                <w:lang w:val="en-GB"/>
              </w:rPr>
              <w:t>5.4</w:t>
            </w:r>
          </w:p>
        </w:tc>
        <w:tc>
          <w:tcPr>
            <w:tcW w:w="1526" w:type="dxa"/>
            <w:hideMark/>
          </w:tcPr>
          <w:p w14:paraId="0CFF8BEC" w14:textId="77777777" w:rsidR="006E3F10" w:rsidRPr="003817C2" w:rsidRDefault="006E3F10" w:rsidP="003817C2">
            <w:pPr>
              <w:pStyle w:val="TableCopy"/>
              <w:rPr>
                <w:b/>
                <w:lang w:val="en-GB"/>
              </w:rPr>
            </w:pPr>
            <w:r w:rsidRPr="003817C2">
              <w:rPr>
                <w:b/>
                <w:lang w:val="en-GB"/>
              </w:rPr>
              <w:t>1,077,223</w:t>
            </w:r>
          </w:p>
        </w:tc>
        <w:tc>
          <w:tcPr>
            <w:tcW w:w="1527" w:type="dxa"/>
            <w:hideMark/>
          </w:tcPr>
          <w:p w14:paraId="42A78485" w14:textId="77777777" w:rsidR="006E3F10" w:rsidRPr="003817C2" w:rsidRDefault="006E3F10" w:rsidP="003817C2">
            <w:pPr>
              <w:pStyle w:val="TableCopy"/>
              <w:rPr>
                <w:lang w:val="en-GB"/>
              </w:rPr>
            </w:pPr>
            <w:r w:rsidRPr="003817C2">
              <w:rPr>
                <w:lang w:val="en-GB"/>
              </w:rPr>
              <w:t>708,817</w:t>
            </w:r>
          </w:p>
        </w:tc>
      </w:tr>
      <w:tr w:rsidR="006928E0" w:rsidRPr="006E3F10" w14:paraId="46C7C54B" w14:textId="77777777" w:rsidTr="003817C2">
        <w:trPr>
          <w:cantSplit/>
        </w:trPr>
        <w:tc>
          <w:tcPr>
            <w:tcW w:w="5807" w:type="dxa"/>
            <w:hideMark/>
          </w:tcPr>
          <w:p w14:paraId="543E1E54" w14:textId="77777777" w:rsidR="006E3F10" w:rsidRPr="003817C2" w:rsidRDefault="006E3F10" w:rsidP="003817C2">
            <w:pPr>
              <w:pStyle w:val="TableCopy"/>
              <w:rPr>
                <w:b/>
                <w:lang w:val="en-GB"/>
              </w:rPr>
            </w:pPr>
            <w:r w:rsidRPr="003817C2">
              <w:rPr>
                <w:b/>
                <w:lang w:val="en-GB"/>
              </w:rPr>
              <w:t>Total liabilities</w:t>
            </w:r>
          </w:p>
        </w:tc>
        <w:tc>
          <w:tcPr>
            <w:tcW w:w="1526" w:type="dxa"/>
            <w:hideMark/>
          </w:tcPr>
          <w:p w14:paraId="6E1E5D05" w14:textId="77777777" w:rsidR="006E3F10" w:rsidRPr="003817C2" w:rsidRDefault="006E3F10" w:rsidP="003817C2">
            <w:pPr>
              <w:pStyle w:val="TableCopy"/>
              <w:rPr>
                <w:lang w:val="en-GB"/>
              </w:rPr>
            </w:pPr>
          </w:p>
        </w:tc>
        <w:tc>
          <w:tcPr>
            <w:tcW w:w="1526" w:type="dxa"/>
            <w:hideMark/>
          </w:tcPr>
          <w:p w14:paraId="1DE38739" w14:textId="77777777" w:rsidR="006E3F10" w:rsidRPr="003817C2" w:rsidRDefault="006E3F10" w:rsidP="003817C2">
            <w:pPr>
              <w:pStyle w:val="TableCopy"/>
              <w:rPr>
                <w:b/>
                <w:lang w:val="en-GB"/>
              </w:rPr>
            </w:pPr>
            <w:r w:rsidRPr="003817C2">
              <w:rPr>
                <w:b/>
                <w:lang w:val="en-GB"/>
              </w:rPr>
              <w:t>3,619,993</w:t>
            </w:r>
          </w:p>
        </w:tc>
        <w:tc>
          <w:tcPr>
            <w:tcW w:w="1527" w:type="dxa"/>
            <w:hideMark/>
          </w:tcPr>
          <w:p w14:paraId="3CC759AB" w14:textId="77777777" w:rsidR="006E3F10" w:rsidRPr="003817C2" w:rsidRDefault="006E3F10" w:rsidP="003817C2">
            <w:pPr>
              <w:pStyle w:val="TableCopy"/>
              <w:rPr>
                <w:lang w:val="en-GB"/>
              </w:rPr>
            </w:pPr>
            <w:r w:rsidRPr="003817C2">
              <w:rPr>
                <w:lang w:val="en-GB"/>
              </w:rPr>
              <w:t>2,677,780</w:t>
            </w:r>
          </w:p>
        </w:tc>
      </w:tr>
      <w:tr w:rsidR="006928E0" w:rsidRPr="006E3F10" w14:paraId="45FF7FD1" w14:textId="77777777" w:rsidTr="003817C2">
        <w:trPr>
          <w:cantSplit/>
        </w:trPr>
        <w:tc>
          <w:tcPr>
            <w:tcW w:w="10386" w:type="dxa"/>
            <w:gridSpan w:val="4"/>
            <w:hideMark/>
          </w:tcPr>
          <w:p w14:paraId="606CB8EF" w14:textId="77777777" w:rsidR="006928E0" w:rsidRPr="003817C2" w:rsidRDefault="006928E0" w:rsidP="003817C2">
            <w:pPr>
              <w:pStyle w:val="TableCopy"/>
              <w:rPr>
                <w:lang w:val="en-GB"/>
              </w:rPr>
            </w:pPr>
          </w:p>
        </w:tc>
      </w:tr>
      <w:tr w:rsidR="006928E0" w:rsidRPr="006E3F10" w14:paraId="77813FFB" w14:textId="77777777" w:rsidTr="003817C2">
        <w:trPr>
          <w:cantSplit/>
        </w:trPr>
        <w:tc>
          <w:tcPr>
            <w:tcW w:w="5807" w:type="dxa"/>
            <w:hideMark/>
          </w:tcPr>
          <w:p w14:paraId="75D74A57" w14:textId="77777777" w:rsidR="006E3F10" w:rsidRPr="003817C2" w:rsidRDefault="006E3F10" w:rsidP="003817C2">
            <w:pPr>
              <w:pStyle w:val="TableCopy"/>
              <w:rPr>
                <w:b/>
                <w:lang w:val="en-GB"/>
              </w:rPr>
            </w:pPr>
            <w:r w:rsidRPr="003817C2">
              <w:rPr>
                <w:b/>
                <w:bCs/>
                <w:lang w:val="en-GB"/>
              </w:rPr>
              <w:t>Net assets</w:t>
            </w:r>
          </w:p>
        </w:tc>
        <w:tc>
          <w:tcPr>
            <w:tcW w:w="1526" w:type="dxa"/>
            <w:hideMark/>
          </w:tcPr>
          <w:p w14:paraId="5F4BEE81" w14:textId="77777777" w:rsidR="006E3F10" w:rsidRPr="003817C2" w:rsidRDefault="006E3F10" w:rsidP="003817C2">
            <w:pPr>
              <w:pStyle w:val="TableCopy"/>
              <w:rPr>
                <w:lang w:val="en-GB"/>
              </w:rPr>
            </w:pPr>
          </w:p>
        </w:tc>
        <w:tc>
          <w:tcPr>
            <w:tcW w:w="1526" w:type="dxa"/>
            <w:hideMark/>
          </w:tcPr>
          <w:p w14:paraId="7F09B149" w14:textId="77777777" w:rsidR="006E3F10" w:rsidRPr="003817C2" w:rsidRDefault="006E3F10" w:rsidP="003817C2">
            <w:pPr>
              <w:pStyle w:val="TableCopy"/>
              <w:rPr>
                <w:b/>
                <w:lang w:val="en-GB"/>
              </w:rPr>
            </w:pPr>
            <w:r w:rsidRPr="003817C2">
              <w:rPr>
                <w:b/>
                <w:lang w:val="en-GB"/>
              </w:rPr>
              <w:t>6,273,937</w:t>
            </w:r>
          </w:p>
        </w:tc>
        <w:tc>
          <w:tcPr>
            <w:tcW w:w="1527" w:type="dxa"/>
            <w:hideMark/>
          </w:tcPr>
          <w:p w14:paraId="31E34956" w14:textId="77777777" w:rsidR="006E3F10" w:rsidRPr="003817C2" w:rsidRDefault="006E3F10" w:rsidP="003817C2">
            <w:pPr>
              <w:pStyle w:val="TableCopy"/>
              <w:rPr>
                <w:lang w:val="en-GB"/>
              </w:rPr>
            </w:pPr>
            <w:r w:rsidRPr="003817C2">
              <w:rPr>
                <w:lang w:val="en-GB"/>
              </w:rPr>
              <w:t>4,782,680</w:t>
            </w:r>
          </w:p>
        </w:tc>
      </w:tr>
      <w:tr w:rsidR="006928E0" w:rsidRPr="006E3F10" w14:paraId="473CDD79" w14:textId="77777777" w:rsidTr="003817C2">
        <w:trPr>
          <w:cantSplit/>
        </w:trPr>
        <w:tc>
          <w:tcPr>
            <w:tcW w:w="10386" w:type="dxa"/>
            <w:gridSpan w:val="4"/>
            <w:hideMark/>
          </w:tcPr>
          <w:p w14:paraId="1A86FA4B" w14:textId="77777777" w:rsidR="006928E0" w:rsidRPr="003817C2" w:rsidRDefault="006928E0" w:rsidP="003817C2">
            <w:pPr>
              <w:pStyle w:val="TableCopy"/>
              <w:rPr>
                <w:lang w:val="en-GB"/>
              </w:rPr>
            </w:pPr>
          </w:p>
        </w:tc>
      </w:tr>
      <w:tr w:rsidR="006928E0" w:rsidRPr="006E3F10" w14:paraId="38F563E0" w14:textId="77777777" w:rsidTr="003817C2">
        <w:trPr>
          <w:cantSplit/>
        </w:trPr>
        <w:tc>
          <w:tcPr>
            <w:tcW w:w="10386" w:type="dxa"/>
            <w:gridSpan w:val="4"/>
            <w:hideMark/>
          </w:tcPr>
          <w:p w14:paraId="05340D78" w14:textId="23BDA491" w:rsidR="006928E0" w:rsidRPr="003817C2" w:rsidRDefault="006928E0" w:rsidP="003817C2">
            <w:pPr>
              <w:pStyle w:val="TableHeading"/>
              <w:rPr>
                <w:lang w:val="en-GB"/>
              </w:rPr>
            </w:pPr>
            <w:r w:rsidRPr="003817C2">
              <w:rPr>
                <w:lang w:val="en-GB"/>
              </w:rPr>
              <w:t>Equity</w:t>
            </w:r>
          </w:p>
        </w:tc>
      </w:tr>
      <w:tr w:rsidR="006928E0" w:rsidRPr="006E3F10" w14:paraId="48D7E2E8" w14:textId="77777777" w:rsidTr="003817C2">
        <w:trPr>
          <w:cantSplit/>
        </w:trPr>
        <w:tc>
          <w:tcPr>
            <w:tcW w:w="5807" w:type="dxa"/>
            <w:hideMark/>
          </w:tcPr>
          <w:p w14:paraId="39055374" w14:textId="77777777" w:rsidR="006E3F10" w:rsidRPr="003817C2" w:rsidRDefault="006E3F10" w:rsidP="003817C2">
            <w:pPr>
              <w:pStyle w:val="TableCopy"/>
              <w:rPr>
                <w:lang w:val="en-GB"/>
              </w:rPr>
            </w:pPr>
            <w:r w:rsidRPr="003817C2">
              <w:rPr>
                <w:lang w:val="en-GB"/>
              </w:rPr>
              <w:t>Contributed capital</w:t>
            </w:r>
          </w:p>
        </w:tc>
        <w:tc>
          <w:tcPr>
            <w:tcW w:w="1526" w:type="dxa"/>
            <w:hideMark/>
          </w:tcPr>
          <w:p w14:paraId="1C5F6322" w14:textId="77777777" w:rsidR="006E3F10" w:rsidRPr="003817C2" w:rsidRDefault="006E3F10" w:rsidP="003817C2">
            <w:pPr>
              <w:pStyle w:val="TableCopy"/>
              <w:rPr>
                <w:lang w:val="en-GB"/>
              </w:rPr>
            </w:pPr>
          </w:p>
        </w:tc>
        <w:tc>
          <w:tcPr>
            <w:tcW w:w="1526" w:type="dxa"/>
            <w:hideMark/>
          </w:tcPr>
          <w:p w14:paraId="126AC89A" w14:textId="77777777" w:rsidR="006E3F10" w:rsidRPr="003817C2" w:rsidRDefault="006E3F10" w:rsidP="003817C2">
            <w:pPr>
              <w:pStyle w:val="TableCopy"/>
              <w:rPr>
                <w:b/>
                <w:lang w:val="en-GB"/>
              </w:rPr>
            </w:pPr>
            <w:r w:rsidRPr="003817C2">
              <w:rPr>
                <w:b/>
                <w:lang w:val="en-GB"/>
              </w:rPr>
              <w:t>3,481,626</w:t>
            </w:r>
          </w:p>
        </w:tc>
        <w:tc>
          <w:tcPr>
            <w:tcW w:w="1527" w:type="dxa"/>
            <w:hideMark/>
          </w:tcPr>
          <w:p w14:paraId="259E66BB" w14:textId="77777777" w:rsidR="006E3F10" w:rsidRPr="003817C2" w:rsidRDefault="006E3F10" w:rsidP="003817C2">
            <w:pPr>
              <w:pStyle w:val="TableCopy"/>
              <w:rPr>
                <w:lang w:val="en-GB"/>
              </w:rPr>
            </w:pPr>
            <w:r w:rsidRPr="003817C2">
              <w:rPr>
                <w:lang w:val="en-GB"/>
              </w:rPr>
              <w:t>3,481,626</w:t>
            </w:r>
          </w:p>
        </w:tc>
      </w:tr>
      <w:tr w:rsidR="006928E0" w:rsidRPr="006E3F10" w14:paraId="408897E0" w14:textId="77777777" w:rsidTr="003817C2">
        <w:trPr>
          <w:cantSplit/>
        </w:trPr>
        <w:tc>
          <w:tcPr>
            <w:tcW w:w="5807" w:type="dxa"/>
            <w:hideMark/>
          </w:tcPr>
          <w:p w14:paraId="1D28C95B" w14:textId="77777777" w:rsidR="006E3F10" w:rsidRPr="003817C2" w:rsidRDefault="006E3F10" w:rsidP="003817C2">
            <w:pPr>
              <w:pStyle w:val="TableCopy"/>
              <w:rPr>
                <w:lang w:val="en-GB"/>
              </w:rPr>
            </w:pPr>
            <w:r w:rsidRPr="003817C2">
              <w:rPr>
                <w:lang w:val="en-GB"/>
              </w:rPr>
              <w:t>Accumulated surplus</w:t>
            </w:r>
          </w:p>
        </w:tc>
        <w:tc>
          <w:tcPr>
            <w:tcW w:w="1526" w:type="dxa"/>
            <w:hideMark/>
          </w:tcPr>
          <w:p w14:paraId="40C17130" w14:textId="77777777" w:rsidR="006E3F10" w:rsidRPr="003817C2" w:rsidRDefault="006E3F10" w:rsidP="003817C2">
            <w:pPr>
              <w:pStyle w:val="TableCopy"/>
              <w:rPr>
                <w:lang w:val="en-GB"/>
              </w:rPr>
            </w:pPr>
          </w:p>
        </w:tc>
        <w:tc>
          <w:tcPr>
            <w:tcW w:w="1526" w:type="dxa"/>
            <w:hideMark/>
          </w:tcPr>
          <w:p w14:paraId="58202311" w14:textId="77777777" w:rsidR="006E3F10" w:rsidRPr="003817C2" w:rsidRDefault="006E3F10" w:rsidP="003817C2">
            <w:pPr>
              <w:pStyle w:val="TableCopy"/>
              <w:rPr>
                <w:b/>
                <w:lang w:val="en-GB"/>
              </w:rPr>
            </w:pPr>
            <w:r w:rsidRPr="003817C2">
              <w:rPr>
                <w:b/>
                <w:lang w:val="en-GB"/>
              </w:rPr>
              <w:t>2,792,311</w:t>
            </w:r>
          </w:p>
        </w:tc>
        <w:tc>
          <w:tcPr>
            <w:tcW w:w="1527" w:type="dxa"/>
            <w:hideMark/>
          </w:tcPr>
          <w:p w14:paraId="63EE1AD7" w14:textId="77777777" w:rsidR="006E3F10" w:rsidRPr="003817C2" w:rsidRDefault="006E3F10" w:rsidP="003817C2">
            <w:pPr>
              <w:pStyle w:val="TableCopy"/>
              <w:rPr>
                <w:lang w:val="en-GB"/>
              </w:rPr>
            </w:pPr>
            <w:r w:rsidRPr="003817C2">
              <w:rPr>
                <w:lang w:val="en-GB"/>
              </w:rPr>
              <w:t>1,301,054</w:t>
            </w:r>
          </w:p>
        </w:tc>
      </w:tr>
      <w:tr w:rsidR="006928E0" w:rsidRPr="006E3F10" w14:paraId="37615928" w14:textId="77777777" w:rsidTr="003817C2">
        <w:trPr>
          <w:cantSplit/>
        </w:trPr>
        <w:tc>
          <w:tcPr>
            <w:tcW w:w="10386" w:type="dxa"/>
            <w:gridSpan w:val="4"/>
            <w:hideMark/>
          </w:tcPr>
          <w:p w14:paraId="473E2D6C" w14:textId="77777777" w:rsidR="006928E0" w:rsidRPr="003817C2" w:rsidRDefault="006928E0" w:rsidP="003817C2">
            <w:pPr>
              <w:pStyle w:val="TableCopy"/>
              <w:rPr>
                <w:lang w:val="en-GB"/>
              </w:rPr>
            </w:pPr>
          </w:p>
        </w:tc>
      </w:tr>
      <w:tr w:rsidR="006928E0" w:rsidRPr="006E3F10" w14:paraId="7AED7A98" w14:textId="77777777" w:rsidTr="003817C2">
        <w:trPr>
          <w:cantSplit/>
        </w:trPr>
        <w:tc>
          <w:tcPr>
            <w:tcW w:w="5807" w:type="dxa"/>
            <w:hideMark/>
          </w:tcPr>
          <w:p w14:paraId="2CA633F7" w14:textId="77777777" w:rsidR="006E3F10" w:rsidRPr="003817C2" w:rsidRDefault="006E3F10" w:rsidP="003817C2">
            <w:pPr>
              <w:pStyle w:val="TableCopy"/>
              <w:rPr>
                <w:b/>
                <w:lang w:val="en-GB"/>
              </w:rPr>
            </w:pPr>
            <w:r w:rsidRPr="003817C2">
              <w:rPr>
                <w:b/>
                <w:bCs/>
                <w:lang w:val="en-GB"/>
              </w:rPr>
              <w:t>Net worth</w:t>
            </w:r>
          </w:p>
        </w:tc>
        <w:tc>
          <w:tcPr>
            <w:tcW w:w="1526" w:type="dxa"/>
            <w:hideMark/>
          </w:tcPr>
          <w:p w14:paraId="7F245BCD" w14:textId="77777777" w:rsidR="006E3F10" w:rsidRPr="003817C2" w:rsidRDefault="006E3F10" w:rsidP="003817C2">
            <w:pPr>
              <w:pStyle w:val="TableCopy"/>
              <w:rPr>
                <w:lang w:val="en-GB"/>
              </w:rPr>
            </w:pPr>
          </w:p>
        </w:tc>
        <w:tc>
          <w:tcPr>
            <w:tcW w:w="1526" w:type="dxa"/>
            <w:hideMark/>
          </w:tcPr>
          <w:p w14:paraId="30E2B5D8" w14:textId="77777777" w:rsidR="006E3F10" w:rsidRPr="003817C2" w:rsidRDefault="006E3F10" w:rsidP="003817C2">
            <w:pPr>
              <w:pStyle w:val="TableCopy"/>
              <w:rPr>
                <w:b/>
                <w:lang w:val="en-GB"/>
              </w:rPr>
            </w:pPr>
            <w:r w:rsidRPr="003817C2">
              <w:rPr>
                <w:b/>
                <w:lang w:val="en-GB"/>
              </w:rPr>
              <w:t>6,273,937</w:t>
            </w:r>
          </w:p>
        </w:tc>
        <w:tc>
          <w:tcPr>
            <w:tcW w:w="1527" w:type="dxa"/>
            <w:hideMark/>
          </w:tcPr>
          <w:p w14:paraId="0466E861" w14:textId="77777777" w:rsidR="006E3F10" w:rsidRPr="003817C2" w:rsidRDefault="006E3F10" w:rsidP="003817C2">
            <w:pPr>
              <w:pStyle w:val="TableCopy"/>
              <w:rPr>
                <w:lang w:val="en-GB"/>
              </w:rPr>
            </w:pPr>
            <w:r w:rsidRPr="003817C2">
              <w:rPr>
                <w:lang w:val="en-GB"/>
              </w:rPr>
              <w:t>4,782,680</w:t>
            </w:r>
          </w:p>
        </w:tc>
      </w:tr>
    </w:tbl>
    <w:p w14:paraId="25B40465" w14:textId="77777777" w:rsidR="006E3F10" w:rsidRPr="006928E0" w:rsidRDefault="006E3F10" w:rsidP="006928E0">
      <w:pPr>
        <w:rPr>
          <w:rStyle w:val="Emphasis"/>
        </w:rPr>
      </w:pPr>
      <w:r w:rsidRPr="006928E0">
        <w:rPr>
          <w:rStyle w:val="Emphasis"/>
        </w:rPr>
        <w:t>The accompanying notes form part of these financial statements.</w:t>
      </w:r>
    </w:p>
    <w:p w14:paraId="06195FAD" w14:textId="6E7B6A41" w:rsidR="006E3F10" w:rsidRPr="006E3F10" w:rsidRDefault="00EF06A1" w:rsidP="00EF06A1">
      <w:pPr>
        <w:pStyle w:val="Heading2"/>
        <w:rPr>
          <w:lang w:val="en-GB"/>
        </w:rPr>
      </w:pPr>
      <w:bookmarkStart w:id="74" w:name="_Toc494112002"/>
      <w:r>
        <w:rPr>
          <w:lang w:val="en-GB"/>
        </w:rPr>
        <w:lastRenderedPageBreak/>
        <w:t xml:space="preserve">Cash flow statement </w:t>
      </w:r>
      <w:r w:rsidR="006E3F10" w:rsidRPr="006E3F10">
        <w:rPr>
          <w:lang w:val="en-GB"/>
        </w:rPr>
        <w:t>for the financial year ended 30 June 2017</w:t>
      </w:r>
      <w:bookmarkEnd w:id="74"/>
    </w:p>
    <w:tbl>
      <w:tblPr>
        <w:tblStyle w:val="TableGrid"/>
        <w:tblW w:w="0" w:type="auto"/>
        <w:tblLook w:val="04A0" w:firstRow="1" w:lastRow="0" w:firstColumn="1" w:lastColumn="0" w:noHBand="0" w:noVBand="1"/>
      </w:tblPr>
      <w:tblGrid>
        <w:gridCol w:w="5850"/>
        <w:gridCol w:w="1535"/>
        <w:gridCol w:w="1535"/>
        <w:gridCol w:w="1536"/>
      </w:tblGrid>
      <w:tr w:rsidR="00D67679" w:rsidRPr="006E3F10" w14:paraId="141C34F7" w14:textId="77777777" w:rsidTr="00F1799D">
        <w:trPr>
          <w:cantSplit/>
          <w:tblHeader/>
        </w:trPr>
        <w:tc>
          <w:tcPr>
            <w:tcW w:w="5850" w:type="dxa"/>
            <w:hideMark/>
          </w:tcPr>
          <w:p w14:paraId="1678202E" w14:textId="77777777" w:rsidR="006E3F10" w:rsidRPr="00840514" w:rsidRDefault="006E3F10" w:rsidP="00840514">
            <w:pPr>
              <w:pStyle w:val="TableHeading"/>
              <w:rPr>
                <w:lang w:val="en-GB"/>
              </w:rPr>
            </w:pPr>
          </w:p>
        </w:tc>
        <w:tc>
          <w:tcPr>
            <w:tcW w:w="1535" w:type="dxa"/>
            <w:hideMark/>
          </w:tcPr>
          <w:p w14:paraId="19773E42" w14:textId="77777777" w:rsidR="006E3F10" w:rsidRPr="00840514" w:rsidRDefault="006E3F10" w:rsidP="00840514">
            <w:pPr>
              <w:pStyle w:val="TableHeading"/>
              <w:rPr>
                <w:lang w:val="en-GB"/>
              </w:rPr>
            </w:pPr>
          </w:p>
        </w:tc>
        <w:tc>
          <w:tcPr>
            <w:tcW w:w="1535" w:type="dxa"/>
            <w:hideMark/>
          </w:tcPr>
          <w:p w14:paraId="0E9C30A3" w14:textId="77777777" w:rsidR="006E3F10" w:rsidRPr="00840514" w:rsidRDefault="006E3F10" w:rsidP="00840514">
            <w:pPr>
              <w:pStyle w:val="TableHeading"/>
              <w:rPr>
                <w:lang w:val="en-GB"/>
              </w:rPr>
            </w:pPr>
            <w:r w:rsidRPr="00840514">
              <w:rPr>
                <w:bCs/>
                <w:lang w:val="en-GB"/>
              </w:rPr>
              <w:t>2017</w:t>
            </w:r>
          </w:p>
        </w:tc>
        <w:tc>
          <w:tcPr>
            <w:tcW w:w="1536" w:type="dxa"/>
            <w:hideMark/>
          </w:tcPr>
          <w:p w14:paraId="19029BB5" w14:textId="77777777" w:rsidR="006E3F10" w:rsidRPr="00840514" w:rsidRDefault="006E3F10" w:rsidP="00840514">
            <w:pPr>
              <w:pStyle w:val="TableHeading"/>
              <w:rPr>
                <w:lang w:val="en-GB"/>
              </w:rPr>
            </w:pPr>
            <w:r w:rsidRPr="00840514">
              <w:rPr>
                <w:bCs/>
                <w:lang w:val="en-GB"/>
              </w:rPr>
              <w:t>2016</w:t>
            </w:r>
          </w:p>
        </w:tc>
      </w:tr>
      <w:tr w:rsidR="00D67679" w:rsidRPr="006E3F10" w14:paraId="1782503D" w14:textId="77777777" w:rsidTr="00F1799D">
        <w:trPr>
          <w:cantSplit/>
          <w:tblHeader/>
        </w:trPr>
        <w:tc>
          <w:tcPr>
            <w:tcW w:w="5850" w:type="dxa"/>
            <w:hideMark/>
          </w:tcPr>
          <w:p w14:paraId="1928A2C7" w14:textId="77777777" w:rsidR="006E3F10" w:rsidRPr="00840514" w:rsidRDefault="006E3F10" w:rsidP="00840514">
            <w:pPr>
              <w:pStyle w:val="TableHeading"/>
              <w:rPr>
                <w:lang w:val="en-GB"/>
              </w:rPr>
            </w:pPr>
          </w:p>
        </w:tc>
        <w:tc>
          <w:tcPr>
            <w:tcW w:w="1535" w:type="dxa"/>
            <w:hideMark/>
          </w:tcPr>
          <w:p w14:paraId="46F964DD" w14:textId="77777777" w:rsidR="006E3F10" w:rsidRPr="00840514" w:rsidRDefault="006E3F10" w:rsidP="00840514">
            <w:pPr>
              <w:pStyle w:val="TableHeading"/>
              <w:rPr>
                <w:lang w:val="en-GB"/>
              </w:rPr>
            </w:pPr>
            <w:r w:rsidRPr="00840514">
              <w:rPr>
                <w:bCs/>
                <w:lang w:val="en-GB"/>
              </w:rPr>
              <w:t>Notes</w:t>
            </w:r>
          </w:p>
        </w:tc>
        <w:tc>
          <w:tcPr>
            <w:tcW w:w="1535" w:type="dxa"/>
            <w:hideMark/>
          </w:tcPr>
          <w:p w14:paraId="689F5171" w14:textId="77777777" w:rsidR="006E3F10" w:rsidRPr="00840514" w:rsidRDefault="006E3F10" w:rsidP="00840514">
            <w:pPr>
              <w:pStyle w:val="TableHeading"/>
              <w:rPr>
                <w:lang w:val="en-GB"/>
              </w:rPr>
            </w:pPr>
            <w:r w:rsidRPr="00840514">
              <w:rPr>
                <w:bCs/>
                <w:lang w:val="en-GB"/>
              </w:rPr>
              <w:t>$</w:t>
            </w:r>
          </w:p>
        </w:tc>
        <w:tc>
          <w:tcPr>
            <w:tcW w:w="1536" w:type="dxa"/>
            <w:hideMark/>
          </w:tcPr>
          <w:p w14:paraId="4304501D" w14:textId="77777777" w:rsidR="006E3F10" w:rsidRPr="00840514" w:rsidRDefault="006E3F10" w:rsidP="00840514">
            <w:pPr>
              <w:pStyle w:val="TableHeading"/>
              <w:rPr>
                <w:lang w:val="en-GB"/>
              </w:rPr>
            </w:pPr>
            <w:r w:rsidRPr="00840514">
              <w:rPr>
                <w:bCs/>
                <w:lang w:val="en-GB"/>
              </w:rPr>
              <w:t>$</w:t>
            </w:r>
          </w:p>
        </w:tc>
      </w:tr>
      <w:tr w:rsidR="00D67679" w:rsidRPr="006E3F10" w14:paraId="75651559" w14:textId="77777777" w:rsidTr="00F1799D">
        <w:trPr>
          <w:cantSplit/>
        </w:trPr>
        <w:tc>
          <w:tcPr>
            <w:tcW w:w="10456" w:type="dxa"/>
            <w:gridSpan w:val="4"/>
            <w:hideMark/>
          </w:tcPr>
          <w:p w14:paraId="00A28215" w14:textId="1909E047" w:rsidR="00D67679" w:rsidRPr="00840514" w:rsidRDefault="00D67679" w:rsidP="00840514">
            <w:pPr>
              <w:pStyle w:val="TableHeading"/>
              <w:rPr>
                <w:lang w:val="en-GB"/>
              </w:rPr>
            </w:pPr>
            <w:r w:rsidRPr="00840514">
              <w:rPr>
                <w:bCs/>
                <w:lang w:val="en-GB"/>
              </w:rPr>
              <w:t>Cash flows from operating activities</w:t>
            </w:r>
          </w:p>
        </w:tc>
      </w:tr>
      <w:tr w:rsidR="00D67679" w:rsidRPr="006E3F10" w14:paraId="15348F6D" w14:textId="77777777" w:rsidTr="00F1799D">
        <w:trPr>
          <w:cantSplit/>
        </w:trPr>
        <w:tc>
          <w:tcPr>
            <w:tcW w:w="10456" w:type="dxa"/>
            <w:gridSpan w:val="4"/>
            <w:hideMark/>
          </w:tcPr>
          <w:p w14:paraId="389DB4F9" w14:textId="3B866108" w:rsidR="00D67679" w:rsidRPr="00840514" w:rsidRDefault="00D67679" w:rsidP="00840514">
            <w:pPr>
              <w:pStyle w:val="TableHeading"/>
              <w:rPr>
                <w:lang w:val="en-GB"/>
              </w:rPr>
            </w:pPr>
            <w:r w:rsidRPr="00840514">
              <w:rPr>
                <w:lang w:val="en-GB"/>
              </w:rPr>
              <w:t>Receipts</w:t>
            </w:r>
          </w:p>
        </w:tc>
      </w:tr>
      <w:tr w:rsidR="00D67679" w:rsidRPr="006E3F10" w14:paraId="1CC438DC" w14:textId="77777777" w:rsidTr="00F1799D">
        <w:trPr>
          <w:cantSplit/>
        </w:trPr>
        <w:tc>
          <w:tcPr>
            <w:tcW w:w="5850" w:type="dxa"/>
            <w:hideMark/>
          </w:tcPr>
          <w:p w14:paraId="1C6EF721" w14:textId="77777777" w:rsidR="006E3F10" w:rsidRPr="00840514" w:rsidRDefault="006E3F10" w:rsidP="00840514">
            <w:pPr>
              <w:pStyle w:val="TableCopy"/>
              <w:rPr>
                <w:lang w:val="en-GB"/>
              </w:rPr>
            </w:pPr>
            <w:r w:rsidRPr="00840514">
              <w:rPr>
                <w:lang w:val="en-GB"/>
              </w:rPr>
              <w:t>Receipts from government</w:t>
            </w:r>
          </w:p>
        </w:tc>
        <w:tc>
          <w:tcPr>
            <w:tcW w:w="1535" w:type="dxa"/>
            <w:hideMark/>
          </w:tcPr>
          <w:p w14:paraId="680B7F1C" w14:textId="77777777" w:rsidR="006E3F10" w:rsidRPr="00840514" w:rsidRDefault="006E3F10" w:rsidP="00840514">
            <w:pPr>
              <w:pStyle w:val="TableCopy"/>
              <w:rPr>
                <w:lang w:val="en-GB"/>
              </w:rPr>
            </w:pPr>
          </w:p>
        </w:tc>
        <w:tc>
          <w:tcPr>
            <w:tcW w:w="1535" w:type="dxa"/>
            <w:hideMark/>
          </w:tcPr>
          <w:p w14:paraId="1C183203" w14:textId="77777777" w:rsidR="006E3F10" w:rsidRPr="00840514" w:rsidRDefault="006E3F10" w:rsidP="00840514">
            <w:pPr>
              <w:pStyle w:val="TableCopy"/>
              <w:rPr>
                <w:b/>
                <w:lang w:val="en-GB"/>
              </w:rPr>
            </w:pPr>
            <w:r w:rsidRPr="00840514">
              <w:rPr>
                <w:b/>
                <w:lang w:val="en-GB"/>
              </w:rPr>
              <w:t>13,701,822</w:t>
            </w:r>
          </w:p>
        </w:tc>
        <w:tc>
          <w:tcPr>
            <w:tcW w:w="1536" w:type="dxa"/>
            <w:hideMark/>
          </w:tcPr>
          <w:p w14:paraId="67435296" w14:textId="77777777" w:rsidR="006E3F10" w:rsidRPr="00840514" w:rsidRDefault="006E3F10" w:rsidP="00840514">
            <w:pPr>
              <w:pStyle w:val="TableCopy"/>
              <w:rPr>
                <w:lang w:val="en-GB"/>
              </w:rPr>
            </w:pPr>
            <w:r w:rsidRPr="00840514">
              <w:rPr>
                <w:lang w:val="en-GB"/>
              </w:rPr>
              <w:t>11,244,487</w:t>
            </w:r>
          </w:p>
        </w:tc>
      </w:tr>
      <w:tr w:rsidR="00D67679" w:rsidRPr="006E3F10" w14:paraId="5566BA51" w14:textId="77777777" w:rsidTr="00F1799D">
        <w:trPr>
          <w:cantSplit/>
        </w:trPr>
        <w:tc>
          <w:tcPr>
            <w:tcW w:w="5850" w:type="dxa"/>
            <w:hideMark/>
          </w:tcPr>
          <w:p w14:paraId="2EC606C5" w14:textId="77777777" w:rsidR="006E3F10" w:rsidRPr="00840514" w:rsidRDefault="006E3F10" w:rsidP="00840514">
            <w:pPr>
              <w:pStyle w:val="TableCopy"/>
              <w:rPr>
                <w:b/>
                <w:lang w:val="en-GB"/>
              </w:rPr>
            </w:pPr>
            <w:r w:rsidRPr="00840514">
              <w:rPr>
                <w:b/>
                <w:lang w:val="en-GB"/>
              </w:rPr>
              <w:t>Total receipts</w:t>
            </w:r>
          </w:p>
        </w:tc>
        <w:tc>
          <w:tcPr>
            <w:tcW w:w="1535" w:type="dxa"/>
            <w:hideMark/>
          </w:tcPr>
          <w:p w14:paraId="7DFE8BE7" w14:textId="77777777" w:rsidR="006E3F10" w:rsidRPr="00840514" w:rsidRDefault="006E3F10" w:rsidP="00840514">
            <w:pPr>
              <w:pStyle w:val="TableCopy"/>
              <w:rPr>
                <w:lang w:val="en-GB"/>
              </w:rPr>
            </w:pPr>
          </w:p>
        </w:tc>
        <w:tc>
          <w:tcPr>
            <w:tcW w:w="1535" w:type="dxa"/>
            <w:hideMark/>
          </w:tcPr>
          <w:p w14:paraId="294A230B" w14:textId="77777777" w:rsidR="006E3F10" w:rsidRPr="00840514" w:rsidRDefault="006E3F10" w:rsidP="00840514">
            <w:pPr>
              <w:pStyle w:val="TableCopy"/>
              <w:rPr>
                <w:b/>
                <w:lang w:val="en-GB"/>
              </w:rPr>
            </w:pPr>
            <w:r w:rsidRPr="00840514">
              <w:rPr>
                <w:b/>
                <w:lang w:val="en-GB"/>
              </w:rPr>
              <w:t>13,701,822</w:t>
            </w:r>
          </w:p>
        </w:tc>
        <w:tc>
          <w:tcPr>
            <w:tcW w:w="1536" w:type="dxa"/>
            <w:hideMark/>
          </w:tcPr>
          <w:p w14:paraId="1C2F15DF" w14:textId="77777777" w:rsidR="006E3F10" w:rsidRPr="00840514" w:rsidRDefault="006E3F10" w:rsidP="00840514">
            <w:pPr>
              <w:pStyle w:val="TableCopy"/>
              <w:rPr>
                <w:lang w:val="en-GB"/>
              </w:rPr>
            </w:pPr>
            <w:r w:rsidRPr="00840514">
              <w:rPr>
                <w:lang w:val="en-GB"/>
              </w:rPr>
              <w:t>11,244,487</w:t>
            </w:r>
          </w:p>
        </w:tc>
      </w:tr>
      <w:tr w:rsidR="00D67679" w:rsidRPr="006E3F10" w14:paraId="4280FF2F" w14:textId="77777777" w:rsidTr="00F1799D">
        <w:trPr>
          <w:cantSplit/>
        </w:trPr>
        <w:tc>
          <w:tcPr>
            <w:tcW w:w="10456" w:type="dxa"/>
            <w:gridSpan w:val="4"/>
            <w:hideMark/>
          </w:tcPr>
          <w:p w14:paraId="4D07E24A" w14:textId="77777777" w:rsidR="00D67679" w:rsidRPr="00840514" w:rsidRDefault="00D67679" w:rsidP="00840514">
            <w:pPr>
              <w:pStyle w:val="TableCopy"/>
              <w:rPr>
                <w:lang w:val="en-GB"/>
              </w:rPr>
            </w:pPr>
          </w:p>
        </w:tc>
      </w:tr>
      <w:tr w:rsidR="00D67679" w:rsidRPr="006E3F10" w14:paraId="67EC7EC1" w14:textId="77777777" w:rsidTr="00F1799D">
        <w:trPr>
          <w:cantSplit/>
        </w:trPr>
        <w:tc>
          <w:tcPr>
            <w:tcW w:w="10456" w:type="dxa"/>
            <w:gridSpan w:val="4"/>
            <w:hideMark/>
          </w:tcPr>
          <w:p w14:paraId="65DCEFE8" w14:textId="0E517E24" w:rsidR="00D67679" w:rsidRPr="00840514" w:rsidRDefault="00D67679" w:rsidP="00840514">
            <w:pPr>
              <w:pStyle w:val="TableHeading"/>
              <w:rPr>
                <w:lang w:val="en-GB"/>
              </w:rPr>
            </w:pPr>
            <w:r w:rsidRPr="00840514">
              <w:rPr>
                <w:lang w:val="en-GB"/>
              </w:rPr>
              <w:t>Payments</w:t>
            </w:r>
          </w:p>
        </w:tc>
      </w:tr>
      <w:tr w:rsidR="00D67679" w:rsidRPr="006E3F10" w14:paraId="5F5F6D91" w14:textId="77777777" w:rsidTr="00F1799D">
        <w:trPr>
          <w:cantSplit/>
        </w:trPr>
        <w:tc>
          <w:tcPr>
            <w:tcW w:w="5850" w:type="dxa"/>
            <w:hideMark/>
          </w:tcPr>
          <w:p w14:paraId="76C7AC65" w14:textId="77777777" w:rsidR="006E3F10" w:rsidRPr="00840514" w:rsidRDefault="006E3F10" w:rsidP="00840514">
            <w:pPr>
              <w:pStyle w:val="TableCopy"/>
              <w:rPr>
                <w:lang w:val="en-GB"/>
              </w:rPr>
            </w:pPr>
            <w:r w:rsidRPr="00840514">
              <w:rPr>
                <w:lang w:val="en-GB"/>
              </w:rPr>
              <w:t>Payments to suppliers and employees</w:t>
            </w:r>
          </w:p>
        </w:tc>
        <w:tc>
          <w:tcPr>
            <w:tcW w:w="1535" w:type="dxa"/>
            <w:hideMark/>
          </w:tcPr>
          <w:p w14:paraId="652D8950" w14:textId="77777777" w:rsidR="006E3F10" w:rsidRPr="00840514" w:rsidRDefault="006E3F10" w:rsidP="00840514">
            <w:pPr>
              <w:pStyle w:val="TableCopy"/>
              <w:rPr>
                <w:lang w:val="en-GB"/>
              </w:rPr>
            </w:pPr>
          </w:p>
        </w:tc>
        <w:tc>
          <w:tcPr>
            <w:tcW w:w="1535" w:type="dxa"/>
            <w:hideMark/>
          </w:tcPr>
          <w:p w14:paraId="1EF9AE30" w14:textId="77777777" w:rsidR="006E3F10" w:rsidRPr="00840514" w:rsidRDefault="006E3F10" w:rsidP="00840514">
            <w:pPr>
              <w:pStyle w:val="TableCopy"/>
              <w:rPr>
                <w:b/>
                <w:lang w:val="en-GB"/>
              </w:rPr>
            </w:pPr>
            <w:r w:rsidRPr="00840514">
              <w:rPr>
                <w:b/>
                <w:lang w:val="en-GB"/>
              </w:rPr>
              <w:t>-13,606,915</w:t>
            </w:r>
          </w:p>
        </w:tc>
        <w:tc>
          <w:tcPr>
            <w:tcW w:w="1536" w:type="dxa"/>
            <w:hideMark/>
          </w:tcPr>
          <w:p w14:paraId="6B9C1F08" w14:textId="77777777" w:rsidR="006E3F10" w:rsidRPr="00840514" w:rsidRDefault="006E3F10" w:rsidP="00840514">
            <w:pPr>
              <w:pStyle w:val="TableCopy"/>
              <w:rPr>
                <w:lang w:val="en-GB"/>
              </w:rPr>
            </w:pPr>
            <w:r w:rsidRPr="00840514">
              <w:rPr>
                <w:lang w:val="en-GB"/>
              </w:rPr>
              <w:t>-11,160,933</w:t>
            </w:r>
          </w:p>
        </w:tc>
      </w:tr>
      <w:tr w:rsidR="00D67679" w:rsidRPr="006E3F10" w14:paraId="6F97E8F5" w14:textId="77777777" w:rsidTr="00F1799D">
        <w:trPr>
          <w:cantSplit/>
        </w:trPr>
        <w:tc>
          <w:tcPr>
            <w:tcW w:w="5850" w:type="dxa"/>
            <w:hideMark/>
          </w:tcPr>
          <w:p w14:paraId="6AFB30A9" w14:textId="77777777" w:rsidR="006E3F10" w:rsidRPr="00840514" w:rsidRDefault="006E3F10" w:rsidP="00840514">
            <w:pPr>
              <w:pStyle w:val="TableCopy"/>
              <w:rPr>
                <w:lang w:val="en-GB"/>
              </w:rPr>
            </w:pPr>
            <w:r w:rsidRPr="00840514">
              <w:rPr>
                <w:lang w:val="en-GB"/>
              </w:rPr>
              <w:t>Capital asset charge paid</w:t>
            </w:r>
          </w:p>
        </w:tc>
        <w:tc>
          <w:tcPr>
            <w:tcW w:w="1535" w:type="dxa"/>
            <w:hideMark/>
          </w:tcPr>
          <w:p w14:paraId="4186AD32" w14:textId="77777777" w:rsidR="006E3F10" w:rsidRPr="00840514" w:rsidRDefault="006E3F10" w:rsidP="00840514">
            <w:pPr>
              <w:pStyle w:val="TableCopy"/>
              <w:rPr>
                <w:lang w:val="en-GB"/>
              </w:rPr>
            </w:pPr>
          </w:p>
        </w:tc>
        <w:tc>
          <w:tcPr>
            <w:tcW w:w="1535" w:type="dxa"/>
            <w:hideMark/>
          </w:tcPr>
          <w:p w14:paraId="66AF1CEC" w14:textId="77777777" w:rsidR="006E3F10" w:rsidRPr="00840514" w:rsidRDefault="006E3F10" w:rsidP="00840514">
            <w:pPr>
              <w:pStyle w:val="TableCopy"/>
              <w:rPr>
                <w:b/>
                <w:lang w:val="en-GB"/>
              </w:rPr>
            </w:pPr>
            <w:r w:rsidRPr="00840514">
              <w:rPr>
                <w:b/>
                <w:lang w:val="en-GB"/>
              </w:rPr>
              <w:t>-69,008</w:t>
            </w:r>
          </w:p>
        </w:tc>
        <w:tc>
          <w:tcPr>
            <w:tcW w:w="1536" w:type="dxa"/>
            <w:hideMark/>
          </w:tcPr>
          <w:p w14:paraId="66F567B1" w14:textId="77777777" w:rsidR="006E3F10" w:rsidRPr="00840514" w:rsidRDefault="006E3F10" w:rsidP="00840514">
            <w:pPr>
              <w:pStyle w:val="TableCopy"/>
              <w:rPr>
                <w:lang w:val="en-GB"/>
              </w:rPr>
            </w:pPr>
            <w:r w:rsidRPr="00840514">
              <w:rPr>
                <w:lang w:val="en-GB"/>
              </w:rPr>
              <w:t>-67,000</w:t>
            </w:r>
          </w:p>
        </w:tc>
      </w:tr>
      <w:tr w:rsidR="00D67679" w:rsidRPr="006E3F10" w14:paraId="6B857A18" w14:textId="77777777" w:rsidTr="00F1799D">
        <w:trPr>
          <w:cantSplit/>
        </w:trPr>
        <w:tc>
          <w:tcPr>
            <w:tcW w:w="5850" w:type="dxa"/>
            <w:hideMark/>
          </w:tcPr>
          <w:p w14:paraId="31D10248" w14:textId="77777777" w:rsidR="006E3F10" w:rsidRPr="00840514" w:rsidRDefault="006E3F10" w:rsidP="00840514">
            <w:pPr>
              <w:pStyle w:val="TableCopy"/>
              <w:rPr>
                <w:lang w:val="en-GB"/>
              </w:rPr>
            </w:pPr>
            <w:r w:rsidRPr="00840514">
              <w:rPr>
                <w:lang w:val="en-GB"/>
              </w:rPr>
              <w:t>Interest paid and other costs of finance paid</w:t>
            </w:r>
          </w:p>
        </w:tc>
        <w:tc>
          <w:tcPr>
            <w:tcW w:w="1535" w:type="dxa"/>
            <w:hideMark/>
          </w:tcPr>
          <w:p w14:paraId="3A5140A0" w14:textId="77777777" w:rsidR="006E3F10" w:rsidRPr="00840514" w:rsidRDefault="006E3F10" w:rsidP="00840514">
            <w:pPr>
              <w:pStyle w:val="TableCopy"/>
              <w:rPr>
                <w:lang w:val="en-GB"/>
              </w:rPr>
            </w:pPr>
          </w:p>
        </w:tc>
        <w:tc>
          <w:tcPr>
            <w:tcW w:w="1535" w:type="dxa"/>
            <w:hideMark/>
          </w:tcPr>
          <w:p w14:paraId="5A290401" w14:textId="77777777" w:rsidR="006E3F10" w:rsidRPr="00840514" w:rsidRDefault="006E3F10" w:rsidP="00840514">
            <w:pPr>
              <w:pStyle w:val="TableCopy"/>
              <w:rPr>
                <w:b/>
                <w:lang w:val="en-GB"/>
              </w:rPr>
            </w:pPr>
            <w:r w:rsidRPr="00840514">
              <w:rPr>
                <w:b/>
                <w:lang w:val="en-GB"/>
              </w:rPr>
              <w:t>-3,963</w:t>
            </w:r>
          </w:p>
        </w:tc>
        <w:tc>
          <w:tcPr>
            <w:tcW w:w="1536" w:type="dxa"/>
            <w:hideMark/>
          </w:tcPr>
          <w:p w14:paraId="728B77F2" w14:textId="77777777" w:rsidR="006E3F10" w:rsidRPr="00840514" w:rsidRDefault="006E3F10" w:rsidP="00840514">
            <w:pPr>
              <w:pStyle w:val="TableCopy"/>
              <w:rPr>
                <w:lang w:val="en-GB"/>
              </w:rPr>
            </w:pPr>
            <w:r w:rsidRPr="00840514">
              <w:rPr>
                <w:lang w:val="en-GB"/>
              </w:rPr>
              <w:t>-1,635</w:t>
            </w:r>
          </w:p>
        </w:tc>
      </w:tr>
      <w:tr w:rsidR="00D67679" w:rsidRPr="006E3F10" w14:paraId="747FE323" w14:textId="77777777" w:rsidTr="00F1799D">
        <w:trPr>
          <w:cantSplit/>
        </w:trPr>
        <w:tc>
          <w:tcPr>
            <w:tcW w:w="5850" w:type="dxa"/>
            <w:hideMark/>
          </w:tcPr>
          <w:p w14:paraId="7AA9DC3B" w14:textId="77777777" w:rsidR="006E3F10" w:rsidRPr="00840514" w:rsidRDefault="006E3F10" w:rsidP="00840514">
            <w:pPr>
              <w:pStyle w:val="TableCopy"/>
              <w:rPr>
                <w:b/>
                <w:lang w:val="en-GB"/>
              </w:rPr>
            </w:pPr>
            <w:r w:rsidRPr="00840514">
              <w:rPr>
                <w:b/>
                <w:lang w:val="en-GB"/>
              </w:rPr>
              <w:t>Total payments</w:t>
            </w:r>
          </w:p>
        </w:tc>
        <w:tc>
          <w:tcPr>
            <w:tcW w:w="1535" w:type="dxa"/>
            <w:hideMark/>
          </w:tcPr>
          <w:p w14:paraId="6172CAD4" w14:textId="77777777" w:rsidR="006E3F10" w:rsidRPr="00840514" w:rsidRDefault="006E3F10" w:rsidP="00840514">
            <w:pPr>
              <w:pStyle w:val="TableCopy"/>
              <w:rPr>
                <w:lang w:val="en-GB"/>
              </w:rPr>
            </w:pPr>
          </w:p>
        </w:tc>
        <w:tc>
          <w:tcPr>
            <w:tcW w:w="1535" w:type="dxa"/>
            <w:hideMark/>
          </w:tcPr>
          <w:p w14:paraId="0BDC098D" w14:textId="77777777" w:rsidR="006E3F10" w:rsidRPr="00840514" w:rsidRDefault="006E3F10" w:rsidP="00840514">
            <w:pPr>
              <w:pStyle w:val="TableCopy"/>
              <w:rPr>
                <w:b/>
                <w:lang w:val="en-GB"/>
              </w:rPr>
            </w:pPr>
            <w:r w:rsidRPr="00840514">
              <w:rPr>
                <w:b/>
                <w:lang w:val="en-GB"/>
              </w:rPr>
              <w:t>-13,679,886</w:t>
            </w:r>
          </w:p>
        </w:tc>
        <w:tc>
          <w:tcPr>
            <w:tcW w:w="1536" w:type="dxa"/>
            <w:hideMark/>
          </w:tcPr>
          <w:p w14:paraId="1367143B" w14:textId="77777777" w:rsidR="006E3F10" w:rsidRPr="00840514" w:rsidRDefault="006E3F10" w:rsidP="00840514">
            <w:pPr>
              <w:pStyle w:val="TableCopy"/>
              <w:rPr>
                <w:lang w:val="en-GB"/>
              </w:rPr>
            </w:pPr>
            <w:r w:rsidRPr="00840514">
              <w:rPr>
                <w:lang w:val="en-GB"/>
              </w:rPr>
              <w:t>-11,229,568</w:t>
            </w:r>
          </w:p>
        </w:tc>
      </w:tr>
      <w:tr w:rsidR="00D67679" w:rsidRPr="006E3F10" w14:paraId="3ADA2F74" w14:textId="77777777" w:rsidTr="00F1799D">
        <w:trPr>
          <w:cantSplit/>
        </w:trPr>
        <w:tc>
          <w:tcPr>
            <w:tcW w:w="5850" w:type="dxa"/>
            <w:hideMark/>
          </w:tcPr>
          <w:p w14:paraId="6939AF65" w14:textId="77777777" w:rsidR="006E3F10" w:rsidRPr="00840514" w:rsidRDefault="006E3F10" w:rsidP="00840514">
            <w:pPr>
              <w:pStyle w:val="TableCopy"/>
              <w:rPr>
                <w:b/>
                <w:lang w:val="en-GB"/>
              </w:rPr>
            </w:pPr>
            <w:r w:rsidRPr="00840514">
              <w:rPr>
                <w:b/>
                <w:bCs/>
                <w:lang w:val="en-GB"/>
              </w:rPr>
              <w:t>Net cash flows from operating activities</w:t>
            </w:r>
          </w:p>
        </w:tc>
        <w:tc>
          <w:tcPr>
            <w:tcW w:w="1535" w:type="dxa"/>
            <w:hideMark/>
          </w:tcPr>
          <w:p w14:paraId="650AB54B" w14:textId="77777777" w:rsidR="006E3F10" w:rsidRPr="00840514" w:rsidRDefault="006E3F10" w:rsidP="00840514">
            <w:pPr>
              <w:pStyle w:val="TableCopy"/>
              <w:rPr>
                <w:lang w:val="en-GB"/>
              </w:rPr>
            </w:pPr>
            <w:r w:rsidRPr="00840514">
              <w:rPr>
                <w:lang w:val="en-GB"/>
              </w:rPr>
              <w:t>6.2</w:t>
            </w:r>
          </w:p>
        </w:tc>
        <w:tc>
          <w:tcPr>
            <w:tcW w:w="1535" w:type="dxa"/>
            <w:hideMark/>
          </w:tcPr>
          <w:p w14:paraId="66D9E4E5" w14:textId="77777777" w:rsidR="006E3F10" w:rsidRPr="00840514" w:rsidRDefault="006E3F10" w:rsidP="00840514">
            <w:pPr>
              <w:pStyle w:val="TableCopy"/>
              <w:rPr>
                <w:b/>
                <w:lang w:val="en-GB"/>
              </w:rPr>
            </w:pPr>
            <w:r w:rsidRPr="00840514">
              <w:rPr>
                <w:b/>
                <w:lang w:val="en-GB"/>
              </w:rPr>
              <w:t>21,936</w:t>
            </w:r>
          </w:p>
        </w:tc>
        <w:tc>
          <w:tcPr>
            <w:tcW w:w="1536" w:type="dxa"/>
            <w:hideMark/>
          </w:tcPr>
          <w:p w14:paraId="502F1F8C" w14:textId="77777777" w:rsidR="006E3F10" w:rsidRPr="00840514" w:rsidRDefault="006E3F10" w:rsidP="00840514">
            <w:pPr>
              <w:pStyle w:val="TableCopy"/>
              <w:rPr>
                <w:lang w:val="en-GB"/>
              </w:rPr>
            </w:pPr>
            <w:r w:rsidRPr="00840514">
              <w:rPr>
                <w:lang w:val="en-GB"/>
              </w:rPr>
              <w:t>14,919</w:t>
            </w:r>
          </w:p>
        </w:tc>
      </w:tr>
      <w:tr w:rsidR="00D67679" w:rsidRPr="006E3F10" w14:paraId="37F63310" w14:textId="77777777" w:rsidTr="00F1799D">
        <w:trPr>
          <w:cantSplit/>
        </w:trPr>
        <w:tc>
          <w:tcPr>
            <w:tcW w:w="10456" w:type="dxa"/>
            <w:gridSpan w:val="4"/>
            <w:hideMark/>
          </w:tcPr>
          <w:p w14:paraId="38F55CCF" w14:textId="77777777" w:rsidR="00D67679" w:rsidRPr="00840514" w:rsidRDefault="00D67679" w:rsidP="00840514">
            <w:pPr>
              <w:pStyle w:val="TableCopy"/>
              <w:rPr>
                <w:lang w:val="en-GB"/>
              </w:rPr>
            </w:pPr>
          </w:p>
        </w:tc>
      </w:tr>
      <w:tr w:rsidR="00840514" w:rsidRPr="006E3F10" w14:paraId="04BC6CF7" w14:textId="77777777" w:rsidTr="00D3696B">
        <w:trPr>
          <w:cantSplit/>
        </w:trPr>
        <w:tc>
          <w:tcPr>
            <w:tcW w:w="10456" w:type="dxa"/>
            <w:gridSpan w:val="4"/>
            <w:hideMark/>
          </w:tcPr>
          <w:p w14:paraId="75CE41BA" w14:textId="6872CF9F" w:rsidR="00840514" w:rsidRPr="00840514" w:rsidRDefault="00840514" w:rsidP="00840514">
            <w:pPr>
              <w:pStyle w:val="TableHeading"/>
              <w:rPr>
                <w:lang w:val="en-GB"/>
              </w:rPr>
            </w:pPr>
            <w:r w:rsidRPr="00840514">
              <w:rPr>
                <w:lang w:val="en-GB"/>
              </w:rPr>
              <w:t>Cash flows from investing activities</w:t>
            </w:r>
          </w:p>
        </w:tc>
      </w:tr>
      <w:tr w:rsidR="00D67679" w:rsidRPr="006E3F10" w14:paraId="13C7BB0E" w14:textId="77777777" w:rsidTr="00F1799D">
        <w:trPr>
          <w:cantSplit/>
        </w:trPr>
        <w:tc>
          <w:tcPr>
            <w:tcW w:w="5850" w:type="dxa"/>
            <w:hideMark/>
          </w:tcPr>
          <w:p w14:paraId="4BAD04E4" w14:textId="77777777" w:rsidR="006E3F10" w:rsidRPr="00840514" w:rsidRDefault="006E3F10" w:rsidP="00840514">
            <w:pPr>
              <w:pStyle w:val="TableCopy"/>
              <w:rPr>
                <w:lang w:val="en-GB"/>
              </w:rPr>
            </w:pPr>
            <w:r w:rsidRPr="00840514">
              <w:rPr>
                <w:lang w:val="en-GB"/>
              </w:rPr>
              <w:t>Proceeds from the sale of property, plant and equipment</w:t>
            </w:r>
          </w:p>
        </w:tc>
        <w:tc>
          <w:tcPr>
            <w:tcW w:w="1535" w:type="dxa"/>
            <w:hideMark/>
          </w:tcPr>
          <w:p w14:paraId="47A16B68" w14:textId="77777777" w:rsidR="006E3F10" w:rsidRPr="00840514" w:rsidRDefault="006E3F10" w:rsidP="00840514">
            <w:pPr>
              <w:pStyle w:val="TableCopy"/>
              <w:rPr>
                <w:lang w:val="en-GB"/>
              </w:rPr>
            </w:pPr>
          </w:p>
        </w:tc>
        <w:tc>
          <w:tcPr>
            <w:tcW w:w="1535" w:type="dxa"/>
            <w:hideMark/>
          </w:tcPr>
          <w:p w14:paraId="16A240B0" w14:textId="77777777" w:rsidR="006E3F10" w:rsidRPr="00840514" w:rsidRDefault="006E3F10" w:rsidP="00840514">
            <w:pPr>
              <w:pStyle w:val="TableCopy"/>
              <w:rPr>
                <w:b/>
                <w:lang w:val="en-GB"/>
              </w:rPr>
            </w:pPr>
            <w:r w:rsidRPr="00840514">
              <w:rPr>
                <w:b/>
                <w:lang w:val="en-GB"/>
              </w:rPr>
              <w:t>-</w:t>
            </w:r>
          </w:p>
        </w:tc>
        <w:tc>
          <w:tcPr>
            <w:tcW w:w="1536" w:type="dxa"/>
            <w:hideMark/>
          </w:tcPr>
          <w:p w14:paraId="6998537C" w14:textId="77777777" w:rsidR="006E3F10" w:rsidRPr="00840514" w:rsidRDefault="006E3F10" w:rsidP="00840514">
            <w:pPr>
              <w:pStyle w:val="TableCopy"/>
              <w:rPr>
                <w:lang w:val="en-GB"/>
              </w:rPr>
            </w:pPr>
            <w:r w:rsidRPr="00840514">
              <w:rPr>
                <w:lang w:val="en-GB"/>
              </w:rPr>
              <w:t>10,818</w:t>
            </w:r>
          </w:p>
        </w:tc>
      </w:tr>
      <w:tr w:rsidR="00D67679" w:rsidRPr="006E3F10" w14:paraId="76E677A4" w14:textId="77777777" w:rsidTr="00F1799D">
        <w:trPr>
          <w:cantSplit/>
        </w:trPr>
        <w:tc>
          <w:tcPr>
            <w:tcW w:w="5850" w:type="dxa"/>
            <w:hideMark/>
          </w:tcPr>
          <w:p w14:paraId="705FB6FD" w14:textId="77777777" w:rsidR="006E3F10" w:rsidRPr="00840514" w:rsidRDefault="006E3F10" w:rsidP="00840514">
            <w:pPr>
              <w:pStyle w:val="TableCopy"/>
              <w:rPr>
                <w:b/>
                <w:lang w:val="en-GB"/>
              </w:rPr>
            </w:pPr>
            <w:r w:rsidRPr="00840514">
              <w:rPr>
                <w:b/>
                <w:bCs/>
                <w:lang w:val="en-GB"/>
              </w:rPr>
              <w:t>Net cash flows from investing activities</w:t>
            </w:r>
          </w:p>
        </w:tc>
        <w:tc>
          <w:tcPr>
            <w:tcW w:w="1535" w:type="dxa"/>
            <w:hideMark/>
          </w:tcPr>
          <w:p w14:paraId="22FBFCE0" w14:textId="77777777" w:rsidR="006E3F10" w:rsidRPr="00840514" w:rsidRDefault="006E3F10" w:rsidP="00840514">
            <w:pPr>
              <w:pStyle w:val="TableCopy"/>
              <w:rPr>
                <w:lang w:val="en-GB"/>
              </w:rPr>
            </w:pPr>
          </w:p>
        </w:tc>
        <w:tc>
          <w:tcPr>
            <w:tcW w:w="1535" w:type="dxa"/>
            <w:hideMark/>
          </w:tcPr>
          <w:p w14:paraId="3820E5AE" w14:textId="77777777" w:rsidR="006E3F10" w:rsidRPr="00840514" w:rsidRDefault="006E3F10" w:rsidP="00840514">
            <w:pPr>
              <w:pStyle w:val="TableCopy"/>
              <w:rPr>
                <w:b/>
                <w:lang w:val="en-GB"/>
              </w:rPr>
            </w:pPr>
            <w:r w:rsidRPr="00840514">
              <w:rPr>
                <w:b/>
                <w:lang w:val="en-GB"/>
              </w:rPr>
              <w:t>-</w:t>
            </w:r>
          </w:p>
        </w:tc>
        <w:tc>
          <w:tcPr>
            <w:tcW w:w="1536" w:type="dxa"/>
            <w:hideMark/>
          </w:tcPr>
          <w:p w14:paraId="611828EA" w14:textId="77777777" w:rsidR="006E3F10" w:rsidRPr="00840514" w:rsidRDefault="006E3F10" w:rsidP="00840514">
            <w:pPr>
              <w:pStyle w:val="TableCopy"/>
              <w:rPr>
                <w:lang w:val="en-GB"/>
              </w:rPr>
            </w:pPr>
            <w:r w:rsidRPr="00840514">
              <w:rPr>
                <w:lang w:val="en-GB"/>
              </w:rPr>
              <w:t>10,818</w:t>
            </w:r>
          </w:p>
        </w:tc>
      </w:tr>
      <w:tr w:rsidR="00D67679" w:rsidRPr="006E3F10" w14:paraId="7925769C" w14:textId="77777777" w:rsidTr="00F1799D">
        <w:trPr>
          <w:cantSplit/>
        </w:trPr>
        <w:tc>
          <w:tcPr>
            <w:tcW w:w="10456" w:type="dxa"/>
            <w:gridSpan w:val="4"/>
            <w:hideMark/>
          </w:tcPr>
          <w:p w14:paraId="0F102343" w14:textId="77777777" w:rsidR="00D67679" w:rsidRPr="00840514" w:rsidRDefault="00D67679" w:rsidP="00840514">
            <w:pPr>
              <w:pStyle w:val="TableCopy"/>
              <w:rPr>
                <w:lang w:val="en-GB"/>
              </w:rPr>
            </w:pPr>
          </w:p>
        </w:tc>
      </w:tr>
      <w:tr w:rsidR="00840514" w:rsidRPr="006E3F10" w14:paraId="4E0F7CA7" w14:textId="77777777" w:rsidTr="00D3696B">
        <w:trPr>
          <w:cantSplit/>
        </w:trPr>
        <w:tc>
          <w:tcPr>
            <w:tcW w:w="10456" w:type="dxa"/>
            <w:gridSpan w:val="4"/>
            <w:hideMark/>
          </w:tcPr>
          <w:p w14:paraId="3029C8F7" w14:textId="30FF04A2" w:rsidR="00840514" w:rsidRPr="00840514" w:rsidRDefault="00840514" w:rsidP="00840514">
            <w:pPr>
              <w:pStyle w:val="TableHeading"/>
              <w:rPr>
                <w:lang w:val="en-GB"/>
              </w:rPr>
            </w:pPr>
            <w:r w:rsidRPr="00840514">
              <w:rPr>
                <w:lang w:val="en-GB"/>
              </w:rPr>
              <w:t>Cash flows from financing activities</w:t>
            </w:r>
          </w:p>
        </w:tc>
      </w:tr>
      <w:tr w:rsidR="00D67679" w:rsidRPr="006E3F10" w14:paraId="3B84BB4E" w14:textId="77777777" w:rsidTr="00F1799D">
        <w:trPr>
          <w:cantSplit/>
        </w:trPr>
        <w:tc>
          <w:tcPr>
            <w:tcW w:w="5850" w:type="dxa"/>
            <w:hideMark/>
          </w:tcPr>
          <w:p w14:paraId="432DF31A" w14:textId="77777777" w:rsidR="006E3F10" w:rsidRPr="00840514" w:rsidRDefault="006E3F10" w:rsidP="00840514">
            <w:pPr>
              <w:pStyle w:val="TableCopy"/>
              <w:rPr>
                <w:lang w:val="en-GB"/>
              </w:rPr>
            </w:pPr>
            <w:r w:rsidRPr="00840514">
              <w:rPr>
                <w:lang w:val="en-GB"/>
              </w:rPr>
              <w:t>Repayment of finance leases</w:t>
            </w:r>
          </w:p>
        </w:tc>
        <w:tc>
          <w:tcPr>
            <w:tcW w:w="1535" w:type="dxa"/>
            <w:hideMark/>
          </w:tcPr>
          <w:p w14:paraId="54D3FD84" w14:textId="77777777" w:rsidR="006E3F10" w:rsidRPr="00840514" w:rsidRDefault="006E3F10" w:rsidP="00840514">
            <w:pPr>
              <w:pStyle w:val="TableCopy"/>
              <w:rPr>
                <w:lang w:val="en-GB"/>
              </w:rPr>
            </w:pPr>
          </w:p>
        </w:tc>
        <w:tc>
          <w:tcPr>
            <w:tcW w:w="1535" w:type="dxa"/>
            <w:hideMark/>
          </w:tcPr>
          <w:p w14:paraId="63B19F52" w14:textId="77777777" w:rsidR="006E3F10" w:rsidRPr="00840514" w:rsidRDefault="006E3F10" w:rsidP="00840514">
            <w:pPr>
              <w:pStyle w:val="TableCopy"/>
              <w:rPr>
                <w:b/>
                <w:lang w:val="en-GB"/>
              </w:rPr>
            </w:pPr>
            <w:r w:rsidRPr="00840514">
              <w:rPr>
                <w:b/>
                <w:lang w:val="en-GB"/>
              </w:rPr>
              <w:t>-21,936</w:t>
            </w:r>
          </w:p>
        </w:tc>
        <w:tc>
          <w:tcPr>
            <w:tcW w:w="1536" w:type="dxa"/>
            <w:hideMark/>
          </w:tcPr>
          <w:p w14:paraId="3039FBFC" w14:textId="77777777" w:rsidR="006E3F10" w:rsidRPr="00840514" w:rsidRDefault="006E3F10" w:rsidP="00840514">
            <w:pPr>
              <w:pStyle w:val="TableCopy"/>
              <w:rPr>
                <w:lang w:val="en-GB"/>
              </w:rPr>
            </w:pPr>
            <w:r w:rsidRPr="00840514">
              <w:rPr>
                <w:lang w:val="en-GB"/>
              </w:rPr>
              <w:t>-25,737</w:t>
            </w:r>
          </w:p>
        </w:tc>
      </w:tr>
      <w:tr w:rsidR="00D67679" w:rsidRPr="006E3F10" w14:paraId="7EE2B3E0" w14:textId="77777777" w:rsidTr="00F1799D">
        <w:trPr>
          <w:cantSplit/>
        </w:trPr>
        <w:tc>
          <w:tcPr>
            <w:tcW w:w="5850" w:type="dxa"/>
            <w:hideMark/>
          </w:tcPr>
          <w:p w14:paraId="6E12611F" w14:textId="77777777" w:rsidR="006E3F10" w:rsidRPr="00840514" w:rsidRDefault="006E3F10" w:rsidP="00840514">
            <w:pPr>
              <w:pStyle w:val="TableCopy"/>
              <w:rPr>
                <w:b/>
                <w:lang w:val="en-GB"/>
              </w:rPr>
            </w:pPr>
            <w:r w:rsidRPr="00840514">
              <w:rPr>
                <w:b/>
                <w:bCs/>
                <w:lang w:val="en-GB"/>
              </w:rPr>
              <w:t>Net cash flows used in financing activities</w:t>
            </w:r>
          </w:p>
        </w:tc>
        <w:tc>
          <w:tcPr>
            <w:tcW w:w="1535" w:type="dxa"/>
            <w:hideMark/>
          </w:tcPr>
          <w:p w14:paraId="5224CE88" w14:textId="77777777" w:rsidR="006E3F10" w:rsidRPr="00840514" w:rsidRDefault="006E3F10" w:rsidP="00840514">
            <w:pPr>
              <w:pStyle w:val="TableCopy"/>
              <w:rPr>
                <w:lang w:val="en-GB"/>
              </w:rPr>
            </w:pPr>
          </w:p>
        </w:tc>
        <w:tc>
          <w:tcPr>
            <w:tcW w:w="1535" w:type="dxa"/>
            <w:hideMark/>
          </w:tcPr>
          <w:p w14:paraId="69142360" w14:textId="77777777" w:rsidR="006E3F10" w:rsidRPr="00840514" w:rsidRDefault="006E3F10" w:rsidP="00840514">
            <w:pPr>
              <w:pStyle w:val="TableCopy"/>
              <w:rPr>
                <w:b/>
                <w:lang w:val="en-GB"/>
              </w:rPr>
            </w:pPr>
            <w:r w:rsidRPr="00840514">
              <w:rPr>
                <w:b/>
                <w:lang w:val="en-GB"/>
              </w:rPr>
              <w:t>-21,936</w:t>
            </w:r>
          </w:p>
        </w:tc>
        <w:tc>
          <w:tcPr>
            <w:tcW w:w="1536" w:type="dxa"/>
            <w:hideMark/>
          </w:tcPr>
          <w:p w14:paraId="449E1043" w14:textId="77777777" w:rsidR="006E3F10" w:rsidRPr="00840514" w:rsidRDefault="006E3F10" w:rsidP="00840514">
            <w:pPr>
              <w:pStyle w:val="TableCopy"/>
              <w:rPr>
                <w:lang w:val="en-GB"/>
              </w:rPr>
            </w:pPr>
            <w:r w:rsidRPr="00840514">
              <w:rPr>
                <w:lang w:val="en-GB"/>
              </w:rPr>
              <w:t>-25,737</w:t>
            </w:r>
          </w:p>
        </w:tc>
      </w:tr>
      <w:tr w:rsidR="00D67679" w:rsidRPr="006E3F10" w14:paraId="5BD7E01C" w14:textId="77777777" w:rsidTr="00F1799D">
        <w:trPr>
          <w:cantSplit/>
        </w:trPr>
        <w:tc>
          <w:tcPr>
            <w:tcW w:w="10456" w:type="dxa"/>
            <w:gridSpan w:val="4"/>
            <w:hideMark/>
          </w:tcPr>
          <w:p w14:paraId="1CB160B6" w14:textId="77777777" w:rsidR="00D67679" w:rsidRPr="00840514" w:rsidRDefault="00D67679" w:rsidP="00840514">
            <w:pPr>
              <w:pStyle w:val="TableCopy"/>
              <w:rPr>
                <w:lang w:val="en-GB"/>
              </w:rPr>
            </w:pPr>
          </w:p>
        </w:tc>
      </w:tr>
      <w:tr w:rsidR="00D67679" w:rsidRPr="006E3F10" w14:paraId="000CC397" w14:textId="77777777" w:rsidTr="00F1799D">
        <w:trPr>
          <w:cantSplit/>
        </w:trPr>
        <w:tc>
          <w:tcPr>
            <w:tcW w:w="5850" w:type="dxa"/>
            <w:hideMark/>
          </w:tcPr>
          <w:p w14:paraId="03BD82A5" w14:textId="77777777" w:rsidR="006E3F10" w:rsidRPr="00840514" w:rsidRDefault="006E3F10" w:rsidP="00840514">
            <w:pPr>
              <w:pStyle w:val="TableCopy"/>
              <w:rPr>
                <w:b/>
                <w:lang w:val="en-GB"/>
              </w:rPr>
            </w:pPr>
            <w:r w:rsidRPr="00840514">
              <w:rPr>
                <w:b/>
                <w:lang w:val="en-GB"/>
              </w:rPr>
              <w:t>Net increase in cash held</w:t>
            </w:r>
          </w:p>
        </w:tc>
        <w:tc>
          <w:tcPr>
            <w:tcW w:w="1535" w:type="dxa"/>
            <w:hideMark/>
          </w:tcPr>
          <w:p w14:paraId="184999B5" w14:textId="77777777" w:rsidR="006E3F10" w:rsidRPr="00840514" w:rsidRDefault="006E3F10" w:rsidP="00840514">
            <w:pPr>
              <w:pStyle w:val="TableCopy"/>
              <w:rPr>
                <w:lang w:val="en-GB"/>
              </w:rPr>
            </w:pPr>
          </w:p>
        </w:tc>
        <w:tc>
          <w:tcPr>
            <w:tcW w:w="1535" w:type="dxa"/>
            <w:hideMark/>
          </w:tcPr>
          <w:p w14:paraId="5A9A7D35" w14:textId="77777777" w:rsidR="006E3F10" w:rsidRPr="00840514" w:rsidRDefault="006E3F10" w:rsidP="00840514">
            <w:pPr>
              <w:pStyle w:val="TableCopy"/>
              <w:rPr>
                <w:b/>
                <w:lang w:val="en-GB"/>
              </w:rPr>
            </w:pPr>
            <w:r w:rsidRPr="00840514">
              <w:rPr>
                <w:b/>
                <w:lang w:val="en-GB"/>
              </w:rPr>
              <w:t>-</w:t>
            </w:r>
          </w:p>
        </w:tc>
        <w:tc>
          <w:tcPr>
            <w:tcW w:w="1536" w:type="dxa"/>
            <w:hideMark/>
          </w:tcPr>
          <w:p w14:paraId="73C24CE4" w14:textId="77777777" w:rsidR="006E3F10" w:rsidRPr="00840514" w:rsidRDefault="006E3F10" w:rsidP="00840514">
            <w:pPr>
              <w:pStyle w:val="TableCopy"/>
              <w:rPr>
                <w:lang w:val="en-GB"/>
              </w:rPr>
            </w:pPr>
            <w:r w:rsidRPr="00840514">
              <w:rPr>
                <w:lang w:val="en-GB"/>
              </w:rPr>
              <w:t>-</w:t>
            </w:r>
          </w:p>
        </w:tc>
      </w:tr>
      <w:tr w:rsidR="00D67679" w:rsidRPr="006E3F10" w14:paraId="20AB13B1" w14:textId="77777777" w:rsidTr="00F1799D">
        <w:trPr>
          <w:cantSplit/>
        </w:trPr>
        <w:tc>
          <w:tcPr>
            <w:tcW w:w="10456" w:type="dxa"/>
            <w:gridSpan w:val="4"/>
            <w:hideMark/>
          </w:tcPr>
          <w:p w14:paraId="484881DF" w14:textId="77777777" w:rsidR="00D67679" w:rsidRPr="00840514" w:rsidRDefault="00D67679" w:rsidP="00840514">
            <w:pPr>
              <w:pStyle w:val="TableCopy"/>
              <w:rPr>
                <w:lang w:val="en-GB"/>
              </w:rPr>
            </w:pPr>
          </w:p>
        </w:tc>
      </w:tr>
      <w:tr w:rsidR="00D67679" w:rsidRPr="006E3F10" w14:paraId="3155DE61" w14:textId="77777777" w:rsidTr="00F1799D">
        <w:trPr>
          <w:cantSplit/>
        </w:trPr>
        <w:tc>
          <w:tcPr>
            <w:tcW w:w="5850" w:type="dxa"/>
            <w:hideMark/>
          </w:tcPr>
          <w:p w14:paraId="5E1F324F" w14:textId="77777777" w:rsidR="006E3F10" w:rsidRPr="00840514" w:rsidRDefault="006E3F10" w:rsidP="00840514">
            <w:pPr>
              <w:pStyle w:val="TableCopy"/>
              <w:rPr>
                <w:lang w:val="en-GB"/>
              </w:rPr>
            </w:pPr>
            <w:r w:rsidRPr="00840514">
              <w:rPr>
                <w:lang w:val="en-GB"/>
              </w:rPr>
              <w:t>Cash at the start of the year</w:t>
            </w:r>
          </w:p>
        </w:tc>
        <w:tc>
          <w:tcPr>
            <w:tcW w:w="1535" w:type="dxa"/>
            <w:hideMark/>
          </w:tcPr>
          <w:p w14:paraId="6DD9E5B3" w14:textId="77777777" w:rsidR="006E3F10" w:rsidRPr="00840514" w:rsidRDefault="006E3F10" w:rsidP="00840514">
            <w:pPr>
              <w:pStyle w:val="TableCopy"/>
              <w:rPr>
                <w:lang w:val="en-GB"/>
              </w:rPr>
            </w:pPr>
          </w:p>
        </w:tc>
        <w:tc>
          <w:tcPr>
            <w:tcW w:w="1535" w:type="dxa"/>
            <w:hideMark/>
          </w:tcPr>
          <w:p w14:paraId="5B4DFE89" w14:textId="77777777" w:rsidR="006E3F10" w:rsidRPr="00840514" w:rsidRDefault="006E3F10" w:rsidP="00840514">
            <w:pPr>
              <w:pStyle w:val="TableCopy"/>
              <w:rPr>
                <w:b/>
                <w:lang w:val="en-GB"/>
              </w:rPr>
            </w:pPr>
            <w:r w:rsidRPr="00840514">
              <w:rPr>
                <w:b/>
                <w:lang w:val="en-GB"/>
              </w:rPr>
              <w:t>600</w:t>
            </w:r>
          </w:p>
        </w:tc>
        <w:tc>
          <w:tcPr>
            <w:tcW w:w="1536" w:type="dxa"/>
            <w:hideMark/>
          </w:tcPr>
          <w:p w14:paraId="5A2AA702" w14:textId="77777777" w:rsidR="006E3F10" w:rsidRPr="00840514" w:rsidRDefault="006E3F10" w:rsidP="00840514">
            <w:pPr>
              <w:pStyle w:val="TableCopy"/>
              <w:rPr>
                <w:lang w:val="en-GB"/>
              </w:rPr>
            </w:pPr>
            <w:r w:rsidRPr="00840514">
              <w:rPr>
                <w:lang w:val="en-GB"/>
              </w:rPr>
              <w:t>600</w:t>
            </w:r>
          </w:p>
        </w:tc>
      </w:tr>
      <w:tr w:rsidR="00D67679" w:rsidRPr="006E3F10" w14:paraId="2D92253F" w14:textId="77777777" w:rsidTr="00F1799D">
        <w:trPr>
          <w:cantSplit/>
        </w:trPr>
        <w:tc>
          <w:tcPr>
            <w:tcW w:w="5850" w:type="dxa"/>
            <w:hideMark/>
          </w:tcPr>
          <w:p w14:paraId="4641033C" w14:textId="77777777" w:rsidR="006E3F10" w:rsidRPr="00840514" w:rsidRDefault="006E3F10" w:rsidP="00840514">
            <w:pPr>
              <w:pStyle w:val="TableCopy"/>
              <w:rPr>
                <w:b/>
                <w:lang w:val="en-GB"/>
              </w:rPr>
            </w:pPr>
            <w:r w:rsidRPr="00840514">
              <w:rPr>
                <w:b/>
                <w:bCs/>
                <w:lang w:val="en-GB"/>
              </w:rPr>
              <w:t>Cash at the end of the year</w:t>
            </w:r>
          </w:p>
        </w:tc>
        <w:tc>
          <w:tcPr>
            <w:tcW w:w="1535" w:type="dxa"/>
            <w:hideMark/>
          </w:tcPr>
          <w:p w14:paraId="4725E006" w14:textId="77777777" w:rsidR="006E3F10" w:rsidRPr="00840514" w:rsidRDefault="006E3F10" w:rsidP="00840514">
            <w:pPr>
              <w:pStyle w:val="TableCopy"/>
              <w:rPr>
                <w:lang w:val="en-GB"/>
              </w:rPr>
            </w:pPr>
          </w:p>
        </w:tc>
        <w:tc>
          <w:tcPr>
            <w:tcW w:w="1535" w:type="dxa"/>
            <w:hideMark/>
          </w:tcPr>
          <w:p w14:paraId="13102E1C" w14:textId="77777777" w:rsidR="006E3F10" w:rsidRPr="00840514" w:rsidRDefault="006E3F10" w:rsidP="00840514">
            <w:pPr>
              <w:pStyle w:val="TableCopy"/>
              <w:rPr>
                <w:b/>
                <w:lang w:val="en-GB"/>
              </w:rPr>
            </w:pPr>
            <w:r w:rsidRPr="00840514">
              <w:rPr>
                <w:b/>
                <w:lang w:val="en-GB"/>
              </w:rPr>
              <w:t>600</w:t>
            </w:r>
          </w:p>
        </w:tc>
        <w:tc>
          <w:tcPr>
            <w:tcW w:w="1536" w:type="dxa"/>
            <w:hideMark/>
          </w:tcPr>
          <w:p w14:paraId="6EC5992C" w14:textId="77777777" w:rsidR="006E3F10" w:rsidRPr="00840514" w:rsidRDefault="006E3F10" w:rsidP="00840514">
            <w:pPr>
              <w:pStyle w:val="TableCopy"/>
              <w:rPr>
                <w:lang w:val="en-GB"/>
              </w:rPr>
            </w:pPr>
            <w:r w:rsidRPr="00840514">
              <w:rPr>
                <w:lang w:val="en-GB"/>
              </w:rPr>
              <w:t>600</w:t>
            </w:r>
          </w:p>
        </w:tc>
      </w:tr>
    </w:tbl>
    <w:p w14:paraId="06A17F07" w14:textId="77777777" w:rsidR="006E3F10" w:rsidRPr="00D67679" w:rsidRDefault="006E3F10" w:rsidP="00D67679">
      <w:pPr>
        <w:rPr>
          <w:rStyle w:val="Emphasis"/>
        </w:rPr>
      </w:pPr>
      <w:r w:rsidRPr="00D67679">
        <w:rPr>
          <w:rStyle w:val="Emphasis"/>
        </w:rPr>
        <w:t>The accompanying notes form part of these financial statements.</w:t>
      </w:r>
    </w:p>
    <w:p w14:paraId="7C92D1EF" w14:textId="37692425" w:rsidR="006E3F10" w:rsidRPr="006E3F10" w:rsidRDefault="00D67679" w:rsidP="00D67679">
      <w:pPr>
        <w:pStyle w:val="Heading2"/>
        <w:rPr>
          <w:lang w:val="en-GB"/>
        </w:rPr>
      </w:pPr>
      <w:bookmarkStart w:id="75" w:name="_Toc494112003"/>
      <w:r>
        <w:rPr>
          <w:lang w:val="en-GB"/>
        </w:rPr>
        <w:t xml:space="preserve">Statement of changes in equity </w:t>
      </w:r>
      <w:r w:rsidR="006E3F10" w:rsidRPr="006E3F10">
        <w:rPr>
          <w:lang w:val="en-GB"/>
        </w:rPr>
        <w:t>for the financial year ended 30 June 2017</w:t>
      </w:r>
      <w:bookmarkEnd w:id="75"/>
    </w:p>
    <w:tbl>
      <w:tblPr>
        <w:tblStyle w:val="TableGrid"/>
        <w:tblW w:w="10485" w:type="dxa"/>
        <w:tblLook w:val="04A0" w:firstRow="1" w:lastRow="0" w:firstColumn="1" w:lastColumn="0" w:noHBand="0" w:noVBand="1"/>
      </w:tblPr>
      <w:tblGrid>
        <w:gridCol w:w="2621"/>
        <w:gridCol w:w="2621"/>
        <w:gridCol w:w="2621"/>
        <w:gridCol w:w="2622"/>
      </w:tblGrid>
      <w:tr w:rsidR="006E3F10" w:rsidRPr="006E3F10" w14:paraId="2DFAD672" w14:textId="77777777" w:rsidTr="00420469">
        <w:trPr>
          <w:cantSplit/>
          <w:tblHeader/>
        </w:trPr>
        <w:tc>
          <w:tcPr>
            <w:tcW w:w="2621" w:type="dxa"/>
            <w:hideMark/>
          </w:tcPr>
          <w:p w14:paraId="278CA5FA" w14:textId="77777777" w:rsidR="006E3F10" w:rsidRPr="00C63D51" w:rsidRDefault="006E3F10" w:rsidP="00C63D51">
            <w:pPr>
              <w:pStyle w:val="TableCopy"/>
              <w:rPr>
                <w:lang w:val="en-GB"/>
              </w:rPr>
            </w:pPr>
          </w:p>
        </w:tc>
        <w:tc>
          <w:tcPr>
            <w:tcW w:w="2621" w:type="dxa"/>
            <w:hideMark/>
          </w:tcPr>
          <w:p w14:paraId="59C82DE1" w14:textId="77777777" w:rsidR="006E3F10" w:rsidRPr="00C63D51" w:rsidRDefault="006E3F10" w:rsidP="00C63D51">
            <w:pPr>
              <w:pStyle w:val="TableHeading"/>
              <w:rPr>
                <w:lang w:val="en-GB"/>
              </w:rPr>
            </w:pPr>
            <w:r w:rsidRPr="00C63D51">
              <w:rPr>
                <w:lang w:val="en-GB"/>
              </w:rPr>
              <w:t>Contributions by owner</w:t>
            </w:r>
          </w:p>
        </w:tc>
        <w:tc>
          <w:tcPr>
            <w:tcW w:w="2621" w:type="dxa"/>
            <w:hideMark/>
          </w:tcPr>
          <w:p w14:paraId="6F94E435" w14:textId="77777777" w:rsidR="006E3F10" w:rsidRPr="00C63D51" w:rsidRDefault="006E3F10" w:rsidP="00C63D51">
            <w:pPr>
              <w:pStyle w:val="TableHeading"/>
              <w:rPr>
                <w:lang w:val="en-GB"/>
              </w:rPr>
            </w:pPr>
            <w:r w:rsidRPr="00C63D51">
              <w:rPr>
                <w:lang w:val="en-GB"/>
              </w:rPr>
              <w:t>Accumulated surplus</w:t>
            </w:r>
          </w:p>
        </w:tc>
        <w:tc>
          <w:tcPr>
            <w:tcW w:w="2622" w:type="dxa"/>
            <w:hideMark/>
          </w:tcPr>
          <w:p w14:paraId="3E03AC6E" w14:textId="77777777" w:rsidR="006E3F10" w:rsidRPr="00C63D51" w:rsidRDefault="006E3F10" w:rsidP="00C63D51">
            <w:pPr>
              <w:pStyle w:val="TableHeading"/>
              <w:rPr>
                <w:lang w:val="en-GB"/>
              </w:rPr>
            </w:pPr>
            <w:r w:rsidRPr="00C63D51">
              <w:rPr>
                <w:lang w:val="en-GB"/>
              </w:rPr>
              <w:t>Total</w:t>
            </w:r>
          </w:p>
        </w:tc>
      </w:tr>
      <w:tr w:rsidR="006E3F10" w:rsidRPr="006E3F10" w14:paraId="4FBCEFFD" w14:textId="77777777" w:rsidTr="00420469">
        <w:trPr>
          <w:cantSplit/>
          <w:tblHeader/>
        </w:trPr>
        <w:tc>
          <w:tcPr>
            <w:tcW w:w="2621" w:type="dxa"/>
            <w:hideMark/>
          </w:tcPr>
          <w:p w14:paraId="0B01AF21" w14:textId="77777777" w:rsidR="006E3F10" w:rsidRPr="00C63D51" w:rsidRDefault="006E3F10" w:rsidP="00C63D51">
            <w:pPr>
              <w:pStyle w:val="TableCopy"/>
              <w:rPr>
                <w:lang w:val="en-GB"/>
              </w:rPr>
            </w:pPr>
          </w:p>
        </w:tc>
        <w:tc>
          <w:tcPr>
            <w:tcW w:w="2621" w:type="dxa"/>
            <w:hideMark/>
          </w:tcPr>
          <w:p w14:paraId="5AA8450D" w14:textId="77777777" w:rsidR="006E3F10" w:rsidRPr="00C63D51" w:rsidRDefault="006E3F10" w:rsidP="00C63D51">
            <w:pPr>
              <w:pStyle w:val="TableHeading"/>
              <w:rPr>
                <w:lang w:val="en-GB"/>
              </w:rPr>
            </w:pPr>
            <w:r w:rsidRPr="00C63D51">
              <w:rPr>
                <w:lang w:val="en-GB"/>
              </w:rPr>
              <w:t>$</w:t>
            </w:r>
          </w:p>
        </w:tc>
        <w:tc>
          <w:tcPr>
            <w:tcW w:w="2621" w:type="dxa"/>
            <w:hideMark/>
          </w:tcPr>
          <w:p w14:paraId="046DE92E" w14:textId="77777777" w:rsidR="006E3F10" w:rsidRPr="00C63D51" w:rsidRDefault="006E3F10" w:rsidP="00C63D51">
            <w:pPr>
              <w:pStyle w:val="TableHeading"/>
              <w:rPr>
                <w:lang w:val="en-GB"/>
              </w:rPr>
            </w:pPr>
            <w:r w:rsidRPr="00C63D51">
              <w:rPr>
                <w:lang w:val="en-GB"/>
              </w:rPr>
              <w:t>$</w:t>
            </w:r>
          </w:p>
        </w:tc>
        <w:tc>
          <w:tcPr>
            <w:tcW w:w="2622" w:type="dxa"/>
            <w:hideMark/>
          </w:tcPr>
          <w:p w14:paraId="07973AF1" w14:textId="77777777" w:rsidR="006E3F10" w:rsidRPr="00C63D51" w:rsidRDefault="006E3F10" w:rsidP="00C63D51">
            <w:pPr>
              <w:pStyle w:val="TableHeading"/>
              <w:rPr>
                <w:lang w:val="en-GB"/>
              </w:rPr>
            </w:pPr>
            <w:r w:rsidRPr="00C63D51">
              <w:rPr>
                <w:lang w:val="en-GB"/>
              </w:rPr>
              <w:t>$</w:t>
            </w:r>
          </w:p>
        </w:tc>
      </w:tr>
      <w:tr w:rsidR="006E3F10" w:rsidRPr="006E3F10" w14:paraId="68D35D2B" w14:textId="77777777" w:rsidTr="00420469">
        <w:trPr>
          <w:cantSplit/>
        </w:trPr>
        <w:tc>
          <w:tcPr>
            <w:tcW w:w="2621" w:type="dxa"/>
            <w:hideMark/>
          </w:tcPr>
          <w:p w14:paraId="1E4F9ED8" w14:textId="77777777" w:rsidR="006E3F10" w:rsidRPr="00C63D51" w:rsidRDefault="006E3F10" w:rsidP="00C63D51">
            <w:pPr>
              <w:pStyle w:val="TableCopy"/>
              <w:rPr>
                <w:lang w:val="en-GB"/>
              </w:rPr>
            </w:pPr>
            <w:r w:rsidRPr="00C63D51">
              <w:rPr>
                <w:lang w:val="en-GB"/>
              </w:rPr>
              <w:t>Balance at 30 June 2015</w:t>
            </w:r>
          </w:p>
        </w:tc>
        <w:tc>
          <w:tcPr>
            <w:tcW w:w="2621" w:type="dxa"/>
            <w:hideMark/>
          </w:tcPr>
          <w:p w14:paraId="6F8D8774" w14:textId="77777777" w:rsidR="006E3F10" w:rsidRPr="00C63D51" w:rsidRDefault="006E3F10" w:rsidP="00C63D51">
            <w:pPr>
              <w:pStyle w:val="TableCopy"/>
              <w:rPr>
                <w:lang w:val="en-GB"/>
              </w:rPr>
            </w:pPr>
            <w:r w:rsidRPr="00C63D51">
              <w:rPr>
                <w:lang w:val="en-GB"/>
              </w:rPr>
              <w:t>3,481,626</w:t>
            </w:r>
          </w:p>
        </w:tc>
        <w:tc>
          <w:tcPr>
            <w:tcW w:w="2621" w:type="dxa"/>
            <w:hideMark/>
          </w:tcPr>
          <w:p w14:paraId="239255D1" w14:textId="77777777" w:rsidR="006E3F10" w:rsidRPr="00C63D51" w:rsidRDefault="006E3F10" w:rsidP="00C63D51">
            <w:pPr>
              <w:pStyle w:val="TableCopy"/>
              <w:rPr>
                <w:lang w:val="en-GB"/>
              </w:rPr>
            </w:pPr>
            <w:r w:rsidRPr="00C63D51">
              <w:rPr>
                <w:lang w:val="en-GB"/>
              </w:rPr>
              <w:t>-24,407</w:t>
            </w:r>
          </w:p>
        </w:tc>
        <w:tc>
          <w:tcPr>
            <w:tcW w:w="2622" w:type="dxa"/>
            <w:hideMark/>
          </w:tcPr>
          <w:p w14:paraId="3FF30353" w14:textId="77777777" w:rsidR="006E3F10" w:rsidRPr="00C63D51" w:rsidRDefault="006E3F10" w:rsidP="00C63D51">
            <w:pPr>
              <w:pStyle w:val="TableCopy"/>
              <w:rPr>
                <w:lang w:val="en-GB"/>
              </w:rPr>
            </w:pPr>
            <w:r w:rsidRPr="00C63D51">
              <w:rPr>
                <w:lang w:val="en-GB"/>
              </w:rPr>
              <w:t>3,457,219</w:t>
            </w:r>
          </w:p>
        </w:tc>
      </w:tr>
      <w:tr w:rsidR="006E3F10" w:rsidRPr="006E3F10" w14:paraId="228BF3ED" w14:textId="77777777" w:rsidTr="00420469">
        <w:trPr>
          <w:cantSplit/>
        </w:trPr>
        <w:tc>
          <w:tcPr>
            <w:tcW w:w="2621" w:type="dxa"/>
            <w:hideMark/>
          </w:tcPr>
          <w:p w14:paraId="0FAA288B" w14:textId="77777777" w:rsidR="006E3F10" w:rsidRPr="00C63D51" w:rsidRDefault="006E3F10" w:rsidP="00C63D51">
            <w:pPr>
              <w:pStyle w:val="TableCopy"/>
              <w:rPr>
                <w:lang w:val="en-GB"/>
              </w:rPr>
            </w:pPr>
            <w:r w:rsidRPr="00C63D51">
              <w:rPr>
                <w:lang w:val="en-GB"/>
              </w:rPr>
              <w:t>Net result for the year</w:t>
            </w:r>
          </w:p>
        </w:tc>
        <w:tc>
          <w:tcPr>
            <w:tcW w:w="2621" w:type="dxa"/>
            <w:hideMark/>
          </w:tcPr>
          <w:p w14:paraId="0DE221E2" w14:textId="77777777" w:rsidR="006E3F10" w:rsidRPr="00C63D51" w:rsidRDefault="006E3F10" w:rsidP="00C63D51">
            <w:pPr>
              <w:pStyle w:val="TableCopy"/>
              <w:rPr>
                <w:lang w:val="en-GB"/>
              </w:rPr>
            </w:pPr>
          </w:p>
        </w:tc>
        <w:tc>
          <w:tcPr>
            <w:tcW w:w="2621" w:type="dxa"/>
            <w:hideMark/>
          </w:tcPr>
          <w:p w14:paraId="373A9639" w14:textId="77777777" w:rsidR="006E3F10" w:rsidRPr="00C63D51" w:rsidRDefault="006E3F10" w:rsidP="00C63D51">
            <w:pPr>
              <w:pStyle w:val="TableCopy"/>
              <w:rPr>
                <w:lang w:val="en-GB"/>
              </w:rPr>
            </w:pPr>
            <w:r w:rsidRPr="00C63D51">
              <w:rPr>
                <w:lang w:val="en-GB"/>
              </w:rPr>
              <w:t>1,325,461</w:t>
            </w:r>
          </w:p>
        </w:tc>
        <w:tc>
          <w:tcPr>
            <w:tcW w:w="2622" w:type="dxa"/>
            <w:hideMark/>
          </w:tcPr>
          <w:p w14:paraId="5DA1C83F" w14:textId="77777777" w:rsidR="006E3F10" w:rsidRPr="00C63D51" w:rsidRDefault="006E3F10" w:rsidP="00C63D51">
            <w:pPr>
              <w:pStyle w:val="TableCopy"/>
              <w:rPr>
                <w:lang w:val="en-GB"/>
              </w:rPr>
            </w:pPr>
            <w:r w:rsidRPr="00C63D51">
              <w:rPr>
                <w:lang w:val="en-GB"/>
              </w:rPr>
              <w:t>1,325,461</w:t>
            </w:r>
          </w:p>
        </w:tc>
      </w:tr>
      <w:tr w:rsidR="006E3F10" w:rsidRPr="006E3F10" w14:paraId="4842DB98" w14:textId="77777777" w:rsidTr="00420469">
        <w:trPr>
          <w:cantSplit/>
        </w:trPr>
        <w:tc>
          <w:tcPr>
            <w:tcW w:w="2621" w:type="dxa"/>
            <w:hideMark/>
          </w:tcPr>
          <w:p w14:paraId="6E19992C" w14:textId="77777777" w:rsidR="006E3F10" w:rsidRPr="00C63D51" w:rsidRDefault="006E3F10" w:rsidP="00C63D51">
            <w:pPr>
              <w:pStyle w:val="TableCopy"/>
              <w:rPr>
                <w:b/>
                <w:lang w:val="en-GB"/>
              </w:rPr>
            </w:pPr>
            <w:r w:rsidRPr="00C63D51">
              <w:rPr>
                <w:b/>
                <w:lang w:val="en-GB"/>
              </w:rPr>
              <w:t>Balance at 30 June 2016 </w:t>
            </w:r>
          </w:p>
        </w:tc>
        <w:tc>
          <w:tcPr>
            <w:tcW w:w="2621" w:type="dxa"/>
            <w:hideMark/>
          </w:tcPr>
          <w:p w14:paraId="67161129" w14:textId="77777777" w:rsidR="006E3F10" w:rsidRPr="00C63D51" w:rsidRDefault="006E3F10" w:rsidP="00C63D51">
            <w:pPr>
              <w:pStyle w:val="TableCopy"/>
              <w:rPr>
                <w:b/>
                <w:lang w:val="en-GB"/>
              </w:rPr>
            </w:pPr>
            <w:r w:rsidRPr="00C63D51">
              <w:rPr>
                <w:b/>
                <w:lang w:val="en-GB"/>
              </w:rPr>
              <w:t>3,481,626</w:t>
            </w:r>
          </w:p>
        </w:tc>
        <w:tc>
          <w:tcPr>
            <w:tcW w:w="2621" w:type="dxa"/>
            <w:hideMark/>
          </w:tcPr>
          <w:p w14:paraId="549D4C8D" w14:textId="77777777" w:rsidR="006E3F10" w:rsidRPr="00C63D51" w:rsidRDefault="006E3F10" w:rsidP="00C63D51">
            <w:pPr>
              <w:pStyle w:val="TableCopy"/>
              <w:rPr>
                <w:b/>
                <w:lang w:val="en-GB"/>
              </w:rPr>
            </w:pPr>
            <w:r w:rsidRPr="00C63D51">
              <w:rPr>
                <w:b/>
                <w:lang w:val="en-GB"/>
              </w:rPr>
              <w:t>1,301,054</w:t>
            </w:r>
          </w:p>
        </w:tc>
        <w:tc>
          <w:tcPr>
            <w:tcW w:w="2622" w:type="dxa"/>
            <w:hideMark/>
          </w:tcPr>
          <w:p w14:paraId="318EA453" w14:textId="77777777" w:rsidR="006E3F10" w:rsidRPr="00C63D51" w:rsidRDefault="006E3F10" w:rsidP="00C63D51">
            <w:pPr>
              <w:pStyle w:val="TableCopy"/>
              <w:rPr>
                <w:b/>
                <w:lang w:val="en-GB"/>
              </w:rPr>
            </w:pPr>
            <w:r w:rsidRPr="00C63D51">
              <w:rPr>
                <w:b/>
                <w:lang w:val="en-GB"/>
              </w:rPr>
              <w:t>4,782,680</w:t>
            </w:r>
          </w:p>
        </w:tc>
      </w:tr>
      <w:tr w:rsidR="006E3F10" w:rsidRPr="006E3F10" w14:paraId="3225A439" w14:textId="77777777" w:rsidTr="00420469">
        <w:trPr>
          <w:cantSplit/>
        </w:trPr>
        <w:tc>
          <w:tcPr>
            <w:tcW w:w="2621" w:type="dxa"/>
            <w:hideMark/>
          </w:tcPr>
          <w:p w14:paraId="47EF2F15" w14:textId="77777777" w:rsidR="006E3F10" w:rsidRPr="00C63D51" w:rsidRDefault="006E3F10" w:rsidP="00C63D51">
            <w:pPr>
              <w:pStyle w:val="TableCopy"/>
              <w:rPr>
                <w:b/>
                <w:lang w:val="en-GB"/>
              </w:rPr>
            </w:pPr>
            <w:r w:rsidRPr="00C63D51">
              <w:rPr>
                <w:b/>
                <w:lang w:val="en-GB"/>
              </w:rPr>
              <w:t>Net result for the year</w:t>
            </w:r>
          </w:p>
        </w:tc>
        <w:tc>
          <w:tcPr>
            <w:tcW w:w="2621" w:type="dxa"/>
            <w:hideMark/>
          </w:tcPr>
          <w:p w14:paraId="3DEE22CE" w14:textId="77777777" w:rsidR="006E3F10" w:rsidRPr="00C63D51" w:rsidRDefault="006E3F10" w:rsidP="00C63D51">
            <w:pPr>
              <w:pStyle w:val="TableCopy"/>
              <w:rPr>
                <w:b/>
                <w:lang w:val="en-GB"/>
              </w:rPr>
            </w:pPr>
          </w:p>
        </w:tc>
        <w:tc>
          <w:tcPr>
            <w:tcW w:w="2621" w:type="dxa"/>
            <w:hideMark/>
          </w:tcPr>
          <w:p w14:paraId="73B9FB12" w14:textId="77777777" w:rsidR="006E3F10" w:rsidRPr="00C63D51" w:rsidRDefault="006E3F10" w:rsidP="00C63D51">
            <w:pPr>
              <w:pStyle w:val="TableCopy"/>
              <w:rPr>
                <w:b/>
                <w:lang w:val="en-GB"/>
              </w:rPr>
            </w:pPr>
            <w:r w:rsidRPr="00C63D51">
              <w:rPr>
                <w:b/>
                <w:lang w:val="en-GB"/>
              </w:rPr>
              <w:t>1,491,257</w:t>
            </w:r>
          </w:p>
        </w:tc>
        <w:tc>
          <w:tcPr>
            <w:tcW w:w="2622" w:type="dxa"/>
            <w:hideMark/>
          </w:tcPr>
          <w:p w14:paraId="40E1D142" w14:textId="77777777" w:rsidR="006E3F10" w:rsidRPr="00C63D51" w:rsidRDefault="006E3F10" w:rsidP="00C63D51">
            <w:pPr>
              <w:pStyle w:val="TableCopy"/>
              <w:rPr>
                <w:b/>
                <w:lang w:val="en-GB"/>
              </w:rPr>
            </w:pPr>
            <w:r w:rsidRPr="00C63D51">
              <w:rPr>
                <w:b/>
                <w:lang w:val="en-GB"/>
              </w:rPr>
              <w:t>1,491,257</w:t>
            </w:r>
          </w:p>
        </w:tc>
      </w:tr>
      <w:tr w:rsidR="009B29FE" w:rsidRPr="006E3F10" w14:paraId="3B9394BA" w14:textId="77777777" w:rsidTr="00420469">
        <w:trPr>
          <w:cantSplit/>
        </w:trPr>
        <w:tc>
          <w:tcPr>
            <w:tcW w:w="10485" w:type="dxa"/>
            <w:gridSpan w:val="4"/>
            <w:hideMark/>
          </w:tcPr>
          <w:p w14:paraId="4C24D1DB" w14:textId="77777777" w:rsidR="009B29FE" w:rsidRPr="00C63D51" w:rsidRDefault="009B29FE" w:rsidP="00C63D51">
            <w:pPr>
              <w:pStyle w:val="TableCopy"/>
              <w:rPr>
                <w:lang w:val="en-GB"/>
              </w:rPr>
            </w:pPr>
          </w:p>
        </w:tc>
      </w:tr>
      <w:tr w:rsidR="006E3F10" w:rsidRPr="006E3F10" w14:paraId="08AC2506" w14:textId="77777777" w:rsidTr="00420469">
        <w:trPr>
          <w:cantSplit/>
        </w:trPr>
        <w:tc>
          <w:tcPr>
            <w:tcW w:w="2621" w:type="dxa"/>
            <w:hideMark/>
          </w:tcPr>
          <w:p w14:paraId="27BD7911" w14:textId="77777777" w:rsidR="006E3F10" w:rsidRPr="00C63D51" w:rsidRDefault="006E3F10" w:rsidP="00C63D51">
            <w:pPr>
              <w:pStyle w:val="TableCopy"/>
              <w:rPr>
                <w:b/>
                <w:lang w:val="en-GB"/>
              </w:rPr>
            </w:pPr>
            <w:r w:rsidRPr="00C63D51">
              <w:rPr>
                <w:b/>
                <w:bCs/>
                <w:lang w:val="en-GB"/>
              </w:rPr>
              <w:t>Balance at 30 June 2017 </w:t>
            </w:r>
          </w:p>
        </w:tc>
        <w:tc>
          <w:tcPr>
            <w:tcW w:w="2621" w:type="dxa"/>
            <w:hideMark/>
          </w:tcPr>
          <w:p w14:paraId="2ADA3E52" w14:textId="77777777" w:rsidR="006E3F10" w:rsidRPr="00C63D51" w:rsidRDefault="006E3F10" w:rsidP="00C63D51">
            <w:pPr>
              <w:pStyle w:val="TableCopy"/>
              <w:rPr>
                <w:b/>
                <w:lang w:val="en-GB"/>
              </w:rPr>
            </w:pPr>
            <w:r w:rsidRPr="00C63D51">
              <w:rPr>
                <w:b/>
                <w:lang w:val="en-GB"/>
              </w:rPr>
              <w:t>3,481,626</w:t>
            </w:r>
          </w:p>
        </w:tc>
        <w:tc>
          <w:tcPr>
            <w:tcW w:w="2621" w:type="dxa"/>
            <w:hideMark/>
          </w:tcPr>
          <w:p w14:paraId="11958BA9" w14:textId="77777777" w:rsidR="006E3F10" w:rsidRPr="00C63D51" w:rsidRDefault="006E3F10" w:rsidP="00C63D51">
            <w:pPr>
              <w:pStyle w:val="TableCopy"/>
              <w:rPr>
                <w:b/>
                <w:lang w:val="en-GB"/>
              </w:rPr>
            </w:pPr>
            <w:r w:rsidRPr="00C63D51">
              <w:rPr>
                <w:b/>
                <w:lang w:val="en-GB"/>
              </w:rPr>
              <w:t>2,792,311</w:t>
            </w:r>
          </w:p>
        </w:tc>
        <w:tc>
          <w:tcPr>
            <w:tcW w:w="2622" w:type="dxa"/>
            <w:hideMark/>
          </w:tcPr>
          <w:p w14:paraId="311B8AE4" w14:textId="77777777" w:rsidR="006E3F10" w:rsidRPr="00C63D51" w:rsidRDefault="006E3F10" w:rsidP="00C63D51">
            <w:pPr>
              <w:pStyle w:val="TableCopy"/>
              <w:rPr>
                <w:b/>
                <w:lang w:val="en-GB"/>
              </w:rPr>
            </w:pPr>
            <w:r w:rsidRPr="00C63D51">
              <w:rPr>
                <w:b/>
                <w:lang w:val="en-GB"/>
              </w:rPr>
              <w:t>6,273,937</w:t>
            </w:r>
          </w:p>
        </w:tc>
      </w:tr>
    </w:tbl>
    <w:p w14:paraId="3329481D" w14:textId="26DEF42C" w:rsidR="00643AC2" w:rsidRPr="00643AC2" w:rsidRDefault="00DE2D68" w:rsidP="00DE2D68">
      <w:pPr>
        <w:pStyle w:val="Heading2"/>
        <w:rPr>
          <w:lang w:val="en-GB"/>
        </w:rPr>
      </w:pPr>
      <w:bookmarkStart w:id="76" w:name="_Toc494112004"/>
      <w:r>
        <w:rPr>
          <w:lang w:val="en-GB"/>
        </w:rPr>
        <w:t>1.</w:t>
      </w:r>
      <w:r>
        <w:rPr>
          <w:lang w:val="en-GB"/>
        </w:rPr>
        <w:tab/>
      </w:r>
      <w:r w:rsidR="00C87715">
        <w:rPr>
          <w:lang w:val="en-GB"/>
        </w:rPr>
        <w:t>A</w:t>
      </w:r>
      <w:r w:rsidR="00643AC2" w:rsidRPr="00643AC2">
        <w:rPr>
          <w:lang w:val="en-GB"/>
        </w:rPr>
        <w:t>bout this report</w:t>
      </w:r>
      <w:bookmarkEnd w:id="76"/>
    </w:p>
    <w:p w14:paraId="51C05428" w14:textId="3E150136" w:rsidR="00643AC2" w:rsidRPr="00643AC2" w:rsidRDefault="00643AC2" w:rsidP="00643AC2">
      <w:pPr>
        <w:rPr>
          <w:lang w:val="en-GB"/>
        </w:rPr>
      </w:pPr>
      <w:r w:rsidRPr="00643AC2">
        <w:rPr>
          <w:lang w:val="en-GB"/>
        </w:rPr>
        <w:t>The Victorian Public Sector Commission (the Commission) was estab</w:t>
      </w:r>
      <w:r w:rsidR="00C87715">
        <w:rPr>
          <w:lang w:val="en-GB"/>
        </w:rPr>
        <w:t xml:space="preserve">lished on 1 April 2014 through </w:t>
      </w:r>
      <w:r w:rsidRPr="00643AC2">
        <w:rPr>
          <w:lang w:val="en-GB"/>
        </w:rPr>
        <w:t xml:space="preserve">an amendment to the </w:t>
      </w:r>
      <w:r w:rsidRPr="00643AC2">
        <w:rPr>
          <w:i/>
          <w:iCs/>
          <w:lang w:val="en-GB"/>
        </w:rPr>
        <w:t>Public Administration Act 2004</w:t>
      </w:r>
      <w:r w:rsidRPr="00643AC2">
        <w:rPr>
          <w:lang w:val="en-GB"/>
        </w:rPr>
        <w:t xml:space="preserve"> (the Act) a</w:t>
      </w:r>
      <w:r w:rsidR="00C87715">
        <w:rPr>
          <w:lang w:val="en-GB"/>
        </w:rPr>
        <w:t xml:space="preserve">nd replaced the State Services </w:t>
      </w:r>
      <w:r w:rsidRPr="00643AC2">
        <w:rPr>
          <w:lang w:val="en-GB"/>
        </w:rPr>
        <w:t>Authority which was abolished pursuant to clause 3 of Schedule 3 of the Act.</w:t>
      </w:r>
    </w:p>
    <w:p w14:paraId="5A695148" w14:textId="0A5F0B56" w:rsidR="00643AC2" w:rsidRPr="00643AC2" w:rsidRDefault="00643AC2" w:rsidP="00643AC2">
      <w:pPr>
        <w:rPr>
          <w:lang w:val="en-GB"/>
        </w:rPr>
      </w:pPr>
      <w:r w:rsidRPr="00643AC2">
        <w:rPr>
          <w:lang w:val="en-GB"/>
        </w:rPr>
        <w:t>A description of the nature of the Commission’s operations and its pr</w:t>
      </w:r>
      <w:r w:rsidR="00C87715">
        <w:rPr>
          <w:lang w:val="en-GB"/>
        </w:rPr>
        <w:t xml:space="preserve">incipal activities is included </w:t>
      </w:r>
      <w:r w:rsidRPr="00643AC2">
        <w:rPr>
          <w:lang w:val="en-GB"/>
        </w:rPr>
        <w:t>in the “Report of operations” which does not form part of these financial statements. </w:t>
      </w:r>
    </w:p>
    <w:p w14:paraId="15600D54" w14:textId="77777777" w:rsidR="00643AC2" w:rsidRPr="00643AC2" w:rsidRDefault="00643AC2" w:rsidP="00643AC2">
      <w:pPr>
        <w:rPr>
          <w:lang w:val="en-GB"/>
        </w:rPr>
      </w:pPr>
      <w:r w:rsidRPr="00643AC2">
        <w:rPr>
          <w:lang w:val="en-GB"/>
        </w:rPr>
        <w:t>The Commission’s principal address is:</w:t>
      </w:r>
    </w:p>
    <w:p w14:paraId="20EBFEA6" w14:textId="77777777" w:rsidR="00643AC2" w:rsidRPr="00C87715" w:rsidRDefault="00643AC2" w:rsidP="00643AC2">
      <w:pPr>
        <w:rPr>
          <w:b/>
          <w:lang w:val="en-GB"/>
        </w:rPr>
      </w:pPr>
      <w:r w:rsidRPr="00C87715">
        <w:rPr>
          <w:b/>
          <w:lang w:val="en-GB"/>
        </w:rPr>
        <w:t xml:space="preserve">3 Treasury Place </w:t>
      </w:r>
      <w:r w:rsidRPr="00C87715">
        <w:rPr>
          <w:b/>
          <w:lang w:val="en-GB"/>
        </w:rPr>
        <w:br/>
        <w:t xml:space="preserve">Melbourne </w:t>
      </w:r>
      <w:r w:rsidRPr="00C87715">
        <w:rPr>
          <w:b/>
          <w:lang w:val="en-GB"/>
        </w:rPr>
        <w:br/>
        <w:t xml:space="preserve">Victoria </w:t>
      </w:r>
      <w:r w:rsidRPr="00C87715">
        <w:rPr>
          <w:b/>
          <w:lang w:val="en-GB"/>
        </w:rPr>
        <w:br/>
        <w:t>3002</w:t>
      </w:r>
    </w:p>
    <w:p w14:paraId="1894E373" w14:textId="77777777" w:rsidR="00643AC2" w:rsidRPr="00643AC2" w:rsidRDefault="00643AC2" w:rsidP="00C87715">
      <w:pPr>
        <w:pStyle w:val="Heading3"/>
        <w:rPr>
          <w:lang w:val="en-GB"/>
        </w:rPr>
      </w:pPr>
      <w:bookmarkStart w:id="77" w:name="_Toc494112005"/>
      <w:r w:rsidRPr="00643AC2">
        <w:rPr>
          <w:lang w:val="en-GB"/>
        </w:rPr>
        <w:t>Basis of preparation</w:t>
      </w:r>
      <w:bookmarkEnd w:id="77"/>
    </w:p>
    <w:p w14:paraId="22E66EA6" w14:textId="659760B5" w:rsidR="00643AC2" w:rsidRPr="00643AC2" w:rsidRDefault="00643AC2" w:rsidP="00643AC2">
      <w:pPr>
        <w:rPr>
          <w:lang w:val="en-GB"/>
        </w:rPr>
      </w:pPr>
      <w:r w:rsidRPr="00643AC2">
        <w:rPr>
          <w:lang w:val="en-GB"/>
        </w:rPr>
        <w:t xml:space="preserve">These financial statements are in Australian dollars and the historical </w:t>
      </w:r>
      <w:r w:rsidR="00C87715">
        <w:rPr>
          <w:lang w:val="en-GB"/>
        </w:rPr>
        <w:t xml:space="preserve">cost convention is used unless </w:t>
      </w:r>
      <w:r w:rsidRPr="00643AC2">
        <w:rPr>
          <w:lang w:val="en-GB"/>
        </w:rPr>
        <w:t>a different measurement basis is specifically disclosed in the note ass</w:t>
      </w:r>
      <w:r w:rsidR="00C87715">
        <w:rPr>
          <w:lang w:val="en-GB"/>
        </w:rPr>
        <w:t xml:space="preserve">ociated with the item measured </w:t>
      </w:r>
      <w:r w:rsidRPr="00643AC2">
        <w:rPr>
          <w:lang w:val="en-GB"/>
        </w:rPr>
        <w:t>on a different basis.</w:t>
      </w:r>
    </w:p>
    <w:p w14:paraId="7D2F8ECC" w14:textId="77777777" w:rsidR="00643AC2" w:rsidRPr="00643AC2" w:rsidRDefault="00643AC2" w:rsidP="00643AC2">
      <w:pPr>
        <w:rPr>
          <w:lang w:val="en-GB"/>
        </w:rPr>
      </w:pPr>
      <w:r w:rsidRPr="00643AC2">
        <w:rPr>
          <w:lang w:val="en-GB"/>
        </w:rPr>
        <w:t>The accrual basis of accounting has been applied in the preparation of these financial statements whereby assets, liabilities, equity, income and expenses are recognised in the reporting period to which they relate, regardless of when cash is received or paid.</w:t>
      </w:r>
    </w:p>
    <w:p w14:paraId="248626AA" w14:textId="008BE5C9" w:rsidR="00643AC2" w:rsidRPr="00643AC2" w:rsidRDefault="00643AC2" w:rsidP="00643AC2">
      <w:pPr>
        <w:rPr>
          <w:lang w:val="en-GB"/>
        </w:rPr>
      </w:pPr>
      <w:r w:rsidRPr="00643AC2">
        <w:rPr>
          <w:lang w:val="en-GB"/>
        </w:rPr>
        <w:t>Judgements, estimates and assumptions are required to be made about</w:t>
      </w:r>
      <w:r w:rsidR="00C87715">
        <w:rPr>
          <w:lang w:val="en-GB"/>
        </w:rPr>
        <w:t xml:space="preserve"> the carrying values of assets </w:t>
      </w:r>
      <w:r w:rsidRPr="00643AC2">
        <w:rPr>
          <w:lang w:val="en-GB"/>
        </w:rPr>
        <w:t xml:space="preserve">and liabilities that are not readily apparent from other sources. The estimates and associated assumptions are based on professional judgements derived from historical experience </w:t>
      </w:r>
      <w:r w:rsidR="00C87715">
        <w:rPr>
          <w:lang w:val="en-GB"/>
        </w:rPr>
        <w:t xml:space="preserve">and various other factors that </w:t>
      </w:r>
      <w:r w:rsidRPr="00643AC2">
        <w:rPr>
          <w:lang w:val="en-GB"/>
        </w:rPr>
        <w:t>are believed to be reasonable under the circumstances. Actual results may differ from these estimates. </w:t>
      </w:r>
    </w:p>
    <w:p w14:paraId="498619A7" w14:textId="65F5AE7B" w:rsidR="00643AC2" w:rsidRPr="00643AC2" w:rsidRDefault="00643AC2" w:rsidP="00643AC2">
      <w:pPr>
        <w:rPr>
          <w:lang w:val="en-GB"/>
        </w:rPr>
      </w:pPr>
      <w:r w:rsidRPr="00643AC2">
        <w:rPr>
          <w:lang w:val="en-GB"/>
        </w:rPr>
        <w:t>Revisions to accounting estimates are recognised in the period in which th</w:t>
      </w:r>
      <w:r w:rsidR="00C87715">
        <w:rPr>
          <w:lang w:val="en-GB"/>
        </w:rPr>
        <w:t xml:space="preserve">e estimate is revised and also </w:t>
      </w:r>
      <w:r w:rsidRPr="00643AC2">
        <w:rPr>
          <w:lang w:val="en-GB"/>
        </w:rPr>
        <w:t>in future periods that are affected by the revision. </w:t>
      </w:r>
    </w:p>
    <w:p w14:paraId="389309F7" w14:textId="5D9364EA" w:rsidR="00643AC2" w:rsidRPr="00643AC2" w:rsidRDefault="00643AC2" w:rsidP="00643AC2">
      <w:pPr>
        <w:rPr>
          <w:lang w:val="en-GB"/>
        </w:rPr>
      </w:pPr>
      <w:r w:rsidRPr="00643AC2">
        <w:rPr>
          <w:lang w:val="en-GB"/>
        </w:rPr>
        <w:t>These financial statements cover the Commission as an individua</w:t>
      </w:r>
      <w:r w:rsidR="00C87715">
        <w:rPr>
          <w:lang w:val="en-GB"/>
        </w:rPr>
        <w:t xml:space="preserve">l reporting entity and include </w:t>
      </w:r>
      <w:r w:rsidRPr="00643AC2">
        <w:rPr>
          <w:lang w:val="en-GB"/>
        </w:rPr>
        <w:t>all the controlled activities of the Commission.</w:t>
      </w:r>
    </w:p>
    <w:p w14:paraId="7BF20A97" w14:textId="77777777" w:rsidR="00643AC2" w:rsidRPr="00643AC2" w:rsidRDefault="00643AC2" w:rsidP="00DE2D68">
      <w:pPr>
        <w:pStyle w:val="Heading3"/>
        <w:rPr>
          <w:lang w:val="en-GB"/>
        </w:rPr>
      </w:pPr>
      <w:bookmarkStart w:id="78" w:name="_Toc494112006"/>
      <w:r w:rsidRPr="00643AC2">
        <w:rPr>
          <w:lang w:val="en-GB"/>
        </w:rPr>
        <w:t>Compliance</w:t>
      </w:r>
      <w:bookmarkEnd w:id="78"/>
    </w:p>
    <w:p w14:paraId="0F8D3619" w14:textId="013775F8" w:rsidR="00643AC2" w:rsidRPr="00643AC2" w:rsidRDefault="00643AC2" w:rsidP="00643AC2">
      <w:pPr>
        <w:rPr>
          <w:lang w:val="en-GB"/>
        </w:rPr>
      </w:pPr>
      <w:r w:rsidRPr="00643AC2">
        <w:rPr>
          <w:lang w:val="en-GB"/>
        </w:rPr>
        <w:t xml:space="preserve">These general purpose financial statements have been prepared in accordance with the </w:t>
      </w:r>
      <w:r w:rsidRPr="00643AC2">
        <w:rPr>
          <w:i/>
          <w:iCs/>
          <w:lang w:val="en-GB"/>
        </w:rPr>
        <w:t>Financial Management Act 1994</w:t>
      </w:r>
      <w:r w:rsidRPr="00643AC2">
        <w:rPr>
          <w:lang w:val="en-GB"/>
        </w:rPr>
        <w:t xml:space="preserve"> and applicable Australian Accounting Standards (AASs) including Interpretations, issued by the Australian Accounting Standards Board (AASB). In particular, they are presented in a manner consistent with the requirements of AASB 1049 </w:t>
      </w:r>
      <w:r w:rsidRPr="00643AC2">
        <w:rPr>
          <w:i/>
          <w:iCs/>
          <w:lang w:val="en-GB"/>
        </w:rPr>
        <w:t>Whole of Government and General Government Sector Financial Reporting</w:t>
      </w:r>
      <w:r w:rsidRPr="00643AC2">
        <w:rPr>
          <w:lang w:val="en-GB"/>
        </w:rPr>
        <w:t xml:space="preserve">. Where relevant, those paragraphs of the AASs applicable </w:t>
      </w:r>
      <w:r w:rsidR="00C87715">
        <w:rPr>
          <w:lang w:val="en-GB"/>
        </w:rPr>
        <w:t xml:space="preserve">to not-for-profit entities </w:t>
      </w:r>
      <w:r w:rsidRPr="00643AC2">
        <w:rPr>
          <w:lang w:val="en-GB"/>
        </w:rPr>
        <w:t>have been applied.</w:t>
      </w:r>
    </w:p>
    <w:p w14:paraId="37611EA5" w14:textId="043B7F5C" w:rsidR="00643AC2" w:rsidRPr="00643AC2" w:rsidRDefault="00643AC2" w:rsidP="00643AC2">
      <w:pPr>
        <w:rPr>
          <w:lang w:val="en-GB"/>
        </w:rPr>
      </w:pPr>
      <w:r w:rsidRPr="00643AC2">
        <w:rPr>
          <w:lang w:val="en-GB"/>
        </w:rPr>
        <w:t>Accounting policies are selected and applied in a manner which ensures that the resulting financial information satisfies the concepts of relevance and reliability, there</w:t>
      </w:r>
      <w:r w:rsidR="00DE2D68">
        <w:rPr>
          <w:lang w:val="en-GB"/>
        </w:rPr>
        <w:t xml:space="preserve">by ensuring that the substance </w:t>
      </w:r>
      <w:r w:rsidRPr="00643AC2">
        <w:rPr>
          <w:lang w:val="en-GB"/>
        </w:rPr>
        <w:t>of the underlying transactions or other events is reported. </w:t>
      </w:r>
    </w:p>
    <w:p w14:paraId="23E1774F" w14:textId="77777777" w:rsidR="00643AC2" w:rsidRPr="00643AC2" w:rsidRDefault="00643AC2" w:rsidP="00643AC2">
      <w:pPr>
        <w:rPr>
          <w:lang w:val="en-GB"/>
        </w:rPr>
      </w:pPr>
    </w:p>
    <w:p w14:paraId="1BAAE399" w14:textId="7991A0F2" w:rsidR="00643AC2" w:rsidRPr="00643AC2" w:rsidRDefault="00643AC2" w:rsidP="00DE2D68">
      <w:pPr>
        <w:pStyle w:val="Heading2"/>
        <w:rPr>
          <w:lang w:val="en-GB"/>
        </w:rPr>
      </w:pPr>
      <w:bookmarkStart w:id="79" w:name="_Toc494112007"/>
      <w:r w:rsidRPr="00643AC2">
        <w:rPr>
          <w:lang w:val="en-GB"/>
        </w:rPr>
        <w:t>2.</w:t>
      </w:r>
      <w:r w:rsidRPr="00643AC2">
        <w:rPr>
          <w:lang w:val="en-GB"/>
        </w:rPr>
        <w:t> </w:t>
      </w:r>
      <w:r w:rsidR="00DE2D68">
        <w:rPr>
          <w:lang w:val="en-GB"/>
        </w:rPr>
        <w:t>F</w:t>
      </w:r>
      <w:r w:rsidRPr="00643AC2">
        <w:rPr>
          <w:lang w:val="en-GB"/>
        </w:rPr>
        <w:t>unding delivery of our services</w:t>
      </w:r>
      <w:bookmarkEnd w:id="79"/>
    </w:p>
    <w:p w14:paraId="05EA2C84" w14:textId="77777777" w:rsidR="00643AC2" w:rsidRPr="00643AC2" w:rsidRDefault="00643AC2" w:rsidP="007F7797">
      <w:pPr>
        <w:pStyle w:val="Heading3"/>
        <w:rPr>
          <w:lang w:val="en-GB"/>
        </w:rPr>
      </w:pPr>
      <w:bookmarkStart w:id="80" w:name="_Toc494112008"/>
      <w:r w:rsidRPr="00643AC2">
        <w:rPr>
          <w:lang w:val="en-GB"/>
        </w:rPr>
        <w:t>Introduction</w:t>
      </w:r>
      <w:bookmarkEnd w:id="80"/>
    </w:p>
    <w:p w14:paraId="03BA85D2" w14:textId="77777777" w:rsidR="00643AC2" w:rsidRPr="00643AC2" w:rsidRDefault="00643AC2" w:rsidP="00643AC2">
      <w:pPr>
        <w:rPr>
          <w:lang w:val="en-GB"/>
        </w:rPr>
      </w:pPr>
      <w:r w:rsidRPr="00643AC2">
        <w:rPr>
          <w:lang w:val="en-GB"/>
        </w:rPr>
        <w:t>The Commission’s objectives is to:</w:t>
      </w:r>
    </w:p>
    <w:p w14:paraId="25AC6FCE" w14:textId="5E12E56C" w:rsidR="00643AC2" w:rsidRPr="00643AC2" w:rsidRDefault="00643AC2" w:rsidP="007F7797">
      <w:pPr>
        <w:pStyle w:val="Bullet"/>
        <w:rPr>
          <w:lang w:val="en-GB"/>
        </w:rPr>
      </w:pPr>
      <w:r w:rsidRPr="00643AC2">
        <w:rPr>
          <w:lang w:val="en-GB"/>
        </w:rPr>
        <w:t>strengthen the efficiency, effectiveness and capability of the public se</w:t>
      </w:r>
      <w:r w:rsidR="007F7797">
        <w:rPr>
          <w:lang w:val="en-GB"/>
        </w:rPr>
        <w:t xml:space="preserve">ctor in order to meet existing </w:t>
      </w:r>
      <w:r w:rsidRPr="00643AC2">
        <w:rPr>
          <w:lang w:val="en-GB"/>
        </w:rPr>
        <w:t>and emerging needs and deliver high quality services; and</w:t>
      </w:r>
    </w:p>
    <w:p w14:paraId="6349F33F" w14:textId="77777777" w:rsidR="00643AC2" w:rsidRPr="00643AC2" w:rsidRDefault="00643AC2" w:rsidP="007F7797">
      <w:pPr>
        <w:pStyle w:val="Bullet"/>
        <w:rPr>
          <w:lang w:val="en-GB"/>
        </w:rPr>
      </w:pPr>
      <w:r w:rsidRPr="00643AC2">
        <w:rPr>
          <w:lang w:val="en-GB"/>
        </w:rPr>
        <w:t>maintain, and advocate for, public sector professionalism and integrity.</w:t>
      </w:r>
    </w:p>
    <w:p w14:paraId="2705A7AE" w14:textId="6FB052DF" w:rsidR="00643AC2" w:rsidRPr="00643AC2" w:rsidRDefault="00643AC2" w:rsidP="00643AC2">
      <w:pPr>
        <w:rPr>
          <w:lang w:val="en-GB"/>
        </w:rPr>
      </w:pPr>
      <w:r w:rsidRPr="00643AC2">
        <w:rPr>
          <w:lang w:val="en-GB"/>
        </w:rPr>
        <w:t>The Commission is predominantly funded by accrual based Parliamentary ap</w:t>
      </w:r>
      <w:r w:rsidR="007F7797">
        <w:rPr>
          <w:lang w:val="en-GB"/>
        </w:rPr>
        <w:t xml:space="preserve">propriations for the provision </w:t>
      </w:r>
      <w:r w:rsidRPr="00643AC2">
        <w:rPr>
          <w:lang w:val="en-GB"/>
        </w:rPr>
        <w:t>of outputs. These appropriations are received by the Department of Premier and Cabinet and on-forwarded to the Commission in the form of grants.</w:t>
      </w:r>
    </w:p>
    <w:p w14:paraId="1EFE985A" w14:textId="77777777" w:rsidR="00643AC2" w:rsidRPr="00643AC2" w:rsidRDefault="00643AC2" w:rsidP="007F7797">
      <w:pPr>
        <w:pStyle w:val="Heading3"/>
        <w:rPr>
          <w:lang w:val="en-GB"/>
        </w:rPr>
      </w:pPr>
      <w:bookmarkStart w:id="81" w:name="_Toc494112009"/>
      <w:r w:rsidRPr="00643AC2">
        <w:rPr>
          <w:lang w:val="en-GB"/>
        </w:rPr>
        <w:t>Structure</w:t>
      </w:r>
      <w:bookmarkEnd w:id="81"/>
    </w:p>
    <w:p w14:paraId="28277BE1" w14:textId="2D0C5BBD" w:rsidR="00643AC2" w:rsidRPr="00643AC2" w:rsidRDefault="00643AC2" w:rsidP="00643AC2">
      <w:pPr>
        <w:rPr>
          <w:lang w:val="en-GB"/>
        </w:rPr>
      </w:pPr>
      <w:r w:rsidRPr="00643AC2">
        <w:rPr>
          <w:lang w:val="en-GB"/>
        </w:rPr>
        <w:t>2.1.</w:t>
      </w:r>
      <w:r w:rsidRPr="00643AC2">
        <w:rPr>
          <w:lang w:val="en-GB"/>
        </w:rPr>
        <w:t> </w:t>
      </w:r>
      <w:r w:rsidR="00CC6D84">
        <w:rPr>
          <w:lang w:val="en-GB"/>
        </w:rPr>
        <w:t>S</w:t>
      </w:r>
      <w:r w:rsidRPr="00643AC2">
        <w:rPr>
          <w:lang w:val="en-GB"/>
        </w:rPr>
        <w:t>ummary of income that funds the delivery of our services</w:t>
      </w:r>
    </w:p>
    <w:p w14:paraId="0DC82FA6" w14:textId="4E283FB2" w:rsidR="00643AC2" w:rsidRPr="00643AC2" w:rsidRDefault="00643AC2" w:rsidP="00CC6D84">
      <w:pPr>
        <w:pStyle w:val="Heading4"/>
        <w:rPr>
          <w:lang w:val="en-GB"/>
        </w:rPr>
      </w:pPr>
      <w:r w:rsidRPr="00643AC2">
        <w:rPr>
          <w:lang w:val="en-GB"/>
        </w:rPr>
        <w:t>2.1.</w:t>
      </w:r>
      <w:r w:rsidRPr="00643AC2">
        <w:rPr>
          <w:lang w:val="en-GB"/>
        </w:rPr>
        <w:t> </w:t>
      </w:r>
      <w:r w:rsidR="00CC6D84">
        <w:rPr>
          <w:lang w:val="en-GB"/>
        </w:rPr>
        <w:t>S</w:t>
      </w:r>
      <w:r w:rsidRPr="00643AC2">
        <w:rPr>
          <w:lang w:val="en-GB"/>
        </w:rPr>
        <w:t>ummary of income that funds the delivery of our services</w:t>
      </w:r>
    </w:p>
    <w:tbl>
      <w:tblPr>
        <w:tblStyle w:val="TableGrid"/>
        <w:tblW w:w="10401" w:type="dxa"/>
        <w:tblLook w:val="04A0" w:firstRow="1" w:lastRow="0" w:firstColumn="1" w:lastColumn="0" w:noHBand="0" w:noVBand="1"/>
      </w:tblPr>
      <w:tblGrid>
        <w:gridCol w:w="5665"/>
        <w:gridCol w:w="1578"/>
        <w:gridCol w:w="1579"/>
        <w:gridCol w:w="1579"/>
      </w:tblGrid>
      <w:tr w:rsidR="00CC6D84" w:rsidRPr="00643AC2" w14:paraId="3D7D5D2A" w14:textId="77777777" w:rsidTr="0046127B">
        <w:trPr>
          <w:cantSplit/>
          <w:tblHeader/>
        </w:trPr>
        <w:tc>
          <w:tcPr>
            <w:tcW w:w="5665" w:type="dxa"/>
            <w:hideMark/>
          </w:tcPr>
          <w:p w14:paraId="53D89CAA" w14:textId="77777777" w:rsidR="00643AC2" w:rsidRPr="0046127B" w:rsidRDefault="00643AC2" w:rsidP="0046127B">
            <w:pPr>
              <w:pStyle w:val="TableHeading"/>
              <w:rPr>
                <w:lang w:val="en-GB"/>
              </w:rPr>
            </w:pPr>
          </w:p>
        </w:tc>
        <w:tc>
          <w:tcPr>
            <w:tcW w:w="1578" w:type="dxa"/>
            <w:hideMark/>
          </w:tcPr>
          <w:p w14:paraId="37FF09CA" w14:textId="77777777" w:rsidR="00643AC2" w:rsidRPr="0046127B" w:rsidRDefault="00643AC2" w:rsidP="0046127B">
            <w:pPr>
              <w:pStyle w:val="TableHeading"/>
              <w:rPr>
                <w:lang w:val="en-GB"/>
              </w:rPr>
            </w:pPr>
          </w:p>
        </w:tc>
        <w:tc>
          <w:tcPr>
            <w:tcW w:w="1579" w:type="dxa"/>
            <w:hideMark/>
          </w:tcPr>
          <w:p w14:paraId="4E2750AA" w14:textId="77777777" w:rsidR="00643AC2" w:rsidRPr="0046127B" w:rsidRDefault="00643AC2" w:rsidP="0046127B">
            <w:pPr>
              <w:pStyle w:val="TableHeading"/>
              <w:rPr>
                <w:lang w:val="en-GB"/>
              </w:rPr>
            </w:pPr>
            <w:r w:rsidRPr="0046127B">
              <w:rPr>
                <w:bCs/>
                <w:lang w:val="en-GB"/>
              </w:rPr>
              <w:t>2017</w:t>
            </w:r>
          </w:p>
        </w:tc>
        <w:tc>
          <w:tcPr>
            <w:tcW w:w="1579" w:type="dxa"/>
            <w:hideMark/>
          </w:tcPr>
          <w:p w14:paraId="554E7222" w14:textId="77777777" w:rsidR="00643AC2" w:rsidRPr="0046127B" w:rsidRDefault="00643AC2" w:rsidP="0046127B">
            <w:pPr>
              <w:pStyle w:val="TableHeading"/>
              <w:rPr>
                <w:lang w:val="en-GB"/>
              </w:rPr>
            </w:pPr>
            <w:r w:rsidRPr="0046127B">
              <w:rPr>
                <w:bCs/>
                <w:lang w:val="en-GB"/>
              </w:rPr>
              <w:t>2016</w:t>
            </w:r>
          </w:p>
        </w:tc>
      </w:tr>
      <w:tr w:rsidR="00CC6D84" w:rsidRPr="00643AC2" w14:paraId="219DBBB1" w14:textId="77777777" w:rsidTr="0046127B">
        <w:trPr>
          <w:cantSplit/>
          <w:tblHeader/>
        </w:trPr>
        <w:tc>
          <w:tcPr>
            <w:tcW w:w="5665" w:type="dxa"/>
            <w:hideMark/>
          </w:tcPr>
          <w:p w14:paraId="0D6BF3CB" w14:textId="77777777" w:rsidR="00643AC2" w:rsidRPr="0046127B" w:rsidRDefault="00643AC2" w:rsidP="0046127B">
            <w:pPr>
              <w:pStyle w:val="TableHeading"/>
              <w:rPr>
                <w:lang w:val="en-GB"/>
              </w:rPr>
            </w:pPr>
          </w:p>
        </w:tc>
        <w:tc>
          <w:tcPr>
            <w:tcW w:w="1578" w:type="dxa"/>
            <w:hideMark/>
          </w:tcPr>
          <w:p w14:paraId="01747CEE" w14:textId="77777777" w:rsidR="00643AC2" w:rsidRPr="0046127B" w:rsidRDefault="00643AC2" w:rsidP="0046127B">
            <w:pPr>
              <w:pStyle w:val="TableHeading"/>
              <w:rPr>
                <w:lang w:val="en-GB"/>
              </w:rPr>
            </w:pPr>
            <w:r w:rsidRPr="0046127B">
              <w:rPr>
                <w:bCs/>
                <w:lang w:val="en-GB"/>
              </w:rPr>
              <w:t>Notes</w:t>
            </w:r>
          </w:p>
        </w:tc>
        <w:tc>
          <w:tcPr>
            <w:tcW w:w="1579" w:type="dxa"/>
            <w:hideMark/>
          </w:tcPr>
          <w:p w14:paraId="6CE96331" w14:textId="77777777" w:rsidR="00643AC2" w:rsidRPr="0046127B" w:rsidRDefault="00643AC2" w:rsidP="0046127B">
            <w:pPr>
              <w:pStyle w:val="TableHeading"/>
              <w:rPr>
                <w:lang w:val="en-GB"/>
              </w:rPr>
            </w:pPr>
            <w:r w:rsidRPr="0046127B">
              <w:rPr>
                <w:bCs/>
                <w:lang w:val="en-GB"/>
              </w:rPr>
              <w:t>$</w:t>
            </w:r>
          </w:p>
        </w:tc>
        <w:tc>
          <w:tcPr>
            <w:tcW w:w="1579" w:type="dxa"/>
            <w:hideMark/>
          </w:tcPr>
          <w:p w14:paraId="508F3980" w14:textId="77777777" w:rsidR="00643AC2" w:rsidRPr="0046127B" w:rsidRDefault="00643AC2" w:rsidP="0046127B">
            <w:pPr>
              <w:pStyle w:val="TableHeading"/>
              <w:rPr>
                <w:lang w:val="en-GB"/>
              </w:rPr>
            </w:pPr>
            <w:r w:rsidRPr="0046127B">
              <w:rPr>
                <w:bCs/>
                <w:lang w:val="en-GB"/>
              </w:rPr>
              <w:t>$</w:t>
            </w:r>
          </w:p>
        </w:tc>
      </w:tr>
      <w:tr w:rsidR="003C2762" w:rsidRPr="00643AC2" w14:paraId="62C8629B" w14:textId="77777777" w:rsidTr="0046127B">
        <w:trPr>
          <w:cantSplit/>
        </w:trPr>
        <w:tc>
          <w:tcPr>
            <w:tcW w:w="10401" w:type="dxa"/>
            <w:gridSpan w:val="4"/>
            <w:hideMark/>
          </w:tcPr>
          <w:p w14:paraId="75D7619B" w14:textId="72B3EB32" w:rsidR="003C2762" w:rsidRPr="0046127B" w:rsidRDefault="003C2762" w:rsidP="0046127B">
            <w:pPr>
              <w:pStyle w:val="TableHeading"/>
              <w:rPr>
                <w:lang w:val="en-GB"/>
              </w:rPr>
            </w:pPr>
            <w:r w:rsidRPr="0046127B">
              <w:rPr>
                <w:bCs/>
                <w:lang w:val="en-GB"/>
              </w:rPr>
              <w:t>Income from transactions</w:t>
            </w:r>
          </w:p>
        </w:tc>
      </w:tr>
      <w:tr w:rsidR="00CC6D84" w:rsidRPr="00643AC2" w14:paraId="1F50C255" w14:textId="77777777" w:rsidTr="0046127B">
        <w:trPr>
          <w:cantSplit/>
        </w:trPr>
        <w:tc>
          <w:tcPr>
            <w:tcW w:w="5665" w:type="dxa"/>
            <w:hideMark/>
          </w:tcPr>
          <w:p w14:paraId="3C7BB258" w14:textId="77777777" w:rsidR="00643AC2" w:rsidRPr="0046127B" w:rsidRDefault="00643AC2" w:rsidP="0046127B">
            <w:pPr>
              <w:pStyle w:val="TableCopy"/>
              <w:rPr>
                <w:lang w:val="en-GB"/>
              </w:rPr>
            </w:pPr>
            <w:r w:rsidRPr="0046127B">
              <w:rPr>
                <w:lang w:val="en-GB"/>
              </w:rPr>
              <w:t>Grants</w:t>
            </w:r>
          </w:p>
        </w:tc>
        <w:tc>
          <w:tcPr>
            <w:tcW w:w="1578" w:type="dxa"/>
            <w:hideMark/>
          </w:tcPr>
          <w:p w14:paraId="7075B23B" w14:textId="77777777" w:rsidR="00643AC2" w:rsidRPr="0046127B" w:rsidRDefault="00643AC2" w:rsidP="0046127B">
            <w:pPr>
              <w:pStyle w:val="TableCopy"/>
              <w:rPr>
                <w:lang w:val="en-GB"/>
              </w:rPr>
            </w:pPr>
            <w:r w:rsidRPr="0046127B">
              <w:rPr>
                <w:lang w:val="en-GB"/>
              </w:rPr>
              <w:t>2.1.1</w:t>
            </w:r>
          </w:p>
        </w:tc>
        <w:tc>
          <w:tcPr>
            <w:tcW w:w="1579" w:type="dxa"/>
            <w:hideMark/>
          </w:tcPr>
          <w:p w14:paraId="6E438096" w14:textId="77777777" w:rsidR="00643AC2" w:rsidRPr="0046127B" w:rsidRDefault="00643AC2" w:rsidP="0046127B">
            <w:pPr>
              <w:pStyle w:val="TableCopy"/>
              <w:rPr>
                <w:b/>
                <w:lang w:val="en-GB"/>
              </w:rPr>
            </w:pPr>
            <w:r w:rsidRPr="0046127B">
              <w:rPr>
                <w:b/>
                <w:lang w:val="en-GB"/>
              </w:rPr>
              <w:t>13,143,075</w:t>
            </w:r>
          </w:p>
        </w:tc>
        <w:tc>
          <w:tcPr>
            <w:tcW w:w="1579" w:type="dxa"/>
            <w:hideMark/>
          </w:tcPr>
          <w:p w14:paraId="2EA8DDC6" w14:textId="77777777" w:rsidR="00643AC2" w:rsidRPr="0046127B" w:rsidRDefault="00643AC2" w:rsidP="0046127B">
            <w:pPr>
              <w:pStyle w:val="TableCopy"/>
              <w:rPr>
                <w:lang w:val="en-GB"/>
              </w:rPr>
            </w:pPr>
            <w:r w:rsidRPr="0046127B">
              <w:rPr>
                <w:lang w:val="en-GB"/>
              </w:rPr>
              <w:t>9,491,293</w:t>
            </w:r>
          </w:p>
        </w:tc>
      </w:tr>
      <w:tr w:rsidR="00CC6D84" w:rsidRPr="00643AC2" w14:paraId="3DE114CE" w14:textId="77777777" w:rsidTr="0046127B">
        <w:trPr>
          <w:cantSplit/>
        </w:trPr>
        <w:tc>
          <w:tcPr>
            <w:tcW w:w="5665" w:type="dxa"/>
            <w:hideMark/>
          </w:tcPr>
          <w:p w14:paraId="783C02B4" w14:textId="77777777" w:rsidR="00643AC2" w:rsidRPr="0046127B" w:rsidRDefault="00643AC2" w:rsidP="0046127B">
            <w:pPr>
              <w:pStyle w:val="TableCopy"/>
              <w:rPr>
                <w:lang w:val="en-GB"/>
              </w:rPr>
            </w:pPr>
            <w:r w:rsidRPr="0046127B">
              <w:rPr>
                <w:lang w:val="en-GB"/>
              </w:rPr>
              <w:t>Provision of services</w:t>
            </w:r>
          </w:p>
        </w:tc>
        <w:tc>
          <w:tcPr>
            <w:tcW w:w="1578" w:type="dxa"/>
            <w:hideMark/>
          </w:tcPr>
          <w:p w14:paraId="3140ACB3" w14:textId="77777777" w:rsidR="00643AC2" w:rsidRPr="0046127B" w:rsidRDefault="00643AC2" w:rsidP="0046127B">
            <w:pPr>
              <w:pStyle w:val="TableCopy"/>
              <w:rPr>
                <w:lang w:val="en-GB"/>
              </w:rPr>
            </w:pPr>
            <w:r w:rsidRPr="0046127B">
              <w:rPr>
                <w:lang w:val="en-GB"/>
              </w:rPr>
              <w:t>2.1.2</w:t>
            </w:r>
          </w:p>
        </w:tc>
        <w:tc>
          <w:tcPr>
            <w:tcW w:w="1579" w:type="dxa"/>
            <w:hideMark/>
          </w:tcPr>
          <w:p w14:paraId="192E2BDE" w14:textId="77777777" w:rsidR="00643AC2" w:rsidRPr="0046127B" w:rsidRDefault="00643AC2" w:rsidP="0046127B">
            <w:pPr>
              <w:pStyle w:val="TableCopy"/>
              <w:rPr>
                <w:b/>
                <w:lang w:val="en-GB"/>
              </w:rPr>
            </w:pPr>
            <w:r w:rsidRPr="0046127B">
              <w:rPr>
                <w:b/>
                <w:lang w:val="en-GB"/>
              </w:rPr>
              <w:t>2,670,013</w:t>
            </w:r>
          </w:p>
        </w:tc>
        <w:tc>
          <w:tcPr>
            <w:tcW w:w="1579" w:type="dxa"/>
            <w:hideMark/>
          </w:tcPr>
          <w:p w14:paraId="1B559926" w14:textId="77777777" w:rsidR="00643AC2" w:rsidRPr="0046127B" w:rsidRDefault="00643AC2" w:rsidP="0046127B">
            <w:pPr>
              <w:pStyle w:val="TableCopy"/>
              <w:rPr>
                <w:lang w:val="en-GB"/>
              </w:rPr>
            </w:pPr>
            <w:r w:rsidRPr="0046127B">
              <w:rPr>
                <w:lang w:val="en-GB"/>
              </w:rPr>
              <w:t>2,221,688</w:t>
            </w:r>
          </w:p>
        </w:tc>
      </w:tr>
      <w:tr w:rsidR="00CC6D84" w:rsidRPr="00643AC2" w14:paraId="4F0F786E" w14:textId="77777777" w:rsidTr="0046127B">
        <w:trPr>
          <w:cantSplit/>
        </w:trPr>
        <w:tc>
          <w:tcPr>
            <w:tcW w:w="5665" w:type="dxa"/>
            <w:hideMark/>
          </w:tcPr>
          <w:p w14:paraId="7EE8000B" w14:textId="77777777" w:rsidR="00643AC2" w:rsidRPr="0046127B" w:rsidRDefault="00643AC2" w:rsidP="0046127B">
            <w:pPr>
              <w:pStyle w:val="TableCopy"/>
              <w:rPr>
                <w:b/>
                <w:lang w:val="en-GB"/>
              </w:rPr>
            </w:pPr>
            <w:r w:rsidRPr="0046127B">
              <w:rPr>
                <w:b/>
                <w:lang w:val="en-GB"/>
              </w:rPr>
              <w:t>Total income from transactions</w:t>
            </w:r>
          </w:p>
        </w:tc>
        <w:tc>
          <w:tcPr>
            <w:tcW w:w="1578" w:type="dxa"/>
            <w:hideMark/>
          </w:tcPr>
          <w:p w14:paraId="2556A4B4" w14:textId="77777777" w:rsidR="00643AC2" w:rsidRPr="0046127B" w:rsidRDefault="00643AC2" w:rsidP="0046127B">
            <w:pPr>
              <w:pStyle w:val="TableCopy"/>
              <w:rPr>
                <w:lang w:val="en-GB"/>
              </w:rPr>
            </w:pPr>
          </w:p>
        </w:tc>
        <w:tc>
          <w:tcPr>
            <w:tcW w:w="1579" w:type="dxa"/>
            <w:hideMark/>
          </w:tcPr>
          <w:p w14:paraId="07F946DD" w14:textId="77777777" w:rsidR="00643AC2" w:rsidRPr="0046127B" w:rsidRDefault="00643AC2" w:rsidP="0046127B">
            <w:pPr>
              <w:pStyle w:val="TableCopy"/>
              <w:rPr>
                <w:b/>
                <w:lang w:val="en-GB"/>
              </w:rPr>
            </w:pPr>
            <w:r w:rsidRPr="0046127B">
              <w:rPr>
                <w:b/>
                <w:lang w:val="en-GB"/>
              </w:rPr>
              <w:t>15,813,088</w:t>
            </w:r>
          </w:p>
        </w:tc>
        <w:tc>
          <w:tcPr>
            <w:tcW w:w="1579" w:type="dxa"/>
            <w:hideMark/>
          </w:tcPr>
          <w:p w14:paraId="01204BFA" w14:textId="77777777" w:rsidR="00643AC2" w:rsidRPr="0046127B" w:rsidRDefault="00643AC2" w:rsidP="0046127B">
            <w:pPr>
              <w:pStyle w:val="TableCopy"/>
              <w:rPr>
                <w:lang w:val="en-GB"/>
              </w:rPr>
            </w:pPr>
            <w:r w:rsidRPr="0046127B">
              <w:rPr>
                <w:lang w:val="en-GB"/>
              </w:rPr>
              <w:t>11,712,981</w:t>
            </w:r>
          </w:p>
        </w:tc>
      </w:tr>
    </w:tbl>
    <w:p w14:paraId="58EEEEEC" w14:textId="77777777" w:rsidR="00643AC2" w:rsidRPr="00643AC2" w:rsidRDefault="00643AC2" w:rsidP="00643AC2">
      <w:pPr>
        <w:rPr>
          <w:lang w:val="en-GB"/>
        </w:rPr>
      </w:pPr>
      <w:r w:rsidRPr="00643AC2">
        <w:rPr>
          <w:lang w:val="en-GB"/>
        </w:rPr>
        <w:t>Income is recognised to the extent that it is probable that the economic benefits will flow to the Commission and the income can be reliably measured.</w:t>
      </w:r>
    </w:p>
    <w:p w14:paraId="6150BF41" w14:textId="7CFACF26" w:rsidR="00643AC2" w:rsidRPr="00643AC2" w:rsidRDefault="00643AC2" w:rsidP="0072215C">
      <w:pPr>
        <w:pStyle w:val="Heading5"/>
        <w:rPr>
          <w:lang w:val="en-GB"/>
        </w:rPr>
      </w:pPr>
      <w:r w:rsidRPr="00643AC2">
        <w:rPr>
          <w:lang w:val="en-GB"/>
        </w:rPr>
        <w:t>2.1.1.</w:t>
      </w:r>
      <w:r w:rsidRPr="00643AC2">
        <w:rPr>
          <w:lang w:val="en-GB"/>
        </w:rPr>
        <w:t> </w:t>
      </w:r>
      <w:r w:rsidR="0072215C">
        <w:rPr>
          <w:lang w:val="en-GB"/>
        </w:rPr>
        <w:t>I</w:t>
      </w:r>
      <w:r w:rsidRPr="00643AC2">
        <w:rPr>
          <w:lang w:val="en-GB"/>
        </w:rPr>
        <w:t>ncome from grants</w:t>
      </w:r>
    </w:p>
    <w:tbl>
      <w:tblPr>
        <w:tblStyle w:val="TableGrid"/>
        <w:tblW w:w="10386" w:type="dxa"/>
        <w:tblLook w:val="04A0" w:firstRow="1" w:lastRow="0" w:firstColumn="1" w:lastColumn="0" w:noHBand="0" w:noVBand="1"/>
      </w:tblPr>
      <w:tblGrid>
        <w:gridCol w:w="7188"/>
        <w:gridCol w:w="1599"/>
        <w:gridCol w:w="1599"/>
      </w:tblGrid>
      <w:tr w:rsidR="00964996" w:rsidRPr="00643AC2" w14:paraId="693193A9" w14:textId="77777777" w:rsidTr="00682047">
        <w:trPr>
          <w:cantSplit/>
          <w:tblHeader/>
        </w:trPr>
        <w:tc>
          <w:tcPr>
            <w:tcW w:w="7188" w:type="dxa"/>
            <w:hideMark/>
          </w:tcPr>
          <w:p w14:paraId="71C6138D" w14:textId="77777777" w:rsidR="00643AC2" w:rsidRPr="004C3DA6" w:rsidRDefault="00643AC2" w:rsidP="004C3DA6">
            <w:pPr>
              <w:pStyle w:val="TableHeading"/>
              <w:rPr>
                <w:lang w:val="en-GB"/>
              </w:rPr>
            </w:pPr>
          </w:p>
        </w:tc>
        <w:tc>
          <w:tcPr>
            <w:tcW w:w="1599" w:type="dxa"/>
            <w:hideMark/>
          </w:tcPr>
          <w:p w14:paraId="56E8FA7D" w14:textId="77777777" w:rsidR="00643AC2" w:rsidRPr="004C3DA6" w:rsidRDefault="00643AC2" w:rsidP="004C3DA6">
            <w:pPr>
              <w:pStyle w:val="TableHeading"/>
              <w:rPr>
                <w:lang w:val="en-GB"/>
              </w:rPr>
            </w:pPr>
            <w:r w:rsidRPr="004C3DA6">
              <w:rPr>
                <w:lang w:val="en-GB"/>
              </w:rPr>
              <w:t>2017</w:t>
            </w:r>
          </w:p>
        </w:tc>
        <w:tc>
          <w:tcPr>
            <w:tcW w:w="1599" w:type="dxa"/>
            <w:hideMark/>
          </w:tcPr>
          <w:p w14:paraId="42DE6766" w14:textId="77777777" w:rsidR="00643AC2" w:rsidRPr="004C3DA6" w:rsidRDefault="00643AC2" w:rsidP="004C3DA6">
            <w:pPr>
              <w:pStyle w:val="TableHeading"/>
              <w:rPr>
                <w:lang w:val="en-GB"/>
              </w:rPr>
            </w:pPr>
            <w:r w:rsidRPr="004C3DA6">
              <w:rPr>
                <w:lang w:val="en-GB"/>
              </w:rPr>
              <w:t>2016</w:t>
            </w:r>
          </w:p>
        </w:tc>
      </w:tr>
      <w:tr w:rsidR="00964996" w:rsidRPr="00643AC2" w14:paraId="17611112" w14:textId="77777777" w:rsidTr="00682047">
        <w:trPr>
          <w:cantSplit/>
          <w:tblHeader/>
        </w:trPr>
        <w:tc>
          <w:tcPr>
            <w:tcW w:w="7188" w:type="dxa"/>
            <w:hideMark/>
          </w:tcPr>
          <w:p w14:paraId="2DFAB1E8" w14:textId="77777777" w:rsidR="00643AC2" w:rsidRPr="004C3DA6" w:rsidRDefault="00643AC2" w:rsidP="004C3DA6">
            <w:pPr>
              <w:pStyle w:val="TableHeading"/>
              <w:rPr>
                <w:lang w:val="en-GB"/>
              </w:rPr>
            </w:pPr>
          </w:p>
        </w:tc>
        <w:tc>
          <w:tcPr>
            <w:tcW w:w="1599" w:type="dxa"/>
            <w:hideMark/>
          </w:tcPr>
          <w:p w14:paraId="0587E042" w14:textId="77777777" w:rsidR="00643AC2" w:rsidRPr="004C3DA6" w:rsidRDefault="00643AC2" w:rsidP="004C3DA6">
            <w:pPr>
              <w:pStyle w:val="TableHeading"/>
              <w:rPr>
                <w:lang w:val="en-GB"/>
              </w:rPr>
            </w:pPr>
            <w:r w:rsidRPr="004C3DA6">
              <w:rPr>
                <w:lang w:val="en-GB"/>
              </w:rPr>
              <w:t>$</w:t>
            </w:r>
          </w:p>
        </w:tc>
        <w:tc>
          <w:tcPr>
            <w:tcW w:w="1599" w:type="dxa"/>
            <w:hideMark/>
          </w:tcPr>
          <w:p w14:paraId="48B308B0" w14:textId="77777777" w:rsidR="00643AC2" w:rsidRPr="004C3DA6" w:rsidRDefault="00643AC2" w:rsidP="004C3DA6">
            <w:pPr>
              <w:pStyle w:val="TableHeading"/>
              <w:rPr>
                <w:lang w:val="en-GB"/>
              </w:rPr>
            </w:pPr>
            <w:r w:rsidRPr="004C3DA6">
              <w:rPr>
                <w:lang w:val="en-GB"/>
              </w:rPr>
              <w:t>$</w:t>
            </w:r>
          </w:p>
        </w:tc>
      </w:tr>
      <w:tr w:rsidR="00964996" w:rsidRPr="00643AC2" w14:paraId="497C6EE1" w14:textId="77777777" w:rsidTr="00682047">
        <w:trPr>
          <w:cantSplit/>
        </w:trPr>
        <w:tc>
          <w:tcPr>
            <w:tcW w:w="7188" w:type="dxa"/>
            <w:hideMark/>
          </w:tcPr>
          <w:p w14:paraId="01D89DCF" w14:textId="77777777" w:rsidR="00643AC2" w:rsidRPr="004C3DA6" w:rsidRDefault="00643AC2" w:rsidP="004C3DA6">
            <w:pPr>
              <w:pStyle w:val="TableCopy"/>
              <w:rPr>
                <w:lang w:val="en-GB"/>
              </w:rPr>
            </w:pPr>
            <w:r w:rsidRPr="004C3DA6">
              <w:rPr>
                <w:lang w:val="en-GB"/>
              </w:rPr>
              <w:t>Grants from Department of Premier and Cabinet</w:t>
            </w:r>
          </w:p>
        </w:tc>
        <w:tc>
          <w:tcPr>
            <w:tcW w:w="1599" w:type="dxa"/>
            <w:hideMark/>
          </w:tcPr>
          <w:p w14:paraId="6E2ABF80" w14:textId="77777777" w:rsidR="00643AC2" w:rsidRPr="004C3DA6" w:rsidRDefault="00643AC2" w:rsidP="004C3DA6">
            <w:pPr>
              <w:pStyle w:val="TableCopy"/>
              <w:rPr>
                <w:b/>
                <w:lang w:val="en-GB"/>
              </w:rPr>
            </w:pPr>
            <w:r w:rsidRPr="004C3DA6">
              <w:rPr>
                <w:b/>
                <w:lang w:val="en-GB"/>
              </w:rPr>
              <w:t>8,163,773</w:t>
            </w:r>
          </w:p>
        </w:tc>
        <w:tc>
          <w:tcPr>
            <w:tcW w:w="1599" w:type="dxa"/>
            <w:hideMark/>
          </w:tcPr>
          <w:p w14:paraId="79017F45" w14:textId="77777777" w:rsidR="00643AC2" w:rsidRPr="004C3DA6" w:rsidRDefault="00643AC2" w:rsidP="004C3DA6">
            <w:pPr>
              <w:pStyle w:val="TableCopy"/>
              <w:rPr>
                <w:lang w:val="en-GB"/>
              </w:rPr>
            </w:pPr>
            <w:r w:rsidRPr="004C3DA6">
              <w:rPr>
                <w:lang w:val="en-GB"/>
              </w:rPr>
              <w:t>7,431,908</w:t>
            </w:r>
          </w:p>
        </w:tc>
      </w:tr>
      <w:tr w:rsidR="00964996" w:rsidRPr="00643AC2" w14:paraId="2B125426" w14:textId="77777777" w:rsidTr="00682047">
        <w:trPr>
          <w:cantSplit/>
        </w:trPr>
        <w:tc>
          <w:tcPr>
            <w:tcW w:w="7188" w:type="dxa"/>
            <w:hideMark/>
          </w:tcPr>
          <w:p w14:paraId="45B68E78" w14:textId="77777777" w:rsidR="00643AC2" w:rsidRPr="004C3DA6" w:rsidRDefault="00643AC2" w:rsidP="004C3DA6">
            <w:pPr>
              <w:pStyle w:val="TableCopy"/>
              <w:rPr>
                <w:lang w:val="en-GB"/>
              </w:rPr>
            </w:pPr>
            <w:r w:rsidRPr="004C3DA6">
              <w:rPr>
                <w:lang w:val="en-GB"/>
              </w:rPr>
              <w:t xml:space="preserve">Other grants from Victorian Government agencies </w:t>
            </w:r>
            <w:r w:rsidRPr="004C3DA6">
              <w:rPr>
                <w:vertAlign w:val="superscript"/>
                <w:lang w:val="en-GB"/>
              </w:rPr>
              <w:t>(a)</w:t>
            </w:r>
          </w:p>
        </w:tc>
        <w:tc>
          <w:tcPr>
            <w:tcW w:w="1599" w:type="dxa"/>
            <w:hideMark/>
          </w:tcPr>
          <w:p w14:paraId="07847E8B" w14:textId="77777777" w:rsidR="00643AC2" w:rsidRPr="004C3DA6" w:rsidRDefault="00643AC2" w:rsidP="004C3DA6">
            <w:pPr>
              <w:pStyle w:val="TableCopy"/>
              <w:rPr>
                <w:b/>
                <w:lang w:val="en-GB"/>
              </w:rPr>
            </w:pPr>
            <w:r w:rsidRPr="004C3DA6">
              <w:rPr>
                <w:b/>
                <w:lang w:val="en-GB"/>
              </w:rPr>
              <w:t>4,979,302</w:t>
            </w:r>
          </w:p>
        </w:tc>
        <w:tc>
          <w:tcPr>
            <w:tcW w:w="1599" w:type="dxa"/>
            <w:hideMark/>
          </w:tcPr>
          <w:p w14:paraId="00F75206" w14:textId="77777777" w:rsidR="00643AC2" w:rsidRPr="004C3DA6" w:rsidRDefault="00643AC2" w:rsidP="004C3DA6">
            <w:pPr>
              <w:pStyle w:val="TableCopy"/>
              <w:rPr>
                <w:lang w:val="en-GB"/>
              </w:rPr>
            </w:pPr>
            <w:r w:rsidRPr="004C3DA6">
              <w:rPr>
                <w:lang w:val="en-GB"/>
              </w:rPr>
              <w:t>2,059,385</w:t>
            </w:r>
          </w:p>
        </w:tc>
      </w:tr>
      <w:tr w:rsidR="00964996" w:rsidRPr="00643AC2" w14:paraId="7C9C0B9F" w14:textId="77777777" w:rsidTr="00682047">
        <w:trPr>
          <w:cantSplit/>
        </w:trPr>
        <w:tc>
          <w:tcPr>
            <w:tcW w:w="7188" w:type="dxa"/>
            <w:hideMark/>
          </w:tcPr>
          <w:p w14:paraId="7932F079" w14:textId="77777777" w:rsidR="00643AC2" w:rsidRPr="004C3DA6" w:rsidRDefault="00643AC2" w:rsidP="004C3DA6">
            <w:pPr>
              <w:pStyle w:val="TableCopy"/>
              <w:rPr>
                <w:b/>
                <w:lang w:val="en-GB"/>
              </w:rPr>
            </w:pPr>
            <w:r w:rsidRPr="004C3DA6">
              <w:rPr>
                <w:b/>
                <w:lang w:val="en-GB"/>
              </w:rPr>
              <w:t>Total grants</w:t>
            </w:r>
          </w:p>
        </w:tc>
        <w:tc>
          <w:tcPr>
            <w:tcW w:w="1599" w:type="dxa"/>
            <w:hideMark/>
          </w:tcPr>
          <w:p w14:paraId="32403FEA" w14:textId="77777777" w:rsidR="00643AC2" w:rsidRPr="004C3DA6" w:rsidRDefault="00643AC2" w:rsidP="004C3DA6">
            <w:pPr>
              <w:pStyle w:val="TableCopy"/>
              <w:rPr>
                <w:b/>
                <w:lang w:val="en-GB"/>
              </w:rPr>
            </w:pPr>
            <w:r w:rsidRPr="004C3DA6">
              <w:rPr>
                <w:b/>
                <w:lang w:val="en-GB"/>
              </w:rPr>
              <w:t>13,143,075</w:t>
            </w:r>
          </w:p>
        </w:tc>
        <w:tc>
          <w:tcPr>
            <w:tcW w:w="1599" w:type="dxa"/>
            <w:hideMark/>
          </w:tcPr>
          <w:p w14:paraId="65E0D018" w14:textId="77777777" w:rsidR="00643AC2" w:rsidRPr="004C3DA6" w:rsidRDefault="00643AC2" w:rsidP="004C3DA6">
            <w:pPr>
              <w:pStyle w:val="TableCopy"/>
              <w:rPr>
                <w:lang w:val="en-GB"/>
              </w:rPr>
            </w:pPr>
            <w:r w:rsidRPr="004C3DA6">
              <w:rPr>
                <w:lang w:val="en-GB"/>
              </w:rPr>
              <w:t>9,491,293</w:t>
            </w:r>
          </w:p>
        </w:tc>
      </w:tr>
    </w:tbl>
    <w:p w14:paraId="2D2F2EFF" w14:textId="77777777" w:rsidR="00643AC2" w:rsidRPr="008700F9" w:rsidRDefault="00643AC2" w:rsidP="00643AC2">
      <w:pPr>
        <w:rPr>
          <w:rStyle w:val="Emphasis"/>
        </w:rPr>
      </w:pPr>
      <w:r w:rsidRPr="008700F9">
        <w:rPr>
          <w:rStyle w:val="Emphasis"/>
        </w:rPr>
        <w:t>Note:</w:t>
      </w:r>
    </w:p>
    <w:p w14:paraId="062AC8CD" w14:textId="3A7068CE" w:rsidR="00643AC2" w:rsidRPr="008700F9" w:rsidRDefault="008700F9" w:rsidP="00643AC2">
      <w:pPr>
        <w:rPr>
          <w:rStyle w:val="Emphasis"/>
        </w:rPr>
      </w:pPr>
      <w:r w:rsidRPr="008700F9">
        <w:rPr>
          <w:rStyle w:val="Emphasis"/>
        </w:rPr>
        <w:t xml:space="preserve">(a) </w:t>
      </w:r>
      <w:r w:rsidR="00643AC2" w:rsidRPr="008700F9">
        <w:rPr>
          <w:rStyle w:val="Emphasis"/>
        </w:rPr>
        <w:t>In line with the Commission’s grant revenue recognition policy discussed below, $38</w:t>
      </w:r>
      <w:r w:rsidRPr="008700F9">
        <w:rPr>
          <w:rStyle w:val="Emphasis"/>
        </w:rPr>
        <w:t xml:space="preserve">7,593 of Aboriginal Employment </w:t>
      </w:r>
      <w:r w:rsidR="00643AC2" w:rsidRPr="008700F9">
        <w:rPr>
          <w:rStyle w:val="Emphasis"/>
        </w:rPr>
        <w:t>Unit and $970,301 of Executive Officer Review grants are recognised as inco</w:t>
      </w:r>
      <w:r w:rsidRPr="008700F9">
        <w:rPr>
          <w:rStyle w:val="Emphasis"/>
        </w:rPr>
        <w:t xml:space="preserve">me during 2016-17 as these are </w:t>
      </w:r>
      <w:r w:rsidR="00643AC2" w:rsidRPr="008700F9">
        <w:rPr>
          <w:rStyle w:val="Emphasis"/>
        </w:rPr>
        <w:t>non-reciprocal grants. The costs of providing these services will be incurred in future financial years when these services are provided by the Commission.</w:t>
      </w:r>
    </w:p>
    <w:p w14:paraId="326623FC" w14:textId="44C1979B" w:rsidR="00643AC2" w:rsidRPr="00643AC2" w:rsidRDefault="00643AC2" w:rsidP="00643AC2">
      <w:pPr>
        <w:rPr>
          <w:lang w:val="en-GB"/>
        </w:rPr>
      </w:pPr>
      <w:r w:rsidRPr="00643AC2">
        <w:rPr>
          <w:lang w:val="en-GB"/>
        </w:rPr>
        <w:t>Income from grants is recognised when the Commission obtains contro</w:t>
      </w:r>
      <w:r w:rsidR="008700F9">
        <w:rPr>
          <w:lang w:val="en-GB"/>
        </w:rPr>
        <w:t xml:space="preserve">l over the grant. Where grants </w:t>
      </w:r>
      <w:r w:rsidRPr="00643AC2">
        <w:rPr>
          <w:lang w:val="en-GB"/>
        </w:rPr>
        <w:t>are reciprocal (i.e. equal value is given back by the Commission to the provider), the Commission is deemed to have assumed control when it has satisfied its performance obligations</w:t>
      </w:r>
      <w:r w:rsidR="008700F9">
        <w:rPr>
          <w:lang w:val="en-GB"/>
        </w:rPr>
        <w:t xml:space="preserve"> under the terms of the grant. </w:t>
      </w:r>
      <w:r w:rsidRPr="00643AC2">
        <w:rPr>
          <w:lang w:val="en-GB"/>
        </w:rPr>
        <w:t>Non-reciprocal grants are recognised as income when the grant is received or receivable. </w:t>
      </w:r>
    </w:p>
    <w:p w14:paraId="137F4747" w14:textId="78083D3B" w:rsidR="00643AC2" w:rsidRPr="00643AC2" w:rsidRDefault="00643AC2" w:rsidP="00B04EF6">
      <w:pPr>
        <w:pStyle w:val="Heading5"/>
        <w:rPr>
          <w:lang w:val="en-GB"/>
        </w:rPr>
      </w:pPr>
      <w:r w:rsidRPr="00643AC2">
        <w:rPr>
          <w:lang w:val="en-GB"/>
        </w:rPr>
        <w:t>2.1.2.</w:t>
      </w:r>
      <w:r w:rsidRPr="00643AC2">
        <w:rPr>
          <w:lang w:val="en-GB"/>
        </w:rPr>
        <w:t> </w:t>
      </w:r>
      <w:r w:rsidR="00B04EF6">
        <w:rPr>
          <w:lang w:val="en-GB"/>
        </w:rPr>
        <w:t>I</w:t>
      </w:r>
      <w:r w:rsidRPr="00643AC2">
        <w:rPr>
          <w:lang w:val="en-GB"/>
        </w:rPr>
        <w:t>ncome from provision of services</w:t>
      </w:r>
    </w:p>
    <w:tbl>
      <w:tblPr>
        <w:tblStyle w:val="TableGrid"/>
        <w:tblW w:w="10386" w:type="dxa"/>
        <w:tblLook w:val="04A0" w:firstRow="1" w:lastRow="0" w:firstColumn="1" w:lastColumn="0" w:noHBand="0" w:noVBand="1"/>
      </w:tblPr>
      <w:tblGrid>
        <w:gridCol w:w="7225"/>
        <w:gridCol w:w="1580"/>
        <w:gridCol w:w="1581"/>
      </w:tblGrid>
      <w:tr w:rsidR="00B04EF6" w:rsidRPr="00D36BD7" w14:paraId="4428CEF3" w14:textId="77777777" w:rsidTr="00D36BD7">
        <w:trPr>
          <w:cantSplit/>
          <w:tblHeader/>
        </w:trPr>
        <w:tc>
          <w:tcPr>
            <w:tcW w:w="7225" w:type="dxa"/>
            <w:hideMark/>
          </w:tcPr>
          <w:p w14:paraId="14DE2246" w14:textId="77777777" w:rsidR="00643AC2" w:rsidRPr="00D36BD7" w:rsidRDefault="00643AC2" w:rsidP="00D36BD7">
            <w:pPr>
              <w:pStyle w:val="TableHeading"/>
              <w:rPr>
                <w:lang w:val="en-GB"/>
              </w:rPr>
            </w:pPr>
          </w:p>
        </w:tc>
        <w:tc>
          <w:tcPr>
            <w:tcW w:w="1580" w:type="dxa"/>
            <w:hideMark/>
          </w:tcPr>
          <w:p w14:paraId="28D582BD" w14:textId="77777777" w:rsidR="00643AC2" w:rsidRPr="00D36BD7" w:rsidRDefault="00643AC2" w:rsidP="00D36BD7">
            <w:pPr>
              <w:pStyle w:val="TableHeading"/>
              <w:rPr>
                <w:lang w:val="en-GB"/>
              </w:rPr>
            </w:pPr>
            <w:r w:rsidRPr="00D36BD7">
              <w:rPr>
                <w:lang w:val="en-GB"/>
              </w:rPr>
              <w:t>2017</w:t>
            </w:r>
          </w:p>
        </w:tc>
        <w:tc>
          <w:tcPr>
            <w:tcW w:w="1581" w:type="dxa"/>
            <w:hideMark/>
          </w:tcPr>
          <w:p w14:paraId="2205660D" w14:textId="77777777" w:rsidR="00643AC2" w:rsidRPr="00D36BD7" w:rsidRDefault="00643AC2" w:rsidP="00D36BD7">
            <w:pPr>
              <w:pStyle w:val="TableHeading"/>
              <w:rPr>
                <w:lang w:val="en-GB"/>
              </w:rPr>
            </w:pPr>
            <w:r w:rsidRPr="00D36BD7">
              <w:rPr>
                <w:lang w:val="en-GB"/>
              </w:rPr>
              <w:t>2016</w:t>
            </w:r>
          </w:p>
        </w:tc>
      </w:tr>
      <w:tr w:rsidR="00B04EF6" w:rsidRPr="00D36BD7" w14:paraId="4C4207CF" w14:textId="77777777" w:rsidTr="00D36BD7">
        <w:trPr>
          <w:cantSplit/>
          <w:tblHeader/>
        </w:trPr>
        <w:tc>
          <w:tcPr>
            <w:tcW w:w="7225" w:type="dxa"/>
            <w:hideMark/>
          </w:tcPr>
          <w:p w14:paraId="6C980C07" w14:textId="77777777" w:rsidR="00643AC2" w:rsidRPr="00D36BD7" w:rsidRDefault="00643AC2" w:rsidP="00D36BD7">
            <w:pPr>
              <w:pStyle w:val="TableHeading"/>
              <w:rPr>
                <w:lang w:val="en-GB"/>
              </w:rPr>
            </w:pPr>
          </w:p>
        </w:tc>
        <w:tc>
          <w:tcPr>
            <w:tcW w:w="1580" w:type="dxa"/>
            <w:hideMark/>
          </w:tcPr>
          <w:p w14:paraId="20125AE3" w14:textId="77777777" w:rsidR="00643AC2" w:rsidRPr="00D36BD7" w:rsidRDefault="00643AC2" w:rsidP="00D36BD7">
            <w:pPr>
              <w:pStyle w:val="TableHeading"/>
              <w:rPr>
                <w:lang w:val="en-GB"/>
              </w:rPr>
            </w:pPr>
            <w:r w:rsidRPr="00D36BD7">
              <w:rPr>
                <w:lang w:val="en-GB"/>
              </w:rPr>
              <w:t>$</w:t>
            </w:r>
          </w:p>
        </w:tc>
        <w:tc>
          <w:tcPr>
            <w:tcW w:w="1581" w:type="dxa"/>
            <w:hideMark/>
          </w:tcPr>
          <w:p w14:paraId="7B357121" w14:textId="77777777" w:rsidR="00643AC2" w:rsidRPr="00D36BD7" w:rsidRDefault="00643AC2" w:rsidP="00D36BD7">
            <w:pPr>
              <w:pStyle w:val="TableHeading"/>
              <w:rPr>
                <w:lang w:val="en-GB"/>
              </w:rPr>
            </w:pPr>
            <w:r w:rsidRPr="00D36BD7">
              <w:rPr>
                <w:lang w:val="en-GB"/>
              </w:rPr>
              <w:t>$</w:t>
            </w:r>
          </w:p>
        </w:tc>
      </w:tr>
      <w:tr w:rsidR="00B04EF6" w:rsidRPr="00D36BD7" w14:paraId="075BBC8C" w14:textId="77777777" w:rsidTr="00D36BD7">
        <w:trPr>
          <w:cantSplit/>
        </w:trPr>
        <w:tc>
          <w:tcPr>
            <w:tcW w:w="7225" w:type="dxa"/>
            <w:hideMark/>
          </w:tcPr>
          <w:p w14:paraId="1C325DC1" w14:textId="77777777" w:rsidR="00643AC2" w:rsidRPr="00D36BD7" w:rsidRDefault="00643AC2" w:rsidP="00D36BD7">
            <w:pPr>
              <w:pStyle w:val="TableCopy"/>
              <w:rPr>
                <w:lang w:val="en-GB"/>
              </w:rPr>
            </w:pPr>
            <w:r w:rsidRPr="00D36BD7">
              <w:rPr>
                <w:lang w:val="en-GB"/>
              </w:rPr>
              <w:t>Training for Departmental Graduate Recruitment Scheme</w:t>
            </w:r>
          </w:p>
        </w:tc>
        <w:tc>
          <w:tcPr>
            <w:tcW w:w="1580" w:type="dxa"/>
            <w:hideMark/>
          </w:tcPr>
          <w:p w14:paraId="53436883" w14:textId="77777777" w:rsidR="00643AC2" w:rsidRPr="00D36BD7" w:rsidRDefault="00643AC2" w:rsidP="00D36BD7">
            <w:pPr>
              <w:pStyle w:val="TableCopy"/>
              <w:rPr>
                <w:b/>
                <w:lang w:val="en-GB"/>
              </w:rPr>
            </w:pPr>
            <w:r w:rsidRPr="00D36BD7">
              <w:rPr>
                <w:b/>
                <w:lang w:val="en-GB"/>
              </w:rPr>
              <w:t>1,268,220</w:t>
            </w:r>
          </w:p>
        </w:tc>
        <w:tc>
          <w:tcPr>
            <w:tcW w:w="1581" w:type="dxa"/>
            <w:hideMark/>
          </w:tcPr>
          <w:p w14:paraId="5C0D5AA8" w14:textId="77777777" w:rsidR="00643AC2" w:rsidRPr="00D36BD7" w:rsidRDefault="00643AC2" w:rsidP="00D36BD7">
            <w:pPr>
              <w:pStyle w:val="TableCopy"/>
              <w:rPr>
                <w:lang w:val="en-GB"/>
              </w:rPr>
            </w:pPr>
            <w:r w:rsidRPr="00D36BD7">
              <w:rPr>
                <w:lang w:val="en-GB"/>
              </w:rPr>
              <w:t>1,017,236 </w:t>
            </w:r>
          </w:p>
        </w:tc>
      </w:tr>
      <w:tr w:rsidR="00B04EF6" w:rsidRPr="00D36BD7" w14:paraId="41C12ED6" w14:textId="77777777" w:rsidTr="00D36BD7">
        <w:trPr>
          <w:cantSplit/>
        </w:trPr>
        <w:tc>
          <w:tcPr>
            <w:tcW w:w="7225" w:type="dxa"/>
            <w:hideMark/>
          </w:tcPr>
          <w:p w14:paraId="655CEE58" w14:textId="77777777" w:rsidR="00643AC2" w:rsidRPr="00D36BD7" w:rsidRDefault="00643AC2" w:rsidP="00D36BD7">
            <w:pPr>
              <w:pStyle w:val="TableCopy"/>
              <w:rPr>
                <w:lang w:val="en-GB"/>
              </w:rPr>
            </w:pPr>
            <w:r w:rsidRPr="00D36BD7">
              <w:rPr>
                <w:lang w:val="en-GB"/>
              </w:rPr>
              <w:t>Other services</w:t>
            </w:r>
          </w:p>
        </w:tc>
        <w:tc>
          <w:tcPr>
            <w:tcW w:w="1580" w:type="dxa"/>
            <w:hideMark/>
          </w:tcPr>
          <w:p w14:paraId="39309B9B" w14:textId="77777777" w:rsidR="00643AC2" w:rsidRPr="00D36BD7" w:rsidRDefault="00643AC2" w:rsidP="00D36BD7">
            <w:pPr>
              <w:pStyle w:val="TableCopy"/>
              <w:rPr>
                <w:b/>
                <w:lang w:val="en-GB"/>
              </w:rPr>
            </w:pPr>
            <w:r w:rsidRPr="00D36BD7">
              <w:rPr>
                <w:b/>
                <w:lang w:val="en-GB"/>
              </w:rPr>
              <w:t>1,401,793</w:t>
            </w:r>
          </w:p>
        </w:tc>
        <w:tc>
          <w:tcPr>
            <w:tcW w:w="1581" w:type="dxa"/>
            <w:hideMark/>
          </w:tcPr>
          <w:p w14:paraId="18CE69E5" w14:textId="77777777" w:rsidR="00643AC2" w:rsidRPr="00D36BD7" w:rsidRDefault="00643AC2" w:rsidP="00D36BD7">
            <w:pPr>
              <w:pStyle w:val="TableCopy"/>
              <w:rPr>
                <w:lang w:val="en-GB"/>
              </w:rPr>
            </w:pPr>
            <w:r w:rsidRPr="00D36BD7">
              <w:rPr>
                <w:lang w:val="en-GB"/>
              </w:rPr>
              <w:t>1,204,452</w:t>
            </w:r>
          </w:p>
        </w:tc>
      </w:tr>
      <w:tr w:rsidR="00B04EF6" w:rsidRPr="00D36BD7" w14:paraId="63052CC3" w14:textId="77777777" w:rsidTr="00D36BD7">
        <w:trPr>
          <w:cantSplit/>
        </w:trPr>
        <w:tc>
          <w:tcPr>
            <w:tcW w:w="7225" w:type="dxa"/>
            <w:hideMark/>
          </w:tcPr>
          <w:p w14:paraId="2B2EADDF" w14:textId="77777777" w:rsidR="00643AC2" w:rsidRPr="00D36BD7" w:rsidRDefault="00643AC2" w:rsidP="00D36BD7">
            <w:pPr>
              <w:pStyle w:val="TableCopy"/>
              <w:rPr>
                <w:b/>
                <w:lang w:val="en-GB"/>
              </w:rPr>
            </w:pPr>
            <w:r w:rsidRPr="00D36BD7">
              <w:rPr>
                <w:b/>
                <w:lang w:val="en-GB"/>
              </w:rPr>
              <w:t>Total provision of services</w:t>
            </w:r>
          </w:p>
        </w:tc>
        <w:tc>
          <w:tcPr>
            <w:tcW w:w="1580" w:type="dxa"/>
            <w:hideMark/>
          </w:tcPr>
          <w:p w14:paraId="38D10D98" w14:textId="77777777" w:rsidR="00643AC2" w:rsidRPr="00D36BD7" w:rsidRDefault="00643AC2" w:rsidP="00D36BD7">
            <w:pPr>
              <w:pStyle w:val="TableCopy"/>
              <w:rPr>
                <w:b/>
                <w:lang w:val="en-GB"/>
              </w:rPr>
            </w:pPr>
            <w:r w:rsidRPr="00D36BD7">
              <w:rPr>
                <w:b/>
                <w:lang w:val="en-GB"/>
              </w:rPr>
              <w:t>2,670,013</w:t>
            </w:r>
          </w:p>
        </w:tc>
        <w:tc>
          <w:tcPr>
            <w:tcW w:w="1581" w:type="dxa"/>
            <w:hideMark/>
          </w:tcPr>
          <w:p w14:paraId="470341EE" w14:textId="77777777" w:rsidR="00643AC2" w:rsidRPr="00D36BD7" w:rsidRDefault="00643AC2" w:rsidP="00D36BD7">
            <w:pPr>
              <w:pStyle w:val="TableCopy"/>
              <w:rPr>
                <w:lang w:val="en-GB"/>
              </w:rPr>
            </w:pPr>
            <w:r w:rsidRPr="00D36BD7">
              <w:rPr>
                <w:lang w:val="en-GB"/>
              </w:rPr>
              <w:t>2,221,688</w:t>
            </w:r>
          </w:p>
        </w:tc>
      </w:tr>
    </w:tbl>
    <w:p w14:paraId="1FF9D49B" w14:textId="5C3ACE58" w:rsidR="00643AC2" w:rsidRPr="00643AC2" w:rsidRDefault="00643AC2" w:rsidP="00643AC2">
      <w:pPr>
        <w:rPr>
          <w:lang w:val="en-GB"/>
        </w:rPr>
      </w:pPr>
      <w:r w:rsidRPr="00643AC2">
        <w:rPr>
          <w:lang w:val="en-GB"/>
        </w:rPr>
        <w:t>Income from the provision of services is recognised when the service</w:t>
      </w:r>
      <w:r w:rsidR="00AF6A7A">
        <w:rPr>
          <w:lang w:val="en-GB"/>
        </w:rPr>
        <w:t xml:space="preserve">s are provided or by reference </w:t>
      </w:r>
      <w:r w:rsidRPr="00643AC2">
        <w:rPr>
          <w:lang w:val="en-GB"/>
        </w:rPr>
        <w:t>to the stage of completion of the services being provided.</w:t>
      </w:r>
    </w:p>
    <w:p w14:paraId="4E5DF920" w14:textId="4A27AB73" w:rsidR="00643AC2" w:rsidRPr="00643AC2" w:rsidRDefault="00643AC2" w:rsidP="003B71AD">
      <w:pPr>
        <w:pStyle w:val="Heading2"/>
        <w:rPr>
          <w:lang w:val="en-GB"/>
        </w:rPr>
      </w:pPr>
      <w:bookmarkStart w:id="82" w:name="_Toc494112010"/>
      <w:r w:rsidRPr="00643AC2">
        <w:rPr>
          <w:lang w:val="en-GB"/>
        </w:rPr>
        <w:t>3.</w:t>
      </w:r>
      <w:r w:rsidRPr="00643AC2">
        <w:rPr>
          <w:lang w:val="en-GB"/>
        </w:rPr>
        <w:t> </w:t>
      </w:r>
      <w:r w:rsidR="003B71AD">
        <w:rPr>
          <w:lang w:val="en-GB"/>
        </w:rPr>
        <w:t>T</w:t>
      </w:r>
      <w:r w:rsidRPr="00643AC2">
        <w:rPr>
          <w:lang w:val="en-GB"/>
        </w:rPr>
        <w:t>he cost of delivering services</w:t>
      </w:r>
      <w:bookmarkEnd w:id="82"/>
    </w:p>
    <w:p w14:paraId="062B3105" w14:textId="77777777" w:rsidR="00643AC2" w:rsidRPr="00643AC2" w:rsidRDefault="00643AC2" w:rsidP="003B71AD">
      <w:pPr>
        <w:pStyle w:val="Heading3"/>
        <w:rPr>
          <w:lang w:val="en-GB"/>
        </w:rPr>
      </w:pPr>
      <w:bookmarkStart w:id="83" w:name="_Toc494112011"/>
      <w:r w:rsidRPr="00643AC2">
        <w:rPr>
          <w:lang w:val="en-GB"/>
        </w:rPr>
        <w:t>Introduction</w:t>
      </w:r>
      <w:bookmarkEnd w:id="83"/>
    </w:p>
    <w:p w14:paraId="420451FA" w14:textId="77777777" w:rsidR="00643AC2" w:rsidRPr="00643AC2" w:rsidRDefault="00643AC2" w:rsidP="00643AC2">
      <w:pPr>
        <w:rPr>
          <w:lang w:val="en-GB"/>
        </w:rPr>
      </w:pPr>
      <w:r w:rsidRPr="00643AC2">
        <w:rPr>
          <w:lang w:val="en-GB"/>
        </w:rPr>
        <w:t>This section provides an account of the expenses incurred by the Commission in delivering services.</w:t>
      </w:r>
      <w:r w:rsidRPr="00643AC2">
        <w:rPr>
          <w:lang w:val="en-GB"/>
        </w:rPr>
        <w:tab/>
      </w:r>
    </w:p>
    <w:p w14:paraId="3AC9B066" w14:textId="77777777" w:rsidR="00643AC2" w:rsidRPr="00643AC2" w:rsidRDefault="00643AC2" w:rsidP="003B71AD">
      <w:pPr>
        <w:pStyle w:val="Heading3"/>
        <w:rPr>
          <w:lang w:val="en-GB"/>
        </w:rPr>
      </w:pPr>
      <w:bookmarkStart w:id="84" w:name="_Toc494112012"/>
      <w:r w:rsidRPr="00643AC2">
        <w:rPr>
          <w:lang w:val="en-GB"/>
        </w:rPr>
        <w:t>Structure</w:t>
      </w:r>
      <w:bookmarkEnd w:id="84"/>
    </w:p>
    <w:p w14:paraId="668104F4" w14:textId="6EE93690" w:rsidR="00643AC2" w:rsidRPr="00643AC2" w:rsidRDefault="00643AC2" w:rsidP="00643AC2">
      <w:pPr>
        <w:rPr>
          <w:lang w:val="en-GB"/>
        </w:rPr>
      </w:pPr>
      <w:r w:rsidRPr="00643AC2">
        <w:rPr>
          <w:lang w:val="en-GB"/>
        </w:rPr>
        <w:t>3.1.</w:t>
      </w:r>
      <w:r w:rsidRPr="00643AC2">
        <w:rPr>
          <w:lang w:val="en-GB"/>
        </w:rPr>
        <w:t> </w:t>
      </w:r>
      <w:r w:rsidR="003B71AD">
        <w:rPr>
          <w:lang w:val="en-GB"/>
        </w:rPr>
        <w:t>E</w:t>
      </w:r>
      <w:r w:rsidRPr="00643AC2">
        <w:rPr>
          <w:lang w:val="en-GB"/>
        </w:rPr>
        <w:t>xpenses incurred in delivery of services</w:t>
      </w:r>
    </w:p>
    <w:p w14:paraId="7EA804EA" w14:textId="03DF1FB6" w:rsidR="00643AC2" w:rsidRPr="00643AC2" w:rsidRDefault="00643AC2" w:rsidP="00643AC2">
      <w:pPr>
        <w:rPr>
          <w:lang w:val="en-GB"/>
        </w:rPr>
      </w:pPr>
      <w:r w:rsidRPr="00643AC2">
        <w:rPr>
          <w:lang w:val="en-GB"/>
        </w:rPr>
        <w:t>3.2.</w:t>
      </w:r>
      <w:r w:rsidRPr="00643AC2">
        <w:rPr>
          <w:lang w:val="en-GB"/>
        </w:rPr>
        <w:t> </w:t>
      </w:r>
      <w:r w:rsidR="003B71AD">
        <w:rPr>
          <w:lang w:val="en-GB"/>
        </w:rPr>
        <w:t>C</w:t>
      </w:r>
      <w:r w:rsidRPr="00643AC2">
        <w:rPr>
          <w:lang w:val="en-GB"/>
        </w:rPr>
        <w:t>apital asset charge</w:t>
      </w:r>
    </w:p>
    <w:p w14:paraId="0ED18404" w14:textId="21D04417" w:rsidR="00643AC2" w:rsidRPr="00643AC2" w:rsidRDefault="00643AC2" w:rsidP="00643AC2">
      <w:pPr>
        <w:rPr>
          <w:lang w:val="en-GB"/>
        </w:rPr>
      </w:pPr>
      <w:r w:rsidRPr="00643AC2">
        <w:rPr>
          <w:lang w:val="en-GB"/>
        </w:rPr>
        <w:t>3.3.</w:t>
      </w:r>
      <w:r w:rsidRPr="00643AC2">
        <w:rPr>
          <w:lang w:val="en-GB"/>
        </w:rPr>
        <w:t> </w:t>
      </w:r>
      <w:r w:rsidR="003B71AD">
        <w:rPr>
          <w:lang w:val="en-GB"/>
        </w:rPr>
        <w:t>O</w:t>
      </w:r>
      <w:r w:rsidRPr="00643AC2">
        <w:rPr>
          <w:lang w:val="en-GB"/>
        </w:rPr>
        <w:t>ther operating expenses</w:t>
      </w:r>
    </w:p>
    <w:p w14:paraId="16C23C70" w14:textId="4DD0D7F5" w:rsidR="00643AC2" w:rsidRPr="00643AC2" w:rsidRDefault="00643AC2" w:rsidP="00323905">
      <w:pPr>
        <w:pStyle w:val="Heading4"/>
        <w:rPr>
          <w:lang w:val="en-GB"/>
        </w:rPr>
      </w:pPr>
      <w:r w:rsidRPr="00643AC2">
        <w:rPr>
          <w:lang w:val="en-GB"/>
        </w:rPr>
        <w:t>3.1.</w:t>
      </w:r>
      <w:r w:rsidRPr="00643AC2">
        <w:rPr>
          <w:lang w:val="en-GB"/>
        </w:rPr>
        <w:t> </w:t>
      </w:r>
      <w:r w:rsidR="003B71AD">
        <w:rPr>
          <w:lang w:val="en-GB"/>
        </w:rPr>
        <w:t>E</w:t>
      </w:r>
      <w:r w:rsidRPr="00643AC2">
        <w:rPr>
          <w:lang w:val="en-GB"/>
        </w:rPr>
        <w:t>xpenses incurred in delivery of services</w:t>
      </w:r>
    </w:p>
    <w:tbl>
      <w:tblPr>
        <w:tblStyle w:val="TableGrid"/>
        <w:tblW w:w="0" w:type="auto"/>
        <w:tblLook w:val="04A0" w:firstRow="1" w:lastRow="0" w:firstColumn="1" w:lastColumn="0" w:noHBand="0" w:noVBand="1"/>
      </w:tblPr>
      <w:tblGrid>
        <w:gridCol w:w="5751"/>
        <w:gridCol w:w="1568"/>
        <w:gridCol w:w="1568"/>
        <w:gridCol w:w="1569"/>
      </w:tblGrid>
      <w:tr w:rsidR="00F67077" w:rsidRPr="00643AC2" w14:paraId="2EAD2B08" w14:textId="77777777" w:rsidTr="00095313">
        <w:trPr>
          <w:cantSplit/>
          <w:tblHeader/>
        </w:trPr>
        <w:tc>
          <w:tcPr>
            <w:tcW w:w="5751" w:type="dxa"/>
            <w:hideMark/>
          </w:tcPr>
          <w:p w14:paraId="349543E5" w14:textId="77777777" w:rsidR="00643AC2" w:rsidRPr="00095313" w:rsidRDefault="00643AC2" w:rsidP="00095313">
            <w:pPr>
              <w:pStyle w:val="TableHeading"/>
              <w:rPr>
                <w:lang w:val="en-GB"/>
              </w:rPr>
            </w:pPr>
          </w:p>
        </w:tc>
        <w:tc>
          <w:tcPr>
            <w:tcW w:w="1568" w:type="dxa"/>
            <w:hideMark/>
          </w:tcPr>
          <w:p w14:paraId="5D5A6C4D" w14:textId="77777777" w:rsidR="00643AC2" w:rsidRPr="00095313" w:rsidRDefault="00643AC2" w:rsidP="00095313">
            <w:pPr>
              <w:pStyle w:val="TableHeading"/>
              <w:rPr>
                <w:lang w:val="en-GB"/>
              </w:rPr>
            </w:pPr>
          </w:p>
        </w:tc>
        <w:tc>
          <w:tcPr>
            <w:tcW w:w="1568" w:type="dxa"/>
            <w:hideMark/>
          </w:tcPr>
          <w:p w14:paraId="70F9A414" w14:textId="77777777" w:rsidR="00643AC2" w:rsidRPr="00095313" w:rsidRDefault="00643AC2" w:rsidP="00095313">
            <w:pPr>
              <w:pStyle w:val="TableHeading"/>
              <w:rPr>
                <w:lang w:val="en-GB"/>
              </w:rPr>
            </w:pPr>
            <w:r w:rsidRPr="00095313">
              <w:rPr>
                <w:bCs/>
                <w:lang w:val="en-GB"/>
              </w:rPr>
              <w:t>2017</w:t>
            </w:r>
          </w:p>
        </w:tc>
        <w:tc>
          <w:tcPr>
            <w:tcW w:w="1569" w:type="dxa"/>
            <w:hideMark/>
          </w:tcPr>
          <w:p w14:paraId="341898DD" w14:textId="77777777" w:rsidR="00643AC2" w:rsidRPr="00095313" w:rsidRDefault="00643AC2" w:rsidP="00095313">
            <w:pPr>
              <w:pStyle w:val="TableHeading"/>
              <w:rPr>
                <w:lang w:val="en-GB"/>
              </w:rPr>
            </w:pPr>
            <w:r w:rsidRPr="00095313">
              <w:rPr>
                <w:bCs/>
                <w:lang w:val="en-GB"/>
              </w:rPr>
              <w:t>2016</w:t>
            </w:r>
          </w:p>
        </w:tc>
      </w:tr>
      <w:tr w:rsidR="00F67077" w:rsidRPr="00643AC2" w14:paraId="5D9F3CFD" w14:textId="77777777" w:rsidTr="00095313">
        <w:trPr>
          <w:cantSplit/>
          <w:tblHeader/>
        </w:trPr>
        <w:tc>
          <w:tcPr>
            <w:tcW w:w="5751" w:type="dxa"/>
            <w:hideMark/>
          </w:tcPr>
          <w:p w14:paraId="44589617" w14:textId="77777777" w:rsidR="00643AC2" w:rsidRPr="00095313" w:rsidRDefault="00643AC2" w:rsidP="00095313">
            <w:pPr>
              <w:pStyle w:val="TableHeading"/>
              <w:rPr>
                <w:lang w:val="en-GB"/>
              </w:rPr>
            </w:pPr>
          </w:p>
        </w:tc>
        <w:tc>
          <w:tcPr>
            <w:tcW w:w="1568" w:type="dxa"/>
            <w:hideMark/>
          </w:tcPr>
          <w:p w14:paraId="1582D570" w14:textId="77777777" w:rsidR="00643AC2" w:rsidRPr="00095313" w:rsidRDefault="00643AC2" w:rsidP="00095313">
            <w:pPr>
              <w:pStyle w:val="TableHeading"/>
              <w:rPr>
                <w:lang w:val="en-GB"/>
              </w:rPr>
            </w:pPr>
            <w:r w:rsidRPr="00095313">
              <w:rPr>
                <w:bCs/>
                <w:lang w:val="en-GB"/>
              </w:rPr>
              <w:t>Notes</w:t>
            </w:r>
          </w:p>
        </w:tc>
        <w:tc>
          <w:tcPr>
            <w:tcW w:w="1568" w:type="dxa"/>
            <w:hideMark/>
          </w:tcPr>
          <w:p w14:paraId="5742DE70" w14:textId="77777777" w:rsidR="00643AC2" w:rsidRPr="00095313" w:rsidRDefault="00643AC2" w:rsidP="00095313">
            <w:pPr>
              <w:pStyle w:val="TableHeading"/>
              <w:rPr>
                <w:lang w:val="en-GB"/>
              </w:rPr>
            </w:pPr>
            <w:r w:rsidRPr="00095313">
              <w:rPr>
                <w:bCs/>
                <w:lang w:val="en-GB"/>
              </w:rPr>
              <w:t>$</w:t>
            </w:r>
          </w:p>
        </w:tc>
        <w:tc>
          <w:tcPr>
            <w:tcW w:w="1569" w:type="dxa"/>
            <w:hideMark/>
          </w:tcPr>
          <w:p w14:paraId="3B5C43BB" w14:textId="77777777" w:rsidR="00643AC2" w:rsidRPr="00095313" w:rsidRDefault="00643AC2" w:rsidP="00095313">
            <w:pPr>
              <w:pStyle w:val="TableHeading"/>
              <w:rPr>
                <w:lang w:val="en-GB"/>
              </w:rPr>
            </w:pPr>
            <w:r w:rsidRPr="00095313">
              <w:rPr>
                <w:bCs/>
                <w:lang w:val="en-GB"/>
              </w:rPr>
              <w:t>$</w:t>
            </w:r>
          </w:p>
        </w:tc>
      </w:tr>
      <w:tr w:rsidR="00F67077" w:rsidRPr="00643AC2" w14:paraId="6FB6C38B" w14:textId="77777777" w:rsidTr="00095313">
        <w:trPr>
          <w:cantSplit/>
        </w:trPr>
        <w:tc>
          <w:tcPr>
            <w:tcW w:w="5751" w:type="dxa"/>
            <w:hideMark/>
          </w:tcPr>
          <w:p w14:paraId="40F3B0DE" w14:textId="77777777" w:rsidR="00643AC2" w:rsidRPr="00095313" w:rsidRDefault="00643AC2" w:rsidP="00095313">
            <w:pPr>
              <w:pStyle w:val="TableCopy"/>
              <w:rPr>
                <w:lang w:val="en-GB"/>
              </w:rPr>
            </w:pPr>
            <w:r w:rsidRPr="00095313">
              <w:rPr>
                <w:lang w:val="en-GB"/>
              </w:rPr>
              <w:t>Employee benefits</w:t>
            </w:r>
          </w:p>
        </w:tc>
        <w:tc>
          <w:tcPr>
            <w:tcW w:w="1568" w:type="dxa"/>
            <w:hideMark/>
          </w:tcPr>
          <w:p w14:paraId="5FD51142" w14:textId="77777777" w:rsidR="00643AC2" w:rsidRPr="00095313" w:rsidRDefault="00643AC2" w:rsidP="00095313">
            <w:pPr>
              <w:pStyle w:val="TableCopy"/>
              <w:rPr>
                <w:lang w:val="en-GB"/>
              </w:rPr>
            </w:pPr>
            <w:r w:rsidRPr="00095313">
              <w:rPr>
                <w:lang w:val="en-GB"/>
              </w:rPr>
              <w:t>3.1.1</w:t>
            </w:r>
          </w:p>
        </w:tc>
        <w:tc>
          <w:tcPr>
            <w:tcW w:w="1568" w:type="dxa"/>
            <w:hideMark/>
          </w:tcPr>
          <w:p w14:paraId="0C03FE4D" w14:textId="77777777" w:rsidR="00643AC2" w:rsidRPr="00095313" w:rsidRDefault="00643AC2" w:rsidP="00095313">
            <w:pPr>
              <w:pStyle w:val="TableCopy"/>
              <w:rPr>
                <w:b/>
                <w:lang w:val="en-GB"/>
              </w:rPr>
            </w:pPr>
            <w:r w:rsidRPr="00095313">
              <w:rPr>
                <w:b/>
                <w:lang w:val="en-GB"/>
              </w:rPr>
              <w:t>8,539,924</w:t>
            </w:r>
          </w:p>
        </w:tc>
        <w:tc>
          <w:tcPr>
            <w:tcW w:w="1569" w:type="dxa"/>
            <w:hideMark/>
          </w:tcPr>
          <w:p w14:paraId="103F83FA" w14:textId="77777777" w:rsidR="00643AC2" w:rsidRPr="00095313" w:rsidRDefault="00643AC2" w:rsidP="00095313">
            <w:pPr>
              <w:pStyle w:val="TableCopy"/>
              <w:rPr>
                <w:lang w:val="en-GB"/>
              </w:rPr>
            </w:pPr>
            <w:r w:rsidRPr="00095313">
              <w:rPr>
                <w:lang w:val="en-GB"/>
              </w:rPr>
              <w:t>6,303,788</w:t>
            </w:r>
          </w:p>
        </w:tc>
      </w:tr>
      <w:tr w:rsidR="00F67077" w:rsidRPr="00643AC2" w14:paraId="29248F8F" w14:textId="77777777" w:rsidTr="00095313">
        <w:trPr>
          <w:cantSplit/>
        </w:trPr>
        <w:tc>
          <w:tcPr>
            <w:tcW w:w="5751" w:type="dxa"/>
            <w:hideMark/>
          </w:tcPr>
          <w:p w14:paraId="51788E67" w14:textId="77777777" w:rsidR="00643AC2" w:rsidRPr="00095313" w:rsidRDefault="00643AC2" w:rsidP="00095313">
            <w:pPr>
              <w:pStyle w:val="TableCopy"/>
              <w:rPr>
                <w:lang w:val="en-GB"/>
              </w:rPr>
            </w:pPr>
            <w:r w:rsidRPr="00095313">
              <w:rPr>
                <w:lang w:val="en-GB"/>
              </w:rPr>
              <w:t>Depreciation</w:t>
            </w:r>
          </w:p>
        </w:tc>
        <w:tc>
          <w:tcPr>
            <w:tcW w:w="1568" w:type="dxa"/>
            <w:hideMark/>
          </w:tcPr>
          <w:p w14:paraId="18FBD645" w14:textId="77777777" w:rsidR="00643AC2" w:rsidRPr="00095313" w:rsidRDefault="00643AC2" w:rsidP="00095313">
            <w:pPr>
              <w:pStyle w:val="TableCopy"/>
              <w:rPr>
                <w:lang w:val="en-GB"/>
              </w:rPr>
            </w:pPr>
            <w:r w:rsidRPr="00095313">
              <w:rPr>
                <w:lang w:val="en-GB"/>
              </w:rPr>
              <w:t>4.3</w:t>
            </w:r>
          </w:p>
        </w:tc>
        <w:tc>
          <w:tcPr>
            <w:tcW w:w="1568" w:type="dxa"/>
            <w:hideMark/>
          </w:tcPr>
          <w:p w14:paraId="1057C82C" w14:textId="77777777" w:rsidR="00643AC2" w:rsidRPr="00095313" w:rsidRDefault="00643AC2" w:rsidP="00095313">
            <w:pPr>
              <w:pStyle w:val="TableCopy"/>
              <w:rPr>
                <w:b/>
                <w:lang w:val="en-GB"/>
              </w:rPr>
            </w:pPr>
            <w:r w:rsidRPr="00095313">
              <w:rPr>
                <w:b/>
                <w:lang w:val="en-GB"/>
              </w:rPr>
              <w:t>102,265</w:t>
            </w:r>
          </w:p>
        </w:tc>
        <w:tc>
          <w:tcPr>
            <w:tcW w:w="1569" w:type="dxa"/>
            <w:hideMark/>
          </w:tcPr>
          <w:p w14:paraId="12A6EED1" w14:textId="77777777" w:rsidR="00643AC2" w:rsidRPr="00095313" w:rsidRDefault="00643AC2" w:rsidP="00095313">
            <w:pPr>
              <w:pStyle w:val="TableCopy"/>
              <w:rPr>
                <w:lang w:val="en-GB"/>
              </w:rPr>
            </w:pPr>
            <w:r w:rsidRPr="00095313">
              <w:rPr>
                <w:lang w:val="en-GB"/>
              </w:rPr>
              <w:t>169,105</w:t>
            </w:r>
          </w:p>
        </w:tc>
      </w:tr>
      <w:tr w:rsidR="00F67077" w:rsidRPr="00643AC2" w14:paraId="35C4F8FA" w14:textId="77777777" w:rsidTr="00095313">
        <w:trPr>
          <w:cantSplit/>
        </w:trPr>
        <w:tc>
          <w:tcPr>
            <w:tcW w:w="5751" w:type="dxa"/>
            <w:hideMark/>
          </w:tcPr>
          <w:p w14:paraId="7AA42D4C" w14:textId="77777777" w:rsidR="00643AC2" w:rsidRPr="00095313" w:rsidRDefault="00643AC2" w:rsidP="00095313">
            <w:pPr>
              <w:pStyle w:val="TableCopy"/>
              <w:rPr>
                <w:lang w:val="en-GB"/>
              </w:rPr>
            </w:pPr>
            <w:r w:rsidRPr="00095313">
              <w:rPr>
                <w:lang w:val="en-GB"/>
              </w:rPr>
              <w:t>Interest expense</w:t>
            </w:r>
          </w:p>
        </w:tc>
        <w:tc>
          <w:tcPr>
            <w:tcW w:w="1568" w:type="dxa"/>
            <w:hideMark/>
          </w:tcPr>
          <w:p w14:paraId="076AC056" w14:textId="77777777" w:rsidR="00643AC2" w:rsidRPr="00095313" w:rsidRDefault="00643AC2" w:rsidP="00095313">
            <w:pPr>
              <w:pStyle w:val="TableCopy"/>
              <w:rPr>
                <w:lang w:val="en-GB"/>
              </w:rPr>
            </w:pPr>
          </w:p>
        </w:tc>
        <w:tc>
          <w:tcPr>
            <w:tcW w:w="1568" w:type="dxa"/>
            <w:hideMark/>
          </w:tcPr>
          <w:p w14:paraId="2561634F" w14:textId="77777777" w:rsidR="00643AC2" w:rsidRPr="00095313" w:rsidRDefault="00643AC2" w:rsidP="00095313">
            <w:pPr>
              <w:pStyle w:val="TableCopy"/>
              <w:rPr>
                <w:b/>
                <w:lang w:val="en-GB"/>
              </w:rPr>
            </w:pPr>
            <w:r w:rsidRPr="00095313">
              <w:rPr>
                <w:b/>
                <w:lang w:val="en-GB"/>
              </w:rPr>
              <w:t>3,963</w:t>
            </w:r>
          </w:p>
        </w:tc>
        <w:tc>
          <w:tcPr>
            <w:tcW w:w="1569" w:type="dxa"/>
            <w:hideMark/>
          </w:tcPr>
          <w:p w14:paraId="242B8CCA" w14:textId="77777777" w:rsidR="00643AC2" w:rsidRPr="00095313" w:rsidRDefault="00643AC2" w:rsidP="00095313">
            <w:pPr>
              <w:pStyle w:val="TableCopy"/>
              <w:rPr>
                <w:lang w:val="en-GB"/>
              </w:rPr>
            </w:pPr>
            <w:r w:rsidRPr="00095313">
              <w:rPr>
                <w:lang w:val="en-GB"/>
              </w:rPr>
              <w:t>1,635</w:t>
            </w:r>
          </w:p>
        </w:tc>
      </w:tr>
      <w:tr w:rsidR="00F67077" w:rsidRPr="00643AC2" w14:paraId="0AF88D96" w14:textId="77777777" w:rsidTr="00095313">
        <w:trPr>
          <w:cantSplit/>
        </w:trPr>
        <w:tc>
          <w:tcPr>
            <w:tcW w:w="5751" w:type="dxa"/>
            <w:hideMark/>
          </w:tcPr>
          <w:p w14:paraId="60904F42" w14:textId="77777777" w:rsidR="00643AC2" w:rsidRPr="00095313" w:rsidRDefault="00643AC2" w:rsidP="00095313">
            <w:pPr>
              <w:pStyle w:val="TableCopy"/>
              <w:rPr>
                <w:lang w:val="en-GB"/>
              </w:rPr>
            </w:pPr>
            <w:r w:rsidRPr="00095313">
              <w:rPr>
                <w:lang w:val="en-GB"/>
              </w:rPr>
              <w:t>Capital asset charge</w:t>
            </w:r>
          </w:p>
        </w:tc>
        <w:tc>
          <w:tcPr>
            <w:tcW w:w="1568" w:type="dxa"/>
            <w:hideMark/>
          </w:tcPr>
          <w:p w14:paraId="1B3D78E9" w14:textId="77777777" w:rsidR="00643AC2" w:rsidRPr="00095313" w:rsidRDefault="00643AC2" w:rsidP="00095313">
            <w:pPr>
              <w:pStyle w:val="TableCopy"/>
              <w:rPr>
                <w:lang w:val="en-GB"/>
              </w:rPr>
            </w:pPr>
            <w:r w:rsidRPr="00095313">
              <w:rPr>
                <w:lang w:val="en-GB"/>
              </w:rPr>
              <w:t>3.2</w:t>
            </w:r>
          </w:p>
        </w:tc>
        <w:tc>
          <w:tcPr>
            <w:tcW w:w="1568" w:type="dxa"/>
            <w:hideMark/>
          </w:tcPr>
          <w:p w14:paraId="205445A2" w14:textId="77777777" w:rsidR="00643AC2" w:rsidRPr="00095313" w:rsidRDefault="00643AC2" w:rsidP="00095313">
            <w:pPr>
              <w:pStyle w:val="TableCopy"/>
              <w:rPr>
                <w:b/>
                <w:lang w:val="en-GB"/>
              </w:rPr>
            </w:pPr>
            <w:r w:rsidRPr="00095313">
              <w:rPr>
                <w:b/>
                <w:lang w:val="en-GB"/>
              </w:rPr>
              <w:t>69,008</w:t>
            </w:r>
          </w:p>
        </w:tc>
        <w:tc>
          <w:tcPr>
            <w:tcW w:w="1569" w:type="dxa"/>
            <w:hideMark/>
          </w:tcPr>
          <w:p w14:paraId="5C001A29" w14:textId="77777777" w:rsidR="00643AC2" w:rsidRPr="00095313" w:rsidRDefault="00643AC2" w:rsidP="00095313">
            <w:pPr>
              <w:pStyle w:val="TableCopy"/>
              <w:rPr>
                <w:lang w:val="en-GB"/>
              </w:rPr>
            </w:pPr>
            <w:r w:rsidRPr="00095313">
              <w:rPr>
                <w:lang w:val="en-GB"/>
              </w:rPr>
              <w:t>67,000</w:t>
            </w:r>
          </w:p>
        </w:tc>
      </w:tr>
      <w:tr w:rsidR="00F67077" w:rsidRPr="00643AC2" w14:paraId="1248B5B0" w14:textId="77777777" w:rsidTr="00095313">
        <w:trPr>
          <w:cantSplit/>
        </w:trPr>
        <w:tc>
          <w:tcPr>
            <w:tcW w:w="5751" w:type="dxa"/>
            <w:hideMark/>
          </w:tcPr>
          <w:p w14:paraId="7C5C5C2D" w14:textId="77777777" w:rsidR="00643AC2" w:rsidRPr="00095313" w:rsidRDefault="00643AC2" w:rsidP="00095313">
            <w:pPr>
              <w:pStyle w:val="TableCopy"/>
              <w:rPr>
                <w:lang w:val="en-GB"/>
              </w:rPr>
            </w:pPr>
            <w:r w:rsidRPr="00095313">
              <w:rPr>
                <w:lang w:val="en-GB"/>
              </w:rPr>
              <w:t>Grant expenses</w:t>
            </w:r>
          </w:p>
        </w:tc>
        <w:tc>
          <w:tcPr>
            <w:tcW w:w="1568" w:type="dxa"/>
            <w:hideMark/>
          </w:tcPr>
          <w:p w14:paraId="7E491C63" w14:textId="77777777" w:rsidR="00643AC2" w:rsidRPr="00095313" w:rsidRDefault="00643AC2" w:rsidP="00095313">
            <w:pPr>
              <w:pStyle w:val="TableCopy"/>
              <w:rPr>
                <w:lang w:val="en-GB"/>
              </w:rPr>
            </w:pPr>
          </w:p>
        </w:tc>
        <w:tc>
          <w:tcPr>
            <w:tcW w:w="1568" w:type="dxa"/>
            <w:hideMark/>
          </w:tcPr>
          <w:p w14:paraId="55D2ED7C" w14:textId="77777777" w:rsidR="00643AC2" w:rsidRPr="00095313" w:rsidRDefault="00643AC2" w:rsidP="00095313">
            <w:pPr>
              <w:pStyle w:val="TableCopy"/>
              <w:rPr>
                <w:b/>
                <w:lang w:val="en-GB"/>
              </w:rPr>
            </w:pPr>
            <w:r w:rsidRPr="00095313">
              <w:rPr>
                <w:b/>
                <w:lang w:val="en-GB"/>
              </w:rPr>
              <w:t>12,500</w:t>
            </w:r>
          </w:p>
        </w:tc>
        <w:tc>
          <w:tcPr>
            <w:tcW w:w="1569" w:type="dxa"/>
            <w:hideMark/>
          </w:tcPr>
          <w:p w14:paraId="17EDA111" w14:textId="77777777" w:rsidR="00643AC2" w:rsidRPr="00095313" w:rsidRDefault="00643AC2" w:rsidP="00095313">
            <w:pPr>
              <w:pStyle w:val="TableCopy"/>
              <w:rPr>
                <w:lang w:val="en-GB"/>
              </w:rPr>
            </w:pPr>
            <w:r w:rsidRPr="00095313">
              <w:rPr>
                <w:lang w:val="en-GB"/>
              </w:rPr>
              <w:t>-</w:t>
            </w:r>
          </w:p>
        </w:tc>
      </w:tr>
      <w:tr w:rsidR="00F67077" w:rsidRPr="00643AC2" w14:paraId="0898F151" w14:textId="77777777" w:rsidTr="00095313">
        <w:trPr>
          <w:cantSplit/>
        </w:trPr>
        <w:tc>
          <w:tcPr>
            <w:tcW w:w="5751" w:type="dxa"/>
            <w:hideMark/>
          </w:tcPr>
          <w:p w14:paraId="0A6ED05F" w14:textId="77777777" w:rsidR="00643AC2" w:rsidRPr="00095313" w:rsidRDefault="00643AC2" w:rsidP="00095313">
            <w:pPr>
              <w:pStyle w:val="TableCopy"/>
              <w:rPr>
                <w:lang w:val="en-GB"/>
              </w:rPr>
            </w:pPr>
            <w:r w:rsidRPr="00095313">
              <w:rPr>
                <w:lang w:val="en-GB"/>
              </w:rPr>
              <w:t>Other operating expenses</w:t>
            </w:r>
          </w:p>
        </w:tc>
        <w:tc>
          <w:tcPr>
            <w:tcW w:w="1568" w:type="dxa"/>
            <w:hideMark/>
          </w:tcPr>
          <w:p w14:paraId="583C7F29" w14:textId="77777777" w:rsidR="00643AC2" w:rsidRPr="00095313" w:rsidRDefault="00643AC2" w:rsidP="00095313">
            <w:pPr>
              <w:pStyle w:val="TableCopy"/>
              <w:rPr>
                <w:lang w:val="en-GB"/>
              </w:rPr>
            </w:pPr>
            <w:r w:rsidRPr="00095313">
              <w:rPr>
                <w:lang w:val="en-GB"/>
              </w:rPr>
              <w:t>3.3</w:t>
            </w:r>
          </w:p>
        </w:tc>
        <w:tc>
          <w:tcPr>
            <w:tcW w:w="1568" w:type="dxa"/>
            <w:hideMark/>
          </w:tcPr>
          <w:p w14:paraId="23E74002" w14:textId="77777777" w:rsidR="00643AC2" w:rsidRPr="00095313" w:rsidRDefault="00643AC2" w:rsidP="00095313">
            <w:pPr>
              <w:pStyle w:val="TableCopy"/>
              <w:rPr>
                <w:b/>
                <w:lang w:val="en-GB"/>
              </w:rPr>
            </w:pPr>
            <w:r w:rsidRPr="00095313">
              <w:rPr>
                <w:b/>
                <w:lang w:val="en-GB"/>
              </w:rPr>
              <w:t>5,571,949</w:t>
            </w:r>
          </w:p>
        </w:tc>
        <w:tc>
          <w:tcPr>
            <w:tcW w:w="1569" w:type="dxa"/>
            <w:hideMark/>
          </w:tcPr>
          <w:p w14:paraId="798F46B8" w14:textId="77777777" w:rsidR="00643AC2" w:rsidRPr="00095313" w:rsidRDefault="00643AC2" w:rsidP="00095313">
            <w:pPr>
              <w:pStyle w:val="TableCopy"/>
              <w:rPr>
                <w:lang w:val="en-GB"/>
              </w:rPr>
            </w:pPr>
            <w:r w:rsidRPr="00095313">
              <w:rPr>
                <w:lang w:val="en-GB"/>
              </w:rPr>
              <w:t>3,808,009</w:t>
            </w:r>
          </w:p>
        </w:tc>
      </w:tr>
      <w:tr w:rsidR="00F67077" w:rsidRPr="00643AC2" w14:paraId="14ACB222" w14:textId="77777777" w:rsidTr="00095313">
        <w:trPr>
          <w:cantSplit/>
        </w:trPr>
        <w:tc>
          <w:tcPr>
            <w:tcW w:w="5751" w:type="dxa"/>
            <w:hideMark/>
          </w:tcPr>
          <w:p w14:paraId="6E6E5643" w14:textId="77777777" w:rsidR="00643AC2" w:rsidRPr="00095313" w:rsidRDefault="00643AC2" w:rsidP="00095313">
            <w:pPr>
              <w:pStyle w:val="TableCopy"/>
              <w:rPr>
                <w:b/>
                <w:lang w:val="en-GB"/>
              </w:rPr>
            </w:pPr>
            <w:r w:rsidRPr="00095313">
              <w:rPr>
                <w:b/>
                <w:lang w:val="en-GB"/>
              </w:rPr>
              <w:t>Total expenses incurred in delivery of services</w:t>
            </w:r>
          </w:p>
        </w:tc>
        <w:tc>
          <w:tcPr>
            <w:tcW w:w="1568" w:type="dxa"/>
            <w:hideMark/>
          </w:tcPr>
          <w:p w14:paraId="19F03E21" w14:textId="77777777" w:rsidR="00643AC2" w:rsidRPr="00095313" w:rsidRDefault="00643AC2" w:rsidP="00095313">
            <w:pPr>
              <w:pStyle w:val="TableCopy"/>
              <w:rPr>
                <w:lang w:val="en-GB"/>
              </w:rPr>
            </w:pPr>
          </w:p>
        </w:tc>
        <w:tc>
          <w:tcPr>
            <w:tcW w:w="1568" w:type="dxa"/>
            <w:hideMark/>
          </w:tcPr>
          <w:p w14:paraId="308C4025" w14:textId="77777777" w:rsidR="00643AC2" w:rsidRPr="00095313" w:rsidRDefault="00643AC2" w:rsidP="00095313">
            <w:pPr>
              <w:pStyle w:val="TableCopy"/>
              <w:rPr>
                <w:b/>
                <w:lang w:val="en-GB"/>
              </w:rPr>
            </w:pPr>
            <w:r w:rsidRPr="00095313">
              <w:rPr>
                <w:b/>
                <w:lang w:val="en-GB"/>
              </w:rPr>
              <w:t>14,299,609</w:t>
            </w:r>
          </w:p>
        </w:tc>
        <w:tc>
          <w:tcPr>
            <w:tcW w:w="1569" w:type="dxa"/>
            <w:hideMark/>
          </w:tcPr>
          <w:p w14:paraId="0F85A236" w14:textId="77777777" w:rsidR="00643AC2" w:rsidRPr="00095313" w:rsidRDefault="00643AC2" w:rsidP="00095313">
            <w:pPr>
              <w:pStyle w:val="TableCopy"/>
              <w:rPr>
                <w:lang w:val="en-GB"/>
              </w:rPr>
            </w:pPr>
            <w:r w:rsidRPr="00095313">
              <w:rPr>
                <w:lang w:val="en-GB"/>
              </w:rPr>
              <w:t>10,349,537</w:t>
            </w:r>
          </w:p>
        </w:tc>
      </w:tr>
    </w:tbl>
    <w:p w14:paraId="2008DDB2" w14:textId="61002E22" w:rsidR="00643AC2" w:rsidRPr="00643AC2" w:rsidRDefault="00643AC2" w:rsidP="00B21D6F">
      <w:pPr>
        <w:pStyle w:val="Heading5"/>
        <w:rPr>
          <w:lang w:val="en-GB"/>
        </w:rPr>
      </w:pPr>
      <w:r w:rsidRPr="00643AC2">
        <w:rPr>
          <w:lang w:val="en-GB"/>
        </w:rPr>
        <w:t>3.1.1.</w:t>
      </w:r>
      <w:r w:rsidRPr="00643AC2">
        <w:rPr>
          <w:lang w:val="en-GB"/>
        </w:rPr>
        <w:t> </w:t>
      </w:r>
      <w:r w:rsidR="00B21D6F">
        <w:rPr>
          <w:lang w:val="en-GB"/>
        </w:rPr>
        <w:t>E</w:t>
      </w:r>
      <w:r w:rsidRPr="00643AC2">
        <w:rPr>
          <w:lang w:val="en-GB"/>
        </w:rPr>
        <w:t>mployee benefits in comprehensive operating statement</w:t>
      </w:r>
    </w:p>
    <w:tbl>
      <w:tblPr>
        <w:tblStyle w:val="TableGrid"/>
        <w:tblW w:w="10429" w:type="dxa"/>
        <w:tblLook w:val="04A0" w:firstRow="1" w:lastRow="0" w:firstColumn="1" w:lastColumn="0" w:noHBand="0" w:noVBand="1"/>
      </w:tblPr>
      <w:tblGrid>
        <w:gridCol w:w="7366"/>
        <w:gridCol w:w="1531"/>
        <w:gridCol w:w="1532"/>
      </w:tblGrid>
      <w:tr w:rsidR="00381368" w:rsidRPr="00643AC2" w14:paraId="04654278" w14:textId="77777777" w:rsidTr="002D016F">
        <w:trPr>
          <w:cantSplit/>
          <w:tblHeader/>
        </w:trPr>
        <w:tc>
          <w:tcPr>
            <w:tcW w:w="7366" w:type="dxa"/>
            <w:hideMark/>
          </w:tcPr>
          <w:p w14:paraId="0F2DB85B" w14:textId="77777777" w:rsidR="00643AC2" w:rsidRPr="002D016F" w:rsidRDefault="00643AC2" w:rsidP="002D016F">
            <w:pPr>
              <w:pStyle w:val="TableHeading"/>
              <w:rPr>
                <w:lang w:val="en-GB"/>
              </w:rPr>
            </w:pPr>
          </w:p>
        </w:tc>
        <w:tc>
          <w:tcPr>
            <w:tcW w:w="1531" w:type="dxa"/>
            <w:hideMark/>
          </w:tcPr>
          <w:p w14:paraId="6806217F" w14:textId="77777777" w:rsidR="00643AC2" w:rsidRPr="002D016F" w:rsidRDefault="00643AC2" w:rsidP="002D016F">
            <w:pPr>
              <w:pStyle w:val="TableHeading"/>
              <w:rPr>
                <w:lang w:val="en-GB"/>
              </w:rPr>
            </w:pPr>
            <w:r w:rsidRPr="002D016F">
              <w:rPr>
                <w:lang w:val="en-GB"/>
              </w:rPr>
              <w:t>2017</w:t>
            </w:r>
          </w:p>
        </w:tc>
        <w:tc>
          <w:tcPr>
            <w:tcW w:w="1532" w:type="dxa"/>
            <w:hideMark/>
          </w:tcPr>
          <w:p w14:paraId="4E3FE5F2" w14:textId="77777777" w:rsidR="00643AC2" w:rsidRPr="002D016F" w:rsidRDefault="00643AC2" w:rsidP="002D016F">
            <w:pPr>
              <w:pStyle w:val="TableHeading"/>
              <w:rPr>
                <w:lang w:val="en-GB"/>
              </w:rPr>
            </w:pPr>
            <w:r w:rsidRPr="002D016F">
              <w:rPr>
                <w:lang w:val="en-GB"/>
              </w:rPr>
              <w:t>2016</w:t>
            </w:r>
          </w:p>
        </w:tc>
      </w:tr>
      <w:tr w:rsidR="00381368" w:rsidRPr="00643AC2" w14:paraId="0B4F48C1" w14:textId="77777777" w:rsidTr="002D016F">
        <w:trPr>
          <w:cantSplit/>
          <w:tblHeader/>
        </w:trPr>
        <w:tc>
          <w:tcPr>
            <w:tcW w:w="7366" w:type="dxa"/>
            <w:hideMark/>
          </w:tcPr>
          <w:p w14:paraId="3BB3A8FF" w14:textId="77777777" w:rsidR="00643AC2" w:rsidRPr="002D016F" w:rsidRDefault="00643AC2" w:rsidP="002D016F">
            <w:pPr>
              <w:pStyle w:val="TableHeading"/>
              <w:rPr>
                <w:lang w:val="en-GB"/>
              </w:rPr>
            </w:pPr>
          </w:p>
        </w:tc>
        <w:tc>
          <w:tcPr>
            <w:tcW w:w="1531" w:type="dxa"/>
            <w:hideMark/>
          </w:tcPr>
          <w:p w14:paraId="76670956" w14:textId="77777777" w:rsidR="00643AC2" w:rsidRPr="002D016F" w:rsidRDefault="00643AC2" w:rsidP="002D016F">
            <w:pPr>
              <w:pStyle w:val="TableHeading"/>
              <w:rPr>
                <w:lang w:val="en-GB"/>
              </w:rPr>
            </w:pPr>
            <w:r w:rsidRPr="002D016F">
              <w:rPr>
                <w:lang w:val="en-GB"/>
              </w:rPr>
              <w:t>$</w:t>
            </w:r>
          </w:p>
        </w:tc>
        <w:tc>
          <w:tcPr>
            <w:tcW w:w="1532" w:type="dxa"/>
            <w:hideMark/>
          </w:tcPr>
          <w:p w14:paraId="69DE2C1D" w14:textId="77777777" w:rsidR="00643AC2" w:rsidRPr="002D016F" w:rsidRDefault="00643AC2" w:rsidP="002D016F">
            <w:pPr>
              <w:pStyle w:val="TableHeading"/>
              <w:rPr>
                <w:lang w:val="en-GB"/>
              </w:rPr>
            </w:pPr>
            <w:r w:rsidRPr="002D016F">
              <w:rPr>
                <w:lang w:val="en-GB"/>
              </w:rPr>
              <w:t>$</w:t>
            </w:r>
          </w:p>
        </w:tc>
      </w:tr>
      <w:tr w:rsidR="00381368" w:rsidRPr="00643AC2" w14:paraId="50CCCCD4" w14:textId="77777777" w:rsidTr="002D016F">
        <w:trPr>
          <w:cantSplit/>
        </w:trPr>
        <w:tc>
          <w:tcPr>
            <w:tcW w:w="7366" w:type="dxa"/>
            <w:hideMark/>
          </w:tcPr>
          <w:p w14:paraId="7BA6BD05" w14:textId="77777777" w:rsidR="00643AC2" w:rsidRPr="00643AC2" w:rsidRDefault="00643AC2" w:rsidP="002D016F">
            <w:pPr>
              <w:pStyle w:val="TableCopy"/>
              <w:rPr>
                <w:lang w:val="en-GB"/>
              </w:rPr>
            </w:pPr>
            <w:r w:rsidRPr="00643AC2">
              <w:rPr>
                <w:lang w:val="en-GB"/>
              </w:rPr>
              <w:t>Salaries and wages, annual leave and long service leave</w:t>
            </w:r>
          </w:p>
        </w:tc>
        <w:tc>
          <w:tcPr>
            <w:tcW w:w="1531" w:type="dxa"/>
            <w:hideMark/>
          </w:tcPr>
          <w:p w14:paraId="46AE6FC3" w14:textId="77777777" w:rsidR="00643AC2" w:rsidRPr="00643AC2" w:rsidRDefault="00643AC2" w:rsidP="002D016F">
            <w:pPr>
              <w:pStyle w:val="TableCopy"/>
              <w:rPr>
                <w:lang w:val="en-GB"/>
              </w:rPr>
            </w:pPr>
            <w:r w:rsidRPr="00643AC2">
              <w:rPr>
                <w:lang w:val="en-GB"/>
              </w:rPr>
              <w:t>7,909,005</w:t>
            </w:r>
          </w:p>
        </w:tc>
        <w:tc>
          <w:tcPr>
            <w:tcW w:w="1532" w:type="dxa"/>
            <w:hideMark/>
          </w:tcPr>
          <w:p w14:paraId="2D026AED" w14:textId="77777777" w:rsidR="00643AC2" w:rsidRPr="00643AC2" w:rsidRDefault="00643AC2" w:rsidP="002D016F">
            <w:pPr>
              <w:pStyle w:val="TableCopy"/>
              <w:rPr>
                <w:lang w:val="en-GB"/>
              </w:rPr>
            </w:pPr>
            <w:r w:rsidRPr="00643AC2">
              <w:rPr>
                <w:lang w:val="en-GB"/>
              </w:rPr>
              <w:t>5,769,529</w:t>
            </w:r>
          </w:p>
        </w:tc>
      </w:tr>
      <w:tr w:rsidR="00381368" w:rsidRPr="00643AC2" w14:paraId="617A2A9D" w14:textId="77777777" w:rsidTr="002D016F">
        <w:trPr>
          <w:cantSplit/>
        </w:trPr>
        <w:tc>
          <w:tcPr>
            <w:tcW w:w="7366" w:type="dxa"/>
            <w:hideMark/>
          </w:tcPr>
          <w:p w14:paraId="5BDACCD6" w14:textId="77777777" w:rsidR="00643AC2" w:rsidRPr="00643AC2" w:rsidRDefault="00643AC2" w:rsidP="002D016F">
            <w:pPr>
              <w:pStyle w:val="TableCopy"/>
              <w:rPr>
                <w:lang w:val="en-GB"/>
              </w:rPr>
            </w:pPr>
            <w:r w:rsidRPr="00643AC2">
              <w:rPr>
                <w:lang w:val="en-GB"/>
              </w:rPr>
              <w:t>Defined contribution superannuation expense</w:t>
            </w:r>
          </w:p>
        </w:tc>
        <w:tc>
          <w:tcPr>
            <w:tcW w:w="1531" w:type="dxa"/>
            <w:hideMark/>
          </w:tcPr>
          <w:p w14:paraId="73F11630" w14:textId="77777777" w:rsidR="00643AC2" w:rsidRPr="002D016F" w:rsidRDefault="00643AC2" w:rsidP="002D016F">
            <w:pPr>
              <w:pStyle w:val="TableCopy"/>
              <w:rPr>
                <w:b/>
                <w:lang w:val="en-GB"/>
              </w:rPr>
            </w:pPr>
            <w:r w:rsidRPr="002D016F">
              <w:rPr>
                <w:b/>
                <w:lang w:val="en-GB"/>
              </w:rPr>
              <w:t>554,100</w:t>
            </w:r>
          </w:p>
        </w:tc>
        <w:tc>
          <w:tcPr>
            <w:tcW w:w="1532" w:type="dxa"/>
            <w:hideMark/>
          </w:tcPr>
          <w:p w14:paraId="02ED3796" w14:textId="77777777" w:rsidR="00643AC2" w:rsidRPr="002D016F" w:rsidRDefault="00643AC2" w:rsidP="002D016F">
            <w:pPr>
              <w:pStyle w:val="TableCopy"/>
              <w:rPr>
                <w:lang w:val="en-GB"/>
              </w:rPr>
            </w:pPr>
            <w:r w:rsidRPr="002D016F">
              <w:rPr>
                <w:lang w:val="en-GB"/>
              </w:rPr>
              <w:t>414,025</w:t>
            </w:r>
          </w:p>
        </w:tc>
      </w:tr>
      <w:tr w:rsidR="00381368" w:rsidRPr="00643AC2" w14:paraId="06CF07CC" w14:textId="77777777" w:rsidTr="002D016F">
        <w:trPr>
          <w:cantSplit/>
        </w:trPr>
        <w:tc>
          <w:tcPr>
            <w:tcW w:w="7366" w:type="dxa"/>
            <w:hideMark/>
          </w:tcPr>
          <w:p w14:paraId="26C1C0ED" w14:textId="77777777" w:rsidR="00643AC2" w:rsidRPr="00643AC2" w:rsidRDefault="00643AC2" w:rsidP="002D016F">
            <w:pPr>
              <w:pStyle w:val="TableCopy"/>
              <w:rPr>
                <w:lang w:val="en-GB"/>
              </w:rPr>
            </w:pPr>
            <w:r w:rsidRPr="00643AC2">
              <w:rPr>
                <w:lang w:val="en-GB"/>
              </w:rPr>
              <w:t>Defined benefit superannuation expense</w:t>
            </w:r>
          </w:p>
        </w:tc>
        <w:tc>
          <w:tcPr>
            <w:tcW w:w="1531" w:type="dxa"/>
            <w:hideMark/>
          </w:tcPr>
          <w:p w14:paraId="72130030" w14:textId="77777777" w:rsidR="00643AC2" w:rsidRPr="002D016F" w:rsidRDefault="00643AC2" w:rsidP="002D016F">
            <w:pPr>
              <w:pStyle w:val="TableCopy"/>
              <w:rPr>
                <w:b/>
                <w:lang w:val="en-GB"/>
              </w:rPr>
            </w:pPr>
            <w:r w:rsidRPr="002D016F">
              <w:rPr>
                <w:b/>
                <w:lang w:val="en-GB"/>
              </w:rPr>
              <w:t>76,819</w:t>
            </w:r>
          </w:p>
        </w:tc>
        <w:tc>
          <w:tcPr>
            <w:tcW w:w="1532" w:type="dxa"/>
            <w:hideMark/>
          </w:tcPr>
          <w:p w14:paraId="5DFB2533" w14:textId="77777777" w:rsidR="00643AC2" w:rsidRPr="002D016F" w:rsidRDefault="00643AC2" w:rsidP="002D016F">
            <w:pPr>
              <w:pStyle w:val="TableCopy"/>
              <w:rPr>
                <w:lang w:val="en-GB"/>
              </w:rPr>
            </w:pPr>
            <w:r w:rsidRPr="002D016F">
              <w:rPr>
                <w:lang w:val="en-GB"/>
              </w:rPr>
              <w:t>120,234</w:t>
            </w:r>
          </w:p>
        </w:tc>
      </w:tr>
      <w:tr w:rsidR="00381368" w:rsidRPr="00643AC2" w14:paraId="4D26CEBB" w14:textId="77777777" w:rsidTr="002D016F">
        <w:trPr>
          <w:cantSplit/>
        </w:trPr>
        <w:tc>
          <w:tcPr>
            <w:tcW w:w="7366" w:type="dxa"/>
            <w:hideMark/>
          </w:tcPr>
          <w:p w14:paraId="4F6AD0A9" w14:textId="77777777" w:rsidR="00643AC2" w:rsidRPr="00EF099B" w:rsidRDefault="00643AC2" w:rsidP="002D016F">
            <w:pPr>
              <w:pStyle w:val="TableCopy"/>
              <w:rPr>
                <w:b/>
                <w:lang w:val="en-GB"/>
              </w:rPr>
            </w:pPr>
            <w:r w:rsidRPr="00EF099B">
              <w:rPr>
                <w:b/>
                <w:lang w:val="en-GB"/>
              </w:rPr>
              <w:t>Total employee benefits</w:t>
            </w:r>
          </w:p>
        </w:tc>
        <w:tc>
          <w:tcPr>
            <w:tcW w:w="1531" w:type="dxa"/>
            <w:hideMark/>
          </w:tcPr>
          <w:p w14:paraId="4FD3BC09" w14:textId="77777777" w:rsidR="00643AC2" w:rsidRPr="002D016F" w:rsidRDefault="00643AC2" w:rsidP="002D016F">
            <w:pPr>
              <w:pStyle w:val="TableCopy"/>
              <w:rPr>
                <w:b/>
                <w:lang w:val="en-GB"/>
              </w:rPr>
            </w:pPr>
            <w:r w:rsidRPr="002D016F">
              <w:rPr>
                <w:b/>
                <w:lang w:val="en-GB"/>
              </w:rPr>
              <w:t>8,539,924</w:t>
            </w:r>
          </w:p>
        </w:tc>
        <w:tc>
          <w:tcPr>
            <w:tcW w:w="1532" w:type="dxa"/>
            <w:hideMark/>
          </w:tcPr>
          <w:p w14:paraId="08E17A8B" w14:textId="77777777" w:rsidR="00643AC2" w:rsidRPr="002D016F" w:rsidRDefault="00643AC2" w:rsidP="002D016F">
            <w:pPr>
              <w:pStyle w:val="TableCopy"/>
              <w:rPr>
                <w:lang w:val="en-GB"/>
              </w:rPr>
            </w:pPr>
            <w:r w:rsidRPr="002D016F">
              <w:rPr>
                <w:lang w:val="en-GB"/>
              </w:rPr>
              <w:t>6,303,788</w:t>
            </w:r>
          </w:p>
        </w:tc>
      </w:tr>
    </w:tbl>
    <w:p w14:paraId="78C77AC6" w14:textId="118CCE94" w:rsidR="00643AC2" w:rsidRPr="00643AC2" w:rsidRDefault="00643AC2" w:rsidP="00643AC2">
      <w:pPr>
        <w:rPr>
          <w:lang w:val="en-GB"/>
        </w:rPr>
      </w:pPr>
      <w:r w:rsidRPr="00643AC2">
        <w:rPr>
          <w:lang w:val="en-GB"/>
        </w:rPr>
        <w:lastRenderedPageBreak/>
        <w:t>Employee benefits include all costs related to employment including wages</w:t>
      </w:r>
      <w:r w:rsidR="00EF099B">
        <w:rPr>
          <w:lang w:val="en-GB"/>
        </w:rPr>
        <w:t xml:space="preserve"> and salaries, fringe benefits </w:t>
      </w:r>
      <w:r w:rsidRPr="00643AC2">
        <w:rPr>
          <w:lang w:val="en-GB"/>
        </w:rPr>
        <w:t>tax, leave entitlements, termination payments and WorkCover premiums.</w:t>
      </w:r>
    </w:p>
    <w:p w14:paraId="17BE070D" w14:textId="14B9D572" w:rsidR="00643AC2" w:rsidRPr="00643AC2" w:rsidRDefault="00643AC2" w:rsidP="00643AC2">
      <w:pPr>
        <w:rPr>
          <w:lang w:val="en-GB"/>
        </w:rPr>
      </w:pPr>
      <w:r w:rsidRPr="00643AC2">
        <w:rPr>
          <w:lang w:val="en-GB"/>
        </w:rPr>
        <w:t>The amount recognised in the comprehensive operating statement in relation to superannuation is employer contributions for members of both defined benefit and defined contribution superannuation plans that are paid or payable during the reporting period. The Commission does not recognise any defined benefit liabilities because it has no legal or constructive obligation to pay future benefits relating to its employees. Instead, the Department of Treasury and Finance discloses in its annual financial statements the net defined benefit cost related to the members of these plans as an administered lia</w:t>
      </w:r>
      <w:r w:rsidR="00EF099B">
        <w:rPr>
          <w:lang w:val="en-GB"/>
        </w:rPr>
        <w:t xml:space="preserve">bility (on behalf of the State </w:t>
      </w:r>
      <w:r w:rsidRPr="00643AC2">
        <w:rPr>
          <w:lang w:val="en-GB"/>
        </w:rPr>
        <w:t>of Victoria as the sponsoring employer).</w:t>
      </w:r>
    </w:p>
    <w:p w14:paraId="46BF284D" w14:textId="4E572EDC" w:rsidR="00643AC2" w:rsidRPr="00643AC2" w:rsidRDefault="00643AC2" w:rsidP="000C6595">
      <w:pPr>
        <w:pStyle w:val="Heading5"/>
        <w:rPr>
          <w:lang w:val="en-GB"/>
        </w:rPr>
      </w:pPr>
      <w:r w:rsidRPr="00643AC2">
        <w:rPr>
          <w:lang w:val="en-GB"/>
        </w:rPr>
        <w:t>3.1.2.</w:t>
      </w:r>
      <w:r w:rsidRPr="00643AC2">
        <w:rPr>
          <w:lang w:val="en-GB"/>
        </w:rPr>
        <w:t> </w:t>
      </w:r>
      <w:r w:rsidR="000C6595">
        <w:rPr>
          <w:lang w:val="en-GB"/>
        </w:rPr>
        <w:t>E</w:t>
      </w:r>
      <w:r w:rsidRPr="00643AC2">
        <w:rPr>
          <w:lang w:val="en-GB"/>
        </w:rPr>
        <w:t>mployee benefits in balance sheet</w:t>
      </w:r>
    </w:p>
    <w:p w14:paraId="2E79DE53" w14:textId="66653788" w:rsidR="00643AC2" w:rsidRPr="00643AC2" w:rsidRDefault="00643AC2" w:rsidP="00643AC2">
      <w:pPr>
        <w:rPr>
          <w:lang w:val="en-GB"/>
        </w:rPr>
      </w:pPr>
      <w:r w:rsidRPr="00643AC2">
        <w:rPr>
          <w:lang w:val="en-GB"/>
        </w:rPr>
        <w:t>Provision is made for benefits accruing to employees in respect of wages and salaries, annu</w:t>
      </w:r>
      <w:r w:rsidR="000C6595">
        <w:rPr>
          <w:lang w:val="en-GB"/>
        </w:rPr>
        <w:t xml:space="preserve">al leave </w:t>
      </w:r>
      <w:r w:rsidRPr="00643AC2">
        <w:rPr>
          <w:lang w:val="en-GB"/>
        </w:rPr>
        <w:t>and long service leave (LSL) for services rendered to the reporting date and</w:t>
      </w:r>
      <w:r w:rsidR="000C6595">
        <w:rPr>
          <w:lang w:val="en-GB"/>
        </w:rPr>
        <w:t xml:space="preserve"> recorded as an expense during </w:t>
      </w:r>
      <w:r w:rsidRPr="00643AC2">
        <w:rPr>
          <w:lang w:val="en-GB"/>
        </w:rPr>
        <w:t>the period the services are delivered.</w:t>
      </w:r>
    </w:p>
    <w:tbl>
      <w:tblPr>
        <w:tblStyle w:val="TableGrid"/>
        <w:tblW w:w="10485" w:type="dxa"/>
        <w:tblLook w:val="04A0" w:firstRow="1" w:lastRow="0" w:firstColumn="1" w:lastColumn="0" w:noHBand="0" w:noVBand="1"/>
      </w:tblPr>
      <w:tblGrid>
        <w:gridCol w:w="6799"/>
        <w:gridCol w:w="1843"/>
        <w:gridCol w:w="1843"/>
      </w:tblGrid>
      <w:tr w:rsidR="000C6595" w:rsidRPr="00643AC2" w14:paraId="58A71517" w14:textId="77777777" w:rsidTr="00131EF4">
        <w:trPr>
          <w:cantSplit/>
          <w:tblHeader/>
        </w:trPr>
        <w:tc>
          <w:tcPr>
            <w:tcW w:w="6799" w:type="dxa"/>
            <w:hideMark/>
          </w:tcPr>
          <w:p w14:paraId="1452F384" w14:textId="77777777" w:rsidR="00643AC2" w:rsidRPr="00131EF4" w:rsidRDefault="00643AC2" w:rsidP="00131EF4">
            <w:pPr>
              <w:pStyle w:val="TableHeading"/>
              <w:rPr>
                <w:lang w:val="en-GB"/>
              </w:rPr>
            </w:pPr>
          </w:p>
        </w:tc>
        <w:tc>
          <w:tcPr>
            <w:tcW w:w="1843" w:type="dxa"/>
            <w:hideMark/>
          </w:tcPr>
          <w:p w14:paraId="4D54CEDE" w14:textId="77777777" w:rsidR="00643AC2" w:rsidRPr="00131EF4" w:rsidRDefault="00643AC2" w:rsidP="00131EF4">
            <w:pPr>
              <w:pStyle w:val="TableHeading"/>
              <w:rPr>
                <w:lang w:val="en-GB"/>
              </w:rPr>
            </w:pPr>
            <w:r w:rsidRPr="00131EF4">
              <w:rPr>
                <w:lang w:val="en-GB"/>
              </w:rPr>
              <w:t>2017</w:t>
            </w:r>
          </w:p>
        </w:tc>
        <w:tc>
          <w:tcPr>
            <w:tcW w:w="1843" w:type="dxa"/>
            <w:hideMark/>
          </w:tcPr>
          <w:p w14:paraId="4990F22A" w14:textId="77777777" w:rsidR="00643AC2" w:rsidRPr="00131EF4" w:rsidRDefault="00643AC2" w:rsidP="00131EF4">
            <w:pPr>
              <w:pStyle w:val="TableHeading"/>
              <w:rPr>
                <w:lang w:val="en-GB"/>
              </w:rPr>
            </w:pPr>
            <w:r w:rsidRPr="00131EF4">
              <w:rPr>
                <w:lang w:val="en-GB"/>
              </w:rPr>
              <w:t>2016</w:t>
            </w:r>
          </w:p>
        </w:tc>
      </w:tr>
      <w:tr w:rsidR="000C6595" w:rsidRPr="00643AC2" w14:paraId="11ADFEA1" w14:textId="77777777" w:rsidTr="00131EF4">
        <w:trPr>
          <w:cantSplit/>
          <w:tblHeader/>
        </w:trPr>
        <w:tc>
          <w:tcPr>
            <w:tcW w:w="6799" w:type="dxa"/>
            <w:hideMark/>
          </w:tcPr>
          <w:p w14:paraId="1CE0F969" w14:textId="77777777" w:rsidR="00643AC2" w:rsidRPr="00131EF4" w:rsidRDefault="00643AC2" w:rsidP="00131EF4">
            <w:pPr>
              <w:pStyle w:val="TableHeading"/>
              <w:rPr>
                <w:lang w:val="en-GB"/>
              </w:rPr>
            </w:pPr>
          </w:p>
        </w:tc>
        <w:tc>
          <w:tcPr>
            <w:tcW w:w="1843" w:type="dxa"/>
            <w:hideMark/>
          </w:tcPr>
          <w:p w14:paraId="7DCCF3C1" w14:textId="77777777" w:rsidR="00643AC2" w:rsidRPr="00131EF4" w:rsidRDefault="00643AC2" w:rsidP="00131EF4">
            <w:pPr>
              <w:pStyle w:val="TableHeading"/>
              <w:rPr>
                <w:lang w:val="en-GB"/>
              </w:rPr>
            </w:pPr>
            <w:r w:rsidRPr="00131EF4">
              <w:rPr>
                <w:lang w:val="en-GB"/>
              </w:rPr>
              <w:t>$</w:t>
            </w:r>
          </w:p>
        </w:tc>
        <w:tc>
          <w:tcPr>
            <w:tcW w:w="1843" w:type="dxa"/>
            <w:hideMark/>
          </w:tcPr>
          <w:p w14:paraId="3AB01F4F" w14:textId="77777777" w:rsidR="00643AC2" w:rsidRPr="00131EF4" w:rsidRDefault="00643AC2" w:rsidP="00131EF4">
            <w:pPr>
              <w:pStyle w:val="TableHeading"/>
              <w:rPr>
                <w:lang w:val="en-GB"/>
              </w:rPr>
            </w:pPr>
            <w:r w:rsidRPr="00131EF4">
              <w:rPr>
                <w:lang w:val="en-GB"/>
              </w:rPr>
              <w:t>$</w:t>
            </w:r>
          </w:p>
        </w:tc>
      </w:tr>
      <w:tr w:rsidR="00706E1B" w:rsidRPr="00643AC2" w14:paraId="07912AFA" w14:textId="77777777" w:rsidTr="00131EF4">
        <w:trPr>
          <w:cantSplit/>
        </w:trPr>
        <w:tc>
          <w:tcPr>
            <w:tcW w:w="10485" w:type="dxa"/>
            <w:gridSpan w:val="3"/>
            <w:hideMark/>
          </w:tcPr>
          <w:p w14:paraId="2FB32B4E" w14:textId="7FE9FDA4" w:rsidR="00706E1B" w:rsidRPr="00131EF4" w:rsidRDefault="00706E1B" w:rsidP="00131EF4">
            <w:pPr>
              <w:pStyle w:val="TableHeading"/>
              <w:rPr>
                <w:lang w:val="en-GB"/>
              </w:rPr>
            </w:pPr>
            <w:r w:rsidRPr="00131EF4">
              <w:rPr>
                <w:lang w:val="en-GB"/>
              </w:rPr>
              <w:t>Current provisions:</w:t>
            </w:r>
          </w:p>
        </w:tc>
      </w:tr>
      <w:tr w:rsidR="00706E1B" w:rsidRPr="00643AC2" w14:paraId="489C384B" w14:textId="77777777" w:rsidTr="00131EF4">
        <w:trPr>
          <w:cantSplit/>
        </w:trPr>
        <w:tc>
          <w:tcPr>
            <w:tcW w:w="10485" w:type="dxa"/>
            <w:gridSpan w:val="3"/>
            <w:hideMark/>
          </w:tcPr>
          <w:p w14:paraId="3F6CB659" w14:textId="35BAED38" w:rsidR="00706E1B" w:rsidRPr="00131EF4" w:rsidRDefault="00706E1B" w:rsidP="00131EF4">
            <w:pPr>
              <w:pStyle w:val="TableHeading"/>
              <w:rPr>
                <w:lang w:val="en-GB"/>
              </w:rPr>
            </w:pPr>
            <w:r w:rsidRPr="00131EF4">
              <w:rPr>
                <w:lang w:val="en-GB"/>
              </w:rPr>
              <w:t>Annual leave</w:t>
            </w:r>
          </w:p>
        </w:tc>
      </w:tr>
      <w:tr w:rsidR="000C6595" w:rsidRPr="00643AC2" w14:paraId="376E2CE0" w14:textId="77777777" w:rsidTr="00131EF4">
        <w:trPr>
          <w:cantSplit/>
        </w:trPr>
        <w:tc>
          <w:tcPr>
            <w:tcW w:w="6799" w:type="dxa"/>
            <w:hideMark/>
          </w:tcPr>
          <w:p w14:paraId="2C28656C" w14:textId="77777777" w:rsidR="00643AC2" w:rsidRPr="00131EF4" w:rsidRDefault="00643AC2" w:rsidP="00131EF4">
            <w:pPr>
              <w:pStyle w:val="TableCopy"/>
              <w:rPr>
                <w:lang w:val="en-GB"/>
              </w:rPr>
            </w:pPr>
            <w:r w:rsidRPr="00131EF4">
              <w:rPr>
                <w:lang w:val="en-GB"/>
              </w:rPr>
              <w:t> Unconditional and expected to be settled within 12 months</w:t>
            </w:r>
          </w:p>
        </w:tc>
        <w:tc>
          <w:tcPr>
            <w:tcW w:w="1843" w:type="dxa"/>
            <w:hideMark/>
          </w:tcPr>
          <w:p w14:paraId="24C7A159" w14:textId="77777777" w:rsidR="00643AC2" w:rsidRPr="00131EF4" w:rsidRDefault="00643AC2" w:rsidP="00131EF4">
            <w:pPr>
              <w:pStyle w:val="TableCopy"/>
              <w:rPr>
                <w:b/>
                <w:lang w:val="en-GB"/>
              </w:rPr>
            </w:pPr>
            <w:r w:rsidRPr="00131EF4">
              <w:rPr>
                <w:b/>
                <w:lang w:val="en-GB"/>
              </w:rPr>
              <w:t>511,189</w:t>
            </w:r>
          </w:p>
        </w:tc>
        <w:tc>
          <w:tcPr>
            <w:tcW w:w="1843" w:type="dxa"/>
            <w:hideMark/>
          </w:tcPr>
          <w:p w14:paraId="1985A741" w14:textId="77777777" w:rsidR="00643AC2" w:rsidRPr="00131EF4" w:rsidRDefault="00643AC2" w:rsidP="00131EF4">
            <w:pPr>
              <w:pStyle w:val="TableCopy"/>
              <w:rPr>
                <w:lang w:val="en-GB"/>
              </w:rPr>
            </w:pPr>
            <w:r w:rsidRPr="00131EF4">
              <w:rPr>
                <w:lang w:val="en-GB"/>
              </w:rPr>
              <w:t>376,283</w:t>
            </w:r>
          </w:p>
        </w:tc>
      </w:tr>
      <w:tr w:rsidR="000C6595" w:rsidRPr="00643AC2" w14:paraId="31A2F122" w14:textId="77777777" w:rsidTr="00131EF4">
        <w:trPr>
          <w:cantSplit/>
        </w:trPr>
        <w:tc>
          <w:tcPr>
            <w:tcW w:w="6799" w:type="dxa"/>
            <w:hideMark/>
          </w:tcPr>
          <w:p w14:paraId="18BC5310" w14:textId="77777777" w:rsidR="00643AC2" w:rsidRPr="00131EF4" w:rsidRDefault="00643AC2" w:rsidP="00131EF4">
            <w:pPr>
              <w:pStyle w:val="TableCopy"/>
              <w:rPr>
                <w:lang w:val="en-GB"/>
              </w:rPr>
            </w:pPr>
            <w:r w:rsidRPr="00131EF4">
              <w:rPr>
                <w:lang w:val="en-GB"/>
              </w:rPr>
              <w:t> Unconditional and expected to be settled after 12 months</w:t>
            </w:r>
          </w:p>
        </w:tc>
        <w:tc>
          <w:tcPr>
            <w:tcW w:w="1843" w:type="dxa"/>
            <w:hideMark/>
          </w:tcPr>
          <w:p w14:paraId="0BCB3D72" w14:textId="77777777" w:rsidR="00643AC2" w:rsidRPr="00131EF4" w:rsidRDefault="00643AC2" w:rsidP="00131EF4">
            <w:pPr>
              <w:pStyle w:val="TableCopy"/>
              <w:rPr>
                <w:b/>
                <w:lang w:val="en-GB"/>
              </w:rPr>
            </w:pPr>
            <w:r w:rsidRPr="00131EF4">
              <w:rPr>
                <w:b/>
                <w:lang w:val="en-GB"/>
              </w:rPr>
              <w:t>101,390</w:t>
            </w:r>
          </w:p>
        </w:tc>
        <w:tc>
          <w:tcPr>
            <w:tcW w:w="1843" w:type="dxa"/>
            <w:hideMark/>
          </w:tcPr>
          <w:p w14:paraId="0F00ED79" w14:textId="77777777" w:rsidR="00643AC2" w:rsidRPr="00131EF4" w:rsidRDefault="00643AC2" w:rsidP="00131EF4">
            <w:pPr>
              <w:pStyle w:val="TableCopy"/>
              <w:rPr>
                <w:lang w:val="en-GB"/>
              </w:rPr>
            </w:pPr>
            <w:r w:rsidRPr="00131EF4">
              <w:rPr>
                <w:lang w:val="en-GB"/>
              </w:rPr>
              <w:t>44,140</w:t>
            </w:r>
          </w:p>
        </w:tc>
      </w:tr>
      <w:tr w:rsidR="00131EF4" w:rsidRPr="00643AC2" w14:paraId="1045E99B" w14:textId="77777777" w:rsidTr="00D3696B">
        <w:trPr>
          <w:cantSplit/>
        </w:trPr>
        <w:tc>
          <w:tcPr>
            <w:tcW w:w="10485" w:type="dxa"/>
            <w:gridSpan w:val="3"/>
            <w:hideMark/>
          </w:tcPr>
          <w:p w14:paraId="48DAE311" w14:textId="1DF3FBD2" w:rsidR="00131EF4" w:rsidRPr="00131EF4" w:rsidRDefault="00131EF4" w:rsidP="00131EF4">
            <w:pPr>
              <w:pStyle w:val="TableHeading"/>
              <w:rPr>
                <w:lang w:val="en-GB"/>
              </w:rPr>
            </w:pPr>
            <w:r w:rsidRPr="00131EF4">
              <w:rPr>
                <w:lang w:val="en-GB"/>
              </w:rPr>
              <w:t>Long service leave</w:t>
            </w:r>
          </w:p>
        </w:tc>
      </w:tr>
      <w:tr w:rsidR="000C6595" w:rsidRPr="00643AC2" w14:paraId="6157B0F4" w14:textId="77777777" w:rsidTr="00131EF4">
        <w:trPr>
          <w:cantSplit/>
        </w:trPr>
        <w:tc>
          <w:tcPr>
            <w:tcW w:w="6799" w:type="dxa"/>
            <w:hideMark/>
          </w:tcPr>
          <w:p w14:paraId="651F9E65" w14:textId="77777777" w:rsidR="00643AC2" w:rsidRPr="00131EF4" w:rsidRDefault="00643AC2" w:rsidP="00131EF4">
            <w:pPr>
              <w:pStyle w:val="TableCopy"/>
              <w:rPr>
                <w:lang w:val="en-GB"/>
              </w:rPr>
            </w:pPr>
            <w:r w:rsidRPr="00131EF4">
              <w:rPr>
                <w:lang w:val="en-GB"/>
              </w:rPr>
              <w:t> Unconditional and expected to be settled within 12 months</w:t>
            </w:r>
          </w:p>
        </w:tc>
        <w:tc>
          <w:tcPr>
            <w:tcW w:w="1843" w:type="dxa"/>
            <w:hideMark/>
          </w:tcPr>
          <w:p w14:paraId="090C86A6" w14:textId="77777777" w:rsidR="00643AC2" w:rsidRPr="00131EF4" w:rsidRDefault="00643AC2" w:rsidP="00131EF4">
            <w:pPr>
              <w:pStyle w:val="TableCopy"/>
              <w:rPr>
                <w:b/>
                <w:lang w:val="en-GB"/>
              </w:rPr>
            </w:pPr>
            <w:r w:rsidRPr="00131EF4">
              <w:rPr>
                <w:b/>
                <w:lang w:val="en-GB"/>
              </w:rPr>
              <w:t>194,069</w:t>
            </w:r>
          </w:p>
        </w:tc>
        <w:tc>
          <w:tcPr>
            <w:tcW w:w="1843" w:type="dxa"/>
            <w:hideMark/>
          </w:tcPr>
          <w:p w14:paraId="40964EBE" w14:textId="77777777" w:rsidR="00643AC2" w:rsidRPr="00131EF4" w:rsidRDefault="00643AC2" w:rsidP="00131EF4">
            <w:pPr>
              <w:pStyle w:val="TableCopy"/>
              <w:rPr>
                <w:lang w:val="en-GB"/>
              </w:rPr>
            </w:pPr>
            <w:r w:rsidRPr="00131EF4">
              <w:rPr>
                <w:lang w:val="en-GB"/>
              </w:rPr>
              <w:t>163,316</w:t>
            </w:r>
          </w:p>
        </w:tc>
      </w:tr>
      <w:tr w:rsidR="000C6595" w:rsidRPr="00643AC2" w14:paraId="6BD3D1D8" w14:textId="77777777" w:rsidTr="00131EF4">
        <w:trPr>
          <w:cantSplit/>
        </w:trPr>
        <w:tc>
          <w:tcPr>
            <w:tcW w:w="6799" w:type="dxa"/>
            <w:hideMark/>
          </w:tcPr>
          <w:p w14:paraId="7C2C69FD" w14:textId="77777777" w:rsidR="00643AC2" w:rsidRPr="00131EF4" w:rsidRDefault="00643AC2" w:rsidP="00131EF4">
            <w:pPr>
              <w:pStyle w:val="TableCopy"/>
              <w:rPr>
                <w:lang w:val="en-GB"/>
              </w:rPr>
            </w:pPr>
            <w:r w:rsidRPr="00131EF4">
              <w:rPr>
                <w:lang w:val="en-GB"/>
              </w:rPr>
              <w:t> Unconditional and expected to be settled after 12 months</w:t>
            </w:r>
          </w:p>
        </w:tc>
        <w:tc>
          <w:tcPr>
            <w:tcW w:w="1843" w:type="dxa"/>
            <w:hideMark/>
          </w:tcPr>
          <w:p w14:paraId="4EEAF796" w14:textId="77777777" w:rsidR="00643AC2" w:rsidRPr="00131EF4" w:rsidRDefault="00643AC2" w:rsidP="00131EF4">
            <w:pPr>
              <w:pStyle w:val="TableCopy"/>
              <w:rPr>
                <w:b/>
                <w:lang w:val="en-GB"/>
              </w:rPr>
            </w:pPr>
            <w:r w:rsidRPr="00131EF4">
              <w:rPr>
                <w:b/>
                <w:lang w:val="en-GB"/>
              </w:rPr>
              <w:t>951,344</w:t>
            </w:r>
          </w:p>
        </w:tc>
        <w:tc>
          <w:tcPr>
            <w:tcW w:w="1843" w:type="dxa"/>
            <w:hideMark/>
          </w:tcPr>
          <w:p w14:paraId="272905E4" w14:textId="77777777" w:rsidR="00643AC2" w:rsidRPr="00131EF4" w:rsidRDefault="00643AC2" w:rsidP="00131EF4">
            <w:pPr>
              <w:pStyle w:val="TableCopy"/>
              <w:rPr>
                <w:lang w:val="en-GB"/>
              </w:rPr>
            </w:pPr>
            <w:r w:rsidRPr="00131EF4">
              <w:rPr>
                <w:lang w:val="en-GB"/>
              </w:rPr>
              <w:t>783,476</w:t>
            </w:r>
          </w:p>
        </w:tc>
      </w:tr>
      <w:tr w:rsidR="000C6595" w:rsidRPr="00643AC2" w14:paraId="12590E61" w14:textId="77777777" w:rsidTr="00131EF4">
        <w:trPr>
          <w:cantSplit/>
        </w:trPr>
        <w:tc>
          <w:tcPr>
            <w:tcW w:w="6799" w:type="dxa"/>
            <w:hideMark/>
          </w:tcPr>
          <w:p w14:paraId="38263964" w14:textId="77777777" w:rsidR="00643AC2" w:rsidRPr="00131EF4" w:rsidRDefault="00643AC2" w:rsidP="00131EF4">
            <w:pPr>
              <w:pStyle w:val="TableCopy"/>
              <w:rPr>
                <w:lang w:val="en-GB"/>
              </w:rPr>
            </w:pPr>
            <w:r w:rsidRPr="00131EF4">
              <w:rPr>
                <w:lang w:val="en-GB"/>
              </w:rPr>
              <w:t>Performance bonus</w:t>
            </w:r>
          </w:p>
        </w:tc>
        <w:tc>
          <w:tcPr>
            <w:tcW w:w="1843" w:type="dxa"/>
            <w:hideMark/>
          </w:tcPr>
          <w:p w14:paraId="2D7476CA" w14:textId="77777777" w:rsidR="00643AC2" w:rsidRPr="00131EF4" w:rsidRDefault="00643AC2" w:rsidP="00131EF4">
            <w:pPr>
              <w:pStyle w:val="TableCopy"/>
              <w:rPr>
                <w:b/>
                <w:lang w:val="en-GB"/>
              </w:rPr>
            </w:pPr>
            <w:r w:rsidRPr="00131EF4">
              <w:rPr>
                <w:b/>
                <w:lang w:val="en-GB"/>
              </w:rPr>
              <w:t>-</w:t>
            </w:r>
          </w:p>
        </w:tc>
        <w:tc>
          <w:tcPr>
            <w:tcW w:w="1843" w:type="dxa"/>
            <w:hideMark/>
          </w:tcPr>
          <w:p w14:paraId="67FDE578" w14:textId="77777777" w:rsidR="00643AC2" w:rsidRPr="00131EF4" w:rsidRDefault="00643AC2" w:rsidP="00131EF4">
            <w:pPr>
              <w:pStyle w:val="TableCopy"/>
              <w:rPr>
                <w:lang w:val="en-GB"/>
              </w:rPr>
            </w:pPr>
            <w:r w:rsidRPr="00131EF4">
              <w:rPr>
                <w:lang w:val="en-GB"/>
              </w:rPr>
              <w:t>56,323</w:t>
            </w:r>
          </w:p>
        </w:tc>
      </w:tr>
      <w:tr w:rsidR="000C6595" w:rsidRPr="00643AC2" w14:paraId="1895454E" w14:textId="77777777" w:rsidTr="00131EF4">
        <w:trPr>
          <w:cantSplit/>
        </w:trPr>
        <w:tc>
          <w:tcPr>
            <w:tcW w:w="6799" w:type="dxa"/>
            <w:hideMark/>
          </w:tcPr>
          <w:p w14:paraId="7D895449" w14:textId="77777777" w:rsidR="00643AC2" w:rsidRPr="00131EF4" w:rsidRDefault="00643AC2" w:rsidP="00131EF4">
            <w:pPr>
              <w:pStyle w:val="TableCopy"/>
              <w:rPr>
                <w:b/>
                <w:lang w:val="en-GB"/>
              </w:rPr>
            </w:pPr>
            <w:r w:rsidRPr="00131EF4">
              <w:rPr>
                <w:b/>
                <w:lang w:val="en-GB"/>
              </w:rPr>
              <w:t>Total current provisions for employee benefits</w:t>
            </w:r>
          </w:p>
        </w:tc>
        <w:tc>
          <w:tcPr>
            <w:tcW w:w="1843" w:type="dxa"/>
            <w:hideMark/>
          </w:tcPr>
          <w:p w14:paraId="18736570" w14:textId="77777777" w:rsidR="00643AC2" w:rsidRPr="00131EF4" w:rsidRDefault="00643AC2" w:rsidP="00131EF4">
            <w:pPr>
              <w:pStyle w:val="TableCopy"/>
              <w:rPr>
                <w:b/>
                <w:lang w:val="en-GB"/>
              </w:rPr>
            </w:pPr>
            <w:r w:rsidRPr="00131EF4">
              <w:rPr>
                <w:b/>
                <w:lang w:val="en-GB"/>
              </w:rPr>
              <w:t>1,757,992</w:t>
            </w:r>
          </w:p>
        </w:tc>
        <w:tc>
          <w:tcPr>
            <w:tcW w:w="1843" w:type="dxa"/>
            <w:hideMark/>
          </w:tcPr>
          <w:p w14:paraId="1E074957" w14:textId="77777777" w:rsidR="00643AC2" w:rsidRPr="00131EF4" w:rsidRDefault="00643AC2" w:rsidP="00131EF4">
            <w:pPr>
              <w:pStyle w:val="TableCopy"/>
              <w:rPr>
                <w:lang w:val="en-GB"/>
              </w:rPr>
            </w:pPr>
            <w:r w:rsidRPr="00131EF4">
              <w:rPr>
                <w:lang w:val="en-GB"/>
              </w:rPr>
              <w:t>1,423,538</w:t>
            </w:r>
          </w:p>
        </w:tc>
      </w:tr>
      <w:tr w:rsidR="00706E1B" w:rsidRPr="00643AC2" w14:paraId="21E9E1B6" w14:textId="77777777" w:rsidTr="00131EF4">
        <w:trPr>
          <w:cantSplit/>
        </w:trPr>
        <w:tc>
          <w:tcPr>
            <w:tcW w:w="10485" w:type="dxa"/>
            <w:gridSpan w:val="3"/>
            <w:hideMark/>
          </w:tcPr>
          <w:p w14:paraId="6DD866BA" w14:textId="77777777" w:rsidR="00706E1B" w:rsidRPr="00131EF4" w:rsidRDefault="00706E1B" w:rsidP="00131EF4">
            <w:pPr>
              <w:pStyle w:val="TableCopy"/>
              <w:rPr>
                <w:lang w:val="en-GB"/>
              </w:rPr>
            </w:pPr>
          </w:p>
        </w:tc>
      </w:tr>
      <w:tr w:rsidR="00706E1B" w:rsidRPr="00643AC2" w14:paraId="762B4557" w14:textId="77777777" w:rsidTr="00131EF4">
        <w:trPr>
          <w:cantSplit/>
        </w:trPr>
        <w:tc>
          <w:tcPr>
            <w:tcW w:w="10485" w:type="dxa"/>
            <w:gridSpan w:val="3"/>
            <w:hideMark/>
          </w:tcPr>
          <w:p w14:paraId="4D41F39A" w14:textId="6B201219" w:rsidR="00706E1B" w:rsidRPr="00131EF4" w:rsidRDefault="00706E1B" w:rsidP="00131EF4">
            <w:pPr>
              <w:pStyle w:val="TableHeading"/>
              <w:rPr>
                <w:lang w:val="en-GB"/>
              </w:rPr>
            </w:pPr>
            <w:r w:rsidRPr="00131EF4">
              <w:rPr>
                <w:lang w:val="en-GB"/>
              </w:rPr>
              <w:t>Non-current provision: </w:t>
            </w:r>
          </w:p>
        </w:tc>
      </w:tr>
      <w:tr w:rsidR="000C6595" w:rsidRPr="00643AC2" w14:paraId="789A7C1A" w14:textId="77777777" w:rsidTr="00131EF4">
        <w:trPr>
          <w:cantSplit/>
        </w:trPr>
        <w:tc>
          <w:tcPr>
            <w:tcW w:w="6799" w:type="dxa"/>
            <w:hideMark/>
          </w:tcPr>
          <w:p w14:paraId="7510181C" w14:textId="77777777" w:rsidR="00643AC2" w:rsidRPr="00131EF4" w:rsidRDefault="00643AC2" w:rsidP="00131EF4">
            <w:pPr>
              <w:pStyle w:val="TableCopy"/>
              <w:rPr>
                <w:lang w:val="en-GB"/>
              </w:rPr>
            </w:pPr>
            <w:r w:rsidRPr="00131EF4">
              <w:rPr>
                <w:lang w:val="en-GB"/>
              </w:rPr>
              <w:t>Long service leave</w:t>
            </w:r>
          </w:p>
        </w:tc>
        <w:tc>
          <w:tcPr>
            <w:tcW w:w="1843" w:type="dxa"/>
            <w:hideMark/>
          </w:tcPr>
          <w:p w14:paraId="0579CD9B" w14:textId="77777777" w:rsidR="00643AC2" w:rsidRPr="00131EF4" w:rsidRDefault="00643AC2" w:rsidP="00131EF4">
            <w:pPr>
              <w:pStyle w:val="TableCopy"/>
              <w:rPr>
                <w:b/>
                <w:lang w:val="en-GB"/>
              </w:rPr>
            </w:pPr>
            <w:r w:rsidRPr="00131EF4">
              <w:rPr>
                <w:b/>
                <w:lang w:val="en-GB"/>
              </w:rPr>
              <w:t>179,882</w:t>
            </w:r>
          </w:p>
        </w:tc>
        <w:tc>
          <w:tcPr>
            <w:tcW w:w="1843" w:type="dxa"/>
            <w:hideMark/>
          </w:tcPr>
          <w:p w14:paraId="2CD16849" w14:textId="77777777" w:rsidR="00643AC2" w:rsidRPr="00131EF4" w:rsidRDefault="00643AC2" w:rsidP="00131EF4">
            <w:pPr>
              <w:pStyle w:val="TableCopy"/>
              <w:rPr>
                <w:lang w:val="en-GB"/>
              </w:rPr>
            </w:pPr>
            <w:r w:rsidRPr="00131EF4">
              <w:rPr>
                <w:lang w:val="en-GB"/>
              </w:rPr>
              <w:t>133,580</w:t>
            </w:r>
          </w:p>
        </w:tc>
      </w:tr>
      <w:tr w:rsidR="00706E1B" w:rsidRPr="00643AC2" w14:paraId="1E955D1C" w14:textId="77777777" w:rsidTr="00131EF4">
        <w:trPr>
          <w:cantSplit/>
        </w:trPr>
        <w:tc>
          <w:tcPr>
            <w:tcW w:w="10485" w:type="dxa"/>
            <w:gridSpan w:val="3"/>
            <w:hideMark/>
          </w:tcPr>
          <w:p w14:paraId="11D7CB0D" w14:textId="77777777" w:rsidR="00706E1B" w:rsidRPr="00131EF4" w:rsidRDefault="00706E1B" w:rsidP="00131EF4">
            <w:pPr>
              <w:pStyle w:val="TableCopy"/>
              <w:rPr>
                <w:lang w:val="en-GB"/>
              </w:rPr>
            </w:pPr>
          </w:p>
        </w:tc>
      </w:tr>
      <w:tr w:rsidR="000C6595" w:rsidRPr="00643AC2" w14:paraId="7008967B" w14:textId="77777777" w:rsidTr="00131EF4">
        <w:trPr>
          <w:cantSplit/>
        </w:trPr>
        <w:tc>
          <w:tcPr>
            <w:tcW w:w="6799" w:type="dxa"/>
            <w:hideMark/>
          </w:tcPr>
          <w:p w14:paraId="6321B52A" w14:textId="77777777" w:rsidR="00643AC2" w:rsidRPr="00131EF4" w:rsidRDefault="00643AC2" w:rsidP="00131EF4">
            <w:pPr>
              <w:pStyle w:val="TableCopy"/>
              <w:rPr>
                <w:b/>
                <w:lang w:val="en-GB"/>
              </w:rPr>
            </w:pPr>
            <w:r w:rsidRPr="00131EF4">
              <w:rPr>
                <w:b/>
                <w:bCs/>
                <w:lang w:val="en-GB"/>
              </w:rPr>
              <w:t>Total provisions for employee benefits</w:t>
            </w:r>
          </w:p>
        </w:tc>
        <w:tc>
          <w:tcPr>
            <w:tcW w:w="1843" w:type="dxa"/>
            <w:hideMark/>
          </w:tcPr>
          <w:p w14:paraId="1F2FFCBA" w14:textId="77777777" w:rsidR="00643AC2" w:rsidRPr="00131EF4" w:rsidRDefault="00643AC2" w:rsidP="00131EF4">
            <w:pPr>
              <w:pStyle w:val="TableCopy"/>
              <w:rPr>
                <w:b/>
                <w:lang w:val="en-GB"/>
              </w:rPr>
            </w:pPr>
            <w:r w:rsidRPr="00131EF4">
              <w:rPr>
                <w:b/>
                <w:lang w:val="en-GB"/>
              </w:rPr>
              <w:t>1,937,874</w:t>
            </w:r>
          </w:p>
        </w:tc>
        <w:tc>
          <w:tcPr>
            <w:tcW w:w="1843" w:type="dxa"/>
            <w:hideMark/>
          </w:tcPr>
          <w:p w14:paraId="0EFF37B3" w14:textId="77777777" w:rsidR="00643AC2" w:rsidRPr="00131EF4" w:rsidRDefault="00643AC2" w:rsidP="00131EF4">
            <w:pPr>
              <w:pStyle w:val="TableCopy"/>
              <w:rPr>
                <w:lang w:val="en-GB"/>
              </w:rPr>
            </w:pPr>
            <w:r w:rsidRPr="00131EF4">
              <w:rPr>
                <w:lang w:val="en-GB"/>
              </w:rPr>
              <w:t>1,557,118</w:t>
            </w:r>
          </w:p>
        </w:tc>
      </w:tr>
    </w:tbl>
    <w:p w14:paraId="556149B2" w14:textId="2AFC276F" w:rsidR="00643AC2" w:rsidRPr="00643AC2" w:rsidRDefault="00643AC2" w:rsidP="00643AC2">
      <w:pPr>
        <w:rPr>
          <w:lang w:val="en-GB"/>
        </w:rPr>
      </w:pPr>
      <w:r w:rsidRPr="00877D12">
        <w:rPr>
          <w:b/>
          <w:lang w:val="en-GB"/>
        </w:rPr>
        <w:t xml:space="preserve">Wages and salaries, annual leave and sick leave: </w:t>
      </w:r>
      <w:r w:rsidRPr="00643AC2">
        <w:rPr>
          <w:lang w:val="en-GB"/>
        </w:rPr>
        <w:t>Liabilities for</w:t>
      </w:r>
      <w:r w:rsidR="00877D12">
        <w:rPr>
          <w:lang w:val="en-GB"/>
        </w:rPr>
        <w:t xml:space="preserve"> wages and salaries (including </w:t>
      </w:r>
      <w:r w:rsidRPr="00643AC2">
        <w:rPr>
          <w:lang w:val="en-GB"/>
        </w:rPr>
        <w:t>non-monetary benefits, annual leave and on-costs) are recognised as part of the employee benefit provision as current liabilities, because the Commission does not have an unconditio</w:t>
      </w:r>
      <w:r w:rsidR="00877D12">
        <w:rPr>
          <w:lang w:val="en-GB"/>
        </w:rPr>
        <w:t xml:space="preserve">nal right to defer settlements </w:t>
      </w:r>
      <w:r w:rsidRPr="00643AC2">
        <w:rPr>
          <w:lang w:val="en-GB"/>
        </w:rPr>
        <w:t>of these liabilities.</w:t>
      </w:r>
    </w:p>
    <w:p w14:paraId="105503A4" w14:textId="6C274C2C" w:rsidR="00643AC2" w:rsidRPr="00643AC2" w:rsidRDefault="00643AC2" w:rsidP="00643AC2">
      <w:pPr>
        <w:rPr>
          <w:lang w:val="en-GB"/>
        </w:rPr>
      </w:pPr>
      <w:r w:rsidRPr="00643AC2">
        <w:rPr>
          <w:lang w:val="en-GB"/>
        </w:rPr>
        <w:t>The liability for salaries and wages are recognised in the balance she</w:t>
      </w:r>
      <w:r w:rsidR="00877D12">
        <w:rPr>
          <w:lang w:val="en-GB"/>
        </w:rPr>
        <w:t xml:space="preserve">et at remuneration rates which </w:t>
      </w:r>
      <w:r w:rsidRPr="00643AC2">
        <w:rPr>
          <w:lang w:val="en-GB"/>
        </w:rPr>
        <w:t>are current at the reporting date. As the Commission expects the liabilities to be</w:t>
      </w:r>
      <w:r w:rsidR="00877D12">
        <w:rPr>
          <w:lang w:val="en-GB"/>
        </w:rPr>
        <w:t xml:space="preserve"> wholly settled within </w:t>
      </w:r>
      <w:r w:rsidRPr="00643AC2">
        <w:rPr>
          <w:lang w:val="en-GB"/>
        </w:rPr>
        <w:t>12 months of reporting date, they are measured at undiscounted amounts.</w:t>
      </w:r>
    </w:p>
    <w:p w14:paraId="2879531E" w14:textId="7C6A909E" w:rsidR="00643AC2" w:rsidRPr="00643AC2" w:rsidRDefault="00643AC2" w:rsidP="00643AC2">
      <w:pPr>
        <w:rPr>
          <w:lang w:val="en-GB"/>
        </w:rPr>
      </w:pPr>
      <w:r w:rsidRPr="00643AC2">
        <w:rPr>
          <w:lang w:val="en-GB"/>
        </w:rPr>
        <w:t>The annual leave liability is classified as a current liability and measured at the undiscounted amount expected to be paid, as the Commission does not have an unconditi</w:t>
      </w:r>
      <w:r w:rsidR="00E22732">
        <w:rPr>
          <w:lang w:val="en-GB"/>
        </w:rPr>
        <w:t xml:space="preserve">onal right to defer settlement </w:t>
      </w:r>
      <w:r w:rsidRPr="00643AC2">
        <w:rPr>
          <w:lang w:val="en-GB"/>
        </w:rPr>
        <w:t>of the liability for at least 12 months after the end of the reporting period.</w:t>
      </w:r>
    </w:p>
    <w:p w14:paraId="517663A3" w14:textId="7D37CDF5" w:rsidR="00643AC2" w:rsidRPr="00643AC2" w:rsidRDefault="00643AC2" w:rsidP="00643AC2">
      <w:pPr>
        <w:rPr>
          <w:lang w:val="en-GB"/>
        </w:rPr>
      </w:pPr>
      <w:r w:rsidRPr="00643AC2">
        <w:rPr>
          <w:lang w:val="en-GB"/>
        </w:rPr>
        <w:t>No provision has been made for sick leave as all sick leave is non-vesting and it is not considered probable that the average sick leave taken in the future will be greater than the b</w:t>
      </w:r>
      <w:r w:rsidR="00E22732">
        <w:rPr>
          <w:lang w:val="en-GB"/>
        </w:rPr>
        <w:t xml:space="preserve">enefits accrued in the future. </w:t>
      </w:r>
      <w:r w:rsidRPr="00643AC2">
        <w:rPr>
          <w:lang w:val="en-GB"/>
        </w:rPr>
        <w:t>As sick leave is non-vesting, an expense is recognised in the Sta</w:t>
      </w:r>
      <w:r w:rsidR="00E22732">
        <w:rPr>
          <w:lang w:val="en-GB"/>
        </w:rPr>
        <w:t xml:space="preserve">tement of Comprehensive Income </w:t>
      </w:r>
      <w:r w:rsidRPr="00643AC2">
        <w:rPr>
          <w:lang w:val="en-GB"/>
        </w:rPr>
        <w:t>as it is taken.</w:t>
      </w:r>
    </w:p>
    <w:p w14:paraId="45D957D4" w14:textId="7F19EA57" w:rsidR="00643AC2" w:rsidRPr="00643AC2" w:rsidRDefault="00643AC2" w:rsidP="00643AC2">
      <w:pPr>
        <w:rPr>
          <w:lang w:val="en-GB"/>
        </w:rPr>
      </w:pPr>
      <w:r w:rsidRPr="00643AC2">
        <w:rPr>
          <w:lang w:val="en-GB"/>
        </w:rPr>
        <w:lastRenderedPageBreak/>
        <w:t>Employment on-costs such as payroll tax, workers compensation and superannuation are not employee benefits. They are disclosed separately as a component of the provis</w:t>
      </w:r>
      <w:r w:rsidR="006D4894">
        <w:rPr>
          <w:lang w:val="en-GB"/>
        </w:rPr>
        <w:t xml:space="preserve">ion for employee benefits when </w:t>
      </w:r>
      <w:r w:rsidRPr="00643AC2">
        <w:rPr>
          <w:lang w:val="en-GB"/>
        </w:rPr>
        <w:t>the employment to which they relate has occurred.</w:t>
      </w:r>
    </w:p>
    <w:p w14:paraId="5146E641" w14:textId="5584A530" w:rsidR="00643AC2" w:rsidRPr="00643AC2" w:rsidRDefault="00643AC2" w:rsidP="00643AC2">
      <w:pPr>
        <w:rPr>
          <w:lang w:val="en-GB"/>
        </w:rPr>
      </w:pPr>
      <w:r w:rsidRPr="006D4894">
        <w:rPr>
          <w:b/>
          <w:lang w:val="en-GB"/>
        </w:rPr>
        <w:t>Unconditional LSL</w:t>
      </w:r>
      <w:r w:rsidRPr="00643AC2">
        <w:rPr>
          <w:lang w:val="en-GB"/>
        </w:rPr>
        <w:t xml:space="preserve"> is disclosed as a current liability; even where the C</w:t>
      </w:r>
      <w:r w:rsidR="006D4894">
        <w:rPr>
          <w:lang w:val="en-GB"/>
        </w:rPr>
        <w:t xml:space="preserve">ommission does not expect </w:t>
      </w:r>
      <w:r w:rsidRPr="00643AC2">
        <w:rPr>
          <w:lang w:val="en-GB"/>
        </w:rPr>
        <w:t>to settle the liability within 12 months because it will not have the unconditional right to defer the settlement of the entitlement should an employee take leave within 12 months.</w:t>
      </w:r>
    </w:p>
    <w:p w14:paraId="27FC27A1" w14:textId="77777777" w:rsidR="00643AC2" w:rsidRPr="00643AC2" w:rsidRDefault="00643AC2" w:rsidP="00643AC2">
      <w:pPr>
        <w:rPr>
          <w:lang w:val="en-GB"/>
        </w:rPr>
      </w:pPr>
      <w:r w:rsidRPr="00643AC2">
        <w:rPr>
          <w:lang w:val="en-GB"/>
        </w:rPr>
        <w:t>The components of this current LSL liability are measured at:</w:t>
      </w:r>
    </w:p>
    <w:p w14:paraId="0F890111" w14:textId="77777777" w:rsidR="00643AC2" w:rsidRPr="00643AC2" w:rsidRDefault="00643AC2" w:rsidP="006D4894">
      <w:pPr>
        <w:pStyle w:val="Bullet"/>
        <w:rPr>
          <w:lang w:val="en-GB"/>
        </w:rPr>
      </w:pPr>
      <w:r w:rsidRPr="00643AC2">
        <w:rPr>
          <w:lang w:val="en-GB"/>
        </w:rPr>
        <w:t>undiscounted value – if the Commission expects to wholly settle within 12 months; or</w:t>
      </w:r>
    </w:p>
    <w:p w14:paraId="15FA97C9" w14:textId="77777777" w:rsidR="00643AC2" w:rsidRPr="00643AC2" w:rsidRDefault="00643AC2" w:rsidP="006D4894">
      <w:pPr>
        <w:pStyle w:val="Bullet"/>
        <w:rPr>
          <w:lang w:val="en-GB"/>
        </w:rPr>
      </w:pPr>
      <w:r w:rsidRPr="00643AC2">
        <w:rPr>
          <w:lang w:val="en-GB"/>
        </w:rPr>
        <w:t>present value – if the Commission does not expect to wholly settle within 12 months.</w:t>
      </w:r>
    </w:p>
    <w:p w14:paraId="499DACBF" w14:textId="528C9E92" w:rsidR="00643AC2" w:rsidRPr="00643AC2" w:rsidRDefault="00643AC2" w:rsidP="00643AC2">
      <w:pPr>
        <w:rPr>
          <w:lang w:val="en-GB"/>
        </w:rPr>
      </w:pPr>
      <w:r w:rsidRPr="006D4894">
        <w:rPr>
          <w:b/>
          <w:lang w:val="en-GB"/>
        </w:rPr>
        <w:t>Conditional LSL</w:t>
      </w:r>
      <w:r w:rsidRPr="00643AC2">
        <w:rPr>
          <w:lang w:val="en-GB"/>
        </w:rPr>
        <w:t xml:space="preserve"> is disclosed as a non-current liability. There is an unc</w:t>
      </w:r>
      <w:r w:rsidR="006D4894">
        <w:rPr>
          <w:lang w:val="en-GB"/>
        </w:rPr>
        <w:t xml:space="preserve">onditional right to defer </w:t>
      </w:r>
      <w:r w:rsidRPr="00643AC2">
        <w:rPr>
          <w:lang w:val="en-GB"/>
        </w:rPr>
        <w:t>the settlement of the entitlement until the employee has completed t</w:t>
      </w:r>
      <w:r w:rsidR="006D4894">
        <w:rPr>
          <w:lang w:val="en-GB"/>
        </w:rPr>
        <w:t xml:space="preserve">he requisite years of service. </w:t>
      </w:r>
      <w:r w:rsidRPr="00643AC2">
        <w:rPr>
          <w:lang w:val="en-GB"/>
        </w:rPr>
        <w:t>This non-current LSL is measured at present value.</w:t>
      </w:r>
    </w:p>
    <w:p w14:paraId="40F8F41A" w14:textId="7A50E9F2" w:rsidR="00643AC2" w:rsidRPr="00643AC2" w:rsidRDefault="00643AC2" w:rsidP="00643AC2">
      <w:pPr>
        <w:rPr>
          <w:lang w:val="en-GB"/>
        </w:rPr>
      </w:pPr>
      <w:r w:rsidRPr="00643AC2">
        <w:rPr>
          <w:lang w:val="en-GB"/>
        </w:rPr>
        <w:t>Any gain or loss following revaluation of the present value of non-current LSL</w:t>
      </w:r>
      <w:r w:rsidR="006D4894">
        <w:rPr>
          <w:lang w:val="en-GB"/>
        </w:rPr>
        <w:t xml:space="preserve"> liability is recognised </w:t>
      </w:r>
      <w:r w:rsidRPr="00643AC2">
        <w:rPr>
          <w:lang w:val="en-GB"/>
        </w:rPr>
        <w:t xml:space="preserve">as a transaction, except to the extent that a gain or loss arises due to </w:t>
      </w:r>
      <w:r w:rsidR="006D4894">
        <w:rPr>
          <w:lang w:val="en-GB"/>
        </w:rPr>
        <w:t xml:space="preserve">changes in bond interest rates </w:t>
      </w:r>
      <w:r w:rsidRPr="00643AC2">
        <w:rPr>
          <w:lang w:val="en-GB"/>
        </w:rPr>
        <w:t>for which it is then recognised as an ‘other economic flow’ in the net result.</w:t>
      </w:r>
    </w:p>
    <w:p w14:paraId="29B965AF" w14:textId="0D2BE36D" w:rsidR="00643AC2" w:rsidRPr="00643AC2" w:rsidRDefault="00643AC2" w:rsidP="006D4894">
      <w:pPr>
        <w:pStyle w:val="Heading5"/>
        <w:rPr>
          <w:lang w:val="en-GB"/>
        </w:rPr>
      </w:pPr>
      <w:r w:rsidRPr="00643AC2">
        <w:rPr>
          <w:lang w:val="en-GB"/>
        </w:rPr>
        <w:t>3.2.</w:t>
      </w:r>
      <w:r w:rsidRPr="00643AC2">
        <w:rPr>
          <w:lang w:val="en-GB"/>
        </w:rPr>
        <w:t> </w:t>
      </w:r>
      <w:r w:rsidR="006D4894">
        <w:rPr>
          <w:lang w:val="en-GB"/>
        </w:rPr>
        <w:t>C</w:t>
      </w:r>
      <w:r w:rsidRPr="00643AC2">
        <w:rPr>
          <w:lang w:val="en-GB"/>
        </w:rPr>
        <w:t>apital asset charge</w:t>
      </w:r>
    </w:p>
    <w:tbl>
      <w:tblPr>
        <w:tblStyle w:val="TableGrid"/>
        <w:tblW w:w="10485" w:type="dxa"/>
        <w:tblLook w:val="04A0" w:firstRow="1" w:lastRow="0" w:firstColumn="1" w:lastColumn="0" w:noHBand="0" w:noVBand="1"/>
      </w:tblPr>
      <w:tblGrid>
        <w:gridCol w:w="6799"/>
        <w:gridCol w:w="1843"/>
        <w:gridCol w:w="1843"/>
      </w:tblGrid>
      <w:tr w:rsidR="006D4894" w:rsidRPr="00643AC2" w14:paraId="015BA81C" w14:textId="77777777" w:rsidTr="00CA75AA">
        <w:trPr>
          <w:cantSplit/>
          <w:tblHeader/>
        </w:trPr>
        <w:tc>
          <w:tcPr>
            <w:tcW w:w="6799" w:type="dxa"/>
            <w:hideMark/>
          </w:tcPr>
          <w:p w14:paraId="487EB50E" w14:textId="77777777" w:rsidR="00643AC2" w:rsidRPr="00CA75AA" w:rsidRDefault="00643AC2" w:rsidP="00CA75AA">
            <w:pPr>
              <w:pStyle w:val="TableHeading"/>
              <w:rPr>
                <w:lang w:val="en-GB"/>
              </w:rPr>
            </w:pPr>
          </w:p>
        </w:tc>
        <w:tc>
          <w:tcPr>
            <w:tcW w:w="1843" w:type="dxa"/>
            <w:hideMark/>
          </w:tcPr>
          <w:p w14:paraId="3FF4A2B1" w14:textId="77777777" w:rsidR="00643AC2" w:rsidRPr="00CA75AA" w:rsidRDefault="00643AC2" w:rsidP="00CA75AA">
            <w:pPr>
              <w:pStyle w:val="TableHeading"/>
              <w:rPr>
                <w:lang w:val="en-GB"/>
              </w:rPr>
            </w:pPr>
            <w:r w:rsidRPr="00CA75AA">
              <w:rPr>
                <w:lang w:val="en-GB"/>
              </w:rPr>
              <w:t>2017</w:t>
            </w:r>
          </w:p>
        </w:tc>
        <w:tc>
          <w:tcPr>
            <w:tcW w:w="1843" w:type="dxa"/>
            <w:hideMark/>
          </w:tcPr>
          <w:p w14:paraId="27123A84" w14:textId="77777777" w:rsidR="00643AC2" w:rsidRPr="00CA75AA" w:rsidRDefault="00643AC2" w:rsidP="00CA75AA">
            <w:pPr>
              <w:pStyle w:val="TableHeading"/>
              <w:rPr>
                <w:lang w:val="en-GB"/>
              </w:rPr>
            </w:pPr>
            <w:r w:rsidRPr="00CA75AA">
              <w:rPr>
                <w:lang w:val="en-GB"/>
              </w:rPr>
              <w:t>2016</w:t>
            </w:r>
          </w:p>
        </w:tc>
      </w:tr>
      <w:tr w:rsidR="006D4894" w:rsidRPr="00643AC2" w14:paraId="001EC305" w14:textId="77777777" w:rsidTr="00CA75AA">
        <w:trPr>
          <w:cantSplit/>
          <w:tblHeader/>
        </w:trPr>
        <w:tc>
          <w:tcPr>
            <w:tcW w:w="6799" w:type="dxa"/>
            <w:hideMark/>
          </w:tcPr>
          <w:p w14:paraId="344CD898" w14:textId="77777777" w:rsidR="00643AC2" w:rsidRPr="00CA75AA" w:rsidRDefault="00643AC2" w:rsidP="00CA75AA">
            <w:pPr>
              <w:pStyle w:val="TableHeading"/>
              <w:rPr>
                <w:lang w:val="en-GB"/>
              </w:rPr>
            </w:pPr>
          </w:p>
        </w:tc>
        <w:tc>
          <w:tcPr>
            <w:tcW w:w="1843" w:type="dxa"/>
            <w:hideMark/>
          </w:tcPr>
          <w:p w14:paraId="031E0F53" w14:textId="77777777" w:rsidR="00643AC2" w:rsidRPr="00CA75AA" w:rsidRDefault="00643AC2" w:rsidP="00CA75AA">
            <w:pPr>
              <w:pStyle w:val="TableHeading"/>
              <w:rPr>
                <w:lang w:val="en-GB"/>
              </w:rPr>
            </w:pPr>
            <w:r w:rsidRPr="00CA75AA">
              <w:rPr>
                <w:lang w:val="en-GB"/>
              </w:rPr>
              <w:t>$</w:t>
            </w:r>
          </w:p>
        </w:tc>
        <w:tc>
          <w:tcPr>
            <w:tcW w:w="1843" w:type="dxa"/>
            <w:hideMark/>
          </w:tcPr>
          <w:p w14:paraId="333E8270" w14:textId="77777777" w:rsidR="00643AC2" w:rsidRPr="00CA75AA" w:rsidRDefault="00643AC2" w:rsidP="00CA75AA">
            <w:pPr>
              <w:pStyle w:val="TableHeading"/>
              <w:rPr>
                <w:lang w:val="en-GB"/>
              </w:rPr>
            </w:pPr>
            <w:r w:rsidRPr="00CA75AA">
              <w:rPr>
                <w:lang w:val="en-GB"/>
              </w:rPr>
              <w:t>$</w:t>
            </w:r>
          </w:p>
        </w:tc>
      </w:tr>
      <w:tr w:rsidR="006D4894" w:rsidRPr="00643AC2" w14:paraId="465CDA41" w14:textId="77777777" w:rsidTr="00CA75AA">
        <w:trPr>
          <w:cantSplit/>
        </w:trPr>
        <w:tc>
          <w:tcPr>
            <w:tcW w:w="6799" w:type="dxa"/>
            <w:hideMark/>
          </w:tcPr>
          <w:p w14:paraId="372C4BC1" w14:textId="77777777" w:rsidR="00643AC2" w:rsidRPr="00CA75AA" w:rsidRDefault="00643AC2" w:rsidP="00CA75AA">
            <w:pPr>
              <w:pStyle w:val="TableCopy"/>
              <w:rPr>
                <w:b/>
                <w:lang w:val="en-GB"/>
              </w:rPr>
            </w:pPr>
            <w:r w:rsidRPr="00CA75AA">
              <w:rPr>
                <w:b/>
                <w:lang w:val="en-GB"/>
              </w:rPr>
              <w:t>Capital asset charge</w:t>
            </w:r>
          </w:p>
        </w:tc>
        <w:tc>
          <w:tcPr>
            <w:tcW w:w="1843" w:type="dxa"/>
            <w:hideMark/>
          </w:tcPr>
          <w:p w14:paraId="3962FE66" w14:textId="77777777" w:rsidR="00643AC2" w:rsidRPr="00CA75AA" w:rsidRDefault="00643AC2" w:rsidP="00CA75AA">
            <w:pPr>
              <w:pStyle w:val="TableCopy"/>
              <w:rPr>
                <w:b/>
                <w:lang w:val="en-GB"/>
              </w:rPr>
            </w:pPr>
            <w:r w:rsidRPr="00CA75AA">
              <w:rPr>
                <w:b/>
                <w:lang w:val="en-GB"/>
              </w:rPr>
              <w:t>69,008</w:t>
            </w:r>
          </w:p>
        </w:tc>
        <w:tc>
          <w:tcPr>
            <w:tcW w:w="1843" w:type="dxa"/>
            <w:hideMark/>
          </w:tcPr>
          <w:p w14:paraId="25C65FFB" w14:textId="77777777" w:rsidR="00643AC2" w:rsidRPr="00347035" w:rsidRDefault="00643AC2" w:rsidP="00CA75AA">
            <w:pPr>
              <w:pStyle w:val="TableCopy"/>
              <w:rPr>
                <w:lang w:val="en-GB"/>
              </w:rPr>
            </w:pPr>
            <w:r w:rsidRPr="00347035">
              <w:rPr>
                <w:lang w:val="en-GB"/>
              </w:rPr>
              <w:t>67,000</w:t>
            </w:r>
          </w:p>
        </w:tc>
      </w:tr>
    </w:tbl>
    <w:p w14:paraId="3D45E7F2" w14:textId="77777777" w:rsidR="00643AC2" w:rsidRPr="00643AC2" w:rsidRDefault="00643AC2" w:rsidP="00643AC2">
      <w:pPr>
        <w:rPr>
          <w:lang w:val="en-GB"/>
        </w:rPr>
      </w:pPr>
      <w:r w:rsidRPr="00643AC2">
        <w:rPr>
          <w:lang w:val="en-GB"/>
        </w:rPr>
        <w:t>A capital asset charge is a charge levied on the written down value of controlled non-current physical assets in the Commission’s balance sheet which aims to attribute to the opportunity cost of capital used in service delivery and provide incentives to the Commission to identify and dispose of underutilised or surplus assets in a timely manner. The capital asset charge is calculated on the budgeted carrying amount of applicable non-current physical assets.</w:t>
      </w:r>
    </w:p>
    <w:p w14:paraId="3DDFF7D2" w14:textId="64DE30DD" w:rsidR="00643AC2" w:rsidRPr="00643AC2" w:rsidRDefault="00643AC2" w:rsidP="00DE42B2">
      <w:pPr>
        <w:pStyle w:val="Heading5"/>
        <w:rPr>
          <w:lang w:val="en-GB"/>
        </w:rPr>
      </w:pPr>
      <w:r w:rsidRPr="00643AC2">
        <w:rPr>
          <w:lang w:val="en-GB"/>
        </w:rPr>
        <w:t>3.3.</w:t>
      </w:r>
      <w:r w:rsidRPr="00643AC2">
        <w:rPr>
          <w:lang w:val="en-GB"/>
        </w:rPr>
        <w:t> </w:t>
      </w:r>
      <w:r w:rsidR="00DE42B2">
        <w:rPr>
          <w:lang w:val="en-GB"/>
        </w:rPr>
        <w:t>O</w:t>
      </w:r>
      <w:r w:rsidRPr="00643AC2">
        <w:rPr>
          <w:lang w:val="en-GB"/>
        </w:rPr>
        <w:t>ther operating expenses</w:t>
      </w:r>
      <w:r w:rsidRPr="00643AC2">
        <w:rPr>
          <w:vertAlign w:val="superscript"/>
          <w:lang w:val="en-GB"/>
        </w:rPr>
        <w:t xml:space="preserve"> (a)</w:t>
      </w:r>
    </w:p>
    <w:tbl>
      <w:tblPr>
        <w:tblStyle w:val="TableGrid"/>
        <w:tblW w:w="10485" w:type="dxa"/>
        <w:tblLook w:val="04A0" w:firstRow="1" w:lastRow="0" w:firstColumn="1" w:lastColumn="0" w:noHBand="0" w:noVBand="1"/>
      </w:tblPr>
      <w:tblGrid>
        <w:gridCol w:w="6842"/>
        <w:gridCol w:w="1821"/>
        <w:gridCol w:w="1822"/>
      </w:tblGrid>
      <w:tr w:rsidR="005025FE" w:rsidRPr="000F0B80" w14:paraId="7E62F9DE" w14:textId="77777777" w:rsidTr="000F0B80">
        <w:trPr>
          <w:cantSplit/>
          <w:tblHeader/>
        </w:trPr>
        <w:tc>
          <w:tcPr>
            <w:tcW w:w="6842" w:type="dxa"/>
            <w:hideMark/>
          </w:tcPr>
          <w:p w14:paraId="54330303" w14:textId="77777777" w:rsidR="00643AC2" w:rsidRPr="000F0B80" w:rsidRDefault="00643AC2" w:rsidP="000F0B80">
            <w:pPr>
              <w:pStyle w:val="TableHeading"/>
              <w:rPr>
                <w:lang w:val="en-GB"/>
              </w:rPr>
            </w:pPr>
          </w:p>
        </w:tc>
        <w:tc>
          <w:tcPr>
            <w:tcW w:w="1821" w:type="dxa"/>
            <w:hideMark/>
          </w:tcPr>
          <w:p w14:paraId="44076E1F" w14:textId="77777777" w:rsidR="00643AC2" w:rsidRPr="000F0B80" w:rsidRDefault="00643AC2" w:rsidP="000F0B80">
            <w:pPr>
              <w:pStyle w:val="TableHeading"/>
              <w:rPr>
                <w:lang w:val="en-GB"/>
              </w:rPr>
            </w:pPr>
            <w:r w:rsidRPr="000F0B80">
              <w:rPr>
                <w:lang w:val="en-GB"/>
              </w:rPr>
              <w:t>2017</w:t>
            </w:r>
          </w:p>
        </w:tc>
        <w:tc>
          <w:tcPr>
            <w:tcW w:w="1822" w:type="dxa"/>
            <w:hideMark/>
          </w:tcPr>
          <w:p w14:paraId="6C18618B" w14:textId="77777777" w:rsidR="00643AC2" w:rsidRPr="000F0B80" w:rsidRDefault="00643AC2" w:rsidP="000F0B80">
            <w:pPr>
              <w:pStyle w:val="TableHeading"/>
              <w:rPr>
                <w:lang w:val="en-GB"/>
              </w:rPr>
            </w:pPr>
            <w:r w:rsidRPr="000F0B80">
              <w:rPr>
                <w:lang w:val="en-GB"/>
              </w:rPr>
              <w:t>2016</w:t>
            </w:r>
          </w:p>
        </w:tc>
      </w:tr>
      <w:tr w:rsidR="005025FE" w:rsidRPr="000F0B80" w14:paraId="38FBF997" w14:textId="77777777" w:rsidTr="000F0B80">
        <w:trPr>
          <w:cantSplit/>
          <w:tblHeader/>
        </w:trPr>
        <w:tc>
          <w:tcPr>
            <w:tcW w:w="6842" w:type="dxa"/>
            <w:hideMark/>
          </w:tcPr>
          <w:p w14:paraId="3618BAE7" w14:textId="77777777" w:rsidR="00643AC2" w:rsidRPr="000F0B80" w:rsidRDefault="00643AC2" w:rsidP="000F0B80">
            <w:pPr>
              <w:pStyle w:val="TableHeading"/>
              <w:rPr>
                <w:lang w:val="en-GB"/>
              </w:rPr>
            </w:pPr>
          </w:p>
        </w:tc>
        <w:tc>
          <w:tcPr>
            <w:tcW w:w="1821" w:type="dxa"/>
            <w:hideMark/>
          </w:tcPr>
          <w:p w14:paraId="6DC6F021" w14:textId="77777777" w:rsidR="00643AC2" w:rsidRPr="000F0B80" w:rsidRDefault="00643AC2" w:rsidP="000F0B80">
            <w:pPr>
              <w:pStyle w:val="TableHeading"/>
              <w:rPr>
                <w:lang w:val="en-GB"/>
              </w:rPr>
            </w:pPr>
            <w:r w:rsidRPr="000F0B80">
              <w:rPr>
                <w:lang w:val="en-GB"/>
              </w:rPr>
              <w:t>$</w:t>
            </w:r>
          </w:p>
        </w:tc>
        <w:tc>
          <w:tcPr>
            <w:tcW w:w="1822" w:type="dxa"/>
            <w:hideMark/>
          </w:tcPr>
          <w:p w14:paraId="03F71562" w14:textId="77777777" w:rsidR="00643AC2" w:rsidRPr="000F0B80" w:rsidRDefault="00643AC2" w:rsidP="000F0B80">
            <w:pPr>
              <w:pStyle w:val="TableHeading"/>
              <w:rPr>
                <w:lang w:val="en-GB"/>
              </w:rPr>
            </w:pPr>
            <w:r w:rsidRPr="000F0B80">
              <w:rPr>
                <w:lang w:val="en-GB"/>
              </w:rPr>
              <w:t>$</w:t>
            </w:r>
          </w:p>
        </w:tc>
      </w:tr>
      <w:tr w:rsidR="005025FE" w:rsidRPr="000F0B80" w14:paraId="5841E75E" w14:textId="77777777" w:rsidTr="000F0B80">
        <w:trPr>
          <w:cantSplit/>
        </w:trPr>
        <w:tc>
          <w:tcPr>
            <w:tcW w:w="6842" w:type="dxa"/>
            <w:hideMark/>
          </w:tcPr>
          <w:p w14:paraId="35A2D70B" w14:textId="77777777" w:rsidR="00643AC2" w:rsidRPr="000F0B80" w:rsidRDefault="00643AC2" w:rsidP="000F0B80">
            <w:pPr>
              <w:pStyle w:val="TableCopy"/>
              <w:rPr>
                <w:lang w:val="en-GB"/>
              </w:rPr>
            </w:pPr>
            <w:r w:rsidRPr="000F0B80">
              <w:rPr>
                <w:lang w:val="en-GB"/>
              </w:rPr>
              <w:t>Supplies and services</w:t>
            </w:r>
          </w:p>
        </w:tc>
        <w:tc>
          <w:tcPr>
            <w:tcW w:w="1821" w:type="dxa"/>
            <w:hideMark/>
          </w:tcPr>
          <w:p w14:paraId="43209BE2" w14:textId="77777777" w:rsidR="00643AC2" w:rsidRPr="000F0B80" w:rsidRDefault="00643AC2" w:rsidP="000F0B80">
            <w:pPr>
              <w:pStyle w:val="TableCopy"/>
              <w:rPr>
                <w:b/>
                <w:lang w:val="en-GB"/>
              </w:rPr>
            </w:pPr>
            <w:r w:rsidRPr="000F0B80">
              <w:rPr>
                <w:b/>
                <w:lang w:val="en-GB"/>
              </w:rPr>
              <w:t>3,118,669</w:t>
            </w:r>
          </w:p>
        </w:tc>
        <w:tc>
          <w:tcPr>
            <w:tcW w:w="1822" w:type="dxa"/>
            <w:hideMark/>
          </w:tcPr>
          <w:p w14:paraId="5509139A" w14:textId="77777777" w:rsidR="00643AC2" w:rsidRPr="000F0B80" w:rsidRDefault="00643AC2" w:rsidP="000F0B80">
            <w:pPr>
              <w:pStyle w:val="TableCopy"/>
              <w:rPr>
                <w:lang w:val="en-GB"/>
              </w:rPr>
            </w:pPr>
            <w:r w:rsidRPr="000F0B80">
              <w:rPr>
                <w:lang w:val="en-GB"/>
              </w:rPr>
              <w:t>1,714,620</w:t>
            </w:r>
          </w:p>
        </w:tc>
      </w:tr>
      <w:tr w:rsidR="005025FE" w:rsidRPr="000F0B80" w14:paraId="6C23692D" w14:textId="77777777" w:rsidTr="000F0B80">
        <w:trPr>
          <w:cantSplit/>
        </w:trPr>
        <w:tc>
          <w:tcPr>
            <w:tcW w:w="6842" w:type="dxa"/>
            <w:hideMark/>
          </w:tcPr>
          <w:p w14:paraId="7355D49E" w14:textId="77777777" w:rsidR="00643AC2" w:rsidRPr="000F0B80" w:rsidRDefault="00643AC2" w:rsidP="000F0B80">
            <w:pPr>
              <w:pStyle w:val="TableCopy"/>
              <w:rPr>
                <w:lang w:val="en-GB"/>
              </w:rPr>
            </w:pPr>
            <w:r w:rsidRPr="000F0B80">
              <w:rPr>
                <w:lang w:val="en-GB"/>
              </w:rPr>
              <w:t>Operating lease payments</w:t>
            </w:r>
          </w:p>
        </w:tc>
        <w:tc>
          <w:tcPr>
            <w:tcW w:w="1821" w:type="dxa"/>
            <w:hideMark/>
          </w:tcPr>
          <w:p w14:paraId="3ECA9893" w14:textId="77777777" w:rsidR="00643AC2" w:rsidRPr="000F0B80" w:rsidRDefault="00643AC2" w:rsidP="000F0B80">
            <w:pPr>
              <w:pStyle w:val="TableCopy"/>
              <w:rPr>
                <w:b/>
                <w:lang w:val="en-GB"/>
              </w:rPr>
            </w:pPr>
            <w:r w:rsidRPr="000F0B80">
              <w:rPr>
                <w:b/>
                <w:lang w:val="en-GB"/>
              </w:rPr>
              <w:t>513,798</w:t>
            </w:r>
          </w:p>
        </w:tc>
        <w:tc>
          <w:tcPr>
            <w:tcW w:w="1822" w:type="dxa"/>
            <w:hideMark/>
          </w:tcPr>
          <w:p w14:paraId="7D4C1DE2" w14:textId="77777777" w:rsidR="00643AC2" w:rsidRPr="000F0B80" w:rsidRDefault="00643AC2" w:rsidP="000F0B80">
            <w:pPr>
              <w:pStyle w:val="TableCopy"/>
              <w:rPr>
                <w:lang w:val="en-GB"/>
              </w:rPr>
            </w:pPr>
            <w:r w:rsidRPr="000F0B80">
              <w:rPr>
                <w:lang w:val="en-GB"/>
              </w:rPr>
              <w:t>442,312</w:t>
            </w:r>
          </w:p>
        </w:tc>
      </w:tr>
      <w:tr w:rsidR="005025FE" w:rsidRPr="000F0B80" w14:paraId="1C87797F" w14:textId="77777777" w:rsidTr="000F0B80">
        <w:trPr>
          <w:cantSplit/>
        </w:trPr>
        <w:tc>
          <w:tcPr>
            <w:tcW w:w="6842" w:type="dxa"/>
            <w:hideMark/>
          </w:tcPr>
          <w:p w14:paraId="2586C9C7" w14:textId="77777777" w:rsidR="00643AC2" w:rsidRPr="000F0B80" w:rsidRDefault="00643AC2" w:rsidP="000F0B80">
            <w:pPr>
              <w:pStyle w:val="TableCopy"/>
              <w:rPr>
                <w:lang w:val="en-GB"/>
              </w:rPr>
            </w:pPr>
            <w:r w:rsidRPr="000F0B80">
              <w:rPr>
                <w:lang w:val="en-GB"/>
              </w:rPr>
              <w:t>Other expenses</w:t>
            </w:r>
          </w:p>
        </w:tc>
        <w:tc>
          <w:tcPr>
            <w:tcW w:w="1821" w:type="dxa"/>
            <w:hideMark/>
          </w:tcPr>
          <w:p w14:paraId="3EF79675" w14:textId="77777777" w:rsidR="00643AC2" w:rsidRPr="000F0B80" w:rsidRDefault="00643AC2" w:rsidP="000F0B80">
            <w:pPr>
              <w:pStyle w:val="TableCopy"/>
              <w:rPr>
                <w:b/>
                <w:lang w:val="en-GB"/>
              </w:rPr>
            </w:pPr>
            <w:r w:rsidRPr="000F0B80">
              <w:rPr>
                <w:b/>
                <w:lang w:val="en-GB"/>
              </w:rPr>
              <w:t>1,939,482</w:t>
            </w:r>
          </w:p>
        </w:tc>
        <w:tc>
          <w:tcPr>
            <w:tcW w:w="1822" w:type="dxa"/>
            <w:hideMark/>
          </w:tcPr>
          <w:p w14:paraId="3B53E510" w14:textId="77777777" w:rsidR="00643AC2" w:rsidRPr="000F0B80" w:rsidRDefault="00643AC2" w:rsidP="000F0B80">
            <w:pPr>
              <w:pStyle w:val="TableCopy"/>
              <w:rPr>
                <w:lang w:val="en-GB"/>
              </w:rPr>
            </w:pPr>
            <w:r w:rsidRPr="000F0B80">
              <w:rPr>
                <w:lang w:val="en-GB"/>
              </w:rPr>
              <w:t>1,651,077</w:t>
            </w:r>
          </w:p>
        </w:tc>
      </w:tr>
      <w:tr w:rsidR="005025FE" w:rsidRPr="000F0B80" w14:paraId="07BDBD95" w14:textId="77777777" w:rsidTr="000F0B80">
        <w:trPr>
          <w:cantSplit/>
        </w:trPr>
        <w:tc>
          <w:tcPr>
            <w:tcW w:w="6842" w:type="dxa"/>
            <w:hideMark/>
          </w:tcPr>
          <w:p w14:paraId="144CB915" w14:textId="77777777" w:rsidR="00643AC2" w:rsidRPr="000F0B80" w:rsidRDefault="00643AC2" w:rsidP="000F0B80">
            <w:pPr>
              <w:pStyle w:val="TableCopy"/>
              <w:rPr>
                <w:b/>
                <w:lang w:val="en-GB"/>
              </w:rPr>
            </w:pPr>
            <w:r w:rsidRPr="000F0B80">
              <w:rPr>
                <w:b/>
                <w:lang w:val="en-GB"/>
              </w:rPr>
              <w:t>Total other operating expenses</w:t>
            </w:r>
          </w:p>
        </w:tc>
        <w:tc>
          <w:tcPr>
            <w:tcW w:w="1821" w:type="dxa"/>
            <w:hideMark/>
          </w:tcPr>
          <w:p w14:paraId="5E651A17" w14:textId="77777777" w:rsidR="00643AC2" w:rsidRPr="000F0B80" w:rsidRDefault="00643AC2" w:rsidP="000F0B80">
            <w:pPr>
              <w:pStyle w:val="TableCopy"/>
              <w:rPr>
                <w:b/>
                <w:lang w:val="en-GB"/>
              </w:rPr>
            </w:pPr>
            <w:r w:rsidRPr="000F0B80">
              <w:rPr>
                <w:b/>
                <w:lang w:val="en-GB"/>
              </w:rPr>
              <w:t>5,571,949</w:t>
            </w:r>
          </w:p>
        </w:tc>
        <w:tc>
          <w:tcPr>
            <w:tcW w:w="1822" w:type="dxa"/>
            <w:hideMark/>
          </w:tcPr>
          <w:p w14:paraId="67A6DEC9" w14:textId="77777777" w:rsidR="00643AC2" w:rsidRPr="000F0B80" w:rsidRDefault="00643AC2" w:rsidP="000F0B80">
            <w:pPr>
              <w:pStyle w:val="TableCopy"/>
              <w:rPr>
                <w:lang w:val="en-GB"/>
              </w:rPr>
            </w:pPr>
            <w:r w:rsidRPr="000F0B80">
              <w:rPr>
                <w:lang w:val="en-GB"/>
              </w:rPr>
              <w:t>3,808,009</w:t>
            </w:r>
          </w:p>
        </w:tc>
      </w:tr>
    </w:tbl>
    <w:p w14:paraId="56E84AC7" w14:textId="77777777" w:rsidR="00643AC2" w:rsidRPr="00E371A1" w:rsidRDefault="00643AC2" w:rsidP="00643AC2">
      <w:pPr>
        <w:rPr>
          <w:rStyle w:val="SubtleEmphasis"/>
        </w:rPr>
      </w:pPr>
      <w:r w:rsidRPr="00E371A1">
        <w:rPr>
          <w:rStyle w:val="SubtleEmphasis"/>
        </w:rPr>
        <w:t>Note:</w:t>
      </w:r>
    </w:p>
    <w:p w14:paraId="2889A908" w14:textId="008AB06F" w:rsidR="00643AC2" w:rsidRPr="00E371A1" w:rsidRDefault="00E371A1" w:rsidP="00643AC2">
      <w:pPr>
        <w:rPr>
          <w:rStyle w:val="SubtleEmphasis"/>
        </w:rPr>
      </w:pPr>
      <w:r w:rsidRPr="00E371A1">
        <w:rPr>
          <w:rStyle w:val="SubtleEmphasis"/>
        </w:rPr>
        <w:t xml:space="preserve">(a) </w:t>
      </w:r>
      <w:r w:rsidR="00643AC2" w:rsidRPr="00E371A1">
        <w:rPr>
          <w:rStyle w:val="SubtleEmphasis"/>
        </w:rPr>
        <w:t>Certain expenses have been reclassified to more appropriately reflect their nature</w:t>
      </w:r>
      <w:r w:rsidRPr="00E371A1">
        <w:rPr>
          <w:rStyle w:val="SubtleEmphasis"/>
        </w:rPr>
        <w:t xml:space="preserve">. Prior year comparatives have </w:t>
      </w:r>
      <w:r w:rsidR="00643AC2" w:rsidRPr="00E371A1">
        <w:rPr>
          <w:rStyle w:val="SubtleEmphasis"/>
        </w:rPr>
        <w:t>been adjusted accordingly.</w:t>
      </w:r>
    </w:p>
    <w:p w14:paraId="44267198" w14:textId="77777777" w:rsidR="00643AC2" w:rsidRPr="00643AC2" w:rsidRDefault="00643AC2" w:rsidP="00643AC2">
      <w:pPr>
        <w:rPr>
          <w:lang w:val="en-GB"/>
        </w:rPr>
      </w:pPr>
      <w:r w:rsidRPr="00643AC2">
        <w:rPr>
          <w:lang w:val="en-GB"/>
        </w:rPr>
        <w:t>Other operating expenses generally represent the day-to-day running costs incurred in normal operations.</w:t>
      </w:r>
    </w:p>
    <w:p w14:paraId="11E0BE52" w14:textId="77777777" w:rsidR="00643AC2" w:rsidRPr="00643AC2" w:rsidRDefault="00643AC2" w:rsidP="00643AC2">
      <w:pPr>
        <w:rPr>
          <w:lang w:val="en-GB"/>
        </w:rPr>
      </w:pPr>
      <w:r w:rsidRPr="00E371A1">
        <w:rPr>
          <w:b/>
          <w:lang w:val="en-GB"/>
        </w:rPr>
        <w:t>Supplies and services</w:t>
      </w:r>
      <w:r w:rsidRPr="00643AC2">
        <w:rPr>
          <w:lang w:val="en-GB"/>
        </w:rPr>
        <w:t xml:space="preserve"> and </w:t>
      </w:r>
      <w:r w:rsidRPr="00E371A1">
        <w:rPr>
          <w:b/>
          <w:lang w:val="en-GB"/>
        </w:rPr>
        <w:t xml:space="preserve">Other expenses </w:t>
      </w:r>
      <w:r w:rsidRPr="00643AC2">
        <w:rPr>
          <w:lang w:val="en-GB"/>
        </w:rPr>
        <w:t>are recognised as an expense in the reporting period in which they are incurred. </w:t>
      </w:r>
    </w:p>
    <w:p w14:paraId="75F20B0E" w14:textId="0C189823" w:rsidR="00643AC2" w:rsidRPr="00643AC2" w:rsidRDefault="00643AC2" w:rsidP="00643AC2">
      <w:pPr>
        <w:rPr>
          <w:lang w:val="en-GB"/>
        </w:rPr>
      </w:pPr>
      <w:r w:rsidRPr="00E371A1">
        <w:rPr>
          <w:b/>
          <w:lang w:val="en-GB"/>
        </w:rPr>
        <w:t>Operating lease payments</w:t>
      </w:r>
      <w:r w:rsidRPr="00643AC2">
        <w:rPr>
          <w:lang w:val="en-GB"/>
        </w:rPr>
        <w:t xml:space="preserve"> (including contingent rentals) are recognised</w:t>
      </w:r>
      <w:r w:rsidR="00E371A1">
        <w:rPr>
          <w:lang w:val="en-GB"/>
        </w:rPr>
        <w:t xml:space="preserve"> on a straight line basis over </w:t>
      </w:r>
      <w:r w:rsidRPr="00643AC2">
        <w:rPr>
          <w:lang w:val="en-GB"/>
        </w:rPr>
        <w:t>the lease term, except where another systematic basis is more repr</w:t>
      </w:r>
      <w:r w:rsidR="00E371A1">
        <w:rPr>
          <w:lang w:val="en-GB"/>
        </w:rPr>
        <w:t xml:space="preserve">esentative of the time pattern </w:t>
      </w:r>
      <w:r w:rsidRPr="00643AC2">
        <w:rPr>
          <w:lang w:val="en-GB"/>
        </w:rPr>
        <w:t>of the benefits derived from the use of the leased asset. </w:t>
      </w:r>
    </w:p>
    <w:p w14:paraId="619F0BEC" w14:textId="77777777" w:rsidR="00643AC2" w:rsidRPr="00643AC2" w:rsidRDefault="00643AC2" w:rsidP="00643AC2">
      <w:pPr>
        <w:rPr>
          <w:lang w:val="en-GB"/>
        </w:rPr>
      </w:pPr>
      <w:r w:rsidRPr="00643AC2">
        <w:rPr>
          <w:lang w:val="en-GB"/>
        </w:rPr>
        <w:lastRenderedPageBreak/>
        <w:t>The Department of Premier and Cabinet has been centrally funding the services provided to the Commission for nominal consideration. The services that are utilised include the use of the financial systems, payroll systems, accounts payable asset register and information technology network.</w:t>
      </w:r>
    </w:p>
    <w:p w14:paraId="2D99560B" w14:textId="6E858DA2" w:rsidR="00643AC2" w:rsidRPr="00643AC2" w:rsidRDefault="00643AC2" w:rsidP="008E5231">
      <w:pPr>
        <w:pStyle w:val="Heading2"/>
        <w:rPr>
          <w:lang w:val="en-GB"/>
        </w:rPr>
      </w:pPr>
      <w:bookmarkStart w:id="85" w:name="_Toc494112013"/>
      <w:r w:rsidRPr="00643AC2">
        <w:rPr>
          <w:lang w:val="en-GB"/>
        </w:rPr>
        <w:t>4.</w:t>
      </w:r>
      <w:r w:rsidRPr="00643AC2">
        <w:rPr>
          <w:lang w:val="en-GB"/>
        </w:rPr>
        <w:t> </w:t>
      </w:r>
      <w:r w:rsidR="008E5231">
        <w:rPr>
          <w:lang w:val="en-GB"/>
        </w:rPr>
        <w:t>K</w:t>
      </w:r>
      <w:r w:rsidRPr="00643AC2">
        <w:rPr>
          <w:lang w:val="en-GB"/>
        </w:rPr>
        <w:t>ey assets available to support delivery of services</w:t>
      </w:r>
      <w:bookmarkEnd w:id="85"/>
    </w:p>
    <w:p w14:paraId="429DA75F" w14:textId="77777777" w:rsidR="00643AC2" w:rsidRPr="00643AC2" w:rsidRDefault="00643AC2" w:rsidP="008E5231">
      <w:pPr>
        <w:pStyle w:val="Heading3"/>
        <w:rPr>
          <w:lang w:val="en-GB"/>
        </w:rPr>
      </w:pPr>
      <w:bookmarkStart w:id="86" w:name="_Toc494112014"/>
      <w:r w:rsidRPr="00643AC2">
        <w:rPr>
          <w:lang w:val="en-GB"/>
        </w:rPr>
        <w:t>Introduction</w:t>
      </w:r>
      <w:bookmarkEnd w:id="86"/>
    </w:p>
    <w:p w14:paraId="352AB9B6" w14:textId="132F69CD" w:rsidR="00643AC2" w:rsidRPr="00643AC2" w:rsidRDefault="00643AC2" w:rsidP="00643AC2">
      <w:pPr>
        <w:rPr>
          <w:lang w:val="en-GB"/>
        </w:rPr>
      </w:pPr>
      <w:r w:rsidRPr="00643AC2">
        <w:rPr>
          <w:lang w:val="en-GB"/>
        </w:rPr>
        <w:t xml:space="preserve">The Commission controls property plant and equipment that are utilised in fulfilling its objectives and conducting its activities. They represent the key resources that have been entrusted </w:t>
      </w:r>
      <w:r w:rsidR="008E5231">
        <w:rPr>
          <w:lang w:val="en-GB"/>
        </w:rPr>
        <w:t xml:space="preserve">to the Commission </w:t>
      </w:r>
      <w:r w:rsidRPr="00643AC2">
        <w:rPr>
          <w:lang w:val="en-GB"/>
        </w:rPr>
        <w:t>to be utilised for delivery of services.</w:t>
      </w:r>
    </w:p>
    <w:p w14:paraId="4323388F" w14:textId="77777777" w:rsidR="00643AC2" w:rsidRPr="00643AC2" w:rsidRDefault="00643AC2" w:rsidP="008E5231">
      <w:pPr>
        <w:pStyle w:val="Heading3"/>
        <w:rPr>
          <w:lang w:val="en-GB"/>
        </w:rPr>
      </w:pPr>
      <w:bookmarkStart w:id="87" w:name="_Toc494112015"/>
      <w:r w:rsidRPr="00643AC2">
        <w:rPr>
          <w:lang w:val="en-GB"/>
        </w:rPr>
        <w:t>Structure</w:t>
      </w:r>
      <w:bookmarkEnd w:id="87"/>
    </w:p>
    <w:p w14:paraId="393D9DB1" w14:textId="1CFA9CDD" w:rsidR="00643AC2" w:rsidRPr="00643AC2" w:rsidRDefault="00643AC2" w:rsidP="00643AC2">
      <w:pPr>
        <w:rPr>
          <w:lang w:val="en-GB"/>
        </w:rPr>
      </w:pPr>
      <w:r w:rsidRPr="00643AC2">
        <w:rPr>
          <w:lang w:val="en-GB"/>
        </w:rPr>
        <w:t>4.1.</w:t>
      </w:r>
      <w:r w:rsidRPr="00643AC2">
        <w:rPr>
          <w:lang w:val="en-GB"/>
        </w:rPr>
        <w:t> </w:t>
      </w:r>
      <w:r w:rsidR="008E5231">
        <w:rPr>
          <w:lang w:val="en-GB"/>
        </w:rPr>
        <w:t>T</w:t>
      </w:r>
      <w:r w:rsidRPr="00643AC2">
        <w:rPr>
          <w:lang w:val="en-GB"/>
        </w:rPr>
        <w:t>otal property, plant and equipment</w:t>
      </w:r>
    </w:p>
    <w:p w14:paraId="0BD75DAE" w14:textId="43D951D7" w:rsidR="00643AC2" w:rsidRPr="00643AC2" w:rsidRDefault="00643AC2" w:rsidP="00643AC2">
      <w:pPr>
        <w:rPr>
          <w:lang w:val="en-GB"/>
        </w:rPr>
      </w:pPr>
      <w:r w:rsidRPr="00643AC2">
        <w:rPr>
          <w:lang w:val="en-GB"/>
        </w:rPr>
        <w:t>4.2.</w:t>
      </w:r>
      <w:r w:rsidRPr="00643AC2">
        <w:rPr>
          <w:lang w:val="en-GB"/>
        </w:rPr>
        <w:t> </w:t>
      </w:r>
      <w:r w:rsidR="008E5231">
        <w:rPr>
          <w:lang w:val="en-GB"/>
        </w:rPr>
        <w:t>I</w:t>
      </w:r>
      <w:r w:rsidRPr="00643AC2">
        <w:rPr>
          <w:lang w:val="en-GB"/>
        </w:rPr>
        <w:t>ntangible assets</w:t>
      </w:r>
    </w:p>
    <w:p w14:paraId="60318F89" w14:textId="03256BB1" w:rsidR="00643AC2" w:rsidRPr="00643AC2" w:rsidRDefault="00643AC2" w:rsidP="00643AC2">
      <w:pPr>
        <w:rPr>
          <w:lang w:val="en-GB"/>
        </w:rPr>
      </w:pPr>
      <w:r w:rsidRPr="00643AC2">
        <w:rPr>
          <w:lang w:val="en-GB"/>
        </w:rPr>
        <w:t>4.3.</w:t>
      </w:r>
      <w:r w:rsidRPr="00643AC2">
        <w:rPr>
          <w:lang w:val="en-GB"/>
        </w:rPr>
        <w:t> </w:t>
      </w:r>
      <w:r w:rsidR="008E5231">
        <w:rPr>
          <w:lang w:val="en-GB"/>
        </w:rPr>
        <w:t>D</w:t>
      </w:r>
      <w:r w:rsidRPr="00643AC2">
        <w:rPr>
          <w:lang w:val="en-GB"/>
        </w:rPr>
        <w:t>epreciation</w:t>
      </w:r>
    </w:p>
    <w:p w14:paraId="685C64DE" w14:textId="40E6B405" w:rsidR="00643AC2" w:rsidRPr="00643AC2" w:rsidRDefault="00643AC2" w:rsidP="004F3EDC">
      <w:pPr>
        <w:pStyle w:val="Heading4"/>
        <w:rPr>
          <w:lang w:val="en-GB"/>
        </w:rPr>
      </w:pPr>
      <w:r w:rsidRPr="00643AC2">
        <w:rPr>
          <w:lang w:val="en-GB"/>
        </w:rPr>
        <w:t>4.1.</w:t>
      </w:r>
      <w:r w:rsidRPr="00643AC2">
        <w:rPr>
          <w:lang w:val="en-GB"/>
        </w:rPr>
        <w:t> </w:t>
      </w:r>
      <w:r w:rsidR="004F3EDC">
        <w:rPr>
          <w:lang w:val="en-GB"/>
        </w:rPr>
        <w:t>T</w:t>
      </w:r>
      <w:r w:rsidRPr="00643AC2">
        <w:rPr>
          <w:lang w:val="en-GB"/>
        </w:rPr>
        <w:t>otal property, plant and equipment</w:t>
      </w:r>
    </w:p>
    <w:tbl>
      <w:tblPr>
        <w:tblStyle w:val="TableGrid"/>
        <w:tblW w:w="10386" w:type="dxa"/>
        <w:tblLook w:val="04A0" w:firstRow="1" w:lastRow="0" w:firstColumn="1" w:lastColumn="0" w:noHBand="0" w:noVBand="1"/>
      </w:tblPr>
      <w:tblGrid>
        <w:gridCol w:w="3171"/>
        <w:gridCol w:w="1202"/>
        <w:gridCol w:w="1203"/>
        <w:gridCol w:w="1202"/>
        <w:gridCol w:w="1203"/>
        <w:gridCol w:w="1202"/>
        <w:gridCol w:w="1203"/>
      </w:tblGrid>
      <w:tr w:rsidR="004F3EDC" w:rsidRPr="00643AC2" w14:paraId="3C06A8C3" w14:textId="77777777" w:rsidTr="00B46E66">
        <w:trPr>
          <w:cantSplit/>
          <w:tblHeader/>
        </w:trPr>
        <w:tc>
          <w:tcPr>
            <w:tcW w:w="0" w:type="auto"/>
          </w:tcPr>
          <w:p w14:paraId="2D7130BA" w14:textId="77777777" w:rsidR="004F3EDC" w:rsidRPr="00643AC2" w:rsidRDefault="004F3EDC" w:rsidP="005A544E">
            <w:pPr>
              <w:pStyle w:val="TableCopy"/>
              <w:rPr>
                <w:lang w:val="en-GB"/>
              </w:rPr>
            </w:pPr>
          </w:p>
        </w:tc>
        <w:tc>
          <w:tcPr>
            <w:tcW w:w="2405" w:type="dxa"/>
            <w:gridSpan w:val="2"/>
          </w:tcPr>
          <w:p w14:paraId="119E3EFA" w14:textId="20BC6FC9" w:rsidR="004F3EDC" w:rsidRPr="00643AC2" w:rsidRDefault="004F3EDC" w:rsidP="005A544E">
            <w:pPr>
              <w:pStyle w:val="TableHeading"/>
              <w:jc w:val="center"/>
              <w:rPr>
                <w:lang w:val="en-GB"/>
              </w:rPr>
            </w:pPr>
            <w:r w:rsidRPr="00643AC2">
              <w:rPr>
                <w:lang w:val="en-GB"/>
              </w:rPr>
              <w:t>Gross carrying amount</w:t>
            </w:r>
          </w:p>
        </w:tc>
        <w:tc>
          <w:tcPr>
            <w:tcW w:w="2405" w:type="dxa"/>
            <w:gridSpan w:val="2"/>
          </w:tcPr>
          <w:p w14:paraId="5A109F97" w14:textId="781930A8" w:rsidR="004F3EDC" w:rsidRPr="00643AC2" w:rsidRDefault="004F3EDC" w:rsidP="005A544E">
            <w:pPr>
              <w:pStyle w:val="TableHeading"/>
              <w:jc w:val="center"/>
              <w:rPr>
                <w:lang w:val="en-GB"/>
              </w:rPr>
            </w:pPr>
            <w:r w:rsidRPr="00643AC2">
              <w:rPr>
                <w:lang w:val="en-GB"/>
              </w:rPr>
              <w:t>Accumulated Depreciation</w:t>
            </w:r>
          </w:p>
        </w:tc>
        <w:tc>
          <w:tcPr>
            <w:tcW w:w="2405" w:type="dxa"/>
            <w:gridSpan w:val="2"/>
          </w:tcPr>
          <w:p w14:paraId="5A1D95BF" w14:textId="796C9789" w:rsidR="004F3EDC" w:rsidRPr="00643AC2" w:rsidRDefault="004F3EDC" w:rsidP="005A544E">
            <w:pPr>
              <w:pStyle w:val="TableHeading"/>
              <w:jc w:val="center"/>
              <w:rPr>
                <w:lang w:val="en-GB"/>
              </w:rPr>
            </w:pPr>
            <w:r w:rsidRPr="00643AC2">
              <w:rPr>
                <w:lang w:val="en-GB"/>
              </w:rPr>
              <w:t>Net carrying amount</w:t>
            </w:r>
          </w:p>
        </w:tc>
      </w:tr>
      <w:tr w:rsidR="00643AC2" w:rsidRPr="00643AC2" w14:paraId="7A56F7C3" w14:textId="77777777" w:rsidTr="00B46E66">
        <w:trPr>
          <w:cantSplit/>
          <w:tblHeader/>
        </w:trPr>
        <w:tc>
          <w:tcPr>
            <w:tcW w:w="0" w:type="auto"/>
            <w:hideMark/>
          </w:tcPr>
          <w:p w14:paraId="7B38ECFE" w14:textId="77777777" w:rsidR="00643AC2" w:rsidRPr="00643AC2" w:rsidRDefault="00643AC2" w:rsidP="005A544E">
            <w:pPr>
              <w:pStyle w:val="TableCopy"/>
              <w:rPr>
                <w:lang w:val="en-GB"/>
              </w:rPr>
            </w:pPr>
            <w:r w:rsidRPr="00643AC2">
              <w:rPr>
                <w:lang w:val="en-GB"/>
              </w:rPr>
              <w:t> </w:t>
            </w:r>
          </w:p>
        </w:tc>
        <w:tc>
          <w:tcPr>
            <w:tcW w:w="1202" w:type="dxa"/>
            <w:hideMark/>
          </w:tcPr>
          <w:p w14:paraId="51E8D684" w14:textId="77777777" w:rsidR="00643AC2" w:rsidRPr="00643AC2" w:rsidRDefault="00643AC2" w:rsidP="005A544E">
            <w:pPr>
              <w:pStyle w:val="TableHeading"/>
              <w:rPr>
                <w:lang w:val="en-GB"/>
              </w:rPr>
            </w:pPr>
            <w:r w:rsidRPr="00643AC2">
              <w:rPr>
                <w:lang w:val="en-GB"/>
              </w:rPr>
              <w:t>2017</w:t>
            </w:r>
          </w:p>
        </w:tc>
        <w:tc>
          <w:tcPr>
            <w:tcW w:w="1203" w:type="dxa"/>
            <w:hideMark/>
          </w:tcPr>
          <w:p w14:paraId="6C7A64BC" w14:textId="77777777" w:rsidR="00643AC2" w:rsidRPr="00643AC2" w:rsidRDefault="00643AC2" w:rsidP="005A544E">
            <w:pPr>
              <w:pStyle w:val="TableHeading"/>
              <w:rPr>
                <w:lang w:val="en-GB"/>
              </w:rPr>
            </w:pPr>
            <w:r w:rsidRPr="00643AC2">
              <w:rPr>
                <w:lang w:val="en-GB"/>
              </w:rPr>
              <w:t>2016</w:t>
            </w:r>
          </w:p>
        </w:tc>
        <w:tc>
          <w:tcPr>
            <w:tcW w:w="1202" w:type="dxa"/>
            <w:hideMark/>
          </w:tcPr>
          <w:p w14:paraId="2E7777E2" w14:textId="77777777" w:rsidR="00643AC2" w:rsidRPr="00643AC2" w:rsidRDefault="00643AC2" w:rsidP="005A544E">
            <w:pPr>
              <w:pStyle w:val="TableHeading"/>
              <w:rPr>
                <w:lang w:val="en-GB"/>
              </w:rPr>
            </w:pPr>
            <w:r w:rsidRPr="00643AC2">
              <w:rPr>
                <w:lang w:val="en-GB"/>
              </w:rPr>
              <w:t>2017</w:t>
            </w:r>
          </w:p>
        </w:tc>
        <w:tc>
          <w:tcPr>
            <w:tcW w:w="1203" w:type="dxa"/>
            <w:hideMark/>
          </w:tcPr>
          <w:p w14:paraId="383EEF0C" w14:textId="77777777" w:rsidR="00643AC2" w:rsidRPr="00643AC2" w:rsidRDefault="00643AC2" w:rsidP="005A544E">
            <w:pPr>
              <w:pStyle w:val="TableHeading"/>
              <w:rPr>
                <w:lang w:val="en-GB"/>
              </w:rPr>
            </w:pPr>
            <w:r w:rsidRPr="00643AC2">
              <w:rPr>
                <w:lang w:val="en-GB"/>
              </w:rPr>
              <w:t>2016</w:t>
            </w:r>
          </w:p>
        </w:tc>
        <w:tc>
          <w:tcPr>
            <w:tcW w:w="1202" w:type="dxa"/>
            <w:hideMark/>
          </w:tcPr>
          <w:p w14:paraId="61655FF2" w14:textId="77777777" w:rsidR="00643AC2" w:rsidRPr="00643AC2" w:rsidRDefault="00643AC2" w:rsidP="005A544E">
            <w:pPr>
              <w:pStyle w:val="TableHeading"/>
              <w:rPr>
                <w:lang w:val="en-GB"/>
              </w:rPr>
            </w:pPr>
            <w:r w:rsidRPr="00643AC2">
              <w:rPr>
                <w:lang w:val="en-GB"/>
              </w:rPr>
              <w:t>2017</w:t>
            </w:r>
          </w:p>
        </w:tc>
        <w:tc>
          <w:tcPr>
            <w:tcW w:w="1203" w:type="dxa"/>
            <w:hideMark/>
          </w:tcPr>
          <w:p w14:paraId="091EB6C9" w14:textId="77777777" w:rsidR="00643AC2" w:rsidRPr="00643AC2" w:rsidRDefault="00643AC2" w:rsidP="005A544E">
            <w:pPr>
              <w:pStyle w:val="TableHeading"/>
              <w:rPr>
                <w:lang w:val="en-GB"/>
              </w:rPr>
            </w:pPr>
            <w:r w:rsidRPr="00643AC2">
              <w:rPr>
                <w:lang w:val="en-GB"/>
              </w:rPr>
              <w:t>2016</w:t>
            </w:r>
          </w:p>
        </w:tc>
      </w:tr>
      <w:tr w:rsidR="00643AC2" w:rsidRPr="00643AC2" w14:paraId="357841BF" w14:textId="77777777" w:rsidTr="00B46E66">
        <w:trPr>
          <w:cantSplit/>
          <w:tblHeader/>
        </w:trPr>
        <w:tc>
          <w:tcPr>
            <w:tcW w:w="0" w:type="auto"/>
            <w:hideMark/>
          </w:tcPr>
          <w:p w14:paraId="756BDD43" w14:textId="77777777" w:rsidR="00643AC2" w:rsidRPr="00643AC2" w:rsidRDefault="00643AC2" w:rsidP="005A544E">
            <w:pPr>
              <w:pStyle w:val="TableCopy"/>
              <w:rPr>
                <w:lang w:val="en-GB"/>
              </w:rPr>
            </w:pPr>
          </w:p>
        </w:tc>
        <w:tc>
          <w:tcPr>
            <w:tcW w:w="1202" w:type="dxa"/>
            <w:hideMark/>
          </w:tcPr>
          <w:p w14:paraId="4614430F" w14:textId="77777777" w:rsidR="00643AC2" w:rsidRPr="00643AC2" w:rsidRDefault="00643AC2" w:rsidP="005A544E">
            <w:pPr>
              <w:pStyle w:val="TableHeading"/>
              <w:rPr>
                <w:lang w:val="en-GB"/>
              </w:rPr>
            </w:pPr>
            <w:r w:rsidRPr="00643AC2">
              <w:rPr>
                <w:lang w:val="en-GB"/>
              </w:rPr>
              <w:t>$</w:t>
            </w:r>
          </w:p>
        </w:tc>
        <w:tc>
          <w:tcPr>
            <w:tcW w:w="1203" w:type="dxa"/>
            <w:hideMark/>
          </w:tcPr>
          <w:p w14:paraId="125D69B3" w14:textId="77777777" w:rsidR="00643AC2" w:rsidRPr="00643AC2" w:rsidRDefault="00643AC2" w:rsidP="005A544E">
            <w:pPr>
              <w:pStyle w:val="TableHeading"/>
              <w:rPr>
                <w:lang w:val="en-GB"/>
              </w:rPr>
            </w:pPr>
            <w:r w:rsidRPr="00643AC2">
              <w:rPr>
                <w:lang w:val="en-GB"/>
              </w:rPr>
              <w:t>$</w:t>
            </w:r>
          </w:p>
        </w:tc>
        <w:tc>
          <w:tcPr>
            <w:tcW w:w="1202" w:type="dxa"/>
            <w:hideMark/>
          </w:tcPr>
          <w:p w14:paraId="24ACA3F0" w14:textId="77777777" w:rsidR="00643AC2" w:rsidRPr="00643AC2" w:rsidRDefault="00643AC2" w:rsidP="005A544E">
            <w:pPr>
              <w:pStyle w:val="TableHeading"/>
              <w:rPr>
                <w:lang w:val="en-GB"/>
              </w:rPr>
            </w:pPr>
            <w:r w:rsidRPr="00643AC2">
              <w:rPr>
                <w:lang w:val="en-GB"/>
              </w:rPr>
              <w:t>$</w:t>
            </w:r>
          </w:p>
        </w:tc>
        <w:tc>
          <w:tcPr>
            <w:tcW w:w="1203" w:type="dxa"/>
            <w:hideMark/>
          </w:tcPr>
          <w:p w14:paraId="0E19F29A" w14:textId="77777777" w:rsidR="00643AC2" w:rsidRPr="00643AC2" w:rsidRDefault="00643AC2" w:rsidP="005A544E">
            <w:pPr>
              <w:pStyle w:val="TableHeading"/>
              <w:rPr>
                <w:lang w:val="en-GB"/>
              </w:rPr>
            </w:pPr>
            <w:r w:rsidRPr="00643AC2">
              <w:rPr>
                <w:lang w:val="en-GB"/>
              </w:rPr>
              <w:t>$</w:t>
            </w:r>
          </w:p>
        </w:tc>
        <w:tc>
          <w:tcPr>
            <w:tcW w:w="1202" w:type="dxa"/>
            <w:hideMark/>
          </w:tcPr>
          <w:p w14:paraId="147CAB34" w14:textId="77777777" w:rsidR="00643AC2" w:rsidRPr="00643AC2" w:rsidRDefault="00643AC2" w:rsidP="005A544E">
            <w:pPr>
              <w:pStyle w:val="TableHeading"/>
              <w:rPr>
                <w:lang w:val="en-GB"/>
              </w:rPr>
            </w:pPr>
            <w:r w:rsidRPr="00643AC2">
              <w:rPr>
                <w:lang w:val="en-GB"/>
              </w:rPr>
              <w:t>$</w:t>
            </w:r>
          </w:p>
        </w:tc>
        <w:tc>
          <w:tcPr>
            <w:tcW w:w="1203" w:type="dxa"/>
            <w:hideMark/>
          </w:tcPr>
          <w:p w14:paraId="0DC0B8A5" w14:textId="77777777" w:rsidR="00643AC2" w:rsidRPr="00643AC2" w:rsidRDefault="00643AC2" w:rsidP="005A544E">
            <w:pPr>
              <w:pStyle w:val="TableHeading"/>
              <w:rPr>
                <w:lang w:val="en-GB"/>
              </w:rPr>
            </w:pPr>
            <w:r w:rsidRPr="00643AC2">
              <w:rPr>
                <w:lang w:val="en-GB"/>
              </w:rPr>
              <w:t>$</w:t>
            </w:r>
          </w:p>
        </w:tc>
      </w:tr>
      <w:tr w:rsidR="00643AC2" w:rsidRPr="00643AC2" w14:paraId="7D445907" w14:textId="77777777" w:rsidTr="00B46E66">
        <w:trPr>
          <w:cantSplit/>
        </w:trPr>
        <w:tc>
          <w:tcPr>
            <w:tcW w:w="0" w:type="auto"/>
            <w:hideMark/>
          </w:tcPr>
          <w:p w14:paraId="617F11E1" w14:textId="77777777" w:rsidR="00643AC2" w:rsidRPr="00643AC2" w:rsidRDefault="00643AC2" w:rsidP="005A544E">
            <w:pPr>
              <w:pStyle w:val="TableCopy"/>
              <w:rPr>
                <w:lang w:val="en-GB"/>
              </w:rPr>
            </w:pPr>
            <w:r w:rsidRPr="00643AC2">
              <w:rPr>
                <w:lang w:val="en-GB"/>
              </w:rPr>
              <w:t>Leasehold improvements</w:t>
            </w:r>
          </w:p>
        </w:tc>
        <w:tc>
          <w:tcPr>
            <w:tcW w:w="1202" w:type="dxa"/>
            <w:hideMark/>
          </w:tcPr>
          <w:p w14:paraId="62DDC83E" w14:textId="77777777" w:rsidR="00643AC2" w:rsidRPr="005A544E" w:rsidRDefault="00643AC2" w:rsidP="005A544E">
            <w:pPr>
              <w:pStyle w:val="TableCopy"/>
              <w:rPr>
                <w:b/>
                <w:lang w:val="en-GB"/>
              </w:rPr>
            </w:pPr>
            <w:r w:rsidRPr="005A544E">
              <w:rPr>
                <w:b/>
                <w:lang w:val="en-GB"/>
              </w:rPr>
              <w:t>852,881</w:t>
            </w:r>
          </w:p>
        </w:tc>
        <w:tc>
          <w:tcPr>
            <w:tcW w:w="1203" w:type="dxa"/>
            <w:hideMark/>
          </w:tcPr>
          <w:p w14:paraId="7157D4C0" w14:textId="77777777" w:rsidR="00643AC2" w:rsidRPr="00643AC2" w:rsidRDefault="00643AC2" w:rsidP="005A544E">
            <w:pPr>
              <w:pStyle w:val="TableCopy"/>
              <w:rPr>
                <w:lang w:val="en-GB"/>
              </w:rPr>
            </w:pPr>
            <w:r w:rsidRPr="00643AC2">
              <w:rPr>
                <w:lang w:val="en-GB"/>
              </w:rPr>
              <w:t>943,790</w:t>
            </w:r>
          </w:p>
        </w:tc>
        <w:tc>
          <w:tcPr>
            <w:tcW w:w="1202" w:type="dxa"/>
            <w:hideMark/>
          </w:tcPr>
          <w:p w14:paraId="5189CEF9" w14:textId="77777777" w:rsidR="00643AC2" w:rsidRPr="005A544E" w:rsidRDefault="00643AC2" w:rsidP="005A544E">
            <w:pPr>
              <w:pStyle w:val="TableCopy"/>
              <w:rPr>
                <w:b/>
                <w:lang w:val="en-GB"/>
              </w:rPr>
            </w:pPr>
            <w:r w:rsidRPr="005A544E">
              <w:rPr>
                <w:b/>
                <w:lang w:val="en-GB"/>
              </w:rPr>
              <w:t>-836,299</w:t>
            </w:r>
          </w:p>
        </w:tc>
        <w:tc>
          <w:tcPr>
            <w:tcW w:w="1203" w:type="dxa"/>
            <w:hideMark/>
          </w:tcPr>
          <w:p w14:paraId="2ED5FECD" w14:textId="77777777" w:rsidR="00643AC2" w:rsidRPr="00643AC2" w:rsidRDefault="00643AC2" w:rsidP="005A544E">
            <w:pPr>
              <w:pStyle w:val="TableCopy"/>
              <w:rPr>
                <w:lang w:val="en-GB"/>
              </w:rPr>
            </w:pPr>
            <w:r w:rsidRPr="00643AC2">
              <w:rPr>
                <w:lang w:val="en-GB"/>
              </w:rPr>
              <w:t>-851,366</w:t>
            </w:r>
          </w:p>
        </w:tc>
        <w:tc>
          <w:tcPr>
            <w:tcW w:w="1202" w:type="dxa"/>
            <w:hideMark/>
          </w:tcPr>
          <w:p w14:paraId="629CB7DE" w14:textId="77777777" w:rsidR="00643AC2" w:rsidRPr="005A544E" w:rsidRDefault="00643AC2" w:rsidP="005A544E">
            <w:pPr>
              <w:pStyle w:val="TableCopy"/>
              <w:rPr>
                <w:b/>
                <w:lang w:val="en-GB"/>
              </w:rPr>
            </w:pPr>
            <w:r w:rsidRPr="005A544E">
              <w:rPr>
                <w:b/>
                <w:lang w:val="en-GB"/>
              </w:rPr>
              <w:t>16,582</w:t>
            </w:r>
          </w:p>
        </w:tc>
        <w:tc>
          <w:tcPr>
            <w:tcW w:w="1203" w:type="dxa"/>
            <w:hideMark/>
          </w:tcPr>
          <w:p w14:paraId="31469EBC" w14:textId="77777777" w:rsidR="00643AC2" w:rsidRPr="00643AC2" w:rsidRDefault="00643AC2" w:rsidP="005A544E">
            <w:pPr>
              <w:pStyle w:val="TableCopy"/>
              <w:rPr>
                <w:lang w:val="en-GB"/>
              </w:rPr>
            </w:pPr>
            <w:r w:rsidRPr="00643AC2">
              <w:rPr>
                <w:lang w:val="en-GB"/>
              </w:rPr>
              <w:t>92,424</w:t>
            </w:r>
          </w:p>
        </w:tc>
      </w:tr>
      <w:tr w:rsidR="00643AC2" w:rsidRPr="00643AC2" w14:paraId="7D07284A" w14:textId="77777777" w:rsidTr="00B46E66">
        <w:trPr>
          <w:cantSplit/>
        </w:trPr>
        <w:tc>
          <w:tcPr>
            <w:tcW w:w="0" w:type="auto"/>
            <w:hideMark/>
          </w:tcPr>
          <w:p w14:paraId="42184D5D" w14:textId="77777777" w:rsidR="00643AC2" w:rsidRPr="00643AC2" w:rsidRDefault="00643AC2" w:rsidP="005A544E">
            <w:pPr>
              <w:pStyle w:val="TableCopy"/>
              <w:rPr>
                <w:lang w:val="en-GB"/>
              </w:rPr>
            </w:pPr>
            <w:r w:rsidRPr="00643AC2">
              <w:rPr>
                <w:lang w:val="en-GB"/>
              </w:rPr>
              <w:t>Office and computer equipment</w:t>
            </w:r>
          </w:p>
        </w:tc>
        <w:tc>
          <w:tcPr>
            <w:tcW w:w="1202" w:type="dxa"/>
            <w:hideMark/>
          </w:tcPr>
          <w:p w14:paraId="395CD150" w14:textId="77777777" w:rsidR="00643AC2" w:rsidRPr="005A544E" w:rsidRDefault="00643AC2" w:rsidP="005A544E">
            <w:pPr>
              <w:pStyle w:val="TableCopy"/>
              <w:rPr>
                <w:b/>
                <w:lang w:val="en-GB"/>
              </w:rPr>
            </w:pPr>
            <w:r w:rsidRPr="005A544E">
              <w:rPr>
                <w:b/>
                <w:lang w:val="en-GB"/>
              </w:rPr>
              <w:t>87,590</w:t>
            </w:r>
          </w:p>
        </w:tc>
        <w:tc>
          <w:tcPr>
            <w:tcW w:w="1203" w:type="dxa"/>
            <w:hideMark/>
          </w:tcPr>
          <w:p w14:paraId="38D6AC73" w14:textId="77777777" w:rsidR="00643AC2" w:rsidRPr="00643AC2" w:rsidRDefault="00643AC2" w:rsidP="005A544E">
            <w:pPr>
              <w:pStyle w:val="TableCopy"/>
              <w:rPr>
                <w:lang w:val="en-GB"/>
              </w:rPr>
            </w:pPr>
            <w:r w:rsidRPr="00643AC2">
              <w:rPr>
                <w:lang w:val="en-GB"/>
              </w:rPr>
              <w:t>87,590</w:t>
            </w:r>
          </w:p>
        </w:tc>
        <w:tc>
          <w:tcPr>
            <w:tcW w:w="1202" w:type="dxa"/>
            <w:hideMark/>
          </w:tcPr>
          <w:p w14:paraId="1EA28F12" w14:textId="77777777" w:rsidR="00643AC2" w:rsidRPr="005A544E" w:rsidRDefault="00643AC2" w:rsidP="005A544E">
            <w:pPr>
              <w:pStyle w:val="TableCopy"/>
              <w:rPr>
                <w:b/>
                <w:lang w:val="en-GB"/>
              </w:rPr>
            </w:pPr>
            <w:r w:rsidRPr="005A544E">
              <w:rPr>
                <w:b/>
                <w:lang w:val="en-GB"/>
              </w:rPr>
              <w:t>-82,923</w:t>
            </w:r>
          </w:p>
        </w:tc>
        <w:tc>
          <w:tcPr>
            <w:tcW w:w="1203" w:type="dxa"/>
            <w:hideMark/>
          </w:tcPr>
          <w:p w14:paraId="5D577077" w14:textId="77777777" w:rsidR="00643AC2" w:rsidRPr="00643AC2" w:rsidRDefault="00643AC2" w:rsidP="005A544E">
            <w:pPr>
              <w:pStyle w:val="TableCopy"/>
              <w:rPr>
                <w:lang w:val="en-GB"/>
              </w:rPr>
            </w:pPr>
            <w:r w:rsidRPr="00643AC2">
              <w:rPr>
                <w:lang w:val="en-GB"/>
              </w:rPr>
              <w:t>-80,766</w:t>
            </w:r>
          </w:p>
        </w:tc>
        <w:tc>
          <w:tcPr>
            <w:tcW w:w="1202" w:type="dxa"/>
            <w:hideMark/>
          </w:tcPr>
          <w:p w14:paraId="7E8277A4" w14:textId="77777777" w:rsidR="00643AC2" w:rsidRPr="005A544E" w:rsidRDefault="00643AC2" w:rsidP="005A544E">
            <w:pPr>
              <w:pStyle w:val="TableCopy"/>
              <w:rPr>
                <w:b/>
                <w:lang w:val="en-GB"/>
              </w:rPr>
            </w:pPr>
            <w:r w:rsidRPr="005A544E">
              <w:rPr>
                <w:b/>
                <w:lang w:val="en-GB"/>
              </w:rPr>
              <w:t>4,667</w:t>
            </w:r>
          </w:p>
        </w:tc>
        <w:tc>
          <w:tcPr>
            <w:tcW w:w="1203" w:type="dxa"/>
            <w:hideMark/>
          </w:tcPr>
          <w:p w14:paraId="6E34DCCA" w14:textId="77777777" w:rsidR="00643AC2" w:rsidRPr="00643AC2" w:rsidRDefault="00643AC2" w:rsidP="005A544E">
            <w:pPr>
              <w:pStyle w:val="TableCopy"/>
              <w:rPr>
                <w:lang w:val="en-GB"/>
              </w:rPr>
            </w:pPr>
            <w:r w:rsidRPr="00643AC2">
              <w:rPr>
                <w:lang w:val="en-GB"/>
              </w:rPr>
              <w:t>6,824</w:t>
            </w:r>
          </w:p>
        </w:tc>
      </w:tr>
      <w:tr w:rsidR="00643AC2" w:rsidRPr="00643AC2" w14:paraId="01B2A1E9" w14:textId="77777777" w:rsidTr="00B46E66">
        <w:trPr>
          <w:cantSplit/>
        </w:trPr>
        <w:tc>
          <w:tcPr>
            <w:tcW w:w="0" w:type="auto"/>
            <w:hideMark/>
          </w:tcPr>
          <w:p w14:paraId="16A1A947" w14:textId="77777777" w:rsidR="00643AC2" w:rsidRPr="00643AC2" w:rsidRDefault="00643AC2" w:rsidP="005A544E">
            <w:pPr>
              <w:pStyle w:val="TableCopy"/>
              <w:rPr>
                <w:lang w:val="en-GB"/>
              </w:rPr>
            </w:pPr>
            <w:r w:rsidRPr="00643AC2">
              <w:rPr>
                <w:lang w:val="en-GB"/>
              </w:rPr>
              <w:t>Motor vehicles under finance lease</w:t>
            </w:r>
          </w:p>
        </w:tc>
        <w:tc>
          <w:tcPr>
            <w:tcW w:w="1202" w:type="dxa"/>
            <w:hideMark/>
          </w:tcPr>
          <w:p w14:paraId="52E7CF26" w14:textId="77777777" w:rsidR="00643AC2" w:rsidRPr="005A544E" w:rsidRDefault="00643AC2" w:rsidP="005A544E">
            <w:pPr>
              <w:pStyle w:val="TableCopy"/>
              <w:rPr>
                <w:b/>
                <w:lang w:val="en-GB"/>
              </w:rPr>
            </w:pPr>
            <w:r w:rsidRPr="005A544E">
              <w:rPr>
                <w:b/>
                <w:lang w:val="en-GB"/>
              </w:rPr>
              <w:t>129,715</w:t>
            </w:r>
          </w:p>
        </w:tc>
        <w:tc>
          <w:tcPr>
            <w:tcW w:w="1203" w:type="dxa"/>
            <w:hideMark/>
          </w:tcPr>
          <w:p w14:paraId="2202D426" w14:textId="77777777" w:rsidR="00643AC2" w:rsidRPr="00643AC2" w:rsidRDefault="00643AC2" w:rsidP="005A544E">
            <w:pPr>
              <w:pStyle w:val="TableCopy"/>
              <w:rPr>
                <w:lang w:val="en-GB"/>
              </w:rPr>
            </w:pPr>
            <w:r w:rsidRPr="00643AC2">
              <w:rPr>
                <w:lang w:val="en-GB"/>
              </w:rPr>
              <w:t>91,771</w:t>
            </w:r>
          </w:p>
        </w:tc>
        <w:tc>
          <w:tcPr>
            <w:tcW w:w="1202" w:type="dxa"/>
            <w:hideMark/>
          </w:tcPr>
          <w:p w14:paraId="61918C7F" w14:textId="77777777" w:rsidR="00643AC2" w:rsidRPr="005A544E" w:rsidRDefault="00643AC2" w:rsidP="005A544E">
            <w:pPr>
              <w:pStyle w:val="TableCopy"/>
              <w:rPr>
                <w:b/>
                <w:lang w:val="en-GB"/>
              </w:rPr>
            </w:pPr>
            <w:r w:rsidRPr="005A544E">
              <w:rPr>
                <w:b/>
                <w:lang w:val="en-GB"/>
              </w:rPr>
              <w:t>-40,036</w:t>
            </w:r>
          </w:p>
        </w:tc>
        <w:tc>
          <w:tcPr>
            <w:tcW w:w="1203" w:type="dxa"/>
            <w:hideMark/>
          </w:tcPr>
          <w:p w14:paraId="27C7C40C" w14:textId="77777777" w:rsidR="00643AC2" w:rsidRPr="00643AC2" w:rsidRDefault="00643AC2" w:rsidP="005A544E">
            <w:pPr>
              <w:pStyle w:val="TableCopy"/>
              <w:rPr>
                <w:lang w:val="en-GB"/>
              </w:rPr>
            </w:pPr>
            <w:r w:rsidRPr="00643AC2">
              <w:rPr>
                <w:lang w:val="en-GB"/>
              </w:rPr>
              <w:t>-17,951</w:t>
            </w:r>
          </w:p>
        </w:tc>
        <w:tc>
          <w:tcPr>
            <w:tcW w:w="1202" w:type="dxa"/>
            <w:hideMark/>
          </w:tcPr>
          <w:p w14:paraId="35B8C705" w14:textId="77777777" w:rsidR="00643AC2" w:rsidRPr="005A544E" w:rsidRDefault="00643AC2" w:rsidP="005A544E">
            <w:pPr>
              <w:pStyle w:val="TableCopy"/>
              <w:rPr>
                <w:b/>
                <w:lang w:val="en-GB"/>
              </w:rPr>
            </w:pPr>
            <w:r w:rsidRPr="005A544E">
              <w:rPr>
                <w:b/>
                <w:lang w:val="en-GB"/>
              </w:rPr>
              <w:t>89,679</w:t>
            </w:r>
          </w:p>
        </w:tc>
        <w:tc>
          <w:tcPr>
            <w:tcW w:w="1203" w:type="dxa"/>
            <w:hideMark/>
          </w:tcPr>
          <w:p w14:paraId="0CB7C94F" w14:textId="77777777" w:rsidR="00643AC2" w:rsidRPr="00643AC2" w:rsidRDefault="00643AC2" w:rsidP="005A544E">
            <w:pPr>
              <w:pStyle w:val="TableCopy"/>
              <w:rPr>
                <w:lang w:val="en-GB"/>
              </w:rPr>
            </w:pPr>
            <w:r w:rsidRPr="00643AC2">
              <w:rPr>
                <w:lang w:val="en-GB"/>
              </w:rPr>
              <w:t>73,820</w:t>
            </w:r>
          </w:p>
        </w:tc>
      </w:tr>
      <w:tr w:rsidR="00643AC2" w:rsidRPr="00643AC2" w14:paraId="7F246D75" w14:textId="77777777" w:rsidTr="00B46E66">
        <w:trPr>
          <w:cantSplit/>
        </w:trPr>
        <w:tc>
          <w:tcPr>
            <w:tcW w:w="0" w:type="auto"/>
            <w:hideMark/>
          </w:tcPr>
          <w:p w14:paraId="3CFA22B0" w14:textId="77777777" w:rsidR="00643AC2" w:rsidRPr="005A544E" w:rsidRDefault="00643AC2" w:rsidP="005A544E">
            <w:pPr>
              <w:pStyle w:val="TableCopy"/>
              <w:rPr>
                <w:b/>
                <w:lang w:val="en-GB"/>
              </w:rPr>
            </w:pPr>
            <w:r w:rsidRPr="005A544E">
              <w:rPr>
                <w:b/>
                <w:lang w:val="en-GB"/>
              </w:rPr>
              <w:t>Net carrying amount </w:t>
            </w:r>
          </w:p>
        </w:tc>
        <w:tc>
          <w:tcPr>
            <w:tcW w:w="1202" w:type="dxa"/>
            <w:hideMark/>
          </w:tcPr>
          <w:p w14:paraId="631198DF" w14:textId="77777777" w:rsidR="00643AC2" w:rsidRPr="005A544E" w:rsidRDefault="00643AC2" w:rsidP="005A544E">
            <w:pPr>
              <w:pStyle w:val="TableCopy"/>
              <w:rPr>
                <w:b/>
                <w:lang w:val="en-GB"/>
              </w:rPr>
            </w:pPr>
            <w:r w:rsidRPr="005A544E">
              <w:rPr>
                <w:b/>
                <w:lang w:val="en-GB"/>
              </w:rPr>
              <w:t>1,070,186</w:t>
            </w:r>
          </w:p>
        </w:tc>
        <w:tc>
          <w:tcPr>
            <w:tcW w:w="1203" w:type="dxa"/>
            <w:hideMark/>
          </w:tcPr>
          <w:p w14:paraId="3522992D" w14:textId="77777777" w:rsidR="00643AC2" w:rsidRPr="004F3EDC" w:rsidRDefault="00643AC2" w:rsidP="005A544E">
            <w:pPr>
              <w:pStyle w:val="TableCopy"/>
              <w:rPr>
                <w:lang w:val="en-GB"/>
              </w:rPr>
            </w:pPr>
            <w:r w:rsidRPr="004F3EDC">
              <w:rPr>
                <w:lang w:val="en-GB"/>
              </w:rPr>
              <w:t>1,123,151</w:t>
            </w:r>
          </w:p>
        </w:tc>
        <w:tc>
          <w:tcPr>
            <w:tcW w:w="1202" w:type="dxa"/>
            <w:hideMark/>
          </w:tcPr>
          <w:p w14:paraId="0B5B17FC" w14:textId="77777777" w:rsidR="00643AC2" w:rsidRPr="005A544E" w:rsidRDefault="00643AC2" w:rsidP="005A544E">
            <w:pPr>
              <w:pStyle w:val="TableCopy"/>
              <w:rPr>
                <w:b/>
                <w:lang w:val="en-GB"/>
              </w:rPr>
            </w:pPr>
            <w:r w:rsidRPr="005A544E">
              <w:rPr>
                <w:b/>
                <w:lang w:val="en-GB"/>
              </w:rPr>
              <w:t>-959,258</w:t>
            </w:r>
          </w:p>
        </w:tc>
        <w:tc>
          <w:tcPr>
            <w:tcW w:w="1203" w:type="dxa"/>
            <w:hideMark/>
          </w:tcPr>
          <w:p w14:paraId="40B3E0B5" w14:textId="77777777" w:rsidR="00643AC2" w:rsidRPr="004F3EDC" w:rsidRDefault="00643AC2" w:rsidP="005A544E">
            <w:pPr>
              <w:pStyle w:val="TableCopy"/>
              <w:rPr>
                <w:lang w:val="en-GB"/>
              </w:rPr>
            </w:pPr>
            <w:r w:rsidRPr="004F3EDC">
              <w:rPr>
                <w:lang w:val="en-GB"/>
              </w:rPr>
              <w:t>-950,083</w:t>
            </w:r>
          </w:p>
        </w:tc>
        <w:tc>
          <w:tcPr>
            <w:tcW w:w="1202" w:type="dxa"/>
            <w:hideMark/>
          </w:tcPr>
          <w:p w14:paraId="4FC06881" w14:textId="77777777" w:rsidR="00643AC2" w:rsidRPr="005A544E" w:rsidRDefault="00643AC2" w:rsidP="005A544E">
            <w:pPr>
              <w:pStyle w:val="TableCopy"/>
              <w:rPr>
                <w:b/>
                <w:lang w:val="en-GB"/>
              </w:rPr>
            </w:pPr>
            <w:r w:rsidRPr="005A544E">
              <w:rPr>
                <w:b/>
                <w:lang w:val="en-GB"/>
              </w:rPr>
              <w:t>110,928</w:t>
            </w:r>
          </w:p>
        </w:tc>
        <w:tc>
          <w:tcPr>
            <w:tcW w:w="1203" w:type="dxa"/>
            <w:hideMark/>
          </w:tcPr>
          <w:p w14:paraId="2375F428" w14:textId="77777777" w:rsidR="00643AC2" w:rsidRPr="004F3EDC" w:rsidRDefault="00643AC2" w:rsidP="005A544E">
            <w:pPr>
              <w:pStyle w:val="TableCopy"/>
              <w:rPr>
                <w:lang w:val="en-GB"/>
              </w:rPr>
            </w:pPr>
            <w:r w:rsidRPr="004F3EDC">
              <w:rPr>
                <w:lang w:val="en-GB"/>
              </w:rPr>
              <w:t>173,068</w:t>
            </w:r>
          </w:p>
        </w:tc>
      </w:tr>
    </w:tbl>
    <w:p w14:paraId="0671064D" w14:textId="77777777" w:rsidR="00643AC2" w:rsidRPr="00643AC2" w:rsidRDefault="00643AC2" w:rsidP="00CB7135">
      <w:pPr>
        <w:pStyle w:val="Heading5"/>
        <w:rPr>
          <w:lang w:val="en-GB"/>
        </w:rPr>
      </w:pPr>
      <w:r w:rsidRPr="00643AC2">
        <w:rPr>
          <w:lang w:val="en-GB"/>
        </w:rPr>
        <w:t>Initial recognition</w:t>
      </w:r>
    </w:p>
    <w:p w14:paraId="390B68FA" w14:textId="02AA7471" w:rsidR="00643AC2" w:rsidRPr="00643AC2" w:rsidRDefault="00643AC2" w:rsidP="00643AC2">
      <w:pPr>
        <w:rPr>
          <w:lang w:val="en-GB"/>
        </w:rPr>
      </w:pPr>
      <w:r w:rsidRPr="00643AC2">
        <w:rPr>
          <w:lang w:val="en-GB"/>
        </w:rPr>
        <w:t>Items of property, plant and equipment, are measured initially at cost and</w:t>
      </w:r>
      <w:r w:rsidR="00CB7135">
        <w:rPr>
          <w:lang w:val="en-GB"/>
        </w:rPr>
        <w:t xml:space="preserve"> subsequently revalued at fair </w:t>
      </w:r>
      <w:r w:rsidRPr="00643AC2">
        <w:rPr>
          <w:lang w:val="en-GB"/>
        </w:rPr>
        <w:t>value less accumulated depreciation and impairment. Where an asset is ac</w:t>
      </w:r>
      <w:r w:rsidR="00CB7135">
        <w:rPr>
          <w:lang w:val="en-GB"/>
        </w:rPr>
        <w:t xml:space="preserve">quired for no or nominal cost, </w:t>
      </w:r>
      <w:r w:rsidRPr="00643AC2">
        <w:rPr>
          <w:lang w:val="en-GB"/>
        </w:rPr>
        <w:t>the cost is its fair value at the date of acquisition. </w:t>
      </w:r>
    </w:p>
    <w:p w14:paraId="05C710B9" w14:textId="587DC2CA" w:rsidR="00643AC2" w:rsidRPr="00643AC2" w:rsidRDefault="00643AC2" w:rsidP="00643AC2">
      <w:pPr>
        <w:rPr>
          <w:lang w:val="en-GB"/>
        </w:rPr>
      </w:pPr>
      <w:r w:rsidRPr="00643AC2">
        <w:rPr>
          <w:lang w:val="en-GB"/>
        </w:rPr>
        <w:t>The cost of leasehold improvements is capitalised and depreciated o</w:t>
      </w:r>
      <w:r w:rsidR="00CB7135">
        <w:rPr>
          <w:lang w:val="en-GB"/>
        </w:rPr>
        <w:t xml:space="preserve">ver the shorter remaining term </w:t>
      </w:r>
      <w:r w:rsidRPr="00643AC2">
        <w:rPr>
          <w:lang w:val="en-GB"/>
        </w:rPr>
        <w:t>of the lease or their estimated useful lives.</w:t>
      </w:r>
    </w:p>
    <w:p w14:paraId="40D92AC6" w14:textId="45386C00" w:rsidR="00643AC2" w:rsidRPr="00643AC2" w:rsidRDefault="00643AC2" w:rsidP="00643AC2">
      <w:pPr>
        <w:rPr>
          <w:lang w:val="en-GB"/>
        </w:rPr>
      </w:pPr>
      <w:r w:rsidRPr="00643AC2">
        <w:rPr>
          <w:lang w:val="en-GB"/>
        </w:rPr>
        <w:t>The initial cost for non-financial physical assets under a finance leas</w:t>
      </w:r>
      <w:r w:rsidR="00CB7135">
        <w:rPr>
          <w:lang w:val="en-GB"/>
        </w:rPr>
        <w:t xml:space="preserve">e is measured at amounts equal </w:t>
      </w:r>
      <w:r w:rsidRPr="00643AC2">
        <w:rPr>
          <w:lang w:val="en-GB"/>
        </w:rPr>
        <w:t xml:space="preserve">to the fair value of the leased asset or, if lower, the present value </w:t>
      </w:r>
      <w:r w:rsidR="00CB7135">
        <w:rPr>
          <w:lang w:val="en-GB"/>
        </w:rPr>
        <w:t xml:space="preserve">of the minimum lease payments, </w:t>
      </w:r>
      <w:r w:rsidRPr="00643AC2">
        <w:rPr>
          <w:lang w:val="en-GB"/>
        </w:rPr>
        <w:t>each determined at the inception of the lease.</w:t>
      </w:r>
    </w:p>
    <w:p w14:paraId="664AD627" w14:textId="77777777" w:rsidR="00643AC2" w:rsidRPr="00643AC2" w:rsidRDefault="00643AC2" w:rsidP="00CB7135">
      <w:pPr>
        <w:pStyle w:val="Heading5"/>
        <w:rPr>
          <w:lang w:val="en-GB"/>
        </w:rPr>
      </w:pPr>
      <w:r w:rsidRPr="00643AC2">
        <w:rPr>
          <w:lang w:val="en-GB"/>
        </w:rPr>
        <w:t>Subsequent measurement</w:t>
      </w:r>
    </w:p>
    <w:p w14:paraId="60068968" w14:textId="77777777" w:rsidR="00643AC2" w:rsidRPr="00643AC2" w:rsidRDefault="00643AC2" w:rsidP="00643AC2">
      <w:pPr>
        <w:rPr>
          <w:lang w:val="en-GB"/>
        </w:rPr>
      </w:pPr>
      <w:r w:rsidRPr="00643AC2">
        <w:rPr>
          <w:lang w:val="en-GB"/>
        </w:rPr>
        <w:t>Property, plant and equipment with the exception of leasehold improvements and motor vehicles under finance are subsequently measured at fair value less accumulated depreciation and impairment. Fair value is determined with regard to the asset’s highest and best use (considering legal or physical restrictions imposed on the asset, public announcements or commitments made in relation to the intended use of the asset).</w:t>
      </w:r>
    </w:p>
    <w:p w14:paraId="1E503162" w14:textId="20941E3C" w:rsidR="00643AC2" w:rsidRPr="00643AC2" w:rsidRDefault="00643AC2" w:rsidP="00CB7135">
      <w:pPr>
        <w:pStyle w:val="Heading4"/>
        <w:rPr>
          <w:lang w:val="en-GB"/>
        </w:rPr>
      </w:pPr>
      <w:r w:rsidRPr="00643AC2">
        <w:rPr>
          <w:lang w:val="en-GB"/>
        </w:rPr>
        <w:t>4.2.</w:t>
      </w:r>
      <w:r w:rsidRPr="00643AC2">
        <w:rPr>
          <w:lang w:val="en-GB"/>
        </w:rPr>
        <w:t> </w:t>
      </w:r>
      <w:r w:rsidR="00CB7135">
        <w:rPr>
          <w:lang w:val="en-GB"/>
        </w:rPr>
        <w:t>I</w:t>
      </w:r>
      <w:r w:rsidRPr="00643AC2">
        <w:rPr>
          <w:lang w:val="en-GB"/>
        </w:rPr>
        <w:t>ntangible assets</w:t>
      </w:r>
    </w:p>
    <w:tbl>
      <w:tblPr>
        <w:tblStyle w:val="TableGrid"/>
        <w:tblW w:w="10386" w:type="dxa"/>
        <w:tblLook w:val="04A0" w:firstRow="1" w:lastRow="0" w:firstColumn="1" w:lastColumn="0" w:noHBand="0" w:noVBand="1"/>
      </w:tblPr>
      <w:tblGrid>
        <w:gridCol w:w="6743"/>
        <w:gridCol w:w="1821"/>
        <w:gridCol w:w="1822"/>
      </w:tblGrid>
      <w:tr w:rsidR="00CB7135" w:rsidRPr="00702D78" w14:paraId="0CFA0CCE" w14:textId="77777777" w:rsidTr="00702D78">
        <w:trPr>
          <w:cantSplit/>
          <w:tblHeader/>
        </w:trPr>
        <w:tc>
          <w:tcPr>
            <w:tcW w:w="6743" w:type="dxa"/>
            <w:hideMark/>
          </w:tcPr>
          <w:p w14:paraId="05833062" w14:textId="77777777" w:rsidR="00643AC2" w:rsidRPr="00702D78" w:rsidRDefault="00643AC2" w:rsidP="00702D78">
            <w:pPr>
              <w:pStyle w:val="TableHeading"/>
              <w:rPr>
                <w:lang w:val="en-GB"/>
              </w:rPr>
            </w:pPr>
          </w:p>
        </w:tc>
        <w:tc>
          <w:tcPr>
            <w:tcW w:w="1821" w:type="dxa"/>
            <w:hideMark/>
          </w:tcPr>
          <w:p w14:paraId="14E3C06C" w14:textId="77777777" w:rsidR="00643AC2" w:rsidRPr="00702D78" w:rsidRDefault="00643AC2" w:rsidP="00702D78">
            <w:pPr>
              <w:pStyle w:val="TableHeading"/>
              <w:rPr>
                <w:lang w:val="en-GB"/>
              </w:rPr>
            </w:pPr>
            <w:r w:rsidRPr="00702D78">
              <w:rPr>
                <w:bCs/>
                <w:lang w:val="en-GB"/>
              </w:rPr>
              <w:t>2017</w:t>
            </w:r>
          </w:p>
        </w:tc>
        <w:tc>
          <w:tcPr>
            <w:tcW w:w="1822" w:type="dxa"/>
            <w:hideMark/>
          </w:tcPr>
          <w:p w14:paraId="0059B825" w14:textId="77777777" w:rsidR="00643AC2" w:rsidRPr="00702D78" w:rsidRDefault="00643AC2" w:rsidP="00702D78">
            <w:pPr>
              <w:pStyle w:val="TableHeading"/>
              <w:rPr>
                <w:lang w:val="en-GB"/>
              </w:rPr>
            </w:pPr>
            <w:r w:rsidRPr="00702D78">
              <w:rPr>
                <w:bCs/>
                <w:lang w:val="en-GB"/>
              </w:rPr>
              <w:t>2016</w:t>
            </w:r>
          </w:p>
        </w:tc>
      </w:tr>
      <w:tr w:rsidR="00CB7135" w:rsidRPr="00702D78" w14:paraId="5AD3484C" w14:textId="77777777" w:rsidTr="00702D78">
        <w:trPr>
          <w:cantSplit/>
          <w:tblHeader/>
        </w:trPr>
        <w:tc>
          <w:tcPr>
            <w:tcW w:w="6743" w:type="dxa"/>
            <w:hideMark/>
          </w:tcPr>
          <w:p w14:paraId="6FC9F880" w14:textId="77777777" w:rsidR="00643AC2" w:rsidRPr="00702D78" w:rsidRDefault="00643AC2" w:rsidP="00702D78">
            <w:pPr>
              <w:pStyle w:val="TableHeading"/>
              <w:rPr>
                <w:lang w:val="en-GB"/>
              </w:rPr>
            </w:pPr>
          </w:p>
        </w:tc>
        <w:tc>
          <w:tcPr>
            <w:tcW w:w="1821" w:type="dxa"/>
            <w:hideMark/>
          </w:tcPr>
          <w:p w14:paraId="324F4186" w14:textId="77777777" w:rsidR="00643AC2" w:rsidRPr="00702D78" w:rsidRDefault="00643AC2" w:rsidP="00702D78">
            <w:pPr>
              <w:pStyle w:val="TableHeading"/>
              <w:rPr>
                <w:lang w:val="en-GB"/>
              </w:rPr>
            </w:pPr>
            <w:r w:rsidRPr="00702D78">
              <w:rPr>
                <w:bCs/>
                <w:lang w:val="en-GB"/>
              </w:rPr>
              <w:t>$</w:t>
            </w:r>
          </w:p>
        </w:tc>
        <w:tc>
          <w:tcPr>
            <w:tcW w:w="1822" w:type="dxa"/>
            <w:hideMark/>
          </w:tcPr>
          <w:p w14:paraId="25918620" w14:textId="77777777" w:rsidR="00643AC2" w:rsidRPr="00702D78" w:rsidRDefault="00643AC2" w:rsidP="00702D78">
            <w:pPr>
              <w:pStyle w:val="TableHeading"/>
              <w:rPr>
                <w:lang w:val="en-GB"/>
              </w:rPr>
            </w:pPr>
            <w:r w:rsidRPr="00702D78">
              <w:rPr>
                <w:bCs/>
                <w:lang w:val="en-GB"/>
              </w:rPr>
              <w:t>$</w:t>
            </w:r>
          </w:p>
        </w:tc>
      </w:tr>
      <w:tr w:rsidR="00CB7135" w:rsidRPr="00702D78" w14:paraId="4432F9DF" w14:textId="77777777" w:rsidTr="00CB7135">
        <w:trPr>
          <w:cantSplit/>
        </w:trPr>
        <w:tc>
          <w:tcPr>
            <w:tcW w:w="6743" w:type="dxa"/>
            <w:hideMark/>
          </w:tcPr>
          <w:p w14:paraId="7689812B" w14:textId="77777777" w:rsidR="00643AC2" w:rsidRPr="00702D78" w:rsidRDefault="00643AC2" w:rsidP="00702D78">
            <w:pPr>
              <w:pStyle w:val="TableCopy"/>
              <w:rPr>
                <w:lang w:val="en-GB"/>
              </w:rPr>
            </w:pPr>
            <w:r w:rsidRPr="00702D78">
              <w:rPr>
                <w:lang w:val="en-GB"/>
              </w:rPr>
              <w:t>Capitalised software development – at cost</w:t>
            </w:r>
          </w:p>
        </w:tc>
        <w:tc>
          <w:tcPr>
            <w:tcW w:w="1821" w:type="dxa"/>
            <w:hideMark/>
          </w:tcPr>
          <w:p w14:paraId="142D4E9A" w14:textId="77777777" w:rsidR="00643AC2" w:rsidRPr="00702D78" w:rsidRDefault="00643AC2" w:rsidP="00702D78">
            <w:pPr>
              <w:pStyle w:val="TableCopy"/>
              <w:rPr>
                <w:b/>
                <w:lang w:val="en-GB"/>
              </w:rPr>
            </w:pPr>
            <w:r w:rsidRPr="00702D78">
              <w:rPr>
                <w:b/>
                <w:lang w:val="en-GB"/>
              </w:rPr>
              <w:t>391,793</w:t>
            </w:r>
          </w:p>
        </w:tc>
        <w:tc>
          <w:tcPr>
            <w:tcW w:w="1822" w:type="dxa"/>
            <w:hideMark/>
          </w:tcPr>
          <w:p w14:paraId="292D26B7" w14:textId="77777777" w:rsidR="00643AC2" w:rsidRPr="00702D78" w:rsidRDefault="00643AC2" w:rsidP="00702D78">
            <w:pPr>
              <w:pStyle w:val="TableCopy"/>
              <w:rPr>
                <w:lang w:val="en-GB"/>
              </w:rPr>
            </w:pPr>
            <w:r w:rsidRPr="00702D78">
              <w:rPr>
                <w:lang w:val="en-GB"/>
              </w:rPr>
              <w:t>391,793</w:t>
            </w:r>
          </w:p>
        </w:tc>
      </w:tr>
      <w:tr w:rsidR="00CB7135" w:rsidRPr="00702D78" w14:paraId="1AABEA64" w14:textId="77777777" w:rsidTr="00CB7135">
        <w:trPr>
          <w:cantSplit/>
        </w:trPr>
        <w:tc>
          <w:tcPr>
            <w:tcW w:w="6743" w:type="dxa"/>
            <w:hideMark/>
          </w:tcPr>
          <w:p w14:paraId="72A8AD1C" w14:textId="77777777" w:rsidR="00643AC2" w:rsidRPr="00702D78" w:rsidRDefault="00643AC2" w:rsidP="00702D78">
            <w:pPr>
              <w:pStyle w:val="TableCopy"/>
              <w:rPr>
                <w:lang w:val="en-GB"/>
              </w:rPr>
            </w:pPr>
            <w:r w:rsidRPr="00702D78">
              <w:rPr>
                <w:lang w:val="en-GB"/>
              </w:rPr>
              <w:t>Less: accumulated depreciation</w:t>
            </w:r>
          </w:p>
        </w:tc>
        <w:tc>
          <w:tcPr>
            <w:tcW w:w="1821" w:type="dxa"/>
            <w:hideMark/>
          </w:tcPr>
          <w:p w14:paraId="4C0607DA" w14:textId="77777777" w:rsidR="00643AC2" w:rsidRPr="00702D78" w:rsidRDefault="00643AC2" w:rsidP="00702D78">
            <w:pPr>
              <w:pStyle w:val="TableCopy"/>
              <w:rPr>
                <w:b/>
                <w:lang w:val="en-GB"/>
              </w:rPr>
            </w:pPr>
            <w:r w:rsidRPr="00702D78">
              <w:rPr>
                <w:b/>
                <w:lang w:val="en-GB"/>
              </w:rPr>
              <w:t>-279,852</w:t>
            </w:r>
          </w:p>
        </w:tc>
        <w:tc>
          <w:tcPr>
            <w:tcW w:w="1822" w:type="dxa"/>
            <w:hideMark/>
          </w:tcPr>
          <w:p w14:paraId="1E6819A1" w14:textId="77777777" w:rsidR="00643AC2" w:rsidRPr="00702D78" w:rsidRDefault="00643AC2" w:rsidP="00702D78">
            <w:pPr>
              <w:pStyle w:val="TableCopy"/>
              <w:rPr>
                <w:lang w:val="en-GB"/>
              </w:rPr>
            </w:pPr>
            <w:r w:rsidRPr="00702D78">
              <w:rPr>
                <w:lang w:val="en-GB"/>
              </w:rPr>
              <w:t>-223,882</w:t>
            </w:r>
          </w:p>
        </w:tc>
      </w:tr>
      <w:tr w:rsidR="00CB7135" w:rsidRPr="00702D78" w14:paraId="51B8DD5C" w14:textId="77777777" w:rsidTr="00CB7135">
        <w:trPr>
          <w:cantSplit/>
        </w:trPr>
        <w:tc>
          <w:tcPr>
            <w:tcW w:w="6743" w:type="dxa"/>
            <w:hideMark/>
          </w:tcPr>
          <w:p w14:paraId="504BBAF2" w14:textId="77777777" w:rsidR="00643AC2" w:rsidRPr="00702D78" w:rsidRDefault="00643AC2" w:rsidP="00702D78">
            <w:pPr>
              <w:pStyle w:val="TableCopy"/>
              <w:rPr>
                <w:b/>
                <w:lang w:val="en-GB"/>
              </w:rPr>
            </w:pPr>
            <w:r w:rsidRPr="00702D78">
              <w:rPr>
                <w:b/>
                <w:lang w:val="en-GB"/>
              </w:rPr>
              <w:t>Total intangible assets</w:t>
            </w:r>
          </w:p>
        </w:tc>
        <w:tc>
          <w:tcPr>
            <w:tcW w:w="1821" w:type="dxa"/>
            <w:hideMark/>
          </w:tcPr>
          <w:p w14:paraId="044FADBC" w14:textId="77777777" w:rsidR="00643AC2" w:rsidRPr="00702D78" w:rsidRDefault="00643AC2" w:rsidP="00702D78">
            <w:pPr>
              <w:pStyle w:val="TableCopy"/>
              <w:rPr>
                <w:b/>
                <w:lang w:val="en-GB"/>
              </w:rPr>
            </w:pPr>
            <w:r w:rsidRPr="00702D78">
              <w:rPr>
                <w:b/>
                <w:lang w:val="en-GB"/>
              </w:rPr>
              <w:t>111,941</w:t>
            </w:r>
          </w:p>
        </w:tc>
        <w:tc>
          <w:tcPr>
            <w:tcW w:w="1822" w:type="dxa"/>
            <w:hideMark/>
          </w:tcPr>
          <w:p w14:paraId="7FC8B446" w14:textId="77777777" w:rsidR="00643AC2" w:rsidRPr="00702D78" w:rsidRDefault="00643AC2" w:rsidP="00702D78">
            <w:pPr>
              <w:pStyle w:val="TableCopy"/>
              <w:rPr>
                <w:lang w:val="en-GB"/>
              </w:rPr>
            </w:pPr>
            <w:r w:rsidRPr="00702D78">
              <w:rPr>
                <w:lang w:val="en-GB"/>
              </w:rPr>
              <w:t>167,911</w:t>
            </w:r>
          </w:p>
        </w:tc>
      </w:tr>
      <w:tr w:rsidR="00702D78" w:rsidRPr="00702D78" w14:paraId="7D155E66" w14:textId="77777777" w:rsidTr="00D3696B">
        <w:trPr>
          <w:cantSplit/>
        </w:trPr>
        <w:tc>
          <w:tcPr>
            <w:tcW w:w="10386" w:type="dxa"/>
            <w:gridSpan w:val="3"/>
            <w:hideMark/>
          </w:tcPr>
          <w:p w14:paraId="10252BFE" w14:textId="77777777" w:rsidR="00702D78" w:rsidRPr="00702D78" w:rsidRDefault="00702D78" w:rsidP="00702D78">
            <w:pPr>
              <w:pStyle w:val="TableCopy"/>
              <w:rPr>
                <w:lang w:val="en-GB"/>
              </w:rPr>
            </w:pPr>
          </w:p>
        </w:tc>
      </w:tr>
      <w:tr w:rsidR="00702D78" w:rsidRPr="00702D78" w14:paraId="1114620D" w14:textId="77777777" w:rsidTr="00D3696B">
        <w:trPr>
          <w:cantSplit/>
        </w:trPr>
        <w:tc>
          <w:tcPr>
            <w:tcW w:w="10386" w:type="dxa"/>
            <w:gridSpan w:val="3"/>
            <w:hideMark/>
          </w:tcPr>
          <w:p w14:paraId="21B3FD98" w14:textId="6783285E" w:rsidR="00702D78" w:rsidRPr="00702D78" w:rsidRDefault="00702D78" w:rsidP="00702D78">
            <w:pPr>
              <w:pStyle w:val="TableHeading"/>
              <w:rPr>
                <w:lang w:val="en-GB"/>
              </w:rPr>
            </w:pPr>
            <w:r w:rsidRPr="00702D78">
              <w:rPr>
                <w:lang w:val="en-GB"/>
              </w:rPr>
              <w:t>Reconciliation of carrying amounts</w:t>
            </w:r>
          </w:p>
        </w:tc>
      </w:tr>
      <w:tr w:rsidR="00CB7135" w:rsidRPr="00702D78" w14:paraId="3383CEE7" w14:textId="77777777" w:rsidTr="00CB7135">
        <w:trPr>
          <w:cantSplit/>
        </w:trPr>
        <w:tc>
          <w:tcPr>
            <w:tcW w:w="6743" w:type="dxa"/>
            <w:hideMark/>
          </w:tcPr>
          <w:p w14:paraId="5602382E" w14:textId="77777777" w:rsidR="00643AC2" w:rsidRPr="00702D78" w:rsidRDefault="00643AC2" w:rsidP="00702D78">
            <w:pPr>
              <w:pStyle w:val="TableCopy"/>
              <w:rPr>
                <w:lang w:val="en-GB"/>
              </w:rPr>
            </w:pPr>
            <w:r w:rsidRPr="00702D78">
              <w:rPr>
                <w:lang w:val="en-GB"/>
              </w:rPr>
              <w:t>Carrying value at start of the year</w:t>
            </w:r>
          </w:p>
        </w:tc>
        <w:tc>
          <w:tcPr>
            <w:tcW w:w="1821" w:type="dxa"/>
            <w:hideMark/>
          </w:tcPr>
          <w:p w14:paraId="2E32240A" w14:textId="77777777" w:rsidR="00643AC2" w:rsidRPr="00702D78" w:rsidRDefault="00643AC2" w:rsidP="00702D78">
            <w:pPr>
              <w:pStyle w:val="TableCopy"/>
              <w:rPr>
                <w:b/>
                <w:lang w:val="en-GB"/>
              </w:rPr>
            </w:pPr>
            <w:r w:rsidRPr="00702D78">
              <w:rPr>
                <w:b/>
                <w:lang w:val="en-GB"/>
              </w:rPr>
              <w:t>167,911</w:t>
            </w:r>
          </w:p>
        </w:tc>
        <w:tc>
          <w:tcPr>
            <w:tcW w:w="1822" w:type="dxa"/>
            <w:hideMark/>
          </w:tcPr>
          <w:p w14:paraId="549D599D" w14:textId="77777777" w:rsidR="00643AC2" w:rsidRPr="00702D78" w:rsidRDefault="00643AC2" w:rsidP="00702D78">
            <w:pPr>
              <w:pStyle w:val="TableCopy"/>
              <w:rPr>
                <w:lang w:val="en-GB"/>
              </w:rPr>
            </w:pPr>
            <w:r w:rsidRPr="00702D78">
              <w:rPr>
                <w:lang w:val="en-GB"/>
              </w:rPr>
              <w:t>223,882</w:t>
            </w:r>
          </w:p>
        </w:tc>
      </w:tr>
      <w:tr w:rsidR="00CB7135" w:rsidRPr="00702D78" w14:paraId="7EE1E7F7" w14:textId="77777777" w:rsidTr="00CB7135">
        <w:trPr>
          <w:cantSplit/>
        </w:trPr>
        <w:tc>
          <w:tcPr>
            <w:tcW w:w="6743" w:type="dxa"/>
            <w:hideMark/>
          </w:tcPr>
          <w:p w14:paraId="62A538DA" w14:textId="77777777" w:rsidR="00643AC2" w:rsidRPr="00702D78" w:rsidRDefault="00643AC2" w:rsidP="00702D78">
            <w:pPr>
              <w:pStyle w:val="TableCopy"/>
              <w:rPr>
                <w:lang w:val="en-GB"/>
              </w:rPr>
            </w:pPr>
            <w:r w:rsidRPr="00702D78">
              <w:rPr>
                <w:lang w:val="en-GB"/>
              </w:rPr>
              <w:t>Depreciation expense </w:t>
            </w:r>
          </w:p>
        </w:tc>
        <w:tc>
          <w:tcPr>
            <w:tcW w:w="1821" w:type="dxa"/>
            <w:hideMark/>
          </w:tcPr>
          <w:p w14:paraId="7782E13A" w14:textId="77777777" w:rsidR="00643AC2" w:rsidRPr="00702D78" w:rsidRDefault="00643AC2" w:rsidP="00702D78">
            <w:pPr>
              <w:pStyle w:val="TableCopy"/>
              <w:rPr>
                <w:b/>
                <w:lang w:val="en-GB"/>
              </w:rPr>
            </w:pPr>
            <w:r w:rsidRPr="00702D78">
              <w:rPr>
                <w:b/>
                <w:lang w:val="en-GB"/>
              </w:rPr>
              <w:t>-55,970</w:t>
            </w:r>
          </w:p>
        </w:tc>
        <w:tc>
          <w:tcPr>
            <w:tcW w:w="1822" w:type="dxa"/>
            <w:hideMark/>
          </w:tcPr>
          <w:p w14:paraId="73076CB2" w14:textId="77777777" w:rsidR="00643AC2" w:rsidRPr="00702D78" w:rsidRDefault="00643AC2" w:rsidP="00702D78">
            <w:pPr>
              <w:pStyle w:val="TableCopy"/>
              <w:rPr>
                <w:lang w:val="en-GB"/>
              </w:rPr>
            </w:pPr>
            <w:r w:rsidRPr="00702D78">
              <w:rPr>
                <w:lang w:val="en-GB"/>
              </w:rPr>
              <w:t>-55,971</w:t>
            </w:r>
          </w:p>
        </w:tc>
      </w:tr>
      <w:tr w:rsidR="00CB7135" w:rsidRPr="00702D78" w14:paraId="183D5F9C" w14:textId="77777777" w:rsidTr="00CB7135">
        <w:trPr>
          <w:cantSplit/>
        </w:trPr>
        <w:tc>
          <w:tcPr>
            <w:tcW w:w="6743" w:type="dxa"/>
            <w:hideMark/>
          </w:tcPr>
          <w:p w14:paraId="3B8CDFF3" w14:textId="77777777" w:rsidR="00643AC2" w:rsidRPr="00702D78" w:rsidRDefault="00643AC2" w:rsidP="00702D78">
            <w:pPr>
              <w:pStyle w:val="TableCopy"/>
              <w:rPr>
                <w:b/>
                <w:lang w:val="en-GB"/>
              </w:rPr>
            </w:pPr>
            <w:r w:rsidRPr="00702D78">
              <w:rPr>
                <w:b/>
                <w:lang w:val="en-GB"/>
              </w:rPr>
              <w:t>Carrying value at end of the year</w:t>
            </w:r>
          </w:p>
        </w:tc>
        <w:tc>
          <w:tcPr>
            <w:tcW w:w="1821" w:type="dxa"/>
            <w:hideMark/>
          </w:tcPr>
          <w:p w14:paraId="26783270" w14:textId="77777777" w:rsidR="00643AC2" w:rsidRPr="00702D78" w:rsidRDefault="00643AC2" w:rsidP="00702D78">
            <w:pPr>
              <w:pStyle w:val="TableCopy"/>
              <w:rPr>
                <w:b/>
                <w:lang w:val="en-GB"/>
              </w:rPr>
            </w:pPr>
            <w:r w:rsidRPr="00702D78">
              <w:rPr>
                <w:b/>
                <w:lang w:val="en-GB"/>
              </w:rPr>
              <w:t>111,941</w:t>
            </w:r>
          </w:p>
        </w:tc>
        <w:tc>
          <w:tcPr>
            <w:tcW w:w="1822" w:type="dxa"/>
            <w:hideMark/>
          </w:tcPr>
          <w:p w14:paraId="6C33BF43" w14:textId="77777777" w:rsidR="00643AC2" w:rsidRPr="00702D78" w:rsidRDefault="00643AC2" w:rsidP="00702D78">
            <w:pPr>
              <w:pStyle w:val="TableCopy"/>
              <w:rPr>
                <w:lang w:val="en-GB"/>
              </w:rPr>
            </w:pPr>
            <w:r w:rsidRPr="00702D78">
              <w:rPr>
                <w:lang w:val="en-GB"/>
              </w:rPr>
              <w:t>167,911</w:t>
            </w:r>
          </w:p>
        </w:tc>
      </w:tr>
    </w:tbl>
    <w:p w14:paraId="0A7E1E39" w14:textId="77777777" w:rsidR="00643AC2" w:rsidRPr="00643AC2" w:rsidRDefault="00643AC2" w:rsidP="00643AC2">
      <w:pPr>
        <w:rPr>
          <w:lang w:val="en-GB"/>
        </w:rPr>
      </w:pPr>
      <w:r w:rsidRPr="00CB7135">
        <w:rPr>
          <w:b/>
          <w:lang w:val="en-GB"/>
        </w:rPr>
        <w:t>Purchased intangible assets</w:t>
      </w:r>
      <w:r w:rsidRPr="00643AC2">
        <w:rPr>
          <w:lang w:val="en-GB"/>
        </w:rPr>
        <w:t xml:space="preserve"> are initially recognised at cost. When the recognition criteria in AASB 138 Intangible Assets is met, internally generated intangible assets are recognised at cost. Subsequently, intangible assets with finite useful lives are carried at cost less accumulated amortisation and accumulated impairment losses. Depreciation and amortisation begins when the asset is available for use, that is, when it is in the location and condition necessary for it to be capable of operating in the manner intended by management.</w:t>
      </w:r>
    </w:p>
    <w:p w14:paraId="235A1B7E" w14:textId="3E9132B6" w:rsidR="00643AC2" w:rsidRPr="00643AC2" w:rsidRDefault="00643AC2" w:rsidP="00643AC2">
      <w:pPr>
        <w:rPr>
          <w:lang w:val="en-GB"/>
        </w:rPr>
      </w:pPr>
      <w:r w:rsidRPr="00643AC2">
        <w:rPr>
          <w:lang w:val="en-GB"/>
        </w:rPr>
        <w:t xml:space="preserve">An internally generated intangible asset arising from development </w:t>
      </w:r>
      <w:r w:rsidR="00CB7135">
        <w:rPr>
          <w:lang w:val="en-GB"/>
        </w:rPr>
        <w:t xml:space="preserve">(or from the development phase </w:t>
      </w:r>
      <w:r w:rsidRPr="00643AC2">
        <w:rPr>
          <w:lang w:val="en-GB"/>
        </w:rPr>
        <w:t>of an internal project) is recognised if, and only if, all of the following are demonstrated:</w:t>
      </w:r>
    </w:p>
    <w:p w14:paraId="52DD7FBF" w14:textId="77777777" w:rsidR="00643AC2" w:rsidRPr="00643AC2" w:rsidRDefault="00643AC2" w:rsidP="00CB7135">
      <w:pPr>
        <w:pStyle w:val="Bullet"/>
        <w:rPr>
          <w:lang w:val="en-GB"/>
        </w:rPr>
      </w:pPr>
      <w:r w:rsidRPr="00643AC2">
        <w:rPr>
          <w:lang w:val="en-GB"/>
        </w:rPr>
        <w:t>an intention to complete the intangible asset and use or sell it;</w:t>
      </w:r>
    </w:p>
    <w:p w14:paraId="167AAD76" w14:textId="77777777" w:rsidR="00643AC2" w:rsidRPr="00643AC2" w:rsidRDefault="00643AC2" w:rsidP="00CB7135">
      <w:pPr>
        <w:pStyle w:val="Bullet"/>
        <w:rPr>
          <w:lang w:val="en-GB"/>
        </w:rPr>
      </w:pPr>
      <w:r w:rsidRPr="00643AC2">
        <w:rPr>
          <w:lang w:val="en-GB"/>
        </w:rPr>
        <w:t>the ability to use or sell the intangible asset; </w:t>
      </w:r>
    </w:p>
    <w:p w14:paraId="7B5D50FE" w14:textId="77777777" w:rsidR="00643AC2" w:rsidRPr="00643AC2" w:rsidRDefault="00643AC2" w:rsidP="00CB7135">
      <w:pPr>
        <w:pStyle w:val="Bullet"/>
        <w:rPr>
          <w:lang w:val="en-GB"/>
        </w:rPr>
      </w:pPr>
      <w:r w:rsidRPr="00643AC2">
        <w:rPr>
          <w:lang w:val="en-GB"/>
        </w:rPr>
        <w:t>the intangible asset will generate probable future economic benefits;</w:t>
      </w:r>
    </w:p>
    <w:p w14:paraId="45F92B44" w14:textId="0A9A0C97" w:rsidR="00643AC2" w:rsidRPr="00643AC2" w:rsidRDefault="00643AC2" w:rsidP="00CB7135">
      <w:pPr>
        <w:pStyle w:val="Bullet"/>
        <w:rPr>
          <w:lang w:val="en-GB"/>
        </w:rPr>
      </w:pPr>
      <w:r w:rsidRPr="00643AC2">
        <w:rPr>
          <w:lang w:val="en-GB"/>
        </w:rPr>
        <w:t>the availability of adequate technical, financial and other resourc</w:t>
      </w:r>
      <w:r w:rsidR="00CB7135">
        <w:rPr>
          <w:lang w:val="en-GB"/>
        </w:rPr>
        <w:t xml:space="preserve">es to complete the development </w:t>
      </w:r>
      <w:r w:rsidRPr="00643AC2">
        <w:rPr>
          <w:lang w:val="en-GB"/>
        </w:rPr>
        <w:t>and to use or sell the intangible asset; and</w:t>
      </w:r>
    </w:p>
    <w:p w14:paraId="02FDA773" w14:textId="77777777" w:rsidR="00643AC2" w:rsidRPr="00643AC2" w:rsidRDefault="00643AC2" w:rsidP="00CB7135">
      <w:pPr>
        <w:pStyle w:val="Bullet"/>
        <w:rPr>
          <w:lang w:val="en-GB"/>
        </w:rPr>
      </w:pPr>
      <w:r w:rsidRPr="00643AC2">
        <w:rPr>
          <w:lang w:val="en-GB"/>
        </w:rPr>
        <w:t>the ability to measure reliably the expenditure attributable to the intangible asset during its development.</w:t>
      </w:r>
    </w:p>
    <w:p w14:paraId="580D8ECA" w14:textId="52E1A35E" w:rsidR="00643AC2" w:rsidRPr="00643AC2" w:rsidRDefault="00643AC2" w:rsidP="00CB7135">
      <w:pPr>
        <w:pStyle w:val="Heading4"/>
        <w:rPr>
          <w:lang w:val="en-GB"/>
        </w:rPr>
      </w:pPr>
      <w:r w:rsidRPr="00643AC2">
        <w:rPr>
          <w:lang w:val="en-GB"/>
        </w:rPr>
        <w:t>4.3.</w:t>
      </w:r>
      <w:r w:rsidRPr="00643AC2">
        <w:rPr>
          <w:lang w:val="en-GB"/>
        </w:rPr>
        <w:t> </w:t>
      </w:r>
      <w:r w:rsidR="00CB7135">
        <w:rPr>
          <w:lang w:val="en-GB"/>
        </w:rPr>
        <w:t>D</w:t>
      </w:r>
      <w:r w:rsidRPr="00643AC2">
        <w:rPr>
          <w:lang w:val="en-GB"/>
        </w:rPr>
        <w:t>epreciation</w:t>
      </w:r>
    </w:p>
    <w:p w14:paraId="1B2BB514" w14:textId="77777777" w:rsidR="00643AC2" w:rsidRPr="00643AC2" w:rsidRDefault="00643AC2" w:rsidP="00CB7135">
      <w:pPr>
        <w:pStyle w:val="Heading5"/>
        <w:rPr>
          <w:lang w:val="en-GB"/>
        </w:rPr>
      </w:pPr>
      <w:r w:rsidRPr="00643AC2">
        <w:rPr>
          <w:lang w:val="en-GB"/>
        </w:rPr>
        <w:t>Charge for the period</w:t>
      </w:r>
    </w:p>
    <w:tbl>
      <w:tblPr>
        <w:tblStyle w:val="TableGrid"/>
        <w:tblW w:w="0" w:type="auto"/>
        <w:tblLayout w:type="fixed"/>
        <w:tblLook w:val="04A0" w:firstRow="1" w:lastRow="0" w:firstColumn="1" w:lastColumn="0" w:noHBand="0" w:noVBand="1"/>
      </w:tblPr>
      <w:tblGrid>
        <w:gridCol w:w="6232"/>
        <w:gridCol w:w="2055"/>
        <w:gridCol w:w="2056"/>
      </w:tblGrid>
      <w:tr w:rsidR="00CB7135" w:rsidRPr="00643AC2" w14:paraId="67D5707C" w14:textId="77777777" w:rsidTr="00E76D87">
        <w:trPr>
          <w:cantSplit/>
          <w:tblHeader/>
        </w:trPr>
        <w:tc>
          <w:tcPr>
            <w:tcW w:w="6232" w:type="dxa"/>
            <w:hideMark/>
          </w:tcPr>
          <w:p w14:paraId="76CE74A3" w14:textId="77777777" w:rsidR="00643AC2" w:rsidRPr="00E76D87" w:rsidRDefault="00643AC2" w:rsidP="00E76D87">
            <w:pPr>
              <w:pStyle w:val="TableHeading"/>
              <w:rPr>
                <w:lang w:val="en-GB"/>
              </w:rPr>
            </w:pPr>
          </w:p>
        </w:tc>
        <w:tc>
          <w:tcPr>
            <w:tcW w:w="2055" w:type="dxa"/>
            <w:hideMark/>
          </w:tcPr>
          <w:p w14:paraId="695D9024" w14:textId="77777777" w:rsidR="00643AC2" w:rsidRPr="00E76D87" w:rsidRDefault="00643AC2" w:rsidP="00E76D87">
            <w:pPr>
              <w:pStyle w:val="TableHeading"/>
              <w:rPr>
                <w:lang w:val="en-GB"/>
              </w:rPr>
            </w:pPr>
            <w:r w:rsidRPr="00E76D87">
              <w:rPr>
                <w:lang w:val="en-GB"/>
              </w:rPr>
              <w:t>2017</w:t>
            </w:r>
          </w:p>
        </w:tc>
        <w:tc>
          <w:tcPr>
            <w:tcW w:w="2056" w:type="dxa"/>
            <w:hideMark/>
          </w:tcPr>
          <w:p w14:paraId="456FA9E4" w14:textId="77777777" w:rsidR="00643AC2" w:rsidRPr="00E76D87" w:rsidRDefault="00643AC2" w:rsidP="00E76D87">
            <w:pPr>
              <w:pStyle w:val="TableHeading"/>
              <w:rPr>
                <w:lang w:val="en-GB"/>
              </w:rPr>
            </w:pPr>
            <w:r w:rsidRPr="00E76D87">
              <w:rPr>
                <w:lang w:val="en-GB"/>
              </w:rPr>
              <w:t>2016</w:t>
            </w:r>
          </w:p>
        </w:tc>
      </w:tr>
      <w:tr w:rsidR="00CB7135" w:rsidRPr="00643AC2" w14:paraId="312005E3" w14:textId="77777777" w:rsidTr="00E76D87">
        <w:trPr>
          <w:cantSplit/>
          <w:tblHeader/>
        </w:trPr>
        <w:tc>
          <w:tcPr>
            <w:tcW w:w="6232" w:type="dxa"/>
            <w:hideMark/>
          </w:tcPr>
          <w:p w14:paraId="02492B07" w14:textId="77777777" w:rsidR="00643AC2" w:rsidRPr="00E76D87" w:rsidRDefault="00643AC2" w:rsidP="00E76D87">
            <w:pPr>
              <w:pStyle w:val="TableHeading"/>
              <w:rPr>
                <w:lang w:val="en-GB"/>
              </w:rPr>
            </w:pPr>
          </w:p>
        </w:tc>
        <w:tc>
          <w:tcPr>
            <w:tcW w:w="2055" w:type="dxa"/>
            <w:hideMark/>
          </w:tcPr>
          <w:p w14:paraId="4C04672F" w14:textId="77777777" w:rsidR="00643AC2" w:rsidRPr="00E76D87" w:rsidRDefault="00643AC2" w:rsidP="00E76D87">
            <w:pPr>
              <w:pStyle w:val="TableHeading"/>
              <w:rPr>
                <w:lang w:val="en-GB"/>
              </w:rPr>
            </w:pPr>
            <w:r w:rsidRPr="00E76D87">
              <w:rPr>
                <w:lang w:val="en-GB"/>
              </w:rPr>
              <w:t>$</w:t>
            </w:r>
          </w:p>
        </w:tc>
        <w:tc>
          <w:tcPr>
            <w:tcW w:w="2056" w:type="dxa"/>
            <w:hideMark/>
          </w:tcPr>
          <w:p w14:paraId="5FF76664" w14:textId="77777777" w:rsidR="00643AC2" w:rsidRPr="00E76D87" w:rsidRDefault="00643AC2" w:rsidP="00E76D87">
            <w:pPr>
              <w:pStyle w:val="TableHeading"/>
              <w:rPr>
                <w:lang w:val="en-GB"/>
              </w:rPr>
            </w:pPr>
            <w:r w:rsidRPr="00E76D87">
              <w:rPr>
                <w:lang w:val="en-GB"/>
              </w:rPr>
              <w:t>$</w:t>
            </w:r>
          </w:p>
        </w:tc>
      </w:tr>
      <w:tr w:rsidR="00CB7135" w:rsidRPr="00643AC2" w14:paraId="59C576DA" w14:textId="77777777" w:rsidTr="00E76D87">
        <w:trPr>
          <w:cantSplit/>
        </w:trPr>
        <w:tc>
          <w:tcPr>
            <w:tcW w:w="6232" w:type="dxa"/>
            <w:hideMark/>
          </w:tcPr>
          <w:p w14:paraId="348E9D19" w14:textId="77777777" w:rsidR="00643AC2" w:rsidRPr="00E76D87" w:rsidRDefault="00643AC2" w:rsidP="00E76D87">
            <w:pPr>
              <w:pStyle w:val="TableCopy"/>
              <w:rPr>
                <w:lang w:val="en-GB"/>
              </w:rPr>
            </w:pPr>
            <w:r w:rsidRPr="00E76D87">
              <w:rPr>
                <w:lang w:val="en-GB"/>
              </w:rPr>
              <w:t>Leasehold improvements</w:t>
            </w:r>
          </w:p>
        </w:tc>
        <w:tc>
          <w:tcPr>
            <w:tcW w:w="2055" w:type="dxa"/>
            <w:hideMark/>
          </w:tcPr>
          <w:p w14:paraId="5E2D946F" w14:textId="77777777" w:rsidR="00643AC2" w:rsidRPr="00E76D87" w:rsidRDefault="00643AC2" w:rsidP="00E76D87">
            <w:pPr>
              <w:pStyle w:val="TableCopy"/>
              <w:rPr>
                <w:b/>
                <w:lang w:val="en-GB"/>
              </w:rPr>
            </w:pPr>
            <w:r w:rsidRPr="00E76D87">
              <w:rPr>
                <w:b/>
                <w:lang w:val="en-GB"/>
              </w:rPr>
              <w:t>22,054</w:t>
            </w:r>
          </w:p>
        </w:tc>
        <w:tc>
          <w:tcPr>
            <w:tcW w:w="2056" w:type="dxa"/>
            <w:hideMark/>
          </w:tcPr>
          <w:p w14:paraId="15A443B0" w14:textId="77777777" w:rsidR="00643AC2" w:rsidRPr="00E76D87" w:rsidRDefault="00643AC2" w:rsidP="00E76D87">
            <w:pPr>
              <w:pStyle w:val="TableCopy"/>
              <w:rPr>
                <w:lang w:val="en-GB"/>
              </w:rPr>
            </w:pPr>
            <w:r w:rsidRPr="00E76D87">
              <w:rPr>
                <w:lang w:val="en-GB"/>
              </w:rPr>
              <w:t>94,226</w:t>
            </w:r>
          </w:p>
        </w:tc>
      </w:tr>
      <w:tr w:rsidR="00CB7135" w:rsidRPr="00643AC2" w14:paraId="16DC7C7E" w14:textId="77777777" w:rsidTr="00E76D87">
        <w:trPr>
          <w:cantSplit/>
        </w:trPr>
        <w:tc>
          <w:tcPr>
            <w:tcW w:w="6232" w:type="dxa"/>
            <w:hideMark/>
          </w:tcPr>
          <w:p w14:paraId="076D60B7" w14:textId="77777777" w:rsidR="00643AC2" w:rsidRPr="00E76D87" w:rsidRDefault="00643AC2" w:rsidP="00E76D87">
            <w:pPr>
              <w:pStyle w:val="TableCopy"/>
              <w:rPr>
                <w:lang w:val="en-GB"/>
              </w:rPr>
            </w:pPr>
            <w:r w:rsidRPr="00E76D87">
              <w:rPr>
                <w:lang w:val="en-GB"/>
              </w:rPr>
              <w:t>Office and computer equipment</w:t>
            </w:r>
          </w:p>
        </w:tc>
        <w:tc>
          <w:tcPr>
            <w:tcW w:w="2055" w:type="dxa"/>
            <w:hideMark/>
          </w:tcPr>
          <w:p w14:paraId="0A2405F4" w14:textId="77777777" w:rsidR="00643AC2" w:rsidRPr="00E76D87" w:rsidRDefault="00643AC2" w:rsidP="00E76D87">
            <w:pPr>
              <w:pStyle w:val="TableCopy"/>
              <w:rPr>
                <w:b/>
                <w:lang w:val="en-GB"/>
              </w:rPr>
            </w:pPr>
            <w:r w:rsidRPr="00E76D87">
              <w:rPr>
                <w:b/>
                <w:lang w:val="en-GB"/>
              </w:rPr>
              <w:t>2,157</w:t>
            </w:r>
          </w:p>
        </w:tc>
        <w:tc>
          <w:tcPr>
            <w:tcW w:w="2056" w:type="dxa"/>
            <w:hideMark/>
          </w:tcPr>
          <w:p w14:paraId="23052155" w14:textId="77777777" w:rsidR="00643AC2" w:rsidRPr="00E76D87" w:rsidRDefault="00643AC2" w:rsidP="00E76D87">
            <w:pPr>
              <w:pStyle w:val="TableCopy"/>
              <w:rPr>
                <w:lang w:val="en-GB"/>
              </w:rPr>
            </w:pPr>
            <w:r w:rsidRPr="00E76D87">
              <w:rPr>
                <w:lang w:val="en-GB"/>
              </w:rPr>
              <w:t>2,934</w:t>
            </w:r>
          </w:p>
        </w:tc>
      </w:tr>
      <w:tr w:rsidR="00CB7135" w:rsidRPr="00643AC2" w14:paraId="16132388" w14:textId="77777777" w:rsidTr="00E76D87">
        <w:trPr>
          <w:cantSplit/>
        </w:trPr>
        <w:tc>
          <w:tcPr>
            <w:tcW w:w="6232" w:type="dxa"/>
            <w:hideMark/>
          </w:tcPr>
          <w:p w14:paraId="23A0B39C" w14:textId="77777777" w:rsidR="00643AC2" w:rsidRPr="00E76D87" w:rsidRDefault="00643AC2" w:rsidP="00E76D87">
            <w:pPr>
              <w:pStyle w:val="TableCopy"/>
              <w:rPr>
                <w:lang w:val="en-GB"/>
              </w:rPr>
            </w:pPr>
            <w:r w:rsidRPr="00E76D87">
              <w:rPr>
                <w:lang w:val="en-GB"/>
              </w:rPr>
              <w:t>Motor vehicles under finance lease</w:t>
            </w:r>
          </w:p>
        </w:tc>
        <w:tc>
          <w:tcPr>
            <w:tcW w:w="2055" w:type="dxa"/>
            <w:hideMark/>
          </w:tcPr>
          <w:p w14:paraId="6717263C" w14:textId="77777777" w:rsidR="00643AC2" w:rsidRPr="00E76D87" w:rsidRDefault="00643AC2" w:rsidP="00E76D87">
            <w:pPr>
              <w:pStyle w:val="TableCopy"/>
              <w:rPr>
                <w:b/>
                <w:lang w:val="en-GB"/>
              </w:rPr>
            </w:pPr>
            <w:r w:rsidRPr="00E76D87">
              <w:rPr>
                <w:b/>
                <w:lang w:val="en-GB"/>
              </w:rPr>
              <w:t>22,084</w:t>
            </w:r>
          </w:p>
        </w:tc>
        <w:tc>
          <w:tcPr>
            <w:tcW w:w="2056" w:type="dxa"/>
            <w:hideMark/>
          </w:tcPr>
          <w:p w14:paraId="7E22BF55" w14:textId="77777777" w:rsidR="00643AC2" w:rsidRPr="00E76D87" w:rsidRDefault="00643AC2" w:rsidP="00E76D87">
            <w:pPr>
              <w:pStyle w:val="TableCopy"/>
              <w:rPr>
                <w:lang w:val="en-GB"/>
              </w:rPr>
            </w:pPr>
            <w:r w:rsidRPr="00E76D87">
              <w:rPr>
                <w:lang w:val="en-GB"/>
              </w:rPr>
              <w:t>15,974</w:t>
            </w:r>
          </w:p>
        </w:tc>
      </w:tr>
      <w:tr w:rsidR="00CB7135" w:rsidRPr="00643AC2" w14:paraId="112CF619" w14:textId="77777777" w:rsidTr="00E76D87">
        <w:trPr>
          <w:cantSplit/>
        </w:trPr>
        <w:tc>
          <w:tcPr>
            <w:tcW w:w="6232" w:type="dxa"/>
            <w:hideMark/>
          </w:tcPr>
          <w:p w14:paraId="7746D16C" w14:textId="77777777" w:rsidR="00643AC2" w:rsidRPr="00E76D87" w:rsidRDefault="00643AC2" w:rsidP="00E76D87">
            <w:pPr>
              <w:pStyle w:val="TableCopy"/>
              <w:rPr>
                <w:lang w:val="en-GB"/>
              </w:rPr>
            </w:pPr>
            <w:r w:rsidRPr="00E76D87">
              <w:rPr>
                <w:lang w:val="en-GB"/>
              </w:rPr>
              <w:t>Intangible assets</w:t>
            </w:r>
          </w:p>
        </w:tc>
        <w:tc>
          <w:tcPr>
            <w:tcW w:w="2055" w:type="dxa"/>
            <w:hideMark/>
          </w:tcPr>
          <w:p w14:paraId="72DD2533" w14:textId="77777777" w:rsidR="00643AC2" w:rsidRPr="00E76D87" w:rsidRDefault="00643AC2" w:rsidP="00E76D87">
            <w:pPr>
              <w:pStyle w:val="TableCopy"/>
              <w:rPr>
                <w:b/>
                <w:lang w:val="en-GB"/>
              </w:rPr>
            </w:pPr>
            <w:r w:rsidRPr="00E76D87">
              <w:rPr>
                <w:b/>
                <w:lang w:val="en-GB"/>
              </w:rPr>
              <w:t>55,970</w:t>
            </w:r>
          </w:p>
        </w:tc>
        <w:tc>
          <w:tcPr>
            <w:tcW w:w="2056" w:type="dxa"/>
            <w:hideMark/>
          </w:tcPr>
          <w:p w14:paraId="28E9173B" w14:textId="77777777" w:rsidR="00643AC2" w:rsidRPr="00E76D87" w:rsidRDefault="00643AC2" w:rsidP="00E76D87">
            <w:pPr>
              <w:pStyle w:val="TableCopy"/>
              <w:rPr>
                <w:lang w:val="en-GB"/>
              </w:rPr>
            </w:pPr>
            <w:r w:rsidRPr="00E76D87">
              <w:rPr>
                <w:lang w:val="en-GB"/>
              </w:rPr>
              <w:t>55,971</w:t>
            </w:r>
          </w:p>
        </w:tc>
      </w:tr>
      <w:tr w:rsidR="00CB7135" w:rsidRPr="00643AC2" w14:paraId="57D2789F" w14:textId="77777777" w:rsidTr="00E76D87">
        <w:trPr>
          <w:cantSplit/>
        </w:trPr>
        <w:tc>
          <w:tcPr>
            <w:tcW w:w="6232" w:type="dxa"/>
            <w:hideMark/>
          </w:tcPr>
          <w:p w14:paraId="04E9D163" w14:textId="77777777" w:rsidR="00643AC2" w:rsidRPr="00E76D87" w:rsidRDefault="00643AC2" w:rsidP="00E76D87">
            <w:pPr>
              <w:pStyle w:val="TableCopy"/>
              <w:rPr>
                <w:b/>
                <w:lang w:val="en-GB"/>
              </w:rPr>
            </w:pPr>
            <w:r w:rsidRPr="00E76D87">
              <w:rPr>
                <w:b/>
                <w:lang w:val="en-GB"/>
              </w:rPr>
              <w:t>Total depreciation</w:t>
            </w:r>
          </w:p>
        </w:tc>
        <w:tc>
          <w:tcPr>
            <w:tcW w:w="2055" w:type="dxa"/>
            <w:hideMark/>
          </w:tcPr>
          <w:p w14:paraId="19126E34" w14:textId="77777777" w:rsidR="00643AC2" w:rsidRPr="00E76D87" w:rsidRDefault="00643AC2" w:rsidP="00E76D87">
            <w:pPr>
              <w:pStyle w:val="TableCopy"/>
              <w:rPr>
                <w:b/>
                <w:lang w:val="en-GB"/>
              </w:rPr>
            </w:pPr>
            <w:r w:rsidRPr="00E76D87">
              <w:rPr>
                <w:b/>
                <w:lang w:val="en-GB"/>
              </w:rPr>
              <w:t>102,265</w:t>
            </w:r>
          </w:p>
        </w:tc>
        <w:tc>
          <w:tcPr>
            <w:tcW w:w="2056" w:type="dxa"/>
            <w:hideMark/>
          </w:tcPr>
          <w:p w14:paraId="731A6CF2" w14:textId="77777777" w:rsidR="00643AC2" w:rsidRPr="00E76D87" w:rsidRDefault="00643AC2" w:rsidP="00E76D87">
            <w:pPr>
              <w:pStyle w:val="TableCopy"/>
              <w:rPr>
                <w:lang w:val="en-GB"/>
              </w:rPr>
            </w:pPr>
            <w:r w:rsidRPr="00E76D87">
              <w:rPr>
                <w:lang w:val="en-GB"/>
              </w:rPr>
              <w:t>169,105</w:t>
            </w:r>
          </w:p>
        </w:tc>
      </w:tr>
    </w:tbl>
    <w:p w14:paraId="4B94CD3C" w14:textId="1B873AA8" w:rsidR="00643AC2" w:rsidRPr="00643AC2" w:rsidRDefault="00643AC2" w:rsidP="00643AC2">
      <w:pPr>
        <w:rPr>
          <w:lang w:val="en-GB"/>
        </w:rPr>
      </w:pPr>
      <w:r w:rsidRPr="00643AC2">
        <w:rPr>
          <w:lang w:val="en-GB"/>
        </w:rPr>
        <w:t>Leasehold improvements are depreciated over the period of the lease or es</w:t>
      </w:r>
      <w:r w:rsidR="00715D87">
        <w:rPr>
          <w:lang w:val="en-GB"/>
        </w:rPr>
        <w:t xml:space="preserve">timated useful life, whichever </w:t>
      </w:r>
      <w:r w:rsidRPr="00643AC2">
        <w:rPr>
          <w:lang w:val="en-GB"/>
        </w:rPr>
        <w:t>is the shorter, using the straight line method.</w:t>
      </w:r>
    </w:p>
    <w:p w14:paraId="269241CD" w14:textId="77777777" w:rsidR="00643AC2" w:rsidRPr="00643AC2" w:rsidRDefault="00643AC2" w:rsidP="00643AC2">
      <w:pPr>
        <w:rPr>
          <w:lang w:val="en-GB"/>
        </w:rPr>
      </w:pPr>
      <w:r w:rsidRPr="00643AC2">
        <w:rPr>
          <w:lang w:val="en-GB"/>
        </w:rPr>
        <w:t>All office and computer equipment and other non-financial physical assets (excluding items under operating leases) that have finite useful lives are depreciated. Depreciation is calculated on a straight line basis at rates that allocate the asset’s value, less any estimated residual value, over its expected useful life. </w:t>
      </w:r>
    </w:p>
    <w:p w14:paraId="32654D81" w14:textId="6BCBE560" w:rsidR="00643AC2" w:rsidRPr="00643AC2" w:rsidRDefault="00643AC2" w:rsidP="00643AC2">
      <w:pPr>
        <w:rPr>
          <w:lang w:val="en-GB"/>
        </w:rPr>
      </w:pPr>
      <w:r w:rsidRPr="00643AC2">
        <w:rPr>
          <w:lang w:val="en-GB"/>
        </w:rPr>
        <w:t>The estimated useful lives, residual values and depreciation method a</w:t>
      </w:r>
      <w:r w:rsidR="009D18EF">
        <w:rPr>
          <w:lang w:val="en-GB"/>
        </w:rPr>
        <w:t xml:space="preserve">re reviewed at least annually. </w:t>
      </w:r>
      <w:r w:rsidRPr="00643AC2">
        <w:rPr>
          <w:lang w:val="en-GB"/>
        </w:rPr>
        <w:t>Typical estimated useful lives applicable for the years ended 30 June 2017 and 30 June 2016 are as follows:</w:t>
      </w:r>
    </w:p>
    <w:p w14:paraId="21357EA8" w14:textId="1163AF3C" w:rsidR="009D18EF" w:rsidRPr="00830BB2" w:rsidRDefault="009D18EF" w:rsidP="00830BB2">
      <w:pPr>
        <w:pStyle w:val="Bullet"/>
        <w:rPr>
          <w:lang w:val="en-GB"/>
        </w:rPr>
      </w:pPr>
      <w:r w:rsidRPr="00643AC2">
        <w:rPr>
          <w:lang w:val="en-GB"/>
        </w:rPr>
        <w:lastRenderedPageBreak/>
        <w:t>Leasehold improvements</w:t>
      </w:r>
      <w:r w:rsidRPr="00643AC2">
        <w:rPr>
          <w:lang w:val="en-GB"/>
        </w:rPr>
        <w:tab/>
      </w:r>
      <w:r w:rsidR="00830BB2">
        <w:rPr>
          <w:lang w:val="en-GB"/>
        </w:rPr>
        <w:t xml:space="preserve"> – </w:t>
      </w:r>
      <w:r w:rsidRPr="00830BB2">
        <w:rPr>
          <w:lang w:val="en-GB"/>
        </w:rPr>
        <w:t>10 years</w:t>
      </w:r>
    </w:p>
    <w:p w14:paraId="1C48A84F" w14:textId="55452173" w:rsidR="009D18EF" w:rsidRPr="00830BB2" w:rsidRDefault="009D18EF" w:rsidP="00830BB2">
      <w:pPr>
        <w:pStyle w:val="Bullet"/>
        <w:rPr>
          <w:lang w:val="en-GB"/>
        </w:rPr>
      </w:pPr>
      <w:r w:rsidRPr="00830BB2">
        <w:rPr>
          <w:lang w:val="en-GB"/>
        </w:rPr>
        <w:t>Office and computer equipment</w:t>
      </w:r>
      <w:r w:rsidR="00830BB2">
        <w:rPr>
          <w:lang w:val="en-GB"/>
        </w:rPr>
        <w:t xml:space="preserve"> – </w:t>
      </w:r>
      <w:r w:rsidRPr="00830BB2">
        <w:rPr>
          <w:lang w:val="en-GB"/>
        </w:rPr>
        <w:t>4-5 years</w:t>
      </w:r>
    </w:p>
    <w:p w14:paraId="2A6D97CC" w14:textId="0FB0B333" w:rsidR="009D18EF" w:rsidRPr="00830BB2" w:rsidRDefault="009D18EF" w:rsidP="00830BB2">
      <w:pPr>
        <w:pStyle w:val="Bullet"/>
        <w:rPr>
          <w:lang w:val="en-GB"/>
        </w:rPr>
      </w:pPr>
      <w:r w:rsidRPr="00830BB2">
        <w:rPr>
          <w:lang w:val="en-GB"/>
        </w:rPr>
        <w:t>Motor vehicles under finance lease</w:t>
      </w:r>
      <w:r w:rsidR="00830BB2">
        <w:rPr>
          <w:lang w:val="en-GB"/>
        </w:rPr>
        <w:t xml:space="preserve"> – </w:t>
      </w:r>
      <w:r w:rsidRPr="00830BB2">
        <w:rPr>
          <w:lang w:val="en-GB"/>
        </w:rPr>
        <w:t>2-3 years</w:t>
      </w:r>
    </w:p>
    <w:p w14:paraId="49653052" w14:textId="05549EAC" w:rsidR="009D18EF" w:rsidRPr="00830BB2" w:rsidRDefault="009D18EF" w:rsidP="00830BB2">
      <w:pPr>
        <w:pStyle w:val="Bullet"/>
        <w:rPr>
          <w:lang w:val="en-GB"/>
        </w:rPr>
      </w:pPr>
      <w:r w:rsidRPr="00830BB2">
        <w:rPr>
          <w:lang w:val="en-GB"/>
        </w:rPr>
        <w:t>Intangible assets</w:t>
      </w:r>
      <w:r w:rsidRPr="00830BB2">
        <w:rPr>
          <w:lang w:val="en-GB"/>
        </w:rPr>
        <w:tab/>
        <w:t xml:space="preserve"> </w:t>
      </w:r>
      <w:r w:rsidR="00830BB2">
        <w:rPr>
          <w:lang w:val="en-GB"/>
        </w:rPr>
        <w:t xml:space="preserve">– </w:t>
      </w:r>
      <w:r w:rsidRPr="00830BB2">
        <w:rPr>
          <w:lang w:val="en-GB"/>
        </w:rPr>
        <w:t>7 years</w:t>
      </w:r>
    </w:p>
    <w:p w14:paraId="3A0D6F13" w14:textId="77777777" w:rsidR="00643AC2" w:rsidRPr="00643AC2" w:rsidRDefault="00643AC2" w:rsidP="00794FFD">
      <w:pPr>
        <w:pStyle w:val="Heading5"/>
        <w:rPr>
          <w:lang w:val="en-GB"/>
        </w:rPr>
      </w:pPr>
      <w:r w:rsidRPr="00643AC2">
        <w:rPr>
          <w:lang w:val="en-GB"/>
        </w:rPr>
        <w:t>Impairment</w:t>
      </w:r>
    </w:p>
    <w:p w14:paraId="306AF436" w14:textId="77777777" w:rsidR="00643AC2" w:rsidRPr="00643AC2" w:rsidRDefault="00643AC2" w:rsidP="00643AC2">
      <w:pPr>
        <w:rPr>
          <w:lang w:val="en-GB"/>
        </w:rPr>
      </w:pPr>
      <w:r w:rsidRPr="00643AC2">
        <w:rPr>
          <w:lang w:val="en-GB"/>
        </w:rPr>
        <w:t>Non-financial assets, including items of property, plant and equipment, are tested for impairment whenever there is an indication that the asset may be impaired.</w:t>
      </w:r>
    </w:p>
    <w:p w14:paraId="122779F6" w14:textId="77777777" w:rsidR="00643AC2" w:rsidRPr="00643AC2" w:rsidRDefault="00643AC2" w:rsidP="00643AC2">
      <w:pPr>
        <w:rPr>
          <w:lang w:val="en-GB"/>
        </w:rPr>
      </w:pPr>
      <w:r w:rsidRPr="00643AC2">
        <w:rPr>
          <w:lang w:val="en-GB"/>
        </w:rPr>
        <w:t>The assets concerned are tested as to whether their carrying value exceeds their recoverable amount. Where an asset’s carrying value exceeds its recoverable amount, the difference is written off as an ‘other economic flow’, except to the extent that it can be debited to an asset revaluation surplus amount applicable to that class of asset. </w:t>
      </w:r>
    </w:p>
    <w:p w14:paraId="0F7E8AA4" w14:textId="77777777" w:rsidR="00643AC2" w:rsidRPr="00643AC2" w:rsidRDefault="00643AC2" w:rsidP="00643AC2">
      <w:pPr>
        <w:rPr>
          <w:lang w:val="en-GB"/>
        </w:rPr>
      </w:pPr>
      <w:r w:rsidRPr="00643AC2">
        <w:rPr>
          <w:lang w:val="en-GB"/>
        </w:rPr>
        <w:t>If there is an indication that there has been a reversal in impairment, the carrying amount shall be increased to its recoverable amount. However this reversal should not increase the asset’s carrying amount above what would have been determined, net of depreciation or amortisation, if no impairment loss had been recognised in prior years. </w:t>
      </w:r>
    </w:p>
    <w:p w14:paraId="049978DE" w14:textId="20B9332A" w:rsidR="00643AC2" w:rsidRPr="00643AC2" w:rsidRDefault="00643AC2" w:rsidP="00643AC2">
      <w:pPr>
        <w:rPr>
          <w:lang w:val="en-GB"/>
        </w:rPr>
      </w:pPr>
      <w:r w:rsidRPr="00643AC2">
        <w:rPr>
          <w:lang w:val="en-GB"/>
        </w:rPr>
        <w:t>The recoverable amount for most assets is measured at the higher o</w:t>
      </w:r>
      <w:r w:rsidR="00B07BC6">
        <w:rPr>
          <w:lang w:val="en-GB"/>
        </w:rPr>
        <w:t xml:space="preserve">f depreciated replacement cost </w:t>
      </w:r>
      <w:r w:rsidRPr="00643AC2">
        <w:rPr>
          <w:lang w:val="en-GB"/>
        </w:rPr>
        <w:t>and fair value less costs to sell. Recoverable amount for assets held primaril</w:t>
      </w:r>
      <w:r w:rsidR="00B07BC6">
        <w:rPr>
          <w:lang w:val="en-GB"/>
        </w:rPr>
        <w:t>y to generate net cash inflow</w:t>
      </w:r>
      <w:r w:rsidRPr="00643AC2">
        <w:rPr>
          <w:lang w:val="en-GB"/>
        </w:rPr>
        <w:t>s measured at the higher of the present value of future cash flows expected to be obtained from the asset and fair value less costs to sell.</w:t>
      </w:r>
    </w:p>
    <w:p w14:paraId="0EBE9479" w14:textId="53D75B9E" w:rsidR="00643AC2" w:rsidRPr="00643AC2" w:rsidRDefault="00643AC2" w:rsidP="00927BC4">
      <w:pPr>
        <w:pStyle w:val="Heading5"/>
        <w:rPr>
          <w:lang w:val="en-GB"/>
        </w:rPr>
      </w:pPr>
      <w:r w:rsidRPr="00643AC2">
        <w:rPr>
          <w:lang w:val="en-GB"/>
        </w:rPr>
        <w:t>4.3.1.</w:t>
      </w:r>
      <w:r w:rsidRPr="00643AC2">
        <w:rPr>
          <w:lang w:val="en-GB"/>
        </w:rPr>
        <w:t> </w:t>
      </w:r>
      <w:r w:rsidR="00927BC4">
        <w:rPr>
          <w:lang w:val="en-GB"/>
        </w:rPr>
        <w:t>R</w:t>
      </w:r>
      <w:r w:rsidRPr="00643AC2">
        <w:rPr>
          <w:lang w:val="en-GB"/>
        </w:rPr>
        <w:t>econciliation of movements in carrying amount of property, plant and equipment</w:t>
      </w:r>
    </w:p>
    <w:tbl>
      <w:tblPr>
        <w:tblStyle w:val="TableGrid"/>
        <w:tblW w:w="0" w:type="auto"/>
        <w:tblLook w:val="04A0" w:firstRow="1" w:lastRow="0" w:firstColumn="1" w:lastColumn="0" w:noHBand="0" w:noVBand="1"/>
      </w:tblPr>
      <w:tblGrid>
        <w:gridCol w:w="3440"/>
        <w:gridCol w:w="1754"/>
        <w:gridCol w:w="1754"/>
        <w:gridCol w:w="1754"/>
        <w:gridCol w:w="1754"/>
      </w:tblGrid>
      <w:tr w:rsidR="00927BC4" w:rsidRPr="00643AC2" w14:paraId="34DCA455" w14:textId="77777777" w:rsidTr="00FE0625">
        <w:trPr>
          <w:cantSplit/>
          <w:tblHeader/>
        </w:trPr>
        <w:tc>
          <w:tcPr>
            <w:tcW w:w="3440" w:type="dxa"/>
            <w:hideMark/>
          </w:tcPr>
          <w:p w14:paraId="4052A5CC" w14:textId="77777777" w:rsidR="00643AC2" w:rsidRPr="00FE0625" w:rsidRDefault="00643AC2" w:rsidP="00FE0625">
            <w:pPr>
              <w:pStyle w:val="TableHeading"/>
              <w:rPr>
                <w:lang w:val="en-GB"/>
              </w:rPr>
            </w:pPr>
          </w:p>
        </w:tc>
        <w:tc>
          <w:tcPr>
            <w:tcW w:w="1754" w:type="dxa"/>
            <w:hideMark/>
          </w:tcPr>
          <w:p w14:paraId="3DAF53A8" w14:textId="77777777" w:rsidR="00643AC2" w:rsidRPr="00FE0625" w:rsidRDefault="00643AC2" w:rsidP="00FE0625">
            <w:pPr>
              <w:pStyle w:val="TableHeading"/>
              <w:rPr>
                <w:lang w:val="en-GB"/>
              </w:rPr>
            </w:pPr>
            <w:r w:rsidRPr="00FE0625">
              <w:rPr>
                <w:bCs/>
                <w:lang w:val="en-GB"/>
              </w:rPr>
              <w:t>Leasehold improvements</w:t>
            </w:r>
          </w:p>
        </w:tc>
        <w:tc>
          <w:tcPr>
            <w:tcW w:w="1754" w:type="dxa"/>
            <w:hideMark/>
          </w:tcPr>
          <w:p w14:paraId="0A2937FD" w14:textId="77777777" w:rsidR="00643AC2" w:rsidRPr="00FE0625" w:rsidRDefault="00643AC2" w:rsidP="00FE0625">
            <w:pPr>
              <w:pStyle w:val="TableHeading"/>
              <w:rPr>
                <w:lang w:val="en-GB"/>
              </w:rPr>
            </w:pPr>
            <w:r w:rsidRPr="00FE0625">
              <w:rPr>
                <w:bCs/>
                <w:lang w:val="en-GB"/>
              </w:rPr>
              <w:t>Office and computer equipment</w:t>
            </w:r>
          </w:p>
        </w:tc>
        <w:tc>
          <w:tcPr>
            <w:tcW w:w="1754" w:type="dxa"/>
            <w:hideMark/>
          </w:tcPr>
          <w:p w14:paraId="6A55A439" w14:textId="77777777" w:rsidR="00643AC2" w:rsidRPr="00FE0625" w:rsidRDefault="00643AC2" w:rsidP="00FE0625">
            <w:pPr>
              <w:pStyle w:val="TableHeading"/>
              <w:rPr>
                <w:lang w:val="en-GB"/>
              </w:rPr>
            </w:pPr>
            <w:r w:rsidRPr="00FE0625">
              <w:rPr>
                <w:bCs/>
                <w:lang w:val="en-GB"/>
              </w:rPr>
              <w:t>Motor vehicles under finance lease</w:t>
            </w:r>
          </w:p>
        </w:tc>
        <w:tc>
          <w:tcPr>
            <w:tcW w:w="1754" w:type="dxa"/>
            <w:hideMark/>
          </w:tcPr>
          <w:p w14:paraId="728A0B33" w14:textId="77777777" w:rsidR="00643AC2" w:rsidRPr="00FE0625" w:rsidRDefault="00643AC2" w:rsidP="00FE0625">
            <w:pPr>
              <w:pStyle w:val="TableHeading"/>
              <w:rPr>
                <w:lang w:val="en-GB"/>
              </w:rPr>
            </w:pPr>
            <w:r w:rsidRPr="00FE0625">
              <w:rPr>
                <w:bCs/>
                <w:lang w:val="en-GB"/>
              </w:rPr>
              <w:t>Total</w:t>
            </w:r>
          </w:p>
        </w:tc>
      </w:tr>
      <w:tr w:rsidR="00927BC4" w:rsidRPr="00643AC2" w14:paraId="3DE38369" w14:textId="77777777" w:rsidTr="00FE0625">
        <w:trPr>
          <w:cantSplit/>
          <w:tblHeader/>
        </w:trPr>
        <w:tc>
          <w:tcPr>
            <w:tcW w:w="3440" w:type="dxa"/>
            <w:hideMark/>
          </w:tcPr>
          <w:p w14:paraId="0F990DA6" w14:textId="77777777" w:rsidR="00643AC2" w:rsidRPr="00FE0625" w:rsidRDefault="00643AC2" w:rsidP="00FE0625">
            <w:pPr>
              <w:pStyle w:val="TableHeading"/>
              <w:rPr>
                <w:lang w:val="en-GB"/>
              </w:rPr>
            </w:pPr>
          </w:p>
        </w:tc>
        <w:tc>
          <w:tcPr>
            <w:tcW w:w="1754" w:type="dxa"/>
            <w:hideMark/>
          </w:tcPr>
          <w:p w14:paraId="7DAD58B1" w14:textId="77777777" w:rsidR="00643AC2" w:rsidRPr="00FE0625" w:rsidRDefault="00643AC2" w:rsidP="00FE0625">
            <w:pPr>
              <w:pStyle w:val="TableHeading"/>
              <w:rPr>
                <w:lang w:val="en-GB"/>
              </w:rPr>
            </w:pPr>
            <w:r w:rsidRPr="00FE0625">
              <w:rPr>
                <w:bCs/>
                <w:lang w:val="en-GB"/>
              </w:rPr>
              <w:t>$</w:t>
            </w:r>
          </w:p>
        </w:tc>
        <w:tc>
          <w:tcPr>
            <w:tcW w:w="1754" w:type="dxa"/>
            <w:hideMark/>
          </w:tcPr>
          <w:p w14:paraId="7E3071C3" w14:textId="77777777" w:rsidR="00643AC2" w:rsidRPr="00FE0625" w:rsidRDefault="00643AC2" w:rsidP="00FE0625">
            <w:pPr>
              <w:pStyle w:val="TableHeading"/>
              <w:rPr>
                <w:lang w:val="en-GB"/>
              </w:rPr>
            </w:pPr>
            <w:r w:rsidRPr="00FE0625">
              <w:rPr>
                <w:bCs/>
                <w:lang w:val="en-GB"/>
              </w:rPr>
              <w:t>$</w:t>
            </w:r>
          </w:p>
        </w:tc>
        <w:tc>
          <w:tcPr>
            <w:tcW w:w="1754" w:type="dxa"/>
            <w:hideMark/>
          </w:tcPr>
          <w:p w14:paraId="23894299" w14:textId="77777777" w:rsidR="00643AC2" w:rsidRPr="00FE0625" w:rsidRDefault="00643AC2" w:rsidP="00FE0625">
            <w:pPr>
              <w:pStyle w:val="TableHeading"/>
              <w:rPr>
                <w:lang w:val="en-GB"/>
              </w:rPr>
            </w:pPr>
            <w:r w:rsidRPr="00FE0625">
              <w:rPr>
                <w:bCs/>
                <w:lang w:val="en-GB"/>
              </w:rPr>
              <w:t>$</w:t>
            </w:r>
          </w:p>
        </w:tc>
        <w:tc>
          <w:tcPr>
            <w:tcW w:w="1754" w:type="dxa"/>
            <w:hideMark/>
          </w:tcPr>
          <w:p w14:paraId="63CCABB1" w14:textId="77777777" w:rsidR="00643AC2" w:rsidRPr="00FE0625" w:rsidRDefault="00643AC2" w:rsidP="00FE0625">
            <w:pPr>
              <w:pStyle w:val="TableHeading"/>
              <w:rPr>
                <w:lang w:val="en-GB"/>
              </w:rPr>
            </w:pPr>
            <w:r w:rsidRPr="00FE0625">
              <w:rPr>
                <w:bCs/>
                <w:lang w:val="en-GB"/>
              </w:rPr>
              <w:t>$</w:t>
            </w:r>
          </w:p>
        </w:tc>
      </w:tr>
      <w:tr w:rsidR="00927BC4" w:rsidRPr="00643AC2" w14:paraId="21F3C567" w14:textId="77777777" w:rsidTr="00FE0625">
        <w:trPr>
          <w:cantSplit/>
        </w:trPr>
        <w:tc>
          <w:tcPr>
            <w:tcW w:w="10456" w:type="dxa"/>
            <w:gridSpan w:val="5"/>
            <w:hideMark/>
          </w:tcPr>
          <w:p w14:paraId="6796DEF2" w14:textId="5BDC1ACE" w:rsidR="00927BC4" w:rsidRPr="00FE0625" w:rsidRDefault="00927BC4" w:rsidP="00FE0625">
            <w:pPr>
              <w:pStyle w:val="TableHeading"/>
              <w:rPr>
                <w:lang w:val="en-GB"/>
              </w:rPr>
            </w:pPr>
            <w:r w:rsidRPr="00FE0625">
              <w:rPr>
                <w:bCs/>
                <w:lang w:val="en-GB"/>
              </w:rPr>
              <w:t>2017</w:t>
            </w:r>
          </w:p>
        </w:tc>
      </w:tr>
      <w:tr w:rsidR="00927BC4" w:rsidRPr="00643AC2" w14:paraId="1EBB797E" w14:textId="77777777" w:rsidTr="00FE0625">
        <w:trPr>
          <w:cantSplit/>
        </w:trPr>
        <w:tc>
          <w:tcPr>
            <w:tcW w:w="3440" w:type="dxa"/>
            <w:hideMark/>
          </w:tcPr>
          <w:p w14:paraId="1FE8D1F1" w14:textId="77777777" w:rsidR="00643AC2" w:rsidRPr="00FE0625" w:rsidRDefault="00643AC2" w:rsidP="00FE0625">
            <w:pPr>
              <w:pStyle w:val="TableCopy"/>
              <w:rPr>
                <w:lang w:val="en-GB"/>
              </w:rPr>
            </w:pPr>
            <w:r w:rsidRPr="00FE0625">
              <w:rPr>
                <w:lang w:val="en-GB"/>
              </w:rPr>
              <w:t>Carrying amount at start of the year</w:t>
            </w:r>
          </w:p>
        </w:tc>
        <w:tc>
          <w:tcPr>
            <w:tcW w:w="1754" w:type="dxa"/>
            <w:hideMark/>
          </w:tcPr>
          <w:p w14:paraId="41CAD601" w14:textId="77777777" w:rsidR="00643AC2" w:rsidRPr="00FE0625" w:rsidRDefault="00643AC2" w:rsidP="00FE0625">
            <w:pPr>
              <w:pStyle w:val="TableCopy"/>
              <w:rPr>
                <w:b/>
                <w:lang w:val="en-GB"/>
              </w:rPr>
            </w:pPr>
            <w:r w:rsidRPr="00FE0625">
              <w:rPr>
                <w:b/>
                <w:lang w:val="en-GB"/>
              </w:rPr>
              <w:t>92,424</w:t>
            </w:r>
          </w:p>
        </w:tc>
        <w:tc>
          <w:tcPr>
            <w:tcW w:w="1754" w:type="dxa"/>
            <w:hideMark/>
          </w:tcPr>
          <w:p w14:paraId="1D80BAD5" w14:textId="77777777" w:rsidR="00643AC2" w:rsidRPr="00FE0625" w:rsidRDefault="00643AC2" w:rsidP="00FE0625">
            <w:pPr>
              <w:pStyle w:val="TableCopy"/>
              <w:rPr>
                <w:b/>
                <w:lang w:val="en-GB"/>
              </w:rPr>
            </w:pPr>
            <w:r w:rsidRPr="00FE0625">
              <w:rPr>
                <w:b/>
                <w:lang w:val="en-GB"/>
              </w:rPr>
              <w:t>6,824</w:t>
            </w:r>
          </w:p>
        </w:tc>
        <w:tc>
          <w:tcPr>
            <w:tcW w:w="1754" w:type="dxa"/>
            <w:hideMark/>
          </w:tcPr>
          <w:p w14:paraId="6E8C4861" w14:textId="77777777" w:rsidR="00643AC2" w:rsidRPr="00FE0625" w:rsidRDefault="00643AC2" w:rsidP="00FE0625">
            <w:pPr>
              <w:pStyle w:val="TableCopy"/>
              <w:rPr>
                <w:b/>
                <w:lang w:val="en-GB"/>
              </w:rPr>
            </w:pPr>
            <w:r w:rsidRPr="00FE0625">
              <w:rPr>
                <w:b/>
                <w:lang w:val="en-GB"/>
              </w:rPr>
              <w:t>73,820</w:t>
            </w:r>
          </w:p>
        </w:tc>
        <w:tc>
          <w:tcPr>
            <w:tcW w:w="1754" w:type="dxa"/>
            <w:hideMark/>
          </w:tcPr>
          <w:p w14:paraId="16C1AAA0" w14:textId="77777777" w:rsidR="00643AC2" w:rsidRPr="00FE0625" w:rsidRDefault="00643AC2" w:rsidP="00FE0625">
            <w:pPr>
              <w:pStyle w:val="TableCopy"/>
              <w:rPr>
                <w:b/>
                <w:lang w:val="en-GB"/>
              </w:rPr>
            </w:pPr>
            <w:r w:rsidRPr="00FE0625">
              <w:rPr>
                <w:b/>
                <w:lang w:val="en-GB"/>
              </w:rPr>
              <w:t>173,068</w:t>
            </w:r>
          </w:p>
        </w:tc>
      </w:tr>
      <w:tr w:rsidR="00927BC4" w:rsidRPr="00643AC2" w14:paraId="208322AD" w14:textId="77777777" w:rsidTr="00FE0625">
        <w:trPr>
          <w:cantSplit/>
        </w:trPr>
        <w:tc>
          <w:tcPr>
            <w:tcW w:w="3440" w:type="dxa"/>
            <w:hideMark/>
          </w:tcPr>
          <w:p w14:paraId="1930A78D" w14:textId="77777777" w:rsidR="00643AC2" w:rsidRPr="00FE0625" w:rsidRDefault="00643AC2" w:rsidP="00FE0625">
            <w:pPr>
              <w:pStyle w:val="TableCopy"/>
              <w:rPr>
                <w:lang w:val="en-GB"/>
              </w:rPr>
            </w:pPr>
            <w:r w:rsidRPr="00FE0625">
              <w:rPr>
                <w:lang w:val="en-GB"/>
              </w:rPr>
              <w:t>Additions</w:t>
            </w:r>
          </w:p>
        </w:tc>
        <w:tc>
          <w:tcPr>
            <w:tcW w:w="1754" w:type="dxa"/>
            <w:hideMark/>
          </w:tcPr>
          <w:p w14:paraId="7A98785A" w14:textId="77777777" w:rsidR="00643AC2" w:rsidRPr="00FE0625" w:rsidRDefault="00643AC2" w:rsidP="00FE0625">
            <w:pPr>
              <w:pStyle w:val="TableCopy"/>
              <w:rPr>
                <w:b/>
                <w:lang w:val="en-GB"/>
              </w:rPr>
            </w:pPr>
          </w:p>
        </w:tc>
        <w:tc>
          <w:tcPr>
            <w:tcW w:w="1754" w:type="dxa"/>
            <w:hideMark/>
          </w:tcPr>
          <w:p w14:paraId="464E1460" w14:textId="77777777" w:rsidR="00643AC2" w:rsidRPr="00FE0625" w:rsidRDefault="00643AC2" w:rsidP="00FE0625">
            <w:pPr>
              <w:pStyle w:val="TableCopy"/>
              <w:rPr>
                <w:b/>
                <w:lang w:val="en-GB"/>
              </w:rPr>
            </w:pPr>
          </w:p>
        </w:tc>
        <w:tc>
          <w:tcPr>
            <w:tcW w:w="1754" w:type="dxa"/>
            <w:hideMark/>
          </w:tcPr>
          <w:p w14:paraId="3C706E22" w14:textId="77777777" w:rsidR="00643AC2" w:rsidRPr="00FE0625" w:rsidRDefault="00643AC2" w:rsidP="00FE0625">
            <w:pPr>
              <w:pStyle w:val="TableCopy"/>
              <w:rPr>
                <w:b/>
                <w:lang w:val="en-GB"/>
              </w:rPr>
            </w:pPr>
            <w:r w:rsidRPr="00FE0625">
              <w:rPr>
                <w:b/>
                <w:lang w:val="en-GB"/>
              </w:rPr>
              <w:t>37,943</w:t>
            </w:r>
          </w:p>
        </w:tc>
        <w:tc>
          <w:tcPr>
            <w:tcW w:w="1754" w:type="dxa"/>
            <w:hideMark/>
          </w:tcPr>
          <w:p w14:paraId="403DDE3A" w14:textId="77777777" w:rsidR="00643AC2" w:rsidRPr="00FE0625" w:rsidRDefault="00643AC2" w:rsidP="00FE0625">
            <w:pPr>
              <w:pStyle w:val="TableCopy"/>
              <w:rPr>
                <w:b/>
                <w:lang w:val="en-GB"/>
              </w:rPr>
            </w:pPr>
            <w:r w:rsidRPr="00FE0625">
              <w:rPr>
                <w:b/>
                <w:lang w:val="en-GB"/>
              </w:rPr>
              <w:t>37,943</w:t>
            </w:r>
          </w:p>
        </w:tc>
      </w:tr>
      <w:tr w:rsidR="00927BC4" w:rsidRPr="00643AC2" w14:paraId="2C0681A7" w14:textId="77777777" w:rsidTr="00FE0625">
        <w:trPr>
          <w:cantSplit/>
        </w:trPr>
        <w:tc>
          <w:tcPr>
            <w:tcW w:w="3440" w:type="dxa"/>
            <w:hideMark/>
          </w:tcPr>
          <w:p w14:paraId="61D604E3" w14:textId="77777777" w:rsidR="00643AC2" w:rsidRPr="00FE0625" w:rsidRDefault="00643AC2" w:rsidP="00FE0625">
            <w:pPr>
              <w:pStyle w:val="TableCopy"/>
              <w:rPr>
                <w:lang w:val="en-GB"/>
              </w:rPr>
            </w:pPr>
            <w:r w:rsidRPr="00FE0625">
              <w:rPr>
                <w:lang w:val="en-GB"/>
              </w:rPr>
              <w:t>Disposals</w:t>
            </w:r>
          </w:p>
        </w:tc>
        <w:tc>
          <w:tcPr>
            <w:tcW w:w="1754" w:type="dxa"/>
            <w:hideMark/>
          </w:tcPr>
          <w:p w14:paraId="6A866196" w14:textId="77777777" w:rsidR="00643AC2" w:rsidRPr="00FE0625" w:rsidRDefault="00643AC2" w:rsidP="00FE0625">
            <w:pPr>
              <w:pStyle w:val="TableCopy"/>
              <w:rPr>
                <w:b/>
                <w:lang w:val="en-GB"/>
              </w:rPr>
            </w:pPr>
            <w:r w:rsidRPr="00FE0625">
              <w:rPr>
                <w:b/>
                <w:lang w:val="en-GB"/>
              </w:rPr>
              <w:t>-53,788</w:t>
            </w:r>
          </w:p>
        </w:tc>
        <w:tc>
          <w:tcPr>
            <w:tcW w:w="1754" w:type="dxa"/>
            <w:hideMark/>
          </w:tcPr>
          <w:p w14:paraId="405AB1A0" w14:textId="77777777" w:rsidR="00643AC2" w:rsidRPr="00FE0625" w:rsidRDefault="00643AC2" w:rsidP="00FE0625">
            <w:pPr>
              <w:pStyle w:val="TableCopy"/>
              <w:rPr>
                <w:b/>
                <w:lang w:val="en-GB"/>
              </w:rPr>
            </w:pPr>
          </w:p>
        </w:tc>
        <w:tc>
          <w:tcPr>
            <w:tcW w:w="1754" w:type="dxa"/>
            <w:hideMark/>
          </w:tcPr>
          <w:p w14:paraId="725D23CF" w14:textId="77777777" w:rsidR="00643AC2" w:rsidRPr="00FE0625" w:rsidRDefault="00643AC2" w:rsidP="00FE0625">
            <w:pPr>
              <w:pStyle w:val="TableCopy"/>
              <w:rPr>
                <w:b/>
                <w:lang w:val="en-GB"/>
              </w:rPr>
            </w:pPr>
          </w:p>
        </w:tc>
        <w:tc>
          <w:tcPr>
            <w:tcW w:w="1754" w:type="dxa"/>
            <w:hideMark/>
          </w:tcPr>
          <w:p w14:paraId="7A33B07C" w14:textId="77777777" w:rsidR="00643AC2" w:rsidRPr="00FE0625" w:rsidRDefault="00643AC2" w:rsidP="00FE0625">
            <w:pPr>
              <w:pStyle w:val="TableCopy"/>
              <w:rPr>
                <w:b/>
                <w:lang w:val="en-GB"/>
              </w:rPr>
            </w:pPr>
            <w:r w:rsidRPr="00FE0625">
              <w:rPr>
                <w:b/>
                <w:lang w:val="en-GB"/>
              </w:rPr>
              <w:t>-53,788</w:t>
            </w:r>
          </w:p>
        </w:tc>
      </w:tr>
      <w:tr w:rsidR="00927BC4" w:rsidRPr="00643AC2" w14:paraId="337C46FD" w14:textId="77777777" w:rsidTr="00FE0625">
        <w:trPr>
          <w:cantSplit/>
        </w:trPr>
        <w:tc>
          <w:tcPr>
            <w:tcW w:w="3440" w:type="dxa"/>
            <w:hideMark/>
          </w:tcPr>
          <w:p w14:paraId="10A8C035" w14:textId="77777777" w:rsidR="00643AC2" w:rsidRPr="00FE0625" w:rsidRDefault="00643AC2" w:rsidP="00FE0625">
            <w:pPr>
              <w:pStyle w:val="TableCopy"/>
              <w:rPr>
                <w:lang w:val="en-GB"/>
              </w:rPr>
            </w:pPr>
            <w:r w:rsidRPr="00FE0625">
              <w:rPr>
                <w:lang w:val="en-GB"/>
              </w:rPr>
              <w:t>Depreciation expense</w:t>
            </w:r>
          </w:p>
        </w:tc>
        <w:tc>
          <w:tcPr>
            <w:tcW w:w="1754" w:type="dxa"/>
            <w:hideMark/>
          </w:tcPr>
          <w:p w14:paraId="34E2713E" w14:textId="77777777" w:rsidR="00643AC2" w:rsidRPr="00FE0625" w:rsidRDefault="00643AC2" w:rsidP="00FE0625">
            <w:pPr>
              <w:pStyle w:val="TableCopy"/>
              <w:rPr>
                <w:b/>
                <w:lang w:val="en-GB"/>
              </w:rPr>
            </w:pPr>
            <w:r w:rsidRPr="00FE0625">
              <w:rPr>
                <w:b/>
                <w:lang w:val="en-GB"/>
              </w:rPr>
              <w:t>-22,054</w:t>
            </w:r>
          </w:p>
        </w:tc>
        <w:tc>
          <w:tcPr>
            <w:tcW w:w="1754" w:type="dxa"/>
            <w:hideMark/>
          </w:tcPr>
          <w:p w14:paraId="6E1F3601" w14:textId="77777777" w:rsidR="00643AC2" w:rsidRPr="00FE0625" w:rsidRDefault="00643AC2" w:rsidP="00FE0625">
            <w:pPr>
              <w:pStyle w:val="TableCopy"/>
              <w:rPr>
                <w:b/>
                <w:lang w:val="en-GB"/>
              </w:rPr>
            </w:pPr>
            <w:r w:rsidRPr="00FE0625">
              <w:rPr>
                <w:b/>
                <w:lang w:val="en-GB"/>
              </w:rPr>
              <w:t>-2,157</w:t>
            </w:r>
          </w:p>
        </w:tc>
        <w:tc>
          <w:tcPr>
            <w:tcW w:w="1754" w:type="dxa"/>
            <w:hideMark/>
          </w:tcPr>
          <w:p w14:paraId="3E67C670" w14:textId="77777777" w:rsidR="00643AC2" w:rsidRPr="00FE0625" w:rsidRDefault="00643AC2" w:rsidP="00FE0625">
            <w:pPr>
              <w:pStyle w:val="TableCopy"/>
              <w:rPr>
                <w:b/>
                <w:lang w:val="en-GB"/>
              </w:rPr>
            </w:pPr>
            <w:r w:rsidRPr="00FE0625">
              <w:rPr>
                <w:b/>
                <w:lang w:val="en-GB"/>
              </w:rPr>
              <w:t>-22,084</w:t>
            </w:r>
          </w:p>
        </w:tc>
        <w:tc>
          <w:tcPr>
            <w:tcW w:w="1754" w:type="dxa"/>
            <w:hideMark/>
          </w:tcPr>
          <w:p w14:paraId="2E349D1E" w14:textId="77777777" w:rsidR="00643AC2" w:rsidRPr="00FE0625" w:rsidRDefault="00643AC2" w:rsidP="00FE0625">
            <w:pPr>
              <w:pStyle w:val="TableCopy"/>
              <w:rPr>
                <w:b/>
                <w:lang w:val="en-GB"/>
              </w:rPr>
            </w:pPr>
            <w:r w:rsidRPr="00FE0625">
              <w:rPr>
                <w:b/>
                <w:lang w:val="en-GB"/>
              </w:rPr>
              <w:t>-46,295</w:t>
            </w:r>
          </w:p>
        </w:tc>
      </w:tr>
      <w:tr w:rsidR="00927BC4" w:rsidRPr="00643AC2" w14:paraId="6FE99673" w14:textId="77777777" w:rsidTr="00FE0625">
        <w:trPr>
          <w:cantSplit/>
        </w:trPr>
        <w:tc>
          <w:tcPr>
            <w:tcW w:w="3440" w:type="dxa"/>
            <w:hideMark/>
          </w:tcPr>
          <w:p w14:paraId="41BC2F80" w14:textId="77777777" w:rsidR="00643AC2" w:rsidRPr="00FE0625" w:rsidRDefault="00643AC2" w:rsidP="00FE0625">
            <w:pPr>
              <w:pStyle w:val="TableCopy"/>
              <w:rPr>
                <w:b/>
                <w:lang w:val="en-GB"/>
              </w:rPr>
            </w:pPr>
            <w:r w:rsidRPr="00FE0625">
              <w:rPr>
                <w:b/>
                <w:lang w:val="en-GB"/>
              </w:rPr>
              <w:t>Carrying amount at end of the year</w:t>
            </w:r>
          </w:p>
        </w:tc>
        <w:tc>
          <w:tcPr>
            <w:tcW w:w="1754" w:type="dxa"/>
            <w:hideMark/>
          </w:tcPr>
          <w:p w14:paraId="6B77284D" w14:textId="77777777" w:rsidR="00643AC2" w:rsidRPr="00FE0625" w:rsidRDefault="00643AC2" w:rsidP="00FE0625">
            <w:pPr>
              <w:pStyle w:val="TableCopy"/>
              <w:rPr>
                <w:b/>
                <w:lang w:val="en-GB"/>
              </w:rPr>
            </w:pPr>
            <w:r w:rsidRPr="00FE0625">
              <w:rPr>
                <w:b/>
                <w:lang w:val="en-GB"/>
              </w:rPr>
              <w:t>16,582</w:t>
            </w:r>
          </w:p>
        </w:tc>
        <w:tc>
          <w:tcPr>
            <w:tcW w:w="1754" w:type="dxa"/>
            <w:hideMark/>
          </w:tcPr>
          <w:p w14:paraId="5551F3E7" w14:textId="77777777" w:rsidR="00643AC2" w:rsidRPr="00FE0625" w:rsidRDefault="00643AC2" w:rsidP="00FE0625">
            <w:pPr>
              <w:pStyle w:val="TableCopy"/>
              <w:rPr>
                <w:b/>
                <w:lang w:val="en-GB"/>
              </w:rPr>
            </w:pPr>
            <w:r w:rsidRPr="00FE0625">
              <w:rPr>
                <w:b/>
                <w:lang w:val="en-GB"/>
              </w:rPr>
              <w:t>4,667</w:t>
            </w:r>
          </w:p>
        </w:tc>
        <w:tc>
          <w:tcPr>
            <w:tcW w:w="1754" w:type="dxa"/>
            <w:hideMark/>
          </w:tcPr>
          <w:p w14:paraId="4406CE58" w14:textId="77777777" w:rsidR="00643AC2" w:rsidRPr="00FE0625" w:rsidRDefault="00643AC2" w:rsidP="00FE0625">
            <w:pPr>
              <w:pStyle w:val="TableCopy"/>
              <w:rPr>
                <w:b/>
                <w:lang w:val="en-GB"/>
              </w:rPr>
            </w:pPr>
            <w:r w:rsidRPr="00FE0625">
              <w:rPr>
                <w:b/>
                <w:lang w:val="en-GB"/>
              </w:rPr>
              <w:t>89,679</w:t>
            </w:r>
          </w:p>
        </w:tc>
        <w:tc>
          <w:tcPr>
            <w:tcW w:w="1754" w:type="dxa"/>
            <w:hideMark/>
          </w:tcPr>
          <w:p w14:paraId="5426CF3F" w14:textId="77777777" w:rsidR="00643AC2" w:rsidRPr="00FE0625" w:rsidRDefault="00643AC2" w:rsidP="00FE0625">
            <w:pPr>
              <w:pStyle w:val="TableCopy"/>
              <w:rPr>
                <w:b/>
                <w:lang w:val="en-GB"/>
              </w:rPr>
            </w:pPr>
            <w:r w:rsidRPr="00FE0625">
              <w:rPr>
                <w:b/>
                <w:lang w:val="en-GB"/>
              </w:rPr>
              <w:t>110,928</w:t>
            </w:r>
          </w:p>
        </w:tc>
      </w:tr>
      <w:tr w:rsidR="00927BC4" w:rsidRPr="00643AC2" w14:paraId="057572A9" w14:textId="77777777" w:rsidTr="00FE0625">
        <w:trPr>
          <w:cantSplit/>
        </w:trPr>
        <w:tc>
          <w:tcPr>
            <w:tcW w:w="10456" w:type="dxa"/>
            <w:gridSpan w:val="5"/>
            <w:hideMark/>
          </w:tcPr>
          <w:p w14:paraId="615E9B37" w14:textId="4690D228" w:rsidR="00927BC4" w:rsidRPr="00FE0625" w:rsidRDefault="00927BC4" w:rsidP="00FE0625">
            <w:pPr>
              <w:pStyle w:val="TableHeading"/>
              <w:rPr>
                <w:lang w:val="en-GB"/>
              </w:rPr>
            </w:pPr>
            <w:r w:rsidRPr="00FE0625">
              <w:rPr>
                <w:lang w:val="en-GB"/>
              </w:rPr>
              <w:t>2016</w:t>
            </w:r>
          </w:p>
        </w:tc>
      </w:tr>
      <w:tr w:rsidR="00927BC4" w:rsidRPr="00643AC2" w14:paraId="51BD4B28" w14:textId="77777777" w:rsidTr="00FE0625">
        <w:trPr>
          <w:cantSplit/>
        </w:trPr>
        <w:tc>
          <w:tcPr>
            <w:tcW w:w="3440" w:type="dxa"/>
            <w:hideMark/>
          </w:tcPr>
          <w:p w14:paraId="05BC8388" w14:textId="77777777" w:rsidR="00643AC2" w:rsidRPr="00FE0625" w:rsidRDefault="00643AC2" w:rsidP="00FE0625">
            <w:pPr>
              <w:pStyle w:val="TableCopy"/>
              <w:rPr>
                <w:lang w:val="en-GB"/>
              </w:rPr>
            </w:pPr>
            <w:r w:rsidRPr="00FE0625">
              <w:rPr>
                <w:lang w:val="en-GB"/>
              </w:rPr>
              <w:t>Carrying amount at start of the year</w:t>
            </w:r>
          </w:p>
        </w:tc>
        <w:tc>
          <w:tcPr>
            <w:tcW w:w="1754" w:type="dxa"/>
            <w:hideMark/>
          </w:tcPr>
          <w:p w14:paraId="2C0EAC7C" w14:textId="77777777" w:rsidR="00643AC2" w:rsidRPr="00FE0625" w:rsidRDefault="00643AC2" w:rsidP="00FE0625">
            <w:pPr>
              <w:pStyle w:val="TableCopy"/>
              <w:rPr>
                <w:lang w:val="en-GB"/>
              </w:rPr>
            </w:pPr>
            <w:r w:rsidRPr="00FE0625">
              <w:rPr>
                <w:lang w:val="en-GB"/>
              </w:rPr>
              <w:t>186,650</w:t>
            </w:r>
          </w:p>
        </w:tc>
        <w:tc>
          <w:tcPr>
            <w:tcW w:w="1754" w:type="dxa"/>
            <w:hideMark/>
          </w:tcPr>
          <w:p w14:paraId="49FBCDBD" w14:textId="77777777" w:rsidR="00643AC2" w:rsidRPr="00FE0625" w:rsidRDefault="00643AC2" w:rsidP="00FE0625">
            <w:pPr>
              <w:pStyle w:val="TableCopy"/>
              <w:rPr>
                <w:lang w:val="en-GB"/>
              </w:rPr>
            </w:pPr>
            <w:r w:rsidRPr="00FE0625">
              <w:rPr>
                <w:lang w:val="en-GB"/>
              </w:rPr>
              <w:t>9,758</w:t>
            </w:r>
          </w:p>
        </w:tc>
        <w:tc>
          <w:tcPr>
            <w:tcW w:w="1754" w:type="dxa"/>
            <w:hideMark/>
          </w:tcPr>
          <w:p w14:paraId="5C10AA71" w14:textId="77777777" w:rsidR="00643AC2" w:rsidRPr="00FE0625" w:rsidRDefault="00643AC2" w:rsidP="00FE0625">
            <w:pPr>
              <w:pStyle w:val="TableCopy"/>
              <w:rPr>
                <w:lang w:val="en-GB"/>
              </w:rPr>
            </w:pPr>
            <w:r w:rsidRPr="00FE0625">
              <w:rPr>
                <w:lang w:val="en-GB"/>
              </w:rPr>
              <w:t>65,249</w:t>
            </w:r>
          </w:p>
        </w:tc>
        <w:tc>
          <w:tcPr>
            <w:tcW w:w="1754" w:type="dxa"/>
            <w:hideMark/>
          </w:tcPr>
          <w:p w14:paraId="0667A8A4" w14:textId="77777777" w:rsidR="00643AC2" w:rsidRPr="00FE0625" w:rsidRDefault="00643AC2" w:rsidP="00FE0625">
            <w:pPr>
              <w:pStyle w:val="TableCopy"/>
              <w:rPr>
                <w:lang w:val="en-GB"/>
              </w:rPr>
            </w:pPr>
            <w:r w:rsidRPr="00FE0625">
              <w:rPr>
                <w:lang w:val="en-GB"/>
              </w:rPr>
              <w:t>261,657</w:t>
            </w:r>
          </w:p>
        </w:tc>
      </w:tr>
      <w:tr w:rsidR="00927BC4" w:rsidRPr="00643AC2" w14:paraId="319CF874" w14:textId="77777777" w:rsidTr="00FE0625">
        <w:trPr>
          <w:cantSplit/>
        </w:trPr>
        <w:tc>
          <w:tcPr>
            <w:tcW w:w="3440" w:type="dxa"/>
            <w:hideMark/>
          </w:tcPr>
          <w:p w14:paraId="65F9247B" w14:textId="77777777" w:rsidR="00643AC2" w:rsidRPr="00FE0625" w:rsidRDefault="00643AC2" w:rsidP="00FE0625">
            <w:pPr>
              <w:pStyle w:val="TableCopy"/>
              <w:rPr>
                <w:lang w:val="en-GB"/>
              </w:rPr>
            </w:pPr>
            <w:r w:rsidRPr="00FE0625">
              <w:rPr>
                <w:lang w:val="en-GB"/>
              </w:rPr>
              <w:t>Additions</w:t>
            </w:r>
          </w:p>
        </w:tc>
        <w:tc>
          <w:tcPr>
            <w:tcW w:w="1754" w:type="dxa"/>
            <w:hideMark/>
          </w:tcPr>
          <w:p w14:paraId="21F9728E" w14:textId="77777777" w:rsidR="00643AC2" w:rsidRPr="00FE0625" w:rsidRDefault="00643AC2" w:rsidP="00FE0625">
            <w:pPr>
              <w:pStyle w:val="TableCopy"/>
              <w:rPr>
                <w:lang w:val="en-GB"/>
              </w:rPr>
            </w:pPr>
          </w:p>
        </w:tc>
        <w:tc>
          <w:tcPr>
            <w:tcW w:w="1754" w:type="dxa"/>
            <w:hideMark/>
          </w:tcPr>
          <w:p w14:paraId="79AC6C54" w14:textId="77777777" w:rsidR="00643AC2" w:rsidRPr="00FE0625" w:rsidRDefault="00643AC2" w:rsidP="00FE0625">
            <w:pPr>
              <w:pStyle w:val="TableCopy"/>
              <w:rPr>
                <w:lang w:val="en-GB"/>
              </w:rPr>
            </w:pPr>
          </w:p>
        </w:tc>
        <w:tc>
          <w:tcPr>
            <w:tcW w:w="1754" w:type="dxa"/>
            <w:hideMark/>
          </w:tcPr>
          <w:p w14:paraId="66C4BBF0" w14:textId="77777777" w:rsidR="00643AC2" w:rsidRPr="00FE0625" w:rsidRDefault="00643AC2" w:rsidP="00FE0625">
            <w:pPr>
              <w:pStyle w:val="TableCopy"/>
              <w:rPr>
                <w:lang w:val="en-GB"/>
              </w:rPr>
            </w:pPr>
            <w:r w:rsidRPr="00FE0625">
              <w:rPr>
                <w:lang w:val="en-GB"/>
              </w:rPr>
              <w:t>34,977</w:t>
            </w:r>
          </w:p>
        </w:tc>
        <w:tc>
          <w:tcPr>
            <w:tcW w:w="1754" w:type="dxa"/>
            <w:hideMark/>
          </w:tcPr>
          <w:p w14:paraId="246AD5E8" w14:textId="77777777" w:rsidR="00643AC2" w:rsidRPr="00FE0625" w:rsidRDefault="00643AC2" w:rsidP="00FE0625">
            <w:pPr>
              <w:pStyle w:val="TableCopy"/>
              <w:rPr>
                <w:lang w:val="en-GB"/>
              </w:rPr>
            </w:pPr>
            <w:r w:rsidRPr="00FE0625">
              <w:rPr>
                <w:lang w:val="en-GB"/>
              </w:rPr>
              <w:t>34,977</w:t>
            </w:r>
          </w:p>
        </w:tc>
      </w:tr>
      <w:tr w:rsidR="00927BC4" w:rsidRPr="00643AC2" w14:paraId="08555488" w14:textId="77777777" w:rsidTr="00FE0625">
        <w:trPr>
          <w:cantSplit/>
        </w:trPr>
        <w:tc>
          <w:tcPr>
            <w:tcW w:w="3440" w:type="dxa"/>
            <w:hideMark/>
          </w:tcPr>
          <w:p w14:paraId="6DF44571" w14:textId="77777777" w:rsidR="00643AC2" w:rsidRPr="00FE0625" w:rsidRDefault="00643AC2" w:rsidP="00FE0625">
            <w:pPr>
              <w:pStyle w:val="TableCopy"/>
              <w:rPr>
                <w:lang w:val="en-GB"/>
              </w:rPr>
            </w:pPr>
            <w:r w:rsidRPr="00FE0625">
              <w:rPr>
                <w:lang w:val="en-GB"/>
              </w:rPr>
              <w:t>Disposals</w:t>
            </w:r>
          </w:p>
        </w:tc>
        <w:tc>
          <w:tcPr>
            <w:tcW w:w="1754" w:type="dxa"/>
            <w:hideMark/>
          </w:tcPr>
          <w:p w14:paraId="4F18EEF2" w14:textId="77777777" w:rsidR="00643AC2" w:rsidRPr="00FE0625" w:rsidRDefault="00643AC2" w:rsidP="00FE0625">
            <w:pPr>
              <w:pStyle w:val="TableCopy"/>
              <w:rPr>
                <w:lang w:val="en-GB"/>
              </w:rPr>
            </w:pPr>
            <w:r w:rsidRPr="00FE0625">
              <w:rPr>
                <w:lang w:val="en-GB"/>
              </w:rPr>
              <w:t> </w:t>
            </w:r>
          </w:p>
        </w:tc>
        <w:tc>
          <w:tcPr>
            <w:tcW w:w="1754" w:type="dxa"/>
            <w:hideMark/>
          </w:tcPr>
          <w:p w14:paraId="0A938D2A" w14:textId="77777777" w:rsidR="00643AC2" w:rsidRPr="00FE0625" w:rsidRDefault="00643AC2" w:rsidP="00FE0625">
            <w:pPr>
              <w:pStyle w:val="TableCopy"/>
              <w:rPr>
                <w:lang w:val="en-GB"/>
              </w:rPr>
            </w:pPr>
          </w:p>
        </w:tc>
        <w:tc>
          <w:tcPr>
            <w:tcW w:w="1754" w:type="dxa"/>
            <w:hideMark/>
          </w:tcPr>
          <w:p w14:paraId="599B302A" w14:textId="77777777" w:rsidR="00643AC2" w:rsidRPr="00FE0625" w:rsidRDefault="00643AC2" w:rsidP="00FE0625">
            <w:pPr>
              <w:pStyle w:val="TableCopy"/>
              <w:rPr>
                <w:lang w:val="en-GB"/>
              </w:rPr>
            </w:pPr>
            <w:r w:rsidRPr="00FE0625">
              <w:rPr>
                <w:lang w:val="en-GB"/>
              </w:rPr>
              <w:t>-10,432</w:t>
            </w:r>
          </w:p>
        </w:tc>
        <w:tc>
          <w:tcPr>
            <w:tcW w:w="1754" w:type="dxa"/>
            <w:hideMark/>
          </w:tcPr>
          <w:p w14:paraId="3193A608" w14:textId="77777777" w:rsidR="00643AC2" w:rsidRPr="00FE0625" w:rsidRDefault="00643AC2" w:rsidP="00FE0625">
            <w:pPr>
              <w:pStyle w:val="TableCopy"/>
              <w:rPr>
                <w:lang w:val="en-GB"/>
              </w:rPr>
            </w:pPr>
            <w:r w:rsidRPr="00FE0625">
              <w:rPr>
                <w:lang w:val="en-GB"/>
              </w:rPr>
              <w:t>-10,432</w:t>
            </w:r>
          </w:p>
        </w:tc>
      </w:tr>
      <w:tr w:rsidR="00927BC4" w:rsidRPr="00643AC2" w14:paraId="4764C814" w14:textId="77777777" w:rsidTr="00FE0625">
        <w:trPr>
          <w:cantSplit/>
        </w:trPr>
        <w:tc>
          <w:tcPr>
            <w:tcW w:w="3440" w:type="dxa"/>
            <w:hideMark/>
          </w:tcPr>
          <w:p w14:paraId="4C988DCB" w14:textId="77777777" w:rsidR="00643AC2" w:rsidRPr="00FE0625" w:rsidRDefault="00643AC2" w:rsidP="00FE0625">
            <w:pPr>
              <w:pStyle w:val="TableCopy"/>
              <w:rPr>
                <w:lang w:val="en-GB"/>
              </w:rPr>
            </w:pPr>
            <w:r w:rsidRPr="00FE0625">
              <w:rPr>
                <w:lang w:val="en-GB"/>
              </w:rPr>
              <w:t>Depreciation expense</w:t>
            </w:r>
          </w:p>
        </w:tc>
        <w:tc>
          <w:tcPr>
            <w:tcW w:w="1754" w:type="dxa"/>
            <w:hideMark/>
          </w:tcPr>
          <w:p w14:paraId="13847AEB" w14:textId="77777777" w:rsidR="00643AC2" w:rsidRPr="00FE0625" w:rsidRDefault="00643AC2" w:rsidP="00FE0625">
            <w:pPr>
              <w:pStyle w:val="TableCopy"/>
              <w:rPr>
                <w:lang w:val="en-GB"/>
              </w:rPr>
            </w:pPr>
            <w:r w:rsidRPr="00FE0625">
              <w:rPr>
                <w:lang w:val="en-GB"/>
              </w:rPr>
              <w:t>-94,226</w:t>
            </w:r>
          </w:p>
        </w:tc>
        <w:tc>
          <w:tcPr>
            <w:tcW w:w="1754" w:type="dxa"/>
            <w:hideMark/>
          </w:tcPr>
          <w:p w14:paraId="5C6C3880" w14:textId="77777777" w:rsidR="00643AC2" w:rsidRPr="00FE0625" w:rsidRDefault="00643AC2" w:rsidP="00FE0625">
            <w:pPr>
              <w:pStyle w:val="TableCopy"/>
              <w:rPr>
                <w:lang w:val="en-GB"/>
              </w:rPr>
            </w:pPr>
            <w:r w:rsidRPr="00FE0625">
              <w:rPr>
                <w:lang w:val="en-GB"/>
              </w:rPr>
              <w:t>-2,934</w:t>
            </w:r>
          </w:p>
        </w:tc>
        <w:tc>
          <w:tcPr>
            <w:tcW w:w="1754" w:type="dxa"/>
            <w:hideMark/>
          </w:tcPr>
          <w:p w14:paraId="3EC06A01" w14:textId="77777777" w:rsidR="00643AC2" w:rsidRPr="00FE0625" w:rsidRDefault="00643AC2" w:rsidP="00FE0625">
            <w:pPr>
              <w:pStyle w:val="TableCopy"/>
              <w:rPr>
                <w:lang w:val="en-GB"/>
              </w:rPr>
            </w:pPr>
            <w:r w:rsidRPr="00FE0625">
              <w:rPr>
                <w:lang w:val="en-GB"/>
              </w:rPr>
              <w:t>-15,974</w:t>
            </w:r>
          </w:p>
        </w:tc>
        <w:tc>
          <w:tcPr>
            <w:tcW w:w="1754" w:type="dxa"/>
            <w:hideMark/>
          </w:tcPr>
          <w:p w14:paraId="76AF8A97" w14:textId="77777777" w:rsidR="00643AC2" w:rsidRPr="00FE0625" w:rsidRDefault="00643AC2" w:rsidP="00FE0625">
            <w:pPr>
              <w:pStyle w:val="TableCopy"/>
              <w:rPr>
                <w:lang w:val="en-GB"/>
              </w:rPr>
            </w:pPr>
            <w:r w:rsidRPr="00FE0625">
              <w:rPr>
                <w:lang w:val="en-GB"/>
              </w:rPr>
              <w:t>-113,134</w:t>
            </w:r>
          </w:p>
        </w:tc>
      </w:tr>
      <w:tr w:rsidR="00927BC4" w:rsidRPr="00643AC2" w14:paraId="3841E9C5" w14:textId="77777777" w:rsidTr="00FE0625">
        <w:trPr>
          <w:cantSplit/>
        </w:trPr>
        <w:tc>
          <w:tcPr>
            <w:tcW w:w="3440" w:type="dxa"/>
            <w:hideMark/>
          </w:tcPr>
          <w:p w14:paraId="005C7F9C" w14:textId="77777777" w:rsidR="00643AC2" w:rsidRPr="00FE0625" w:rsidRDefault="00643AC2" w:rsidP="00FE0625">
            <w:pPr>
              <w:pStyle w:val="TableCopy"/>
              <w:rPr>
                <w:lang w:val="en-GB"/>
              </w:rPr>
            </w:pPr>
            <w:r w:rsidRPr="00FE0625">
              <w:rPr>
                <w:lang w:val="en-GB"/>
              </w:rPr>
              <w:t>Carrying amount at end of the year</w:t>
            </w:r>
          </w:p>
        </w:tc>
        <w:tc>
          <w:tcPr>
            <w:tcW w:w="1754" w:type="dxa"/>
            <w:hideMark/>
          </w:tcPr>
          <w:p w14:paraId="77983D10" w14:textId="77777777" w:rsidR="00643AC2" w:rsidRPr="00FE0625" w:rsidRDefault="00643AC2" w:rsidP="00FE0625">
            <w:pPr>
              <w:pStyle w:val="TableCopy"/>
              <w:rPr>
                <w:lang w:val="en-GB"/>
              </w:rPr>
            </w:pPr>
            <w:r w:rsidRPr="00FE0625">
              <w:rPr>
                <w:lang w:val="en-GB"/>
              </w:rPr>
              <w:t>92,424</w:t>
            </w:r>
          </w:p>
        </w:tc>
        <w:tc>
          <w:tcPr>
            <w:tcW w:w="1754" w:type="dxa"/>
            <w:hideMark/>
          </w:tcPr>
          <w:p w14:paraId="266B9443" w14:textId="77777777" w:rsidR="00643AC2" w:rsidRPr="00FE0625" w:rsidRDefault="00643AC2" w:rsidP="00FE0625">
            <w:pPr>
              <w:pStyle w:val="TableCopy"/>
              <w:rPr>
                <w:lang w:val="en-GB"/>
              </w:rPr>
            </w:pPr>
            <w:r w:rsidRPr="00FE0625">
              <w:rPr>
                <w:lang w:val="en-GB"/>
              </w:rPr>
              <w:t>6,824</w:t>
            </w:r>
          </w:p>
        </w:tc>
        <w:tc>
          <w:tcPr>
            <w:tcW w:w="1754" w:type="dxa"/>
            <w:hideMark/>
          </w:tcPr>
          <w:p w14:paraId="0823A389" w14:textId="77777777" w:rsidR="00643AC2" w:rsidRPr="00FE0625" w:rsidRDefault="00643AC2" w:rsidP="00FE0625">
            <w:pPr>
              <w:pStyle w:val="TableCopy"/>
              <w:rPr>
                <w:lang w:val="en-GB"/>
              </w:rPr>
            </w:pPr>
            <w:r w:rsidRPr="00FE0625">
              <w:rPr>
                <w:lang w:val="en-GB"/>
              </w:rPr>
              <w:t>73,820</w:t>
            </w:r>
          </w:p>
        </w:tc>
        <w:tc>
          <w:tcPr>
            <w:tcW w:w="1754" w:type="dxa"/>
            <w:hideMark/>
          </w:tcPr>
          <w:p w14:paraId="5A458666" w14:textId="77777777" w:rsidR="00643AC2" w:rsidRPr="00FE0625" w:rsidRDefault="00643AC2" w:rsidP="00FE0625">
            <w:pPr>
              <w:pStyle w:val="TableCopy"/>
              <w:rPr>
                <w:lang w:val="en-GB"/>
              </w:rPr>
            </w:pPr>
            <w:r w:rsidRPr="00FE0625">
              <w:rPr>
                <w:lang w:val="en-GB"/>
              </w:rPr>
              <w:t>173,068</w:t>
            </w:r>
          </w:p>
        </w:tc>
      </w:tr>
    </w:tbl>
    <w:p w14:paraId="6FE6F55F" w14:textId="49498EDF" w:rsidR="00643AC2" w:rsidRPr="00643AC2" w:rsidRDefault="00643AC2" w:rsidP="00180D7E">
      <w:pPr>
        <w:pStyle w:val="Heading2"/>
        <w:rPr>
          <w:lang w:val="en-GB"/>
        </w:rPr>
      </w:pPr>
      <w:bookmarkStart w:id="88" w:name="_Toc494112016"/>
      <w:r w:rsidRPr="00643AC2">
        <w:rPr>
          <w:lang w:val="en-GB"/>
        </w:rPr>
        <w:t>5.</w:t>
      </w:r>
      <w:r w:rsidRPr="00643AC2">
        <w:rPr>
          <w:lang w:val="en-GB"/>
        </w:rPr>
        <w:t> </w:t>
      </w:r>
      <w:r w:rsidR="00180D7E">
        <w:rPr>
          <w:lang w:val="en-GB"/>
        </w:rPr>
        <w:t>O</w:t>
      </w:r>
      <w:r w:rsidRPr="00643AC2">
        <w:rPr>
          <w:lang w:val="en-GB"/>
        </w:rPr>
        <w:t>ther assets and liabilities</w:t>
      </w:r>
      <w:bookmarkEnd w:id="88"/>
    </w:p>
    <w:p w14:paraId="0A603B65" w14:textId="77777777" w:rsidR="00643AC2" w:rsidRPr="00643AC2" w:rsidRDefault="00643AC2" w:rsidP="00180D7E">
      <w:pPr>
        <w:pStyle w:val="Heading3"/>
        <w:rPr>
          <w:lang w:val="en-GB"/>
        </w:rPr>
      </w:pPr>
      <w:bookmarkStart w:id="89" w:name="_Toc494112017"/>
      <w:r w:rsidRPr="00643AC2">
        <w:rPr>
          <w:lang w:val="en-GB"/>
        </w:rPr>
        <w:t>Introduction</w:t>
      </w:r>
      <w:bookmarkEnd w:id="89"/>
    </w:p>
    <w:p w14:paraId="28D34B2A" w14:textId="77777777" w:rsidR="00643AC2" w:rsidRPr="00643AC2" w:rsidRDefault="00643AC2" w:rsidP="00643AC2">
      <w:pPr>
        <w:rPr>
          <w:lang w:val="en-GB"/>
        </w:rPr>
      </w:pPr>
      <w:r w:rsidRPr="00643AC2">
        <w:rPr>
          <w:lang w:val="en-GB"/>
        </w:rPr>
        <w:t>This section sets out those assets and liabilities that arose from the Commission’s controlled operations. </w:t>
      </w:r>
    </w:p>
    <w:p w14:paraId="4CF749F2" w14:textId="77777777" w:rsidR="00643AC2" w:rsidRPr="00643AC2" w:rsidRDefault="00643AC2" w:rsidP="00180D7E">
      <w:pPr>
        <w:pStyle w:val="Heading3"/>
        <w:rPr>
          <w:lang w:val="en-GB"/>
        </w:rPr>
      </w:pPr>
      <w:bookmarkStart w:id="90" w:name="_Toc494112018"/>
      <w:r w:rsidRPr="00643AC2">
        <w:rPr>
          <w:lang w:val="en-GB"/>
        </w:rPr>
        <w:lastRenderedPageBreak/>
        <w:t>Structure</w:t>
      </w:r>
      <w:bookmarkEnd w:id="90"/>
    </w:p>
    <w:p w14:paraId="45DCB1E3" w14:textId="25FADDB3" w:rsidR="00643AC2" w:rsidRPr="00643AC2" w:rsidRDefault="00643AC2" w:rsidP="00643AC2">
      <w:pPr>
        <w:rPr>
          <w:lang w:val="en-GB"/>
        </w:rPr>
      </w:pPr>
      <w:r w:rsidRPr="00643AC2">
        <w:rPr>
          <w:lang w:val="en-GB"/>
        </w:rPr>
        <w:t>5.1.</w:t>
      </w:r>
      <w:r w:rsidRPr="00643AC2">
        <w:rPr>
          <w:lang w:val="en-GB"/>
        </w:rPr>
        <w:t> </w:t>
      </w:r>
      <w:r w:rsidR="00180D7E">
        <w:rPr>
          <w:lang w:val="en-GB"/>
        </w:rPr>
        <w:t>R</w:t>
      </w:r>
      <w:r w:rsidRPr="00643AC2">
        <w:rPr>
          <w:lang w:val="en-GB"/>
        </w:rPr>
        <w:t>eceivables </w:t>
      </w:r>
    </w:p>
    <w:p w14:paraId="3EA13DA9" w14:textId="2417E9F4" w:rsidR="00643AC2" w:rsidRPr="00643AC2" w:rsidRDefault="00643AC2" w:rsidP="00643AC2">
      <w:pPr>
        <w:rPr>
          <w:lang w:val="en-GB"/>
        </w:rPr>
      </w:pPr>
      <w:r w:rsidRPr="00643AC2">
        <w:rPr>
          <w:lang w:val="en-GB"/>
        </w:rPr>
        <w:t>5.2.</w:t>
      </w:r>
      <w:r w:rsidRPr="00643AC2">
        <w:rPr>
          <w:lang w:val="en-GB"/>
        </w:rPr>
        <w:t> </w:t>
      </w:r>
      <w:r w:rsidR="00180D7E">
        <w:rPr>
          <w:lang w:val="en-GB"/>
        </w:rPr>
        <w:t>P</w:t>
      </w:r>
      <w:r w:rsidRPr="00643AC2">
        <w:rPr>
          <w:lang w:val="en-GB"/>
        </w:rPr>
        <w:t>ayables</w:t>
      </w:r>
    </w:p>
    <w:p w14:paraId="4AC76153" w14:textId="44770BE2" w:rsidR="00643AC2" w:rsidRPr="00643AC2" w:rsidRDefault="00643AC2" w:rsidP="00643AC2">
      <w:pPr>
        <w:rPr>
          <w:lang w:val="en-GB"/>
        </w:rPr>
      </w:pPr>
      <w:r w:rsidRPr="00643AC2">
        <w:rPr>
          <w:lang w:val="en-GB"/>
        </w:rPr>
        <w:t>5.3.</w:t>
      </w:r>
      <w:r w:rsidRPr="00643AC2">
        <w:rPr>
          <w:lang w:val="en-GB"/>
        </w:rPr>
        <w:t> </w:t>
      </w:r>
      <w:r w:rsidR="00180D7E">
        <w:rPr>
          <w:lang w:val="en-GB"/>
        </w:rPr>
        <w:t>P</w:t>
      </w:r>
      <w:r w:rsidRPr="00643AC2">
        <w:rPr>
          <w:lang w:val="en-GB"/>
        </w:rPr>
        <w:t>repayments</w:t>
      </w:r>
    </w:p>
    <w:p w14:paraId="5DED7A54" w14:textId="260FB991" w:rsidR="00643AC2" w:rsidRPr="00643AC2" w:rsidRDefault="00643AC2" w:rsidP="00643AC2">
      <w:pPr>
        <w:rPr>
          <w:lang w:val="en-GB"/>
        </w:rPr>
      </w:pPr>
      <w:r w:rsidRPr="00643AC2">
        <w:rPr>
          <w:lang w:val="en-GB"/>
        </w:rPr>
        <w:t>5.4.</w:t>
      </w:r>
      <w:r w:rsidRPr="00643AC2">
        <w:rPr>
          <w:lang w:val="en-GB"/>
        </w:rPr>
        <w:t> </w:t>
      </w:r>
      <w:r w:rsidR="00180D7E">
        <w:rPr>
          <w:lang w:val="en-GB"/>
        </w:rPr>
        <w:t>U</w:t>
      </w:r>
      <w:r w:rsidRPr="00643AC2">
        <w:rPr>
          <w:lang w:val="en-GB"/>
        </w:rPr>
        <w:t>nearned revenue</w:t>
      </w:r>
    </w:p>
    <w:p w14:paraId="7A7AC5CC" w14:textId="444EA8B2" w:rsidR="00643AC2" w:rsidRPr="00643AC2" w:rsidRDefault="00643AC2" w:rsidP="00180D7E">
      <w:pPr>
        <w:pStyle w:val="Heading4"/>
        <w:rPr>
          <w:lang w:val="en-GB"/>
        </w:rPr>
      </w:pPr>
      <w:r w:rsidRPr="00643AC2">
        <w:rPr>
          <w:lang w:val="en-GB"/>
        </w:rPr>
        <w:t>5.1.</w:t>
      </w:r>
      <w:r w:rsidRPr="00643AC2">
        <w:rPr>
          <w:lang w:val="en-GB"/>
        </w:rPr>
        <w:t> </w:t>
      </w:r>
      <w:r w:rsidR="00180D7E">
        <w:rPr>
          <w:lang w:val="en-GB"/>
        </w:rPr>
        <w:t>R</w:t>
      </w:r>
      <w:r w:rsidRPr="00643AC2">
        <w:rPr>
          <w:lang w:val="en-GB"/>
        </w:rPr>
        <w:t>eceivables</w:t>
      </w:r>
    </w:p>
    <w:tbl>
      <w:tblPr>
        <w:tblStyle w:val="TableGrid"/>
        <w:tblW w:w="10485" w:type="dxa"/>
        <w:tblLook w:val="04A0" w:firstRow="1" w:lastRow="0" w:firstColumn="1" w:lastColumn="0" w:noHBand="0" w:noVBand="1"/>
      </w:tblPr>
      <w:tblGrid>
        <w:gridCol w:w="6941"/>
        <w:gridCol w:w="1772"/>
        <w:gridCol w:w="1772"/>
      </w:tblGrid>
      <w:tr w:rsidR="00180D7E" w:rsidRPr="008D7144" w14:paraId="34864AF7" w14:textId="77777777" w:rsidTr="008D7144">
        <w:trPr>
          <w:cantSplit/>
          <w:tblHeader/>
        </w:trPr>
        <w:tc>
          <w:tcPr>
            <w:tcW w:w="6941" w:type="dxa"/>
            <w:hideMark/>
          </w:tcPr>
          <w:p w14:paraId="530328C8" w14:textId="77777777" w:rsidR="00643AC2" w:rsidRPr="008D7144" w:rsidRDefault="00643AC2" w:rsidP="008D7144">
            <w:pPr>
              <w:pStyle w:val="TableHeading"/>
              <w:rPr>
                <w:lang w:val="en-GB"/>
              </w:rPr>
            </w:pPr>
          </w:p>
        </w:tc>
        <w:tc>
          <w:tcPr>
            <w:tcW w:w="1772" w:type="dxa"/>
            <w:hideMark/>
          </w:tcPr>
          <w:p w14:paraId="3B405C4B" w14:textId="77777777" w:rsidR="00643AC2" w:rsidRPr="008D7144" w:rsidRDefault="00643AC2" w:rsidP="008D7144">
            <w:pPr>
              <w:pStyle w:val="TableHeading"/>
              <w:rPr>
                <w:lang w:val="en-GB"/>
              </w:rPr>
            </w:pPr>
            <w:r w:rsidRPr="008D7144">
              <w:rPr>
                <w:bCs/>
                <w:lang w:val="en-GB"/>
              </w:rPr>
              <w:t>2017</w:t>
            </w:r>
          </w:p>
        </w:tc>
        <w:tc>
          <w:tcPr>
            <w:tcW w:w="1772" w:type="dxa"/>
            <w:hideMark/>
          </w:tcPr>
          <w:p w14:paraId="2F2188B5" w14:textId="77777777" w:rsidR="00643AC2" w:rsidRPr="008D7144" w:rsidRDefault="00643AC2" w:rsidP="008D7144">
            <w:pPr>
              <w:pStyle w:val="TableHeading"/>
              <w:rPr>
                <w:lang w:val="en-GB"/>
              </w:rPr>
            </w:pPr>
            <w:r w:rsidRPr="008D7144">
              <w:rPr>
                <w:bCs/>
                <w:lang w:val="en-GB"/>
              </w:rPr>
              <w:t>2016</w:t>
            </w:r>
          </w:p>
        </w:tc>
      </w:tr>
      <w:tr w:rsidR="00180D7E" w:rsidRPr="008D7144" w14:paraId="00901282" w14:textId="77777777" w:rsidTr="008D7144">
        <w:trPr>
          <w:cantSplit/>
          <w:tblHeader/>
        </w:trPr>
        <w:tc>
          <w:tcPr>
            <w:tcW w:w="6941" w:type="dxa"/>
            <w:hideMark/>
          </w:tcPr>
          <w:p w14:paraId="1EF6BCF3" w14:textId="77777777" w:rsidR="00643AC2" w:rsidRPr="008D7144" w:rsidRDefault="00643AC2" w:rsidP="008D7144">
            <w:pPr>
              <w:pStyle w:val="TableHeading"/>
              <w:rPr>
                <w:lang w:val="en-GB"/>
              </w:rPr>
            </w:pPr>
          </w:p>
        </w:tc>
        <w:tc>
          <w:tcPr>
            <w:tcW w:w="1772" w:type="dxa"/>
            <w:hideMark/>
          </w:tcPr>
          <w:p w14:paraId="7ABB7A3C" w14:textId="77777777" w:rsidR="00643AC2" w:rsidRPr="008D7144" w:rsidRDefault="00643AC2" w:rsidP="008D7144">
            <w:pPr>
              <w:pStyle w:val="TableHeading"/>
              <w:rPr>
                <w:lang w:val="en-GB"/>
              </w:rPr>
            </w:pPr>
            <w:r w:rsidRPr="008D7144">
              <w:rPr>
                <w:bCs/>
                <w:lang w:val="en-GB"/>
              </w:rPr>
              <w:t>$</w:t>
            </w:r>
          </w:p>
        </w:tc>
        <w:tc>
          <w:tcPr>
            <w:tcW w:w="1772" w:type="dxa"/>
            <w:hideMark/>
          </w:tcPr>
          <w:p w14:paraId="054D4656" w14:textId="77777777" w:rsidR="00643AC2" w:rsidRPr="008D7144" w:rsidRDefault="00643AC2" w:rsidP="008D7144">
            <w:pPr>
              <w:pStyle w:val="TableHeading"/>
              <w:rPr>
                <w:lang w:val="en-GB"/>
              </w:rPr>
            </w:pPr>
            <w:r w:rsidRPr="008D7144">
              <w:rPr>
                <w:bCs/>
                <w:lang w:val="en-GB"/>
              </w:rPr>
              <w:t>$</w:t>
            </w:r>
          </w:p>
        </w:tc>
      </w:tr>
      <w:tr w:rsidR="00180D7E" w:rsidRPr="008D7144" w14:paraId="00223900" w14:textId="77777777" w:rsidTr="008D7144">
        <w:trPr>
          <w:cantSplit/>
        </w:trPr>
        <w:tc>
          <w:tcPr>
            <w:tcW w:w="10485" w:type="dxa"/>
            <w:gridSpan w:val="3"/>
            <w:hideMark/>
          </w:tcPr>
          <w:p w14:paraId="3F2EC401" w14:textId="3DC494EA" w:rsidR="00180D7E" w:rsidRPr="008D7144" w:rsidRDefault="00180D7E" w:rsidP="008D7144">
            <w:pPr>
              <w:pStyle w:val="TableHeading"/>
              <w:rPr>
                <w:lang w:val="en-GB"/>
              </w:rPr>
            </w:pPr>
            <w:r w:rsidRPr="008D7144">
              <w:rPr>
                <w:bCs/>
                <w:lang w:val="en-GB"/>
              </w:rPr>
              <w:t>Contractual</w:t>
            </w:r>
          </w:p>
        </w:tc>
      </w:tr>
      <w:tr w:rsidR="00180D7E" w:rsidRPr="008D7144" w14:paraId="2A1F97F0" w14:textId="77777777" w:rsidTr="008D7144">
        <w:trPr>
          <w:cantSplit/>
        </w:trPr>
        <w:tc>
          <w:tcPr>
            <w:tcW w:w="6941" w:type="dxa"/>
            <w:hideMark/>
          </w:tcPr>
          <w:p w14:paraId="3BF17849" w14:textId="77777777" w:rsidR="00643AC2" w:rsidRPr="008D7144" w:rsidRDefault="00643AC2" w:rsidP="008D7144">
            <w:pPr>
              <w:pStyle w:val="TableCopy"/>
              <w:rPr>
                <w:lang w:val="en-GB"/>
              </w:rPr>
            </w:pPr>
            <w:r w:rsidRPr="008D7144">
              <w:rPr>
                <w:lang w:val="en-GB"/>
              </w:rPr>
              <w:t>Receivables</w:t>
            </w:r>
          </w:p>
        </w:tc>
        <w:tc>
          <w:tcPr>
            <w:tcW w:w="1772" w:type="dxa"/>
            <w:hideMark/>
          </w:tcPr>
          <w:p w14:paraId="39A066B5" w14:textId="77777777" w:rsidR="00643AC2" w:rsidRPr="009339B7" w:rsidRDefault="00643AC2" w:rsidP="008D7144">
            <w:pPr>
              <w:pStyle w:val="TableCopy"/>
              <w:rPr>
                <w:b/>
                <w:lang w:val="en-GB"/>
              </w:rPr>
            </w:pPr>
            <w:r w:rsidRPr="009339B7">
              <w:rPr>
                <w:b/>
                <w:lang w:val="en-GB"/>
              </w:rPr>
              <w:t>1,209,758</w:t>
            </w:r>
          </w:p>
        </w:tc>
        <w:tc>
          <w:tcPr>
            <w:tcW w:w="1772" w:type="dxa"/>
            <w:hideMark/>
          </w:tcPr>
          <w:p w14:paraId="5990FBFA" w14:textId="77777777" w:rsidR="00643AC2" w:rsidRPr="008D7144" w:rsidRDefault="00643AC2" w:rsidP="008D7144">
            <w:pPr>
              <w:pStyle w:val="TableCopy"/>
              <w:rPr>
                <w:lang w:val="en-GB"/>
              </w:rPr>
            </w:pPr>
            <w:r w:rsidRPr="008D7144">
              <w:rPr>
                <w:lang w:val="en-GB"/>
              </w:rPr>
              <w:t>678,720</w:t>
            </w:r>
          </w:p>
        </w:tc>
      </w:tr>
      <w:tr w:rsidR="00180D7E" w:rsidRPr="008D7144" w14:paraId="35991A3A" w14:textId="77777777" w:rsidTr="008D7144">
        <w:trPr>
          <w:cantSplit/>
        </w:trPr>
        <w:tc>
          <w:tcPr>
            <w:tcW w:w="10485" w:type="dxa"/>
            <w:gridSpan w:val="3"/>
            <w:hideMark/>
          </w:tcPr>
          <w:p w14:paraId="1567439A" w14:textId="7CC2591D" w:rsidR="00180D7E" w:rsidRPr="008D7144" w:rsidRDefault="00180D7E" w:rsidP="009339B7">
            <w:pPr>
              <w:pStyle w:val="TableHeading"/>
              <w:rPr>
                <w:lang w:val="en-GB"/>
              </w:rPr>
            </w:pPr>
            <w:r w:rsidRPr="008D7144">
              <w:rPr>
                <w:lang w:val="en-GB"/>
              </w:rPr>
              <w:t>Statutory</w:t>
            </w:r>
          </w:p>
        </w:tc>
      </w:tr>
      <w:tr w:rsidR="00180D7E" w:rsidRPr="008D7144" w14:paraId="2DE47C35" w14:textId="77777777" w:rsidTr="008D7144">
        <w:trPr>
          <w:cantSplit/>
        </w:trPr>
        <w:tc>
          <w:tcPr>
            <w:tcW w:w="6941" w:type="dxa"/>
            <w:hideMark/>
          </w:tcPr>
          <w:p w14:paraId="4D8FEE26" w14:textId="77777777" w:rsidR="00643AC2" w:rsidRPr="008D7144" w:rsidRDefault="00643AC2" w:rsidP="008D7144">
            <w:pPr>
              <w:pStyle w:val="TableCopy"/>
              <w:rPr>
                <w:lang w:val="en-GB"/>
              </w:rPr>
            </w:pPr>
            <w:r w:rsidRPr="008D7144">
              <w:rPr>
                <w:lang w:val="en-GB"/>
              </w:rPr>
              <w:t>Amounts receivable from government departments</w:t>
            </w:r>
          </w:p>
        </w:tc>
        <w:tc>
          <w:tcPr>
            <w:tcW w:w="1772" w:type="dxa"/>
            <w:hideMark/>
          </w:tcPr>
          <w:p w14:paraId="25B001CC" w14:textId="77777777" w:rsidR="00643AC2" w:rsidRPr="009339B7" w:rsidRDefault="00643AC2" w:rsidP="008D7144">
            <w:pPr>
              <w:pStyle w:val="TableCopy"/>
              <w:rPr>
                <w:b/>
                <w:lang w:val="en-GB"/>
              </w:rPr>
            </w:pPr>
            <w:r w:rsidRPr="009339B7">
              <w:rPr>
                <w:b/>
                <w:lang w:val="en-GB"/>
              </w:rPr>
              <w:t>8,394,662</w:t>
            </w:r>
          </w:p>
        </w:tc>
        <w:tc>
          <w:tcPr>
            <w:tcW w:w="1772" w:type="dxa"/>
            <w:hideMark/>
          </w:tcPr>
          <w:p w14:paraId="6C41A85A" w14:textId="77777777" w:rsidR="00643AC2" w:rsidRPr="008D7144" w:rsidRDefault="00643AC2" w:rsidP="008D7144">
            <w:pPr>
              <w:pStyle w:val="TableCopy"/>
              <w:rPr>
                <w:lang w:val="en-GB"/>
              </w:rPr>
            </w:pPr>
            <w:r w:rsidRPr="008D7144">
              <w:rPr>
                <w:lang w:val="en-GB"/>
              </w:rPr>
              <w:t>5,952,039</w:t>
            </w:r>
          </w:p>
        </w:tc>
      </w:tr>
      <w:tr w:rsidR="00180D7E" w:rsidRPr="008D7144" w14:paraId="2B8811DF" w14:textId="77777777" w:rsidTr="008D7144">
        <w:trPr>
          <w:cantSplit/>
        </w:trPr>
        <w:tc>
          <w:tcPr>
            <w:tcW w:w="6941" w:type="dxa"/>
            <w:hideMark/>
          </w:tcPr>
          <w:p w14:paraId="317DCC4E" w14:textId="77777777" w:rsidR="00643AC2" w:rsidRPr="008D7144" w:rsidRDefault="00643AC2" w:rsidP="008D7144">
            <w:pPr>
              <w:pStyle w:val="TableCopy"/>
              <w:rPr>
                <w:lang w:val="en-GB"/>
              </w:rPr>
            </w:pPr>
            <w:r w:rsidRPr="008D7144">
              <w:rPr>
                <w:lang w:val="en-GB"/>
              </w:rPr>
              <w:t>GST recoverable</w:t>
            </w:r>
          </w:p>
        </w:tc>
        <w:tc>
          <w:tcPr>
            <w:tcW w:w="1772" w:type="dxa"/>
            <w:hideMark/>
          </w:tcPr>
          <w:p w14:paraId="42139804" w14:textId="77777777" w:rsidR="00643AC2" w:rsidRPr="009339B7" w:rsidRDefault="00643AC2" w:rsidP="008D7144">
            <w:pPr>
              <w:pStyle w:val="TableCopy"/>
              <w:rPr>
                <w:b/>
                <w:lang w:val="en-GB"/>
              </w:rPr>
            </w:pPr>
            <w:r w:rsidRPr="009339B7">
              <w:rPr>
                <w:b/>
                <w:lang w:val="en-GB"/>
              </w:rPr>
              <w:t>23,508</w:t>
            </w:r>
          </w:p>
        </w:tc>
        <w:tc>
          <w:tcPr>
            <w:tcW w:w="1772" w:type="dxa"/>
            <w:hideMark/>
          </w:tcPr>
          <w:p w14:paraId="04BB9677" w14:textId="77777777" w:rsidR="00643AC2" w:rsidRPr="008D7144" w:rsidRDefault="00643AC2" w:rsidP="008D7144">
            <w:pPr>
              <w:pStyle w:val="TableCopy"/>
              <w:rPr>
                <w:lang w:val="en-GB"/>
              </w:rPr>
            </w:pPr>
            <w:r w:rsidRPr="008D7144">
              <w:rPr>
                <w:lang w:val="en-GB"/>
              </w:rPr>
              <w:t>21,532</w:t>
            </w:r>
          </w:p>
        </w:tc>
      </w:tr>
      <w:tr w:rsidR="00180D7E" w:rsidRPr="008D7144" w14:paraId="69D1F572" w14:textId="77777777" w:rsidTr="008D7144">
        <w:trPr>
          <w:cantSplit/>
        </w:trPr>
        <w:tc>
          <w:tcPr>
            <w:tcW w:w="6941" w:type="dxa"/>
            <w:hideMark/>
          </w:tcPr>
          <w:p w14:paraId="1E226C29" w14:textId="77777777" w:rsidR="00643AC2" w:rsidRPr="008D7144" w:rsidRDefault="00643AC2" w:rsidP="008D7144">
            <w:pPr>
              <w:pStyle w:val="TableCopy"/>
              <w:rPr>
                <w:lang w:val="en-GB"/>
              </w:rPr>
            </w:pPr>
            <w:r w:rsidRPr="008D7144">
              <w:rPr>
                <w:lang w:val="en-GB"/>
              </w:rPr>
              <w:t>Total receivables</w:t>
            </w:r>
          </w:p>
        </w:tc>
        <w:tc>
          <w:tcPr>
            <w:tcW w:w="1772" w:type="dxa"/>
            <w:hideMark/>
          </w:tcPr>
          <w:p w14:paraId="299C13B3" w14:textId="77777777" w:rsidR="00643AC2" w:rsidRPr="009339B7" w:rsidRDefault="00643AC2" w:rsidP="008D7144">
            <w:pPr>
              <w:pStyle w:val="TableCopy"/>
              <w:rPr>
                <w:b/>
                <w:lang w:val="en-GB"/>
              </w:rPr>
            </w:pPr>
            <w:r w:rsidRPr="009339B7">
              <w:rPr>
                <w:b/>
                <w:lang w:val="en-GB"/>
              </w:rPr>
              <w:t>9,627,928</w:t>
            </w:r>
          </w:p>
        </w:tc>
        <w:tc>
          <w:tcPr>
            <w:tcW w:w="1772" w:type="dxa"/>
            <w:hideMark/>
          </w:tcPr>
          <w:p w14:paraId="63AC7358" w14:textId="77777777" w:rsidR="00643AC2" w:rsidRPr="008D7144" w:rsidRDefault="00643AC2" w:rsidP="008D7144">
            <w:pPr>
              <w:pStyle w:val="TableCopy"/>
              <w:rPr>
                <w:lang w:val="en-GB"/>
              </w:rPr>
            </w:pPr>
            <w:r w:rsidRPr="008D7144">
              <w:rPr>
                <w:lang w:val="en-GB"/>
              </w:rPr>
              <w:t>6,652,291</w:t>
            </w:r>
          </w:p>
        </w:tc>
      </w:tr>
      <w:tr w:rsidR="00180D7E" w:rsidRPr="008D7144" w14:paraId="023E7423" w14:textId="77777777" w:rsidTr="008D7144">
        <w:trPr>
          <w:cantSplit/>
        </w:trPr>
        <w:tc>
          <w:tcPr>
            <w:tcW w:w="10485" w:type="dxa"/>
            <w:gridSpan w:val="3"/>
            <w:hideMark/>
          </w:tcPr>
          <w:p w14:paraId="6DCA3ACB" w14:textId="77777777" w:rsidR="00180D7E" w:rsidRPr="008D7144" w:rsidRDefault="00180D7E" w:rsidP="008D7144">
            <w:pPr>
              <w:pStyle w:val="TableCopy"/>
              <w:rPr>
                <w:lang w:val="en-GB"/>
              </w:rPr>
            </w:pPr>
          </w:p>
        </w:tc>
      </w:tr>
      <w:tr w:rsidR="00180D7E" w:rsidRPr="008D7144" w14:paraId="390A2A0B" w14:textId="77777777" w:rsidTr="008D7144">
        <w:trPr>
          <w:cantSplit/>
        </w:trPr>
        <w:tc>
          <w:tcPr>
            <w:tcW w:w="10485" w:type="dxa"/>
            <w:gridSpan w:val="3"/>
            <w:hideMark/>
          </w:tcPr>
          <w:p w14:paraId="370795CA" w14:textId="0327B024" w:rsidR="00180D7E" w:rsidRPr="008D7144" w:rsidRDefault="00180D7E" w:rsidP="008D7144">
            <w:pPr>
              <w:pStyle w:val="TableCopy"/>
              <w:rPr>
                <w:lang w:val="en-GB"/>
              </w:rPr>
            </w:pPr>
            <w:r w:rsidRPr="008D7144">
              <w:rPr>
                <w:i/>
                <w:iCs/>
                <w:lang w:val="en-GB"/>
              </w:rPr>
              <w:t>Represented by:</w:t>
            </w:r>
          </w:p>
        </w:tc>
      </w:tr>
      <w:tr w:rsidR="00180D7E" w:rsidRPr="008D7144" w14:paraId="2330A703" w14:textId="77777777" w:rsidTr="008D7144">
        <w:trPr>
          <w:cantSplit/>
        </w:trPr>
        <w:tc>
          <w:tcPr>
            <w:tcW w:w="6941" w:type="dxa"/>
            <w:hideMark/>
          </w:tcPr>
          <w:p w14:paraId="55FBC2A9" w14:textId="77777777" w:rsidR="00643AC2" w:rsidRPr="008D7144" w:rsidRDefault="00643AC2" w:rsidP="008D7144">
            <w:pPr>
              <w:pStyle w:val="TableCopy"/>
              <w:rPr>
                <w:lang w:val="en-GB"/>
              </w:rPr>
            </w:pPr>
            <w:r w:rsidRPr="008D7144">
              <w:rPr>
                <w:lang w:val="en-GB"/>
              </w:rPr>
              <w:t>Current receivables</w:t>
            </w:r>
          </w:p>
        </w:tc>
        <w:tc>
          <w:tcPr>
            <w:tcW w:w="1772" w:type="dxa"/>
            <w:hideMark/>
          </w:tcPr>
          <w:p w14:paraId="36679EFE" w14:textId="77777777" w:rsidR="00643AC2" w:rsidRPr="009339B7" w:rsidRDefault="00643AC2" w:rsidP="008D7144">
            <w:pPr>
              <w:pStyle w:val="TableCopy"/>
              <w:rPr>
                <w:b/>
                <w:lang w:val="en-GB"/>
              </w:rPr>
            </w:pPr>
            <w:r w:rsidRPr="009339B7">
              <w:rPr>
                <w:b/>
                <w:lang w:val="en-GB"/>
              </w:rPr>
              <w:t>9,503,712</w:t>
            </w:r>
          </w:p>
        </w:tc>
        <w:tc>
          <w:tcPr>
            <w:tcW w:w="1772" w:type="dxa"/>
            <w:hideMark/>
          </w:tcPr>
          <w:p w14:paraId="404B48B2" w14:textId="77777777" w:rsidR="00643AC2" w:rsidRPr="008D7144" w:rsidRDefault="00643AC2" w:rsidP="008D7144">
            <w:pPr>
              <w:pStyle w:val="TableCopy"/>
              <w:rPr>
                <w:lang w:val="en-GB"/>
              </w:rPr>
            </w:pPr>
            <w:r w:rsidRPr="008D7144">
              <w:rPr>
                <w:lang w:val="en-GB"/>
              </w:rPr>
              <w:t>6,545,753</w:t>
            </w:r>
          </w:p>
        </w:tc>
      </w:tr>
      <w:tr w:rsidR="00180D7E" w:rsidRPr="008D7144" w14:paraId="03148C1E" w14:textId="77777777" w:rsidTr="008D7144">
        <w:trPr>
          <w:cantSplit/>
        </w:trPr>
        <w:tc>
          <w:tcPr>
            <w:tcW w:w="6941" w:type="dxa"/>
            <w:hideMark/>
          </w:tcPr>
          <w:p w14:paraId="1C83E978" w14:textId="77777777" w:rsidR="00643AC2" w:rsidRPr="008D7144" w:rsidRDefault="00643AC2" w:rsidP="008D7144">
            <w:pPr>
              <w:pStyle w:val="TableCopy"/>
              <w:rPr>
                <w:lang w:val="en-GB"/>
              </w:rPr>
            </w:pPr>
            <w:r w:rsidRPr="008D7144">
              <w:rPr>
                <w:lang w:val="en-GB"/>
              </w:rPr>
              <w:t>Non-current receivables</w:t>
            </w:r>
          </w:p>
        </w:tc>
        <w:tc>
          <w:tcPr>
            <w:tcW w:w="1772" w:type="dxa"/>
            <w:hideMark/>
          </w:tcPr>
          <w:p w14:paraId="0BA07019" w14:textId="77777777" w:rsidR="00643AC2" w:rsidRPr="009339B7" w:rsidRDefault="00643AC2" w:rsidP="008D7144">
            <w:pPr>
              <w:pStyle w:val="TableCopy"/>
              <w:rPr>
                <w:b/>
                <w:lang w:val="en-GB"/>
              </w:rPr>
            </w:pPr>
            <w:r w:rsidRPr="009339B7">
              <w:rPr>
                <w:b/>
                <w:lang w:val="en-GB"/>
              </w:rPr>
              <w:t>124,216</w:t>
            </w:r>
          </w:p>
        </w:tc>
        <w:tc>
          <w:tcPr>
            <w:tcW w:w="1772" w:type="dxa"/>
            <w:hideMark/>
          </w:tcPr>
          <w:p w14:paraId="24F917D8" w14:textId="77777777" w:rsidR="00643AC2" w:rsidRPr="008D7144" w:rsidRDefault="00643AC2" w:rsidP="008D7144">
            <w:pPr>
              <w:pStyle w:val="TableCopy"/>
              <w:rPr>
                <w:lang w:val="en-GB"/>
              </w:rPr>
            </w:pPr>
            <w:r w:rsidRPr="008D7144">
              <w:rPr>
                <w:lang w:val="en-GB"/>
              </w:rPr>
              <w:t>106,538</w:t>
            </w:r>
          </w:p>
        </w:tc>
      </w:tr>
    </w:tbl>
    <w:p w14:paraId="0A46D367" w14:textId="77777777" w:rsidR="00643AC2" w:rsidRPr="00643AC2" w:rsidRDefault="00643AC2" w:rsidP="00643AC2">
      <w:pPr>
        <w:rPr>
          <w:lang w:val="en-GB"/>
        </w:rPr>
      </w:pPr>
      <w:r w:rsidRPr="00643AC2">
        <w:rPr>
          <w:lang w:val="en-GB"/>
        </w:rPr>
        <w:t>Contractual receivables are classified as financial instruments and measured as amortised cost. They are initially recognised at fair value plus any directly attributable transaction costs. Subsequent to initial measurement they are measured at amortised cost using the effective interest method, less any impairment. </w:t>
      </w:r>
    </w:p>
    <w:p w14:paraId="5A28D7AE" w14:textId="77777777" w:rsidR="00643AC2" w:rsidRPr="00643AC2" w:rsidRDefault="00643AC2" w:rsidP="00643AC2">
      <w:pPr>
        <w:rPr>
          <w:lang w:val="en-GB"/>
        </w:rPr>
      </w:pPr>
      <w:r w:rsidRPr="00643AC2">
        <w:rPr>
          <w:lang w:val="en-GB"/>
        </w:rPr>
        <w:t>Statutory receivables do not arise from contracts and are recognised and measured similarly to contractual receivables (except for impairment) but are not classified as financial instruments.</w:t>
      </w:r>
    </w:p>
    <w:p w14:paraId="6BE71011" w14:textId="249D0B8E" w:rsidR="00643AC2" w:rsidRPr="00643AC2" w:rsidRDefault="00643AC2" w:rsidP="00180D7E">
      <w:pPr>
        <w:pStyle w:val="Heading4"/>
        <w:rPr>
          <w:lang w:val="en-GB"/>
        </w:rPr>
      </w:pPr>
      <w:r w:rsidRPr="00643AC2">
        <w:rPr>
          <w:lang w:val="en-GB"/>
        </w:rPr>
        <w:t>5.2.</w:t>
      </w:r>
      <w:r w:rsidRPr="00643AC2">
        <w:rPr>
          <w:lang w:val="en-GB"/>
        </w:rPr>
        <w:t> </w:t>
      </w:r>
      <w:r w:rsidR="00180D7E">
        <w:rPr>
          <w:lang w:val="en-GB"/>
        </w:rPr>
        <w:t>P</w:t>
      </w:r>
      <w:r w:rsidRPr="00643AC2">
        <w:rPr>
          <w:lang w:val="en-GB"/>
        </w:rPr>
        <w:t>ayables</w:t>
      </w:r>
    </w:p>
    <w:tbl>
      <w:tblPr>
        <w:tblStyle w:val="TableGrid"/>
        <w:tblW w:w="10485" w:type="dxa"/>
        <w:tblLook w:val="04A0" w:firstRow="1" w:lastRow="0" w:firstColumn="1" w:lastColumn="0" w:noHBand="0" w:noVBand="1"/>
      </w:tblPr>
      <w:tblGrid>
        <w:gridCol w:w="6941"/>
        <w:gridCol w:w="1744"/>
        <w:gridCol w:w="1800"/>
      </w:tblGrid>
      <w:tr w:rsidR="00180D7E" w:rsidRPr="00845921" w14:paraId="1FCF8AB0" w14:textId="77777777" w:rsidTr="00845921">
        <w:trPr>
          <w:cantSplit/>
          <w:tblHeader/>
        </w:trPr>
        <w:tc>
          <w:tcPr>
            <w:tcW w:w="6941" w:type="dxa"/>
            <w:hideMark/>
          </w:tcPr>
          <w:p w14:paraId="1A603E8F" w14:textId="77777777" w:rsidR="00643AC2" w:rsidRPr="00845921" w:rsidRDefault="00643AC2" w:rsidP="00845921">
            <w:pPr>
              <w:pStyle w:val="TableHeading"/>
              <w:rPr>
                <w:lang w:val="en-GB"/>
              </w:rPr>
            </w:pPr>
          </w:p>
        </w:tc>
        <w:tc>
          <w:tcPr>
            <w:tcW w:w="1744" w:type="dxa"/>
            <w:hideMark/>
          </w:tcPr>
          <w:p w14:paraId="794CBA74" w14:textId="77777777" w:rsidR="00643AC2" w:rsidRPr="00845921" w:rsidRDefault="00643AC2" w:rsidP="00845921">
            <w:pPr>
              <w:pStyle w:val="TableHeading"/>
              <w:rPr>
                <w:lang w:val="en-GB"/>
              </w:rPr>
            </w:pPr>
            <w:r w:rsidRPr="00845921">
              <w:rPr>
                <w:bCs/>
                <w:lang w:val="en-GB"/>
              </w:rPr>
              <w:t>2017</w:t>
            </w:r>
          </w:p>
        </w:tc>
        <w:tc>
          <w:tcPr>
            <w:tcW w:w="1800" w:type="dxa"/>
            <w:hideMark/>
          </w:tcPr>
          <w:p w14:paraId="0F99F16D" w14:textId="77777777" w:rsidR="00643AC2" w:rsidRPr="00845921" w:rsidRDefault="00643AC2" w:rsidP="00845921">
            <w:pPr>
              <w:pStyle w:val="TableHeading"/>
              <w:rPr>
                <w:lang w:val="en-GB"/>
              </w:rPr>
            </w:pPr>
            <w:r w:rsidRPr="00845921">
              <w:rPr>
                <w:bCs/>
                <w:lang w:val="en-GB"/>
              </w:rPr>
              <w:t>2016</w:t>
            </w:r>
          </w:p>
        </w:tc>
      </w:tr>
      <w:tr w:rsidR="00180D7E" w:rsidRPr="00845921" w14:paraId="42927911" w14:textId="77777777" w:rsidTr="00845921">
        <w:trPr>
          <w:cantSplit/>
          <w:tblHeader/>
        </w:trPr>
        <w:tc>
          <w:tcPr>
            <w:tcW w:w="6941" w:type="dxa"/>
            <w:hideMark/>
          </w:tcPr>
          <w:p w14:paraId="78083C3B" w14:textId="77777777" w:rsidR="00643AC2" w:rsidRPr="00845921" w:rsidRDefault="00643AC2" w:rsidP="00845921">
            <w:pPr>
              <w:pStyle w:val="TableHeading"/>
              <w:rPr>
                <w:lang w:val="en-GB"/>
              </w:rPr>
            </w:pPr>
          </w:p>
        </w:tc>
        <w:tc>
          <w:tcPr>
            <w:tcW w:w="1744" w:type="dxa"/>
            <w:hideMark/>
          </w:tcPr>
          <w:p w14:paraId="6EFB8969" w14:textId="77777777" w:rsidR="00643AC2" w:rsidRPr="00845921" w:rsidRDefault="00643AC2" w:rsidP="00845921">
            <w:pPr>
              <w:pStyle w:val="TableHeading"/>
              <w:rPr>
                <w:lang w:val="en-GB"/>
              </w:rPr>
            </w:pPr>
            <w:r w:rsidRPr="00845921">
              <w:rPr>
                <w:bCs/>
                <w:lang w:val="en-GB"/>
              </w:rPr>
              <w:t>$</w:t>
            </w:r>
          </w:p>
        </w:tc>
        <w:tc>
          <w:tcPr>
            <w:tcW w:w="1800" w:type="dxa"/>
            <w:hideMark/>
          </w:tcPr>
          <w:p w14:paraId="42D3633A" w14:textId="77777777" w:rsidR="00643AC2" w:rsidRPr="00845921" w:rsidRDefault="00643AC2" w:rsidP="00845921">
            <w:pPr>
              <w:pStyle w:val="TableHeading"/>
              <w:rPr>
                <w:lang w:val="en-GB"/>
              </w:rPr>
            </w:pPr>
            <w:r w:rsidRPr="00845921">
              <w:rPr>
                <w:bCs/>
                <w:lang w:val="en-GB"/>
              </w:rPr>
              <w:t>$</w:t>
            </w:r>
          </w:p>
        </w:tc>
      </w:tr>
      <w:tr w:rsidR="00180D7E" w:rsidRPr="00845921" w14:paraId="67B1D760" w14:textId="77777777" w:rsidTr="00845921">
        <w:trPr>
          <w:cantSplit/>
        </w:trPr>
        <w:tc>
          <w:tcPr>
            <w:tcW w:w="10485" w:type="dxa"/>
            <w:gridSpan w:val="3"/>
            <w:hideMark/>
          </w:tcPr>
          <w:p w14:paraId="1265D53A" w14:textId="3289D6B5" w:rsidR="00180D7E" w:rsidRPr="00845921" w:rsidRDefault="00180D7E" w:rsidP="00845921">
            <w:pPr>
              <w:pStyle w:val="TableHeading"/>
              <w:rPr>
                <w:lang w:val="en-GB"/>
              </w:rPr>
            </w:pPr>
            <w:r w:rsidRPr="00845921">
              <w:rPr>
                <w:bCs/>
                <w:lang w:val="en-GB"/>
              </w:rPr>
              <w:t>Contractual</w:t>
            </w:r>
          </w:p>
        </w:tc>
      </w:tr>
      <w:tr w:rsidR="00180D7E" w:rsidRPr="00845921" w14:paraId="0FFA23D2" w14:textId="77777777" w:rsidTr="00845921">
        <w:trPr>
          <w:cantSplit/>
        </w:trPr>
        <w:tc>
          <w:tcPr>
            <w:tcW w:w="6941" w:type="dxa"/>
            <w:hideMark/>
          </w:tcPr>
          <w:p w14:paraId="2CA07EC1" w14:textId="77777777" w:rsidR="00643AC2" w:rsidRPr="00845921" w:rsidRDefault="00643AC2" w:rsidP="00845921">
            <w:pPr>
              <w:pStyle w:val="TableCopy"/>
              <w:rPr>
                <w:lang w:val="en-GB"/>
              </w:rPr>
            </w:pPr>
            <w:r w:rsidRPr="00845921">
              <w:rPr>
                <w:lang w:val="en-GB"/>
              </w:rPr>
              <w:t>Payables</w:t>
            </w:r>
          </w:p>
        </w:tc>
        <w:tc>
          <w:tcPr>
            <w:tcW w:w="1744" w:type="dxa"/>
            <w:hideMark/>
          </w:tcPr>
          <w:p w14:paraId="242B75C7" w14:textId="77777777" w:rsidR="00643AC2" w:rsidRPr="00845921" w:rsidRDefault="00643AC2" w:rsidP="00845921">
            <w:pPr>
              <w:pStyle w:val="TableCopy"/>
              <w:rPr>
                <w:b/>
                <w:lang w:val="en-GB"/>
              </w:rPr>
            </w:pPr>
            <w:r w:rsidRPr="00845921">
              <w:rPr>
                <w:b/>
                <w:lang w:val="en-GB"/>
              </w:rPr>
              <w:t>514,300</w:t>
            </w:r>
          </w:p>
        </w:tc>
        <w:tc>
          <w:tcPr>
            <w:tcW w:w="1800" w:type="dxa"/>
            <w:hideMark/>
          </w:tcPr>
          <w:p w14:paraId="32520798" w14:textId="77777777" w:rsidR="00643AC2" w:rsidRPr="00845921" w:rsidRDefault="00643AC2" w:rsidP="00845921">
            <w:pPr>
              <w:pStyle w:val="TableCopy"/>
              <w:rPr>
                <w:lang w:val="en-GB"/>
              </w:rPr>
            </w:pPr>
            <w:r w:rsidRPr="00845921">
              <w:rPr>
                <w:lang w:val="en-GB"/>
              </w:rPr>
              <w:t>337,257</w:t>
            </w:r>
          </w:p>
        </w:tc>
      </w:tr>
      <w:tr w:rsidR="00180D7E" w:rsidRPr="00845921" w14:paraId="6B8FC55A" w14:textId="77777777" w:rsidTr="00845921">
        <w:trPr>
          <w:cantSplit/>
        </w:trPr>
        <w:tc>
          <w:tcPr>
            <w:tcW w:w="6941" w:type="dxa"/>
            <w:hideMark/>
          </w:tcPr>
          <w:p w14:paraId="0A3CDB5A" w14:textId="77777777" w:rsidR="00643AC2" w:rsidRPr="00845921" w:rsidRDefault="00643AC2" w:rsidP="00845921">
            <w:pPr>
              <w:pStyle w:val="TableCopy"/>
              <w:rPr>
                <w:b/>
                <w:lang w:val="en-GB"/>
              </w:rPr>
            </w:pPr>
            <w:r w:rsidRPr="00845921">
              <w:rPr>
                <w:b/>
                <w:lang w:val="en-GB"/>
              </w:rPr>
              <w:t>Total payables</w:t>
            </w:r>
          </w:p>
        </w:tc>
        <w:tc>
          <w:tcPr>
            <w:tcW w:w="1744" w:type="dxa"/>
            <w:hideMark/>
          </w:tcPr>
          <w:p w14:paraId="5BB7B7AD" w14:textId="77777777" w:rsidR="00643AC2" w:rsidRPr="00845921" w:rsidRDefault="00643AC2" w:rsidP="00845921">
            <w:pPr>
              <w:pStyle w:val="TableCopy"/>
              <w:rPr>
                <w:b/>
                <w:lang w:val="en-GB"/>
              </w:rPr>
            </w:pPr>
            <w:r w:rsidRPr="00845921">
              <w:rPr>
                <w:b/>
                <w:lang w:val="en-GB"/>
              </w:rPr>
              <w:t>514,300</w:t>
            </w:r>
          </w:p>
        </w:tc>
        <w:tc>
          <w:tcPr>
            <w:tcW w:w="1800" w:type="dxa"/>
            <w:hideMark/>
          </w:tcPr>
          <w:p w14:paraId="320E5997" w14:textId="77777777" w:rsidR="00643AC2" w:rsidRPr="00845921" w:rsidRDefault="00643AC2" w:rsidP="00845921">
            <w:pPr>
              <w:pStyle w:val="TableCopy"/>
              <w:rPr>
                <w:lang w:val="en-GB"/>
              </w:rPr>
            </w:pPr>
            <w:r w:rsidRPr="00845921">
              <w:rPr>
                <w:lang w:val="en-GB"/>
              </w:rPr>
              <w:t>337,257</w:t>
            </w:r>
          </w:p>
        </w:tc>
      </w:tr>
      <w:tr w:rsidR="00180D7E" w:rsidRPr="00845921" w14:paraId="39D9643F" w14:textId="77777777" w:rsidTr="00845921">
        <w:trPr>
          <w:cantSplit/>
        </w:trPr>
        <w:tc>
          <w:tcPr>
            <w:tcW w:w="6941" w:type="dxa"/>
            <w:hideMark/>
          </w:tcPr>
          <w:p w14:paraId="05930330" w14:textId="77777777" w:rsidR="00643AC2" w:rsidRPr="00845921" w:rsidRDefault="00643AC2" w:rsidP="00845921">
            <w:pPr>
              <w:pStyle w:val="TableCopy"/>
              <w:rPr>
                <w:lang w:val="en-GB"/>
              </w:rPr>
            </w:pPr>
          </w:p>
        </w:tc>
        <w:tc>
          <w:tcPr>
            <w:tcW w:w="1744" w:type="dxa"/>
            <w:hideMark/>
          </w:tcPr>
          <w:p w14:paraId="73EDF4B8" w14:textId="77777777" w:rsidR="00643AC2" w:rsidRPr="00845921" w:rsidRDefault="00643AC2" w:rsidP="00845921">
            <w:pPr>
              <w:pStyle w:val="TableCopy"/>
              <w:rPr>
                <w:lang w:val="en-GB"/>
              </w:rPr>
            </w:pPr>
          </w:p>
        </w:tc>
        <w:tc>
          <w:tcPr>
            <w:tcW w:w="1800" w:type="dxa"/>
            <w:hideMark/>
          </w:tcPr>
          <w:p w14:paraId="0AD21E19" w14:textId="77777777" w:rsidR="00643AC2" w:rsidRPr="00845921" w:rsidRDefault="00643AC2" w:rsidP="00845921">
            <w:pPr>
              <w:pStyle w:val="TableCopy"/>
              <w:rPr>
                <w:lang w:val="en-GB"/>
              </w:rPr>
            </w:pPr>
          </w:p>
        </w:tc>
      </w:tr>
      <w:tr w:rsidR="00180D7E" w:rsidRPr="00845921" w14:paraId="18CA6203" w14:textId="77777777" w:rsidTr="00845921">
        <w:trPr>
          <w:cantSplit/>
        </w:trPr>
        <w:tc>
          <w:tcPr>
            <w:tcW w:w="10485" w:type="dxa"/>
            <w:gridSpan w:val="3"/>
            <w:hideMark/>
          </w:tcPr>
          <w:p w14:paraId="78F98E06" w14:textId="4F6B916A" w:rsidR="00180D7E" w:rsidRPr="00845921" w:rsidRDefault="00180D7E" w:rsidP="00845921">
            <w:pPr>
              <w:pStyle w:val="TableCopy"/>
              <w:rPr>
                <w:lang w:val="en-GB"/>
              </w:rPr>
            </w:pPr>
            <w:r w:rsidRPr="00845921">
              <w:rPr>
                <w:i/>
                <w:iCs/>
                <w:lang w:val="en-GB"/>
              </w:rPr>
              <w:t>Represented by:</w:t>
            </w:r>
          </w:p>
        </w:tc>
      </w:tr>
      <w:tr w:rsidR="00180D7E" w:rsidRPr="00845921" w14:paraId="29137706" w14:textId="77777777" w:rsidTr="00845921">
        <w:trPr>
          <w:cantSplit/>
        </w:trPr>
        <w:tc>
          <w:tcPr>
            <w:tcW w:w="6941" w:type="dxa"/>
            <w:hideMark/>
          </w:tcPr>
          <w:p w14:paraId="271EBADF" w14:textId="77777777" w:rsidR="00643AC2" w:rsidRPr="00845921" w:rsidRDefault="00643AC2" w:rsidP="00845921">
            <w:pPr>
              <w:pStyle w:val="TableCopy"/>
              <w:rPr>
                <w:lang w:val="en-GB"/>
              </w:rPr>
            </w:pPr>
            <w:r w:rsidRPr="00845921">
              <w:rPr>
                <w:lang w:val="en-GB"/>
              </w:rPr>
              <w:t>Current receivables</w:t>
            </w:r>
          </w:p>
        </w:tc>
        <w:tc>
          <w:tcPr>
            <w:tcW w:w="1744" w:type="dxa"/>
            <w:hideMark/>
          </w:tcPr>
          <w:p w14:paraId="60F3D62D" w14:textId="77777777" w:rsidR="00643AC2" w:rsidRPr="00845921" w:rsidRDefault="00643AC2" w:rsidP="00845921">
            <w:pPr>
              <w:pStyle w:val="TableCopy"/>
              <w:rPr>
                <w:b/>
                <w:lang w:val="en-GB"/>
              </w:rPr>
            </w:pPr>
            <w:r w:rsidRPr="00845921">
              <w:rPr>
                <w:b/>
                <w:lang w:val="en-GB"/>
              </w:rPr>
              <w:t>514,300</w:t>
            </w:r>
          </w:p>
        </w:tc>
        <w:tc>
          <w:tcPr>
            <w:tcW w:w="1800" w:type="dxa"/>
            <w:hideMark/>
          </w:tcPr>
          <w:p w14:paraId="056C5C09" w14:textId="77777777" w:rsidR="00643AC2" w:rsidRPr="00845921" w:rsidRDefault="00643AC2" w:rsidP="00845921">
            <w:pPr>
              <w:pStyle w:val="TableCopy"/>
              <w:rPr>
                <w:lang w:val="en-GB"/>
              </w:rPr>
            </w:pPr>
            <w:r w:rsidRPr="00845921">
              <w:rPr>
                <w:lang w:val="en-GB"/>
              </w:rPr>
              <w:t>337,257</w:t>
            </w:r>
          </w:p>
        </w:tc>
      </w:tr>
    </w:tbl>
    <w:p w14:paraId="07759AD2" w14:textId="77777777" w:rsidR="00643AC2" w:rsidRPr="00643AC2" w:rsidRDefault="00643AC2" w:rsidP="00643AC2">
      <w:pPr>
        <w:rPr>
          <w:lang w:val="en-GB"/>
        </w:rPr>
      </w:pPr>
      <w:r w:rsidRPr="00643AC2">
        <w:rPr>
          <w:lang w:val="en-GB"/>
        </w:rPr>
        <w:t>Contractual payables are classified as financial instruments and measured at amortised cost. Accounts payable represent liabilities for goods and services provided to the Commission prior to the end of the financial year that are unpaid. </w:t>
      </w:r>
    </w:p>
    <w:p w14:paraId="45C121E3" w14:textId="6592D60E" w:rsidR="00643AC2" w:rsidRPr="00643AC2" w:rsidRDefault="00643AC2" w:rsidP="00643AC2">
      <w:pPr>
        <w:rPr>
          <w:lang w:val="en-GB"/>
        </w:rPr>
      </w:pPr>
      <w:r w:rsidRPr="00643AC2">
        <w:rPr>
          <w:lang w:val="en-GB"/>
        </w:rPr>
        <w:lastRenderedPageBreak/>
        <w:t xml:space="preserve">Payables for supplies and services have an average credit period of 30 </w:t>
      </w:r>
      <w:r w:rsidR="00B04D80">
        <w:rPr>
          <w:lang w:val="en-GB"/>
        </w:rPr>
        <w:t xml:space="preserve">days. The terms and conditions </w:t>
      </w:r>
      <w:r w:rsidRPr="00643AC2">
        <w:rPr>
          <w:lang w:val="en-GB"/>
        </w:rPr>
        <w:t>of amounts payable to the government and agencies vary accordin</w:t>
      </w:r>
      <w:r w:rsidR="00B04D80">
        <w:rPr>
          <w:lang w:val="en-GB"/>
        </w:rPr>
        <w:t xml:space="preserve">g to the particular agreements </w:t>
      </w:r>
      <w:r w:rsidRPr="00643AC2">
        <w:rPr>
          <w:lang w:val="en-GB"/>
        </w:rPr>
        <w:t>and as they are not legislative payables, they are not classified as financial instruments.</w:t>
      </w:r>
    </w:p>
    <w:p w14:paraId="1D3DD2C4" w14:textId="4D2ABB57" w:rsidR="00643AC2" w:rsidRPr="00643AC2" w:rsidRDefault="00643AC2" w:rsidP="00B04D80">
      <w:pPr>
        <w:pStyle w:val="Heading4"/>
        <w:rPr>
          <w:lang w:val="en-GB"/>
        </w:rPr>
      </w:pPr>
      <w:r w:rsidRPr="00643AC2">
        <w:rPr>
          <w:lang w:val="en-GB"/>
        </w:rPr>
        <w:t>5.3.</w:t>
      </w:r>
      <w:r w:rsidRPr="00643AC2">
        <w:rPr>
          <w:lang w:val="en-GB"/>
        </w:rPr>
        <w:t> </w:t>
      </w:r>
      <w:r w:rsidR="00B04D80">
        <w:rPr>
          <w:lang w:val="en-GB"/>
        </w:rPr>
        <w:t>P</w:t>
      </w:r>
      <w:r w:rsidRPr="00643AC2">
        <w:rPr>
          <w:lang w:val="en-GB"/>
        </w:rPr>
        <w:t>repayments</w:t>
      </w:r>
    </w:p>
    <w:tbl>
      <w:tblPr>
        <w:tblStyle w:val="TableGrid"/>
        <w:tblW w:w="10485" w:type="dxa"/>
        <w:tblLook w:val="04A0" w:firstRow="1" w:lastRow="0" w:firstColumn="1" w:lastColumn="0" w:noHBand="0" w:noVBand="1"/>
      </w:tblPr>
      <w:tblGrid>
        <w:gridCol w:w="6941"/>
        <w:gridCol w:w="1772"/>
        <w:gridCol w:w="1772"/>
      </w:tblGrid>
      <w:tr w:rsidR="00E332C1" w:rsidRPr="00643AC2" w14:paraId="5030D350" w14:textId="77777777" w:rsidTr="003B2C7C">
        <w:trPr>
          <w:cantSplit/>
        </w:trPr>
        <w:tc>
          <w:tcPr>
            <w:tcW w:w="6941" w:type="dxa"/>
            <w:hideMark/>
          </w:tcPr>
          <w:p w14:paraId="67CB5FC0" w14:textId="77777777" w:rsidR="00643AC2" w:rsidRPr="003B2C7C" w:rsidRDefault="00643AC2" w:rsidP="003B2C7C">
            <w:pPr>
              <w:pStyle w:val="TableHeading"/>
              <w:rPr>
                <w:lang w:val="en-GB"/>
              </w:rPr>
            </w:pPr>
          </w:p>
        </w:tc>
        <w:tc>
          <w:tcPr>
            <w:tcW w:w="1772" w:type="dxa"/>
            <w:hideMark/>
          </w:tcPr>
          <w:p w14:paraId="00252B96" w14:textId="77777777" w:rsidR="00643AC2" w:rsidRPr="003B2C7C" w:rsidRDefault="00643AC2" w:rsidP="003B2C7C">
            <w:pPr>
              <w:pStyle w:val="TableHeading"/>
              <w:rPr>
                <w:lang w:val="en-GB"/>
              </w:rPr>
            </w:pPr>
            <w:r w:rsidRPr="003B2C7C">
              <w:rPr>
                <w:bCs/>
                <w:lang w:val="en-GB"/>
              </w:rPr>
              <w:t>2017</w:t>
            </w:r>
          </w:p>
        </w:tc>
        <w:tc>
          <w:tcPr>
            <w:tcW w:w="1772" w:type="dxa"/>
            <w:hideMark/>
          </w:tcPr>
          <w:p w14:paraId="2D05BD02" w14:textId="77777777" w:rsidR="00643AC2" w:rsidRPr="003B2C7C" w:rsidRDefault="00643AC2" w:rsidP="003B2C7C">
            <w:pPr>
              <w:pStyle w:val="TableHeading"/>
              <w:rPr>
                <w:lang w:val="en-GB"/>
              </w:rPr>
            </w:pPr>
            <w:r w:rsidRPr="003B2C7C">
              <w:rPr>
                <w:bCs/>
                <w:lang w:val="en-GB"/>
              </w:rPr>
              <w:t>2016</w:t>
            </w:r>
          </w:p>
        </w:tc>
      </w:tr>
      <w:tr w:rsidR="00E332C1" w:rsidRPr="00643AC2" w14:paraId="52FA3254" w14:textId="77777777" w:rsidTr="003B2C7C">
        <w:trPr>
          <w:cantSplit/>
        </w:trPr>
        <w:tc>
          <w:tcPr>
            <w:tcW w:w="6941" w:type="dxa"/>
            <w:hideMark/>
          </w:tcPr>
          <w:p w14:paraId="7C278744" w14:textId="77777777" w:rsidR="00643AC2" w:rsidRPr="003B2C7C" w:rsidRDefault="00643AC2" w:rsidP="003B2C7C">
            <w:pPr>
              <w:pStyle w:val="TableHeading"/>
              <w:rPr>
                <w:lang w:val="en-GB"/>
              </w:rPr>
            </w:pPr>
          </w:p>
        </w:tc>
        <w:tc>
          <w:tcPr>
            <w:tcW w:w="1772" w:type="dxa"/>
            <w:hideMark/>
          </w:tcPr>
          <w:p w14:paraId="137D286D" w14:textId="77777777" w:rsidR="00643AC2" w:rsidRPr="003B2C7C" w:rsidRDefault="00643AC2" w:rsidP="003B2C7C">
            <w:pPr>
              <w:pStyle w:val="TableHeading"/>
              <w:rPr>
                <w:lang w:val="en-GB"/>
              </w:rPr>
            </w:pPr>
            <w:r w:rsidRPr="003B2C7C">
              <w:rPr>
                <w:bCs/>
                <w:lang w:val="en-GB"/>
              </w:rPr>
              <w:t>$</w:t>
            </w:r>
          </w:p>
        </w:tc>
        <w:tc>
          <w:tcPr>
            <w:tcW w:w="1772" w:type="dxa"/>
            <w:hideMark/>
          </w:tcPr>
          <w:p w14:paraId="4384A6A7" w14:textId="77777777" w:rsidR="00643AC2" w:rsidRPr="003B2C7C" w:rsidRDefault="00643AC2" w:rsidP="003B2C7C">
            <w:pPr>
              <w:pStyle w:val="TableHeading"/>
              <w:rPr>
                <w:lang w:val="en-GB"/>
              </w:rPr>
            </w:pPr>
            <w:r w:rsidRPr="003B2C7C">
              <w:rPr>
                <w:bCs/>
                <w:lang w:val="en-GB"/>
              </w:rPr>
              <w:t>$</w:t>
            </w:r>
          </w:p>
        </w:tc>
      </w:tr>
      <w:tr w:rsidR="00E332C1" w:rsidRPr="00643AC2" w14:paraId="1A957CA7" w14:textId="77777777" w:rsidTr="003B2C7C">
        <w:trPr>
          <w:cantSplit/>
        </w:trPr>
        <w:tc>
          <w:tcPr>
            <w:tcW w:w="6941" w:type="dxa"/>
            <w:hideMark/>
          </w:tcPr>
          <w:p w14:paraId="63699C4D" w14:textId="77777777" w:rsidR="00643AC2" w:rsidRPr="003B2C7C" w:rsidRDefault="00643AC2" w:rsidP="003B2C7C">
            <w:pPr>
              <w:pStyle w:val="TableCopy"/>
              <w:rPr>
                <w:b/>
                <w:lang w:val="en-GB"/>
              </w:rPr>
            </w:pPr>
            <w:r w:rsidRPr="003B2C7C">
              <w:rPr>
                <w:b/>
                <w:lang w:val="en-GB"/>
              </w:rPr>
              <w:t>Prepayments</w:t>
            </w:r>
          </w:p>
        </w:tc>
        <w:tc>
          <w:tcPr>
            <w:tcW w:w="1772" w:type="dxa"/>
            <w:hideMark/>
          </w:tcPr>
          <w:p w14:paraId="659E235E" w14:textId="77777777" w:rsidR="00643AC2" w:rsidRPr="003B2C7C" w:rsidRDefault="00643AC2" w:rsidP="003B2C7C">
            <w:pPr>
              <w:pStyle w:val="TableCopy"/>
              <w:rPr>
                <w:b/>
                <w:lang w:val="en-GB"/>
              </w:rPr>
            </w:pPr>
            <w:r w:rsidRPr="003B2C7C">
              <w:rPr>
                <w:b/>
                <w:lang w:val="en-GB"/>
              </w:rPr>
              <w:t>42,533</w:t>
            </w:r>
          </w:p>
        </w:tc>
        <w:tc>
          <w:tcPr>
            <w:tcW w:w="1772" w:type="dxa"/>
            <w:hideMark/>
          </w:tcPr>
          <w:p w14:paraId="7EBFAE7A" w14:textId="77777777" w:rsidR="00643AC2" w:rsidRPr="003B2C7C" w:rsidRDefault="00643AC2" w:rsidP="003B2C7C">
            <w:pPr>
              <w:pStyle w:val="TableCopy"/>
              <w:rPr>
                <w:lang w:val="en-GB"/>
              </w:rPr>
            </w:pPr>
            <w:r w:rsidRPr="003B2C7C">
              <w:rPr>
                <w:lang w:val="en-GB"/>
              </w:rPr>
              <w:t>466,590</w:t>
            </w:r>
          </w:p>
        </w:tc>
      </w:tr>
    </w:tbl>
    <w:p w14:paraId="52BD3A8F" w14:textId="77777777" w:rsidR="00643AC2" w:rsidRPr="00643AC2" w:rsidRDefault="00643AC2" w:rsidP="00643AC2">
      <w:pPr>
        <w:rPr>
          <w:lang w:val="en-GB"/>
        </w:rPr>
      </w:pPr>
      <w:r w:rsidRPr="00643AC2">
        <w:rPr>
          <w:lang w:val="en-GB"/>
        </w:rPr>
        <w:t>Prepayments represent payments in advance of receipt of goods or services or that part of expenditure made in one accounting period covering a term extending beyond that period.</w:t>
      </w:r>
    </w:p>
    <w:p w14:paraId="407C6314" w14:textId="7B61D3CA" w:rsidR="00643AC2" w:rsidRPr="00643AC2" w:rsidRDefault="00643AC2" w:rsidP="00B04D80">
      <w:pPr>
        <w:pStyle w:val="Heading4"/>
        <w:rPr>
          <w:lang w:val="en-GB"/>
        </w:rPr>
      </w:pPr>
      <w:r w:rsidRPr="00643AC2">
        <w:rPr>
          <w:lang w:val="en-GB"/>
        </w:rPr>
        <w:t>5.4.</w:t>
      </w:r>
      <w:r w:rsidRPr="00643AC2">
        <w:rPr>
          <w:lang w:val="en-GB"/>
        </w:rPr>
        <w:t> </w:t>
      </w:r>
      <w:r w:rsidR="00B04D80">
        <w:rPr>
          <w:lang w:val="en-GB"/>
        </w:rPr>
        <w:t>U</w:t>
      </w:r>
      <w:r w:rsidRPr="00643AC2">
        <w:rPr>
          <w:lang w:val="en-GB"/>
        </w:rPr>
        <w:t>nearned income</w:t>
      </w:r>
    </w:p>
    <w:tbl>
      <w:tblPr>
        <w:tblStyle w:val="TableGrid"/>
        <w:tblW w:w="10485" w:type="dxa"/>
        <w:tblLook w:val="04A0" w:firstRow="1" w:lastRow="0" w:firstColumn="1" w:lastColumn="0" w:noHBand="0" w:noVBand="1"/>
      </w:tblPr>
      <w:tblGrid>
        <w:gridCol w:w="6941"/>
        <w:gridCol w:w="1772"/>
        <w:gridCol w:w="1772"/>
      </w:tblGrid>
      <w:tr w:rsidR="00486CE2" w:rsidRPr="00402D63" w14:paraId="1225143E" w14:textId="77777777" w:rsidTr="00402D63">
        <w:trPr>
          <w:cantSplit/>
        </w:trPr>
        <w:tc>
          <w:tcPr>
            <w:tcW w:w="6941" w:type="dxa"/>
            <w:hideMark/>
          </w:tcPr>
          <w:p w14:paraId="7EF1DC04" w14:textId="77777777" w:rsidR="00643AC2" w:rsidRPr="00402D63" w:rsidRDefault="00643AC2" w:rsidP="00402D63">
            <w:pPr>
              <w:pStyle w:val="TableHeading"/>
              <w:rPr>
                <w:lang w:val="en-GB"/>
              </w:rPr>
            </w:pPr>
          </w:p>
        </w:tc>
        <w:tc>
          <w:tcPr>
            <w:tcW w:w="1772" w:type="dxa"/>
            <w:hideMark/>
          </w:tcPr>
          <w:p w14:paraId="1F9278EC" w14:textId="77777777" w:rsidR="00643AC2" w:rsidRPr="00402D63" w:rsidRDefault="00643AC2" w:rsidP="00402D63">
            <w:pPr>
              <w:pStyle w:val="TableHeading"/>
              <w:rPr>
                <w:lang w:val="en-GB"/>
              </w:rPr>
            </w:pPr>
            <w:r w:rsidRPr="00402D63">
              <w:rPr>
                <w:bCs/>
                <w:lang w:val="en-GB"/>
              </w:rPr>
              <w:t>2017</w:t>
            </w:r>
          </w:p>
        </w:tc>
        <w:tc>
          <w:tcPr>
            <w:tcW w:w="1772" w:type="dxa"/>
            <w:hideMark/>
          </w:tcPr>
          <w:p w14:paraId="5135A5C3" w14:textId="77777777" w:rsidR="00643AC2" w:rsidRPr="00402D63" w:rsidRDefault="00643AC2" w:rsidP="00402D63">
            <w:pPr>
              <w:pStyle w:val="TableHeading"/>
              <w:rPr>
                <w:lang w:val="en-GB"/>
              </w:rPr>
            </w:pPr>
            <w:r w:rsidRPr="00402D63">
              <w:rPr>
                <w:bCs/>
                <w:lang w:val="en-GB"/>
              </w:rPr>
              <w:t>2016</w:t>
            </w:r>
          </w:p>
        </w:tc>
      </w:tr>
      <w:tr w:rsidR="00486CE2" w:rsidRPr="00402D63" w14:paraId="2AA13E4D" w14:textId="77777777" w:rsidTr="00402D63">
        <w:trPr>
          <w:cantSplit/>
        </w:trPr>
        <w:tc>
          <w:tcPr>
            <w:tcW w:w="6941" w:type="dxa"/>
            <w:hideMark/>
          </w:tcPr>
          <w:p w14:paraId="33863F4E" w14:textId="77777777" w:rsidR="00643AC2" w:rsidRPr="00402D63" w:rsidRDefault="00643AC2" w:rsidP="00402D63">
            <w:pPr>
              <w:pStyle w:val="TableHeading"/>
              <w:rPr>
                <w:lang w:val="en-GB"/>
              </w:rPr>
            </w:pPr>
          </w:p>
        </w:tc>
        <w:tc>
          <w:tcPr>
            <w:tcW w:w="1772" w:type="dxa"/>
            <w:hideMark/>
          </w:tcPr>
          <w:p w14:paraId="40375054" w14:textId="77777777" w:rsidR="00643AC2" w:rsidRPr="00402D63" w:rsidRDefault="00643AC2" w:rsidP="00402D63">
            <w:pPr>
              <w:pStyle w:val="TableHeading"/>
              <w:rPr>
                <w:lang w:val="en-GB"/>
              </w:rPr>
            </w:pPr>
            <w:r w:rsidRPr="00402D63">
              <w:rPr>
                <w:bCs/>
                <w:lang w:val="en-GB"/>
              </w:rPr>
              <w:t>$</w:t>
            </w:r>
          </w:p>
        </w:tc>
        <w:tc>
          <w:tcPr>
            <w:tcW w:w="1772" w:type="dxa"/>
            <w:hideMark/>
          </w:tcPr>
          <w:p w14:paraId="25117AD0" w14:textId="77777777" w:rsidR="00643AC2" w:rsidRPr="00402D63" w:rsidRDefault="00643AC2" w:rsidP="00402D63">
            <w:pPr>
              <w:pStyle w:val="TableHeading"/>
              <w:rPr>
                <w:lang w:val="en-GB"/>
              </w:rPr>
            </w:pPr>
            <w:r w:rsidRPr="00402D63">
              <w:rPr>
                <w:bCs/>
                <w:lang w:val="en-GB"/>
              </w:rPr>
              <w:t>$</w:t>
            </w:r>
          </w:p>
        </w:tc>
      </w:tr>
      <w:tr w:rsidR="00486CE2" w:rsidRPr="00402D63" w14:paraId="741D462C" w14:textId="77777777" w:rsidTr="00402D63">
        <w:trPr>
          <w:cantSplit/>
        </w:trPr>
        <w:tc>
          <w:tcPr>
            <w:tcW w:w="6941" w:type="dxa"/>
            <w:hideMark/>
          </w:tcPr>
          <w:p w14:paraId="06DFE76B" w14:textId="77777777" w:rsidR="00643AC2" w:rsidRPr="00402D63" w:rsidRDefault="00643AC2" w:rsidP="00402D63">
            <w:pPr>
              <w:pStyle w:val="TableCopy"/>
              <w:rPr>
                <w:b/>
                <w:lang w:val="en-GB"/>
              </w:rPr>
            </w:pPr>
            <w:r w:rsidRPr="00402D63">
              <w:rPr>
                <w:b/>
                <w:lang w:val="en-GB"/>
              </w:rPr>
              <w:t>Unearned income</w:t>
            </w:r>
          </w:p>
        </w:tc>
        <w:tc>
          <w:tcPr>
            <w:tcW w:w="1772" w:type="dxa"/>
            <w:hideMark/>
          </w:tcPr>
          <w:p w14:paraId="56BDA65F" w14:textId="77777777" w:rsidR="00643AC2" w:rsidRPr="00402D63" w:rsidRDefault="00643AC2" w:rsidP="00402D63">
            <w:pPr>
              <w:pStyle w:val="TableCopy"/>
              <w:rPr>
                <w:b/>
                <w:lang w:val="en-GB"/>
              </w:rPr>
            </w:pPr>
            <w:r w:rsidRPr="00402D63">
              <w:rPr>
                <w:b/>
                <w:lang w:val="en-GB"/>
              </w:rPr>
              <w:t>1,077,223</w:t>
            </w:r>
          </w:p>
        </w:tc>
        <w:tc>
          <w:tcPr>
            <w:tcW w:w="1772" w:type="dxa"/>
            <w:hideMark/>
          </w:tcPr>
          <w:p w14:paraId="44A474AF" w14:textId="77777777" w:rsidR="00643AC2" w:rsidRPr="00402D63" w:rsidRDefault="00643AC2" w:rsidP="00402D63">
            <w:pPr>
              <w:pStyle w:val="TableCopy"/>
              <w:rPr>
                <w:lang w:val="en-GB"/>
              </w:rPr>
            </w:pPr>
            <w:r w:rsidRPr="00402D63">
              <w:rPr>
                <w:lang w:val="en-GB"/>
              </w:rPr>
              <w:t>708,817</w:t>
            </w:r>
          </w:p>
        </w:tc>
      </w:tr>
    </w:tbl>
    <w:p w14:paraId="58F3CDA2" w14:textId="61E33800" w:rsidR="00643AC2" w:rsidRPr="00643AC2" w:rsidRDefault="00643AC2" w:rsidP="00643AC2">
      <w:pPr>
        <w:rPr>
          <w:lang w:val="en-GB"/>
        </w:rPr>
      </w:pPr>
      <w:r w:rsidRPr="00643AC2">
        <w:rPr>
          <w:lang w:val="en-GB"/>
        </w:rPr>
        <w:t>Unearned income represents fees and charges that relate to courses</w:t>
      </w:r>
      <w:r w:rsidR="00431CE0">
        <w:rPr>
          <w:lang w:val="en-GB"/>
        </w:rPr>
        <w:t xml:space="preserve"> to be held in future periods. </w:t>
      </w:r>
      <w:r w:rsidRPr="00643AC2">
        <w:rPr>
          <w:lang w:val="en-GB"/>
        </w:rPr>
        <w:t>Such income is recognised as unearned revenue within liabilities.</w:t>
      </w:r>
    </w:p>
    <w:p w14:paraId="1C24B87D" w14:textId="64E85068" w:rsidR="00643AC2" w:rsidRPr="00643AC2" w:rsidRDefault="00643AC2" w:rsidP="00684298">
      <w:pPr>
        <w:pStyle w:val="Heading2"/>
        <w:rPr>
          <w:lang w:val="en-GB"/>
        </w:rPr>
      </w:pPr>
      <w:bookmarkStart w:id="91" w:name="_Toc494112019"/>
      <w:r w:rsidRPr="00643AC2">
        <w:rPr>
          <w:lang w:val="en-GB"/>
        </w:rPr>
        <w:t>6.</w:t>
      </w:r>
      <w:r w:rsidRPr="00643AC2">
        <w:rPr>
          <w:lang w:val="en-GB"/>
        </w:rPr>
        <w:t> </w:t>
      </w:r>
      <w:r w:rsidR="00431CE0">
        <w:rPr>
          <w:lang w:val="en-GB"/>
        </w:rPr>
        <w:t>F</w:t>
      </w:r>
      <w:r w:rsidRPr="00643AC2">
        <w:rPr>
          <w:lang w:val="en-GB"/>
        </w:rPr>
        <w:t>inancing our operations</w:t>
      </w:r>
      <w:bookmarkEnd w:id="91"/>
    </w:p>
    <w:p w14:paraId="47C657D2" w14:textId="77777777" w:rsidR="00643AC2" w:rsidRPr="00643AC2" w:rsidRDefault="00643AC2" w:rsidP="00684298">
      <w:pPr>
        <w:pStyle w:val="Heading3"/>
        <w:rPr>
          <w:lang w:val="en-GB"/>
        </w:rPr>
      </w:pPr>
      <w:bookmarkStart w:id="92" w:name="_Toc494112020"/>
      <w:r w:rsidRPr="00643AC2">
        <w:rPr>
          <w:lang w:val="en-GB"/>
        </w:rPr>
        <w:t>Introduction</w:t>
      </w:r>
      <w:bookmarkEnd w:id="92"/>
    </w:p>
    <w:p w14:paraId="1F23E6E9" w14:textId="77777777" w:rsidR="00643AC2" w:rsidRPr="00643AC2" w:rsidRDefault="00643AC2" w:rsidP="00643AC2">
      <w:pPr>
        <w:rPr>
          <w:lang w:val="en-GB"/>
        </w:rPr>
      </w:pPr>
      <w:r w:rsidRPr="00643AC2">
        <w:rPr>
          <w:lang w:val="en-GB"/>
        </w:rPr>
        <w:t>This section provides information on the sources of finance utilised by the Commission during its operations, along with interest expenses (the cost of finance lease liabilities) and other information related to financing activities of the Commission.</w:t>
      </w:r>
    </w:p>
    <w:p w14:paraId="3F5E4765" w14:textId="77777777" w:rsidR="00643AC2" w:rsidRPr="00643AC2" w:rsidRDefault="00643AC2" w:rsidP="00643AC2">
      <w:pPr>
        <w:rPr>
          <w:lang w:val="en-GB"/>
        </w:rPr>
      </w:pPr>
      <w:r w:rsidRPr="00643AC2">
        <w:rPr>
          <w:lang w:val="en-GB"/>
        </w:rPr>
        <w:t>This section includes disclosures of balances that are financial instruments (such as finance lease liabilities and cash balances).</w:t>
      </w:r>
    </w:p>
    <w:p w14:paraId="1EE5C3DC" w14:textId="77777777" w:rsidR="00643AC2" w:rsidRPr="00643AC2" w:rsidRDefault="00643AC2" w:rsidP="00684298">
      <w:pPr>
        <w:pStyle w:val="Heading3"/>
        <w:rPr>
          <w:lang w:val="en-GB"/>
        </w:rPr>
      </w:pPr>
      <w:bookmarkStart w:id="93" w:name="_Toc494112021"/>
      <w:r w:rsidRPr="00643AC2">
        <w:rPr>
          <w:lang w:val="en-GB"/>
        </w:rPr>
        <w:t>Structure</w:t>
      </w:r>
      <w:bookmarkEnd w:id="93"/>
    </w:p>
    <w:p w14:paraId="6F97A46A" w14:textId="79B4C0DE" w:rsidR="00643AC2" w:rsidRPr="00643AC2" w:rsidRDefault="00643AC2" w:rsidP="00643AC2">
      <w:pPr>
        <w:rPr>
          <w:lang w:val="en-GB"/>
        </w:rPr>
      </w:pPr>
      <w:r w:rsidRPr="00643AC2">
        <w:rPr>
          <w:lang w:val="en-GB"/>
        </w:rPr>
        <w:t>6.1.</w:t>
      </w:r>
      <w:r w:rsidRPr="00643AC2">
        <w:rPr>
          <w:lang w:val="en-GB"/>
        </w:rPr>
        <w:t> </w:t>
      </w:r>
      <w:r w:rsidR="00684298">
        <w:rPr>
          <w:lang w:val="en-GB"/>
        </w:rPr>
        <w:t>B</w:t>
      </w:r>
      <w:r w:rsidRPr="00643AC2">
        <w:rPr>
          <w:lang w:val="en-GB"/>
        </w:rPr>
        <w:t>orrowings (Leases)</w:t>
      </w:r>
    </w:p>
    <w:p w14:paraId="278B5A04" w14:textId="26581018" w:rsidR="00643AC2" w:rsidRPr="00643AC2" w:rsidRDefault="00643AC2" w:rsidP="00643AC2">
      <w:pPr>
        <w:rPr>
          <w:lang w:val="en-GB"/>
        </w:rPr>
      </w:pPr>
      <w:r w:rsidRPr="00643AC2">
        <w:rPr>
          <w:lang w:val="en-GB"/>
        </w:rPr>
        <w:t>6.2.</w:t>
      </w:r>
      <w:r w:rsidRPr="00643AC2">
        <w:rPr>
          <w:lang w:val="en-GB"/>
        </w:rPr>
        <w:t> </w:t>
      </w:r>
      <w:r w:rsidR="00684298">
        <w:rPr>
          <w:lang w:val="en-GB"/>
        </w:rPr>
        <w:t>R</w:t>
      </w:r>
      <w:r w:rsidRPr="00643AC2">
        <w:rPr>
          <w:lang w:val="en-GB"/>
        </w:rPr>
        <w:t>econciliation of net result to cash flow from operating activities</w:t>
      </w:r>
    </w:p>
    <w:p w14:paraId="28090753" w14:textId="1B6E1D8C" w:rsidR="00643AC2" w:rsidRPr="00643AC2" w:rsidRDefault="00643AC2" w:rsidP="00643AC2">
      <w:pPr>
        <w:rPr>
          <w:lang w:val="en-GB"/>
        </w:rPr>
      </w:pPr>
      <w:r w:rsidRPr="00643AC2">
        <w:rPr>
          <w:lang w:val="en-GB"/>
        </w:rPr>
        <w:t>6.3.</w:t>
      </w:r>
      <w:r w:rsidRPr="00643AC2">
        <w:rPr>
          <w:lang w:val="en-GB"/>
        </w:rPr>
        <w:t> </w:t>
      </w:r>
      <w:r w:rsidR="00684298">
        <w:rPr>
          <w:lang w:val="en-GB"/>
        </w:rPr>
        <w:t>C</w:t>
      </w:r>
      <w:r w:rsidRPr="00643AC2">
        <w:rPr>
          <w:lang w:val="en-GB"/>
        </w:rPr>
        <w:t>ommitments for expenditure</w:t>
      </w:r>
    </w:p>
    <w:p w14:paraId="7D6AB3A5" w14:textId="77777777" w:rsidR="00643AC2" w:rsidRPr="00643AC2" w:rsidRDefault="00643AC2" w:rsidP="00684298">
      <w:pPr>
        <w:pStyle w:val="Heading4"/>
        <w:rPr>
          <w:lang w:val="en-GB"/>
        </w:rPr>
      </w:pPr>
      <w:r w:rsidRPr="00643AC2">
        <w:rPr>
          <w:lang w:val="en-GB"/>
        </w:rPr>
        <w:t>6.1.</w:t>
      </w:r>
      <w:r w:rsidRPr="00643AC2">
        <w:rPr>
          <w:lang w:val="en-GB"/>
        </w:rPr>
        <w:t> </w:t>
      </w:r>
      <w:r w:rsidRPr="00643AC2">
        <w:rPr>
          <w:lang w:val="en-GB"/>
        </w:rPr>
        <w:t>Borrowings (Leases)</w:t>
      </w:r>
    </w:p>
    <w:tbl>
      <w:tblPr>
        <w:tblStyle w:val="TableGrid"/>
        <w:tblW w:w="10485" w:type="dxa"/>
        <w:tblLook w:val="04A0" w:firstRow="1" w:lastRow="0" w:firstColumn="1" w:lastColumn="0" w:noHBand="0" w:noVBand="1"/>
      </w:tblPr>
      <w:tblGrid>
        <w:gridCol w:w="6941"/>
        <w:gridCol w:w="1772"/>
        <w:gridCol w:w="1772"/>
      </w:tblGrid>
      <w:tr w:rsidR="00684298" w:rsidRPr="00643AC2" w14:paraId="57AE7A37" w14:textId="77777777" w:rsidTr="00D3696B">
        <w:trPr>
          <w:cantSplit/>
          <w:tblHeader/>
        </w:trPr>
        <w:tc>
          <w:tcPr>
            <w:tcW w:w="6941" w:type="dxa"/>
            <w:hideMark/>
          </w:tcPr>
          <w:p w14:paraId="017ABF80" w14:textId="77777777" w:rsidR="00643AC2" w:rsidRPr="007D0A40" w:rsidRDefault="00643AC2" w:rsidP="007D0A40">
            <w:pPr>
              <w:pStyle w:val="TableHeading"/>
              <w:rPr>
                <w:lang w:val="en-GB"/>
              </w:rPr>
            </w:pPr>
          </w:p>
        </w:tc>
        <w:tc>
          <w:tcPr>
            <w:tcW w:w="1772" w:type="dxa"/>
            <w:hideMark/>
          </w:tcPr>
          <w:p w14:paraId="5D113D08" w14:textId="77777777" w:rsidR="00643AC2" w:rsidRPr="007D0A40" w:rsidRDefault="00643AC2" w:rsidP="007D0A40">
            <w:pPr>
              <w:pStyle w:val="TableHeading"/>
              <w:rPr>
                <w:lang w:val="en-GB"/>
              </w:rPr>
            </w:pPr>
            <w:r w:rsidRPr="007D0A40">
              <w:rPr>
                <w:bCs/>
                <w:lang w:val="en-GB"/>
              </w:rPr>
              <w:t>2017</w:t>
            </w:r>
          </w:p>
        </w:tc>
        <w:tc>
          <w:tcPr>
            <w:tcW w:w="1772" w:type="dxa"/>
            <w:hideMark/>
          </w:tcPr>
          <w:p w14:paraId="795F4A33" w14:textId="77777777" w:rsidR="00643AC2" w:rsidRPr="007D0A40" w:rsidRDefault="00643AC2" w:rsidP="007D0A40">
            <w:pPr>
              <w:pStyle w:val="TableHeading"/>
              <w:rPr>
                <w:lang w:val="en-GB"/>
              </w:rPr>
            </w:pPr>
            <w:r w:rsidRPr="007D0A40">
              <w:rPr>
                <w:bCs/>
                <w:lang w:val="en-GB"/>
              </w:rPr>
              <w:t>2016</w:t>
            </w:r>
          </w:p>
        </w:tc>
      </w:tr>
      <w:tr w:rsidR="00684298" w:rsidRPr="00643AC2" w14:paraId="57F90BBE" w14:textId="77777777" w:rsidTr="00D3696B">
        <w:trPr>
          <w:cantSplit/>
          <w:tblHeader/>
        </w:trPr>
        <w:tc>
          <w:tcPr>
            <w:tcW w:w="6941" w:type="dxa"/>
            <w:hideMark/>
          </w:tcPr>
          <w:p w14:paraId="5B937B34" w14:textId="77777777" w:rsidR="00643AC2" w:rsidRPr="007D0A40" w:rsidRDefault="00643AC2" w:rsidP="007D0A40">
            <w:pPr>
              <w:pStyle w:val="TableHeading"/>
              <w:rPr>
                <w:lang w:val="en-GB"/>
              </w:rPr>
            </w:pPr>
          </w:p>
        </w:tc>
        <w:tc>
          <w:tcPr>
            <w:tcW w:w="1772" w:type="dxa"/>
            <w:hideMark/>
          </w:tcPr>
          <w:p w14:paraId="43EA50F5" w14:textId="77777777" w:rsidR="00643AC2" w:rsidRPr="007D0A40" w:rsidRDefault="00643AC2" w:rsidP="007D0A40">
            <w:pPr>
              <w:pStyle w:val="TableHeading"/>
              <w:rPr>
                <w:lang w:val="en-GB"/>
              </w:rPr>
            </w:pPr>
            <w:r w:rsidRPr="007D0A40">
              <w:rPr>
                <w:bCs/>
                <w:lang w:val="en-GB"/>
              </w:rPr>
              <w:t>$</w:t>
            </w:r>
          </w:p>
        </w:tc>
        <w:tc>
          <w:tcPr>
            <w:tcW w:w="1772" w:type="dxa"/>
            <w:hideMark/>
          </w:tcPr>
          <w:p w14:paraId="0F30A365" w14:textId="77777777" w:rsidR="00643AC2" w:rsidRPr="007D0A40" w:rsidRDefault="00643AC2" w:rsidP="007D0A40">
            <w:pPr>
              <w:pStyle w:val="TableHeading"/>
              <w:rPr>
                <w:lang w:val="en-GB"/>
              </w:rPr>
            </w:pPr>
            <w:r w:rsidRPr="007D0A40">
              <w:rPr>
                <w:bCs/>
                <w:lang w:val="en-GB"/>
              </w:rPr>
              <w:t>$</w:t>
            </w:r>
          </w:p>
        </w:tc>
      </w:tr>
      <w:tr w:rsidR="00684298" w:rsidRPr="00643AC2" w14:paraId="6BE45FCA" w14:textId="77777777" w:rsidTr="00D3696B">
        <w:trPr>
          <w:cantSplit/>
        </w:trPr>
        <w:tc>
          <w:tcPr>
            <w:tcW w:w="10485" w:type="dxa"/>
            <w:gridSpan w:val="3"/>
            <w:hideMark/>
          </w:tcPr>
          <w:p w14:paraId="401B2196" w14:textId="12333B5B" w:rsidR="00684298" w:rsidRPr="007D0A40" w:rsidRDefault="00684298" w:rsidP="007D0A40">
            <w:pPr>
              <w:pStyle w:val="TableHeading"/>
              <w:rPr>
                <w:lang w:val="en-GB"/>
              </w:rPr>
            </w:pPr>
            <w:r w:rsidRPr="007D0A40">
              <w:rPr>
                <w:lang w:val="en-GB"/>
              </w:rPr>
              <w:t>Secured</w:t>
            </w:r>
          </w:p>
        </w:tc>
      </w:tr>
      <w:tr w:rsidR="00684298" w:rsidRPr="00643AC2" w14:paraId="4D1CB033" w14:textId="77777777" w:rsidTr="00D3696B">
        <w:trPr>
          <w:cantSplit/>
        </w:trPr>
        <w:tc>
          <w:tcPr>
            <w:tcW w:w="6941" w:type="dxa"/>
            <w:hideMark/>
          </w:tcPr>
          <w:p w14:paraId="333BC298" w14:textId="77777777" w:rsidR="00643AC2" w:rsidRPr="007D0A40" w:rsidRDefault="00643AC2" w:rsidP="007D0A40">
            <w:pPr>
              <w:pStyle w:val="TableCopy"/>
              <w:rPr>
                <w:lang w:val="en-GB"/>
              </w:rPr>
            </w:pPr>
            <w:r w:rsidRPr="007D0A40">
              <w:rPr>
                <w:lang w:val="en-GB"/>
              </w:rPr>
              <w:t>Current lease liabilities</w:t>
            </w:r>
          </w:p>
        </w:tc>
        <w:tc>
          <w:tcPr>
            <w:tcW w:w="1772" w:type="dxa"/>
            <w:hideMark/>
          </w:tcPr>
          <w:p w14:paraId="16A4FE96" w14:textId="77777777" w:rsidR="00643AC2" w:rsidRPr="007D0A40" w:rsidRDefault="00643AC2" w:rsidP="007D0A40">
            <w:pPr>
              <w:pStyle w:val="TableCopy"/>
              <w:rPr>
                <w:b/>
                <w:lang w:val="en-GB"/>
              </w:rPr>
            </w:pPr>
            <w:r w:rsidRPr="007D0A40">
              <w:rPr>
                <w:b/>
                <w:lang w:val="en-GB"/>
              </w:rPr>
              <w:t>46,258</w:t>
            </w:r>
          </w:p>
        </w:tc>
        <w:tc>
          <w:tcPr>
            <w:tcW w:w="1772" w:type="dxa"/>
            <w:hideMark/>
          </w:tcPr>
          <w:p w14:paraId="52C79144" w14:textId="77777777" w:rsidR="00643AC2" w:rsidRPr="007D0A40" w:rsidRDefault="00643AC2" w:rsidP="007D0A40">
            <w:pPr>
              <w:pStyle w:val="TableCopy"/>
              <w:rPr>
                <w:lang w:val="en-GB"/>
              </w:rPr>
            </w:pPr>
            <w:r w:rsidRPr="007D0A40">
              <w:rPr>
                <w:lang w:val="en-GB"/>
              </w:rPr>
              <w:t>16,776</w:t>
            </w:r>
          </w:p>
        </w:tc>
      </w:tr>
      <w:tr w:rsidR="00684298" w:rsidRPr="00643AC2" w14:paraId="57ECA204" w14:textId="77777777" w:rsidTr="00D3696B">
        <w:trPr>
          <w:cantSplit/>
        </w:trPr>
        <w:tc>
          <w:tcPr>
            <w:tcW w:w="6941" w:type="dxa"/>
            <w:hideMark/>
          </w:tcPr>
          <w:p w14:paraId="60A06DD7" w14:textId="77777777" w:rsidR="00643AC2" w:rsidRPr="007D0A40" w:rsidRDefault="00643AC2" w:rsidP="007D0A40">
            <w:pPr>
              <w:pStyle w:val="TableCopy"/>
              <w:rPr>
                <w:lang w:val="en-GB"/>
              </w:rPr>
            </w:pPr>
            <w:r w:rsidRPr="007D0A40">
              <w:rPr>
                <w:lang w:val="en-GB"/>
              </w:rPr>
              <w:t>Non-current lease liabilities</w:t>
            </w:r>
          </w:p>
        </w:tc>
        <w:tc>
          <w:tcPr>
            <w:tcW w:w="1772" w:type="dxa"/>
            <w:hideMark/>
          </w:tcPr>
          <w:p w14:paraId="05A2BEBB" w14:textId="77777777" w:rsidR="00643AC2" w:rsidRPr="007D0A40" w:rsidRDefault="00643AC2" w:rsidP="007D0A40">
            <w:pPr>
              <w:pStyle w:val="TableCopy"/>
              <w:rPr>
                <w:b/>
                <w:lang w:val="en-GB"/>
              </w:rPr>
            </w:pPr>
            <w:r w:rsidRPr="007D0A40">
              <w:rPr>
                <w:b/>
                <w:lang w:val="en-GB"/>
              </w:rPr>
              <w:t>44,338</w:t>
            </w:r>
          </w:p>
        </w:tc>
        <w:tc>
          <w:tcPr>
            <w:tcW w:w="1772" w:type="dxa"/>
            <w:hideMark/>
          </w:tcPr>
          <w:p w14:paraId="4F7BB571" w14:textId="77777777" w:rsidR="00643AC2" w:rsidRPr="007D0A40" w:rsidRDefault="00643AC2" w:rsidP="007D0A40">
            <w:pPr>
              <w:pStyle w:val="TableCopy"/>
              <w:rPr>
                <w:lang w:val="en-GB"/>
              </w:rPr>
            </w:pPr>
            <w:r w:rsidRPr="007D0A40">
              <w:rPr>
                <w:lang w:val="en-GB"/>
              </w:rPr>
              <w:t>57,812</w:t>
            </w:r>
          </w:p>
        </w:tc>
      </w:tr>
      <w:tr w:rsidR="00684298" w:rsidRPr="00643AC2" w14:paraId="78BA82A7" w14:textId="77777777" w:rsidTr="00D3696B">
        <w:trPr>
          <w:cantSplit/>
        </w:trPr>
        <w:tc>
          <w:tcPr>
            <w:tcW w:w="6941" w:type="dxa"/>
            <w:hideMark/>
          </w:tcPr>
          <w:p w14:paraId="2C1057DC" w14:textId="77777777" w:rsidR="00643AC2" w:rsidRPr="007D0A40" w:rsidRDefault="00643AC2" w:rsidP="007D0A40">
            <w:pPr>
              <w:pStyle w:val="TableCopy"/>
              <w:rPr>
                <w:b/>
                <w:lang w:val="en-GB"/>
              </w:rPr>
            </w:pPr>
            <w:r w:rsidRPr="007D0A40">
              <w:rPr>
                <w:b/>
                <w:lang w:val="en-GB"/>
              </w:rPr>
              <w:t>Total finance lease liabilities</w:t>
            </w:r>
          </w:p>
        </w:tc>
        <w:tc>
          <w:tcPr>
            <w:tcW w:w="1772" w:type="dxa"/>
            <w:hideMark/>
          </w:tcPr>
          <w:p w14:paraId="0A0755B0" w14:textId="77777777" w:rsidR="00643AC2" w:rsidRPr="007D0A40" w:rsidRDefault="00643AC2" w:rsidP="007D0A40">
            <w:pPr>
              <w:pStyle w:val="TableCopy"/>
              <w:rPr>
                <w:b/>
                <w:lang w:val="en-GB"/>
              </w:rPr>
            </w:pPr>
            <w:r w:rsidRPr="007D0A40">
              <w:rPr>
                <w:b/>
                <w:lang w:val="en-GB"/>
              </w:rPr>
              <w:t>90,596</w:t>
            </w:r>
          </w:p>
        </w:tc>
        <w:tc>
          <w:tcPr>
            <w:tcW w:w="1772" w:type="dxa"/>
            <w:hideMark/>
          </w:tcPr>
          <w:p w14:paraId="566EEE58" w14:textId="77777777" w:rsidR="00643AC2" w:rsidRPr="007D0A40" w:rsidRDefault="00643AC2" w:rsidP="007D0A40">
            <w:pPr>
              <w:pStyle w:val="TableCopy"/>
              <w:rPr>
                <w:lang w:val="en-GB"/>
              </w:rPr>
            </w:pPr>
            <w:r w:rsidRPr="007D0A40">
              <w:rPr>
                <w:lang w:val="en-GB"/>
              </w:rPr>
              <w:t>74,588</w:t>
            </w:r>
          </w:p>
        </w:tc>
      </w:tr>
    </w:tbl>
    <w:p w14:paraId="15837140" w14:textId="77777777" w:rsidR="00643AC2" w:rsidRPr="00643AC2" w:rsidRDefault="00643AC2" w:rsidP="00643AC2">
      <w:pPr>
        <w:rPr>
          <w:lang w:val="en-GB"/>
        </w:rPr>
      </w:pPr>
      <w:r w:rsidRPr="00643AC2">
        <w:rPr>
          <w:lang w:val="en-GB"/>
        </w:rPr>
        <w:t>Lease liabilities are effectively secured as the rights to the leased assets revert to the lessor in the event of default.</w:t>
      </w:r>
    </w:p>
    <w:p w14:paraId="6E9C5A59" w14:textId="77777777" w:rsidR="00643AC2" w:rsidRPr="00643AC2" w:rsidRDefault="00643AC2" w:rsidP="00684298">
      <w:pPr>
        <w:pStyle w:val="Heading5"/>
        <w:rPr>
          <w:lang w:val="en-GB"/>
        </w:rPr>
      </w:pPr>
      <w:r w:rsidRPr="00643AC2">
        <w:rPr>
          <w:lang w:val="en-GB"/>
        </w:rPr>
        <w:lastRenderedPageBreak/>
        <w:t>Assets pledged as security</w:t>
      </w:r>
    </w:p>
    <w:p w14:paraId="7F42E7B6" w14:textId="77777777" w:rsidR="00643AC2" w:rsidRPr="00643AC2" w:rsidRDefault="00643AC2" w:rsidP="00643AC2">
      <w:pPr>
        <w:rPr>
          <w:lang w:val="en-GB"/>
        </w:rPr>
      </w:pPr>
      <w:r w:rsidRPr="00643AC2">
        <w:rPr>
          <w:lang w:val="en-GB"/>
        </w:rPr>
        <w:t>The carrying amounts of assets pledged as security are:</w:t>
      </w:r>
    </w:p>
    <w:tbl>
      <w:tblPr>
        <w:tblStyle w:val="TableGrid"/>
        <w:tblW w:w="10485" w:type="dxa"/>
        <w:tblLook w:val="04A0" w:firstRow="1" w:lastRow="0" w:firstColumn="1" w:lastColumn="0" w:noHBand="0" w:noVBand="1"/>
      </w:tblPr>
      <w:tblGrid>
        <w:gridCol w:w="6941"/>
        <w:gridCol w:w="1843"/>
        <w:gridCol w:w="1701"/>
      </w:tblGrid>
      <w:tr w:rsidR="00684298" w:rsidRPr="007E4F37" w14:paraId="467FA405" w14:textId="77777777" w:rsidTr="007E4F37">
        <w:trPr>
          <w:cantSplit/>
        </w:trPr>
        <w:tc>
          <w:tcPr>
            <w:tcW w:w="6941" w:type="dxa"/>
            <w:hideMark/>
          </w:tcPr>
          <w:p w14:paraId="44C03A29" w14:textId="77777777" w:rsidR="00643AC2" w:rsidRPr="007E4F37" w:rsidRDefault="00643AC2" w:rsidP="007E4F37">
            <w:pPr>
              <w:pStyle w:val="TableHeading"/>
              <w:rPr>
                <w:lang w:val="en-GB"/>
              </w:rPr>
            </w:pPr>
          </w:p>
        </w:tc>
        <w:tc>
          <w:tcPr>
            <w:tcW w:w="1843" w:type="dxa"/>
            <w:hideMark/>
          </w:tcPr>
          <w:p w14:paraId="1D841947" w14:textId="77777777" w:rsidR="00643AC2" w:rsidRPr="007E4F37" w:rsidRDefault="00643AC2" w:rsidP="007E4F37">
            <w:pPr>
              <w:pStyle w:val="TableHeading"/>
              <w:rPr>
                <w:lang w:val="en-GB"/>
              </w:rPr>
            </w:pPr>
            <w:r w:rsidRPr="007E4F37">
              <w:rPr>
                <w:bCs/>
                <w:lang w:val="en-GB"/>
              </w:rPr>
              <w:t>2017</w:t>
            </w:r>
          </w:p>
        </w:tc>
        <w:tc>
          <w:tcPr>
            <w:tcW w:w="1701" w:type="dxa"/>
            <w:hideMark/>
          </w:tcPr>
          <w:p w14:paraId="6FCA7F39" w14:textId="77777777" w:rsidR="00643AC2" w:rsidRPr="007E4F37" w:rsidRDefault="00643AC2" w:rsidP="007E4F37">
            <w:pPr>
              <w:pStyle w:val="TableHeading"/>
              <w:rPr>
                <w:lang w:val="en-GB"/>
              </w:rPr>
            </w:pPr>
            <w:r w:rsidRPr="007E4F37">
              <w:rPr>
                <w:bCs/>
                <w:lang w:val="en-GB"/>
              </w:rPr>
              <w:t>2016</w:t>
            </w:r>
          </w:p>
        </w:tc>
      </w:tr>
      <w:tr w:rsidR="00684298" w:rsidRPr="007E4F37" w14:paraId="2F874C6B" w14:textId="77777777" w:rsidTr="007E4F37">
        <w:trPr>
          <w:cantSplit/>
        </w:trPr>
        <w:tc>
          <w:tcPr>
            <w:tcW w:w="6941" w:type="dxa"/>
            <w:hideMark/>
          </w:tcPr>
          <w:p w14:paraId="29C42677" w14:textId="77777777" w:rsidR="00643AC2" w:rsidRPr="007E4F37" w:rsidRDefault="00643AC2" w:rsidP="007E4F37">
            <w:pPr>
              <w:pStyle w:val="TableHeading"/>
              <w:rPr>
                <w:lang w:val="en-GB"/>
              </w:rPr>
            </w:pPr>
          </w:p>
        </w:tc>
        <w:tc>
          <w:tcPr>
            <w:tcW w:w="1843" w:type="dxa"/>
            <w:hideMark/>
          </w:tcPr>
          <w:p w14:paraId="6504641E" w14:textId="77777777" w:rsidR="00643AC2" w:rsidRPr="007E4F37" w:rsidRDefault="00643AC2" w:rsidP="007E4F37">
            <w:pPr>
              <w:pStyle w:val="TableHeading"/>
              <w:rPr>
                <w:lang w:val="en-GB"/>
              </w:rPr>
            </w:pPr>
            <w:r w:rsidRPr="007E4F37">
              <w:rPr>
                <w:bCs/>
                <w:lang w:val="en-GB"/>
              </w:rPr>
              <w:t>$</w:t>
            </w:r>
          </w:p>
        </w:tc>
        <w:tc>
          <w:tcPr>
            <w:tcW w:w="1701" w:type="dxa"/>
            <w:hideMark/>
          </w:tcPr>
          <w:p w14:paraId="7481B846" w14:textId="77777777" w:rsidR="00643AC2" w:rsidRPr="007E4F37" w:rsidRDefault="00643AC2" w:rsidP="007E4F37">
            <w:pPr>
              <w:pStyle w:val="TableHeading"/>
              <w:rPr>
                <w:lang w:val="en-GB"/>
              </w:rPr>
            </w:pPr>
            <w:r w:rsidRPr="007E4F37">
              <w:rPr>
                <w:bCs/>
                <w:lang w:val="en-GB"/>
              </w:rPr>
              <w:t>$</w:t>
            </w:r>
          </w:p>
        </w:tc>
      </w:tr>
      <w:tr w:rsidR="00684298" w:rsidRPr="007E4F37" w14:paraId="6743AB4F" w14:textId="77777777" w:rsidTr="007E4F37">
        <w:trPr>
          <w:cantSplit/>
        </w:trPr>
        <w:tc>
          <w:tcPr>
            <w:tcW w:w="6941" w:type="dxa"/>
            <w:hideMark/>
          </w:tcPr>
          <w:p w14:paraId="748B696D" w14:textId="77777777" w:rsidR="00643AC2" w:rsidRPr="007E4F37" w:rsidRDefault="00643AC2" w:rsidP="007E4F37">
            <w:pPr>
              <w:pStyle w:val="TableCopy"/>
              <w:rPr>
                <w:b/>
                <w:lang w:val="en-GB"/>
              </w:rPr>
            </w:pPr>
            <w:r w:rsidRPr="007E4F37">
              <w:rPr>
                <w:b/>
                <w:lang w:val="en-GB"/>
              </w:rPr>
              <w:t>Motor vehicles under finance lease</w:t>
            </w:r>
          </w:p>
        </w:tc>
        <w:tc>
          <w:tcPr>
            <w:tcW w:w="1843" w:type="dxa"/>
            <w:hideMark/>
          </w:tcPr>
          <w:p w14:paraId="23588285" w14:textId="77777777" w:rsidR="00643AC2" w:rsidRPr="007E4F37" w:rsidRDefault="00643AC2" w:rsidP="007E4F37">
            <w:pPr>
              <w:pStyle w:val="TableCopy"/>
              <w:rPr>
                <w:b/>
                <w:lang w:val="en-GB"/>
              </w:rPr>
            </w:pPr>
            <w:r w:rsidRPr="007E4F37">
              <w:rPr>
                <w:b/>
                <w:lang w:val="en-GB"/>
              </w:rPr>
              <w:t>89,679</w:t>
            </w:r>
          </w:p>
        </w:tc>
        <w:tc>
          <w:tcPr>
            <w:tcW w:w="1701" w:type="dxa"/>
            <w:hideMark/>
          </w:tcPr>
          <w:p w14:paraId="1593EEFA" w14:textId="77777777" w:rsidR="00643AC2" w:rsidRPr="007E4F37" w:rsidRDefault="00643AC2" w:rsidP="007E4F37">
            <w:pPr>
              <w:pStyle w:val="TableCopy"/>
              <w:rPr>
                <w:lang w:val="en-GB"/>
              </w:rPr>
            </w:pPr>
            <w:r w:rsidRPr="007E4F37">
              <w:rPr>
                <w:lang w:val="en-GB"/>
              </w:rPr>
              <w:t>73,820</w:t>
            </w:r>
          </w:p>
        </w:tc>
      </w:tr>
    </w:tbl>
    <w:p w14:paraId="3E685279" w14:textId="77777777" w:rsidR="00643AC2" w:rsidRPr="00643AC2" w:rsidRDefault="00643AC2" w:rsidP="00643AC2">
      <w:pPr>
        <w:rPr>
          <w:lang w:val="en-GB"/>
        </w:rPr>
      </w:pPr>
      <w:r w:rsidRPr="00643AC2">
        <w:rPr>
          <w:lang w:val="en-GB"/>
        </w:rPr>
        <w:t>A lease is a right to use an asset for an agreed period of time in exchange for payment.</w:t>
      </w:r>
    </w:p>
    <w:p w14:paraId="4330CAE4" w14:textId="77777777" w:rsidR="00643AC2" w:rsidRPr="00643AC2" w:rsidRDefault="00643AC2" w:rsidP="00643AC2">
      <w:pPr>
        <w:rPr>
          <w:lang w:val="en-GB"/>
        </w:rPr>
      </w:pPr>
      <w:r w:rsidRPr="00643AC2">
        <w:rPr>
          <w:lang w:val="en-GB"/>
        </w:rPr>
        <w:t>Leases are classified at their inception as finance leases whenever the terms of the lease transfer substantially all the risks and rewards of ownership to the lessee. All other leases are classified as operating leases.</w:t>
      </w:r>
    </w:p>
    <w:p w14:paraId="41E46BFD" w14:textId="4027D003" w:rsidR="00643AC2" w:rsidRPr="00643AC2" w:rsidRDefault="00643AC2" w:rsidP="00643AC2">
      <w:pPr>
        <w:rPr>
          <w:lang w:val="en-GB"/>
        </w:rPr>
      </w:pPr>
      <w:r w:rsidRPr="00643AC2">
        <w:rPr>
          <w:lang w:val="en-GB"/>
        </w:rPr>
        <w:t>Finance leases are recognised as assets and liabilities of the Commissio</w:t>
      </w:r>
      <w:r w:rsidR="00684298">
        <w:rPr>
          <w:lang w:val="en-GB"/>
        </w:rPr>
        <w:t xml:space="preserve">n at amounts equal to the fair </w:t>
      </w:r>
      <w:r w:rsidRPr="00643AC2">
        <w:rPr>
          <w:lang w:val="en-GB"/>
        </w:rPr>
        <w:t>value of the lease property or, if lower, the present value of the minimum l</w:t>
      </w:r>
      <w:r w:rsidR="00684298">
        <w:rPr>
          <w:lang w:val="en-GB"/>
        </w:rPr>
        <w:t xml:space="preserve">ease payments, each determined </w:t>
      </w:r>
      <w:r w:rsidRPr="00643AC2">
        <w:rPr>
          <w:lang w:val="en-GB"/>
        </w:rPr>
        <w:t>at the inception of the lease. The leased asset is depreciated over the shorte</w:t>
      </w:r>
      <w:r w:rsidR="00684298">
        <w:rPr>
          <w:lang w:val="en-GB"/>
        </w:rPr>
        <w:t xml:space="preserve">r of the estimated useful life </w:t>
      </w:r>
      <w:r w:rsidRPr="00643AC2">
        <w:rPr>
          <w:lang w:val="en-GB"/>
        </w:rPr>
        <w:t>of the asset or the term of the lease. Lease assets held at the reporti</w:t>
      </w:r>
      <w:r w:rsidR="00684298">
        <w:rPr>
          <w:lang w:val="en-GB"/>
        </w:rPr>
        <w:t xml:space="preserve">ng date, being motor vehicles, </w:t>
      </w:r>
      <w:r w:rsidRPr="00643AC2">
        <w:rPr>
          <w:lang w:val="en-GB"/>
        </w:rPr>
        <w:t>are depreciated over two to three years. </w:t>
      </w:r>
    </w:p>
    <w:p w14:paraId="730F969C" w14:textId="5B1F93A4" w:rsidR="00643AC2" w:rsidRPr="00643AC2" w:rsidRDefault="00643AC2" w:rsidP="00643AC2">
      <w:pPr>
        <w:rPr>
          <w:lang w:val="en-GB"/>
        </w:rPr>
      </w:pPr>
      <w:r w:rsidRPr="00643AC2">
        <w:rPr>
          <w:lang w:val="en-GB"/>
        </w:rPr>
        <w:t xml:space="preserve">Minimum finance lease payments are apportioned between reduction of the lease liability and periodic finance charges which are calculated using the interest rate implicit in </w:t>
      </w:r>
      <w:r w:rsidR="00684298">
        <w:rPr>
          <w:lang w:val="en-GB"/>
        </w:rPr>
        <w:t xml:space="preserve">the lease and charged directly </w:t>
      </w:r>
      <w:r w:rsidRPr="00643AC2">
        <w:rPr>
          <w:lang w:val="en-GB"/>
        </w:rPr>
        <w:t>to the comprehensive operating statement.</w:t>
      </w:r>
    </w:p>
    <w:p w14:paraId="3811C660" w14:textId="3443BE6C" w:rsidR="00643AC2" w:rsidRPr="00643AC2" w:rsidRDefault="00643AC2" w:rsidP="000F52DD">
      <w:pPr>
        <w:pStyle w:val="Heading5"/>
        <w:rPr>
          <w:lang w:val="en-GB"/>
        </w:rPr>
      </w:pPr>
      <w:r w:rsidRPr="00643AC2">
        <w:rPr>
          <w:lang w:val="en-GB"/>
        </w:rPr>
        <w:t>6.1.1.</w:t>
      </w:r>
      <w:r w:rsidRPr="00643AC2">
        <w:rPr>
          <w:lang w:val="en-GB"/>
        </w:rPr>
        <w:t> </w:t>
      </w:r>
      <w:r w:rsidR="000F52DD">
        <w:rPr>
          <w:lang w:val="en-GB"/>
        </w:rPr>
        <w:t>M</w:t>
      </w:r>
      <w:r w:rsidRPr="00643AC2">
        <w:rPr>
          <w:lang w:val="en-GB"/>
        </w:rPr>
        <w:t>aturity analysis of finance lease liabilities</w:t>
      </w:r>
      <w:r w:rsidRPr="00643AC2">
        <w:rPr>
          <w:vertAlign w:val="superscript"/>
          <w:lang w:val="en-GB"/>
        </w:rPr>
        <w:t xml:space="preserve"> (a)</w:t>
      </w:r>
    </w:p>
    <w:tbl>
      <w:tblPr>
        <w:tblStyle w:val="TableGrid"/>
        <w:tblW w:w="0" w:type="auto"/>
        <w:tblLook w:val="04A0" w:firstRow="1" w:lastRow="0" w:firstColumn="1" w:lastColumn="0" w:noHBand="0" w:noVBand="1"/>
      </w:tblPr>
      <w:tblGrid>
        <w:gridCol w:w="2331"/>
        <w:gridCol w:w="1193"/>
        <w:gridCol w:w="1233"/>
        <w:gridCol w:w="1153"/>
        <w:gridCol w:w="1193"/>
        <w:gridCol w:w="1193"/>
        <w:gridCol w:w="1193"/>
        <w:gridCol w:w="1193"/>
      </w:tblGrid>
      <w:tr w:rsidR="008F1D9B" w:rsidRPr="00C55E13" w14:paraId="4EFDD338" w14:textId="77777777" w:rsidTr="00C55E13">
        <w:trPr>
          <w:cantSplit/>
          <w:tblHeader/>
        </w:trPr>
        <w:tc>
          <w:tcPr>
            <w:tcW w:w="0" w:type="auto"/>
          </w:tcPr>
          <w:p w14:paraId="193FE16E" w14:textId="77777777" w:rsidR="008F1D9B" w:rsidRPr="00C55E13" w:rsidRDefault="008F1D9B" w:rsidP="00C55E13">
            <w:pPr>
              <w:pStyle w:val="TableHeading"/>
              <w:rPr>
                <w:lang w:val="en-GB"/>
              </w:rPr>
            </w:pPr>
          </w:p>
        </w:tc>
        <w:tc>
          <w:tcPr>
            <w:tcW w:w="2426" w:type="dxa"/>
            <w:gridSpan w:val="2"/>
          </w:tcPr>
          <w:p w14:paraId="42B80623" w14:textId="77777777" w:rsidR="008F1D9B" w:rsidRPr="00C55E13" w:rsidRDefault="008F1D9B" w:rsidP="00C55E13">
            <w:pPr>
              <w:pStyle w:val="TableHeading"/>
              <w:rPr>
                <w:bCs/>
                <w:lang w:val="en-GB"/>
              </w:rPr>
            </w:pPr>
          </w:p>
        </w:tc>
        <w:tc>
          <w:tcPr>
            <w:tcW w:w="5925" w:type="dxa"/>
            <w:gridSpan w:val="5"/>
          </w:tcPr>
          <w:p w14:paraId="1EE1942A" w14:textId="173E163C" w:rsidR="008F1D9B" w:rsidRPr="00C55E13" w:rsidRDefault="008F1D9B" w:rsidP="00C55E13">
            <w:pPr>
              <w:pStyle w:val="TableHeading"/>
              <w:jc w:val="center"/>
              <w:rPr>
                <w:bCs/>
                <w:lang w:val="en-GB"/>
              </w:rPr>
            </w:pPr>
            <w:r w:rsidRPr="00C55E13">
              <w:rPr>
                <w:bCs/>
                <w:lang w:val="en-GB"/>
              </w:rPr>
              <w:t>Maturity dates</w:t>
            </w:r>
          </w:p>
        </w:tc>
      </w:tr>
      <w:tr w:rsidR="00643AC2" w:rsidRPr="00C55E13" w14:paraId="1778DEDC" w14:textId="77777777" w:rsidTr="00C55E13">
        <w:trPr>
          <w:cantSplit/>
          <w:tblHeader/>
        </w:trPr>
        <w:tc>
          <w:tcPr>
            <w:tcW w:w="0" w:type="auto"/>
            <w:hideMark/>
          </w:tcPr>
          <w:p w14:paraId="3D8659B0" w14:textId="77777777" w:rsidR="00643AC2" w:rsidRPr="00C55E13" w:rsidRDefault="00643AC2" w:rsidP="00C55E13">
            <w:pPr>
              <w:pStyle w:val="TableHeading"/>
              <w:rPr>
                <w:lang w:val="en-GB"/>
              </w:rPr>
            </w:pPr>
          </w:p>
        </w:tc>
        <w:tc>
          <w:tcPr>
            <w:tcW w:w="1193" w:type="dxa"/>
            <w:hideMark/>
          </w:tcPr>
          <w:p w14:paraId="662B93CB" w14:textId="77777777" w:rsidR="00643AC2" w:rsidRPr="00C55E13" w:rsidRDefault="00643AC2" w:rsidP="00C55E13">
            <w:pPr>
              <w:pStyle w:val="TableHeading"/>
              <w:rPr>
                <w:lang w:val="en-GB"/>
              </w:rPr>
            </w:pPr>
            <w:r w:rsidRPr="00C55E13">
              <w:rPr>
                <w:bCs/>
                <w:lang w:val="en-GB"/>
              </w:rPr>
              <w:t>Carrying amount</w:t>
            </w:r>
          </w:p>
        </w:tc>
        <w:tc>
          <w:tcPr>
            <w:tcW w:w="1233" w:type="dxa"/>
            <w:hideMark/>
          </w:tcPr>
          <w:p w14:paraId="30D1D14D" w14:textId="77777777" w:rsidR="00643AC2" w:rsidRPr="00C55E13" w:rsidRDefault="00643AC2" w:rsidP="00C55E13">
            <w:pPr>
              <w:pStyle w:val="TableHeading"/>
              <w:rPr>
                <w:lang w:val="en-GB"/>
              </w:rPr>
            </w:pPr>
            <w:r w:rsidRPr="00C55E13">
              <w:rPr>
                <w:bCs/>
                <w:lang w:val="en-GB"/>
              </w:rPr>
              <w:t>Nominal amount</w:t>
            </w:r>
          </w:p>
        </w:tc>
        <w:tc>
          <w:tcPr>
            <w:tcW w:w="1153" w:type="dxa"/>
            <w:hideMark/>
          </w:tcPr>
          <w:p w14:paraId="7C5748CA" w14:textId="77777777" w:rsidR="00643AC2" w:rsidRPr="00C55E13" w:rsidRDefault="00643AC2" w:rsidP="00C55E13">
            <w:pPr>
              <w:pStyle w:val="TableHeading"/>
              <w:rPr>
                <w:lang w:val="en-GB"/>
              </w:rPr>
            </w:pPr>
            <w:r w:rsidRPr="00C55E13">
              <w:rPr>
                <w:bCs/>
                <w:lang w:val="en-GB"/>
              </w:rPr>
              <w:t xml:space="preserve">Less than </w:t>
            </w:r>
            <w:r w:rsidRPr="00C55E13">
              <w:rPr>
                <w:bCs/>
                <w:lang w:val="en-GB"/>
              </w:rPr>
              <w:br/>
              <w:t>1 month</w:t>
            </w:r>
          </w:p>
        </w:tc>
        <w:tc>
          <w:tcPr>
            <w:tcW w:w="1193" w:type="dxa"/>
            <w:hideMark/>
          </w:tcPr>
          <w:p w14:paraId="3B907B13" w14:textId="77777777" w:rsidR="00643AC2" w:rsidRPr="00C55E13" w:rsidRDefault="00643AC2" w:rsidP="00C55E13">
            <w:pPr>
              <w:pStyle w:val="TableHeading"/>
              <w:rPr>
                <w:lang w:val="en-GB"/>
              </w:rPr>
            </w:pPr>
            <w:r w:rsidRPr="00C55E13">
              <w:rPr>
                <w:bCs/>
                <w:lang w:val="en-GB"/>
              </w:rPr>
              <w:t>1-3 months</w:t>
            </w:r>
          </w:p>
        </w:tc>
        <w:tc>
          <w:tcPr>
            <w:tcW w:w="1193" w:type="dxa"/>
            <w:hideMark/>
          </w:tcPr>
          <w:p w14:paraId="30CE4DF6" w14:textId="77777777" w:rsidR="00643AC2" w:rsidRPr="00C55E13" w:rsidRDefault="00643AC2" w:rsidP="00C55E13">
            <w:pPr>
              <w:pStyle w:val="TableHeading"/>
              <w:rPr>
                <w:lang w:val="en-GB"/>
              </w:rPr>
            </w:pPr>
            <w:r w:rsidRPr="00C55E13">
              <w:rPr>
                <w:bCs/>
                <w:lang w:val="en-GB"/>
              </w:rPr>
              <w:t>3 months-</w:t>
            </w:r>
            <w:r w:rsidRPr="00C55E13">
              <w:rPr>
                <w:bCs/>
                <w:lang w:val="en-GB"/>
              </w:rPr>
              <w:br/>
              <w:t>1 year</w:t>
            </w:r>
          </w:p>
        </w:tc>
        <w:tc>
          <w:tcPr>
            <w:tcW w:w="1193" w:type="dxa"/>
            <w:hideMark/>
          </w:tcPr>
          <w:p w14:paraId="7591A9D6" w14:textId="77777777" w:rsidR="00643AC2" w:rsidRPr="00C55E13" w:rsidRDefault="00643AC2" w:rsidP="00C55E13">
            <w:pPr>
              <w:pStyle w:val="TableHeading"/>
              <w:rPr>
                <w:lang w:val="en-GB"/>
              </w:rPr>
            </w:pPr>
            <w:r w:rsidRPr="00C55E13">
              <w:rPr>
                <w:bCs/>
                <w:lang w:val="en-GB"/>
              </w:rPr>
              <w:t>1-5 years</w:t>
            </w:r>
          </w:p>
        </w:tc>
        <w:tc>
          <w:tcPr>
            <w:tcW w:w="1193" w:type="dxa"/>
            <w:hideMark/>
          </w:tcPr>
          <w:p w14:paraId="702D5DEA" w14:textId="77777777" w:rsidR="00643AC2" w:rsidRPr="00C55E13" w:rsidRDefault="00643AC2" w:rsidP="00C55E13">
            <w:pPr>
              <w:pStyle w:val="TableHeading"/>
              <w:rPr>
                <w:lang w:val="en-GB"/>
              </w:rPr>
            </w:pPr>
            <w:r w:rsidRPr="00C55E13">
              <w:rPr>
                <w:bCs/>
                <w:lang w:val="en-GB"/>
              </w:rPr>
              <w:t>Greater than 5 years</w:t>
            </w:r>
          </w:p>
        </w:tc>
      </w:tr>
      <w:tr w:rsidR="00643AC2" w:rsidRPr="00C55E13" w14:paraId="2DAE1669" w14:textId="77777777" w:rsidTr="00C55E13">
        <w:trPr>
          <w:cantSplit/>
          <w:tblHeader/>
        </w:trPr>
        <w:tc>
          <w:tcPr>
            <w:tcW w:w="0" w:type="auto"/>
            <w:hideMark/>
          </w:tcPr>
          <w:p w14:paraId="130A5359" w14:textId="77777777" w:rsidR="00643AC2" w:rsidRPr="00C55E13" w:rsidRDefault="00643AC2" w:rsidP="00C55E13">
            <w:pPr>
              <w:pStyle w:val="TableHeading"/>
              <w:rPr>
                <w:lang w:val="en-GB"/>
              </w:rPr>
            </w:pPr>
          </w:p>
        </w:tc>
        <w:tc>
          <w:tcPr>
            <w:tcW w:w="1193" w:type="dxa"/>
            <w:hideMark/>
          </w:tcPr>
          <w:p w14:paraId="0E2C445E" w14:textId="77777777" w:rsidR="00643AC2" w:rsidRPr="00C55E13" w:rsidRDefault="00643AC2" w:rsidP="00C55E13">
            <w:pPr>
              <w:pStyle w:val="TableHeading"/>
              <w:rPr>
                <w:lang w:val="en-GB"/>
              </w:rPr>
            </w:pPr>
            <w:r w:rsidRPr="00C55E13">
              <w:rPr>
                <w:bCs/>
                <w:lang w:val="en-GB"/>
              </w:rPr>
              <w:t>$</w:t>
            </w:r>
          </w:p>
        </w:tc>
        <w:tc>
          <w:tcPr>
            <w:tcW w:w="1233" w:type="dxa"/>
            <w:hideMark/>
          </w:tcPr>
          <w:p w14:paraId="5347851E" w14:textId="77777777" w:rsidR="00643AC2" w:rsidRPr="00C55E13" w:rsidRDefault="00643AC2" w:rsidP="00C55E13">
            <w:pPr>
              <w:pStyle w:val="TableHeading"/>
              <w:rPr>
                <w:lang w:val="en-GB"/>
              </w:rPr>
            </w:pPr>
            <w:r w:rsidRPr="00C55E13">
              <w:rPr>
                <w:bCs/>
                <w:lang w:val="en-GB"/>
              </w:rPr>
              <w:t>$</w:t>
            </w:r>
          </w:p>
        </w:tc>
        <w:tc>
          <w:tcPr>
            <w:tcW w:w="1153" w:type="dxa"/>
            <w:hideMark/>
          </w:tcPr>
          <w:p w14:paraId="79CAA7DC" w14:textId="77777777" w:rsidR="00643AC2" w:rsidRPr="00C55E13" w:rsidRDefault="00643AC2" w:rsidP="00C55E13">
            <w:pPr>
              <w:pStyle w:val="TableHeading"/>
              <w:rPr>
                <w:lang w:val="en-GB"/>
              </w:rPr>
            </w:pPr>
            <w:r w:rsidRPr="00C55E13">
              <w:rPr>
                <w:bCs/>
                <w:lang w:val="en-GB"/>
              </w:rPr>
              <w:t>$</w:t>
            </w:r>
          </w:p>
        </w:tc>
        <w:tc>
          <w:tcPr>
            <w:tcW w:w="1193" w:type="dxa"/>
            <w:hideMark/>
          </w:tcPr>
          <w:p w14:paraId="6E96AC90" w14:textId="77777777" w:rsidR="00643AC2" w:rsidRPr="00C55E13" w:rsidRDefault="00643AC2" w:rsidP="00C55E13">
            <w:pPr>
              <w:pStyle w:val="TableHeading"/>
              <w:rPr>
                <w:lang w:val="en-GB"/>
              </w:rPr>
            </w:pPr>
            <w:r w:rsidRPr="00C55E13">
              <w:rPr>
                <w:bCs/>
                <w:lang w:val="en-GB"/>
              </w:rPr>
              <w:t>$</w:t>
            </w:r>
          </w:p>
        </w:tc>
        <w:tc>
          <w:tcPr>
            <w:tcW w:w="1193" w:type="dxa"/>
            <w:hideMark/>
          </w:tcPr>
          <w:p w14:paraId="25670414" w14:textId="77777777" w:rsidR="00643AC2" w:rsidRPr="00C55E13" w:rsidRDefault="00643AC2" w:rsidP="00C55E13">
            <w:pPr>
              <w:pStyle w:val="TableHeading"/>
              <w:rPr>
                <w:lang w:val="en-GB"/>
              </w:rPr>
            </w:pPr>
            <w:r w:rsidRPr="00C55E13">
              <w:rPr>
                <w:bCs/>
                <w:lang w:val="en-GB"/>
              </w:rPr>
              <w:t>$</w:t>
            </w:r>
          </w:p>
        </w:tc>
        <w:tc>
          <w:tcPr>
            <w:tcW w:w="1193" w:type="dxa"/>
            <w:hideMark/>
          </w:tcPr>
          <w:p w14:paraId="7C143F2A" w14:textId="77777777" w:rsidR="00643AC2" w:rsidRPr="00C55E13" w:rsidRDefault="00643AC2" w:rsidP="00C55E13">
            <w:pPr>
              <w:pStyle w:val="TableHeading"/>
              <w:rPr>
                <w:lang w:val="en-GB"/>
              </w:rPr>
            </w:pPr>
            <w:r w:rsidRPr="00C55E13">
              <w:rPr>
                <w:bCs/>
                <w:lang w:val="en-GB"/>
              </w:rPr>
              <w:t>$</w:t>
            </w:r>
          </w:p>
        </w:tc>
        <w:tc>
          <w:tcPr>
            <w:tcW w:w="1193" w:type="dxa"/>
            <w:hideMark/>
          </w:tcPr>
          <w:p w14:paraId="2FC82E89" w14:textId="77777777" w:rsidR="00643AC2" w:rsidRPr="00C55E13" w:rsidRDefault="00643AC2" w:rsidP="00C55E13">
            <w:pPr>
              <w:pStyle w:val="TableHeading"/>
              <w:rPr>
                <w:lang w:val="en-GB"/>
              </w:rPr>
            </w:pPr>
            <w:r w:rsidRPr="00C55E13">
              <w:rPr>
                <w:bCs/>
                <w:lang w:val="en-GB"/>
              </w:rPr>
              <w:t>$</w:t>
            </w:r>
          </w:p>
        </w:tc>
      </w:tr>
      <w:tr w:rsidR="008F1D9B" w:rsidRPr="00C55E13" w14:paraId="17BA1477" w14:textId="77777777" w:rsidTr="00C55E13">
        <w:trPr>
          <w:cantSplit/>
        </w:trPr>
        <w:tc>
          <w:tcPr>
            <w:tcW w:w="0" w:type="auto"/>
            <w:gridSpan w:val="8"/>
            <w:hideMark/>
          </w:tcPr>
          <w:p w14:paraId="7C6DB4B2" w14:textId="61F606AD" w:rsidR="008F1D9B" w:rsidRPr="00C55E13" w:rsidRDefault="008F1D9B" w:rsidP="00C55E13">
            <w:pPr>
              <w:pStyle w:val="TableHeading"/>
              <w:rPr>
                <w:lang w:val="en-GB"/>
              </w:rPr>
            </w:pPr>
            <w:r w:rsidRPr="00C55E13">
              <w:rPr>
                <w:bCs/>
                <w:lang w:val="en-GB"/>
              </w:rPr>
              <w:t>2017</w:t>
            </w:r>
          </w:p>
        </w:tc>
      </w:tr>
      <w:tr w:rsidR="00643AC2" w:rsidRPr="00C55E13" w14:paraId="25FFE09A" w14:textId="77777777" w:rsidTr="00C55E13">
        <w:trPr>
          <w:cantSplit/>
        </w:trPr>
        <w:tc>
          <w:tcPr>
            <w:tcW w:w="0" w:type="auto"/>
            <w:hideMark/>
          </w:tcPr>
          <w:p w14:paraId="58AFE030" w14:textId="77777777" w:rsidR="00643AC2" w:rsidRPr="00C55E13" w:rsidRDefault="00643AC2" w:rsidP="00C55E13">
            <w:pPr>
              <w:pStyle w:val="TableCopy"/>
              <w:rPr>
                <w:b/>
                <w:lang w:val="en-GB"/>
              </w:rPr>
            </w:pPr>
            <w:r w:rsidRPr="00C55E13">
              <w:rPr>
                <w:b/>
                <w:lang w:val="en-GB"/>
              </w:rPr>
              <w:t>Motor vehicles under finance lease</w:t>
            </w:r>
          </w:p>
        </w:tc>
        <w:tc>
          <w:tcPr>
            <w:tcW w:w="1193" w:type="dxa"/>
            <w:hideMark/>
          </w:tcPr>
          <w:p w14:paraId="6E386BCC" w14:textId="77777777" w:rsidR="00643AC2" w:rsidRPr="00C55E13" w:rsidRDefault="00643AC2" w:rsidP="00C55E13">
            <w:pPr>
              <w:pStyle w:val="TableCopy"/>
              <w:rPr>
                <w:b/>
                <w:lang w:val="en-GB"/>
              </w:rPr>
            </w:pPr>
            <w:r w:rsidRPr="00C55E13">
              <w:rPr>
                <w:b/>
                <w:lang w:val="en-GB"/>
              </w:rPr>
              <w:t>90,596</w:t>
            </w:r>
          </w:p>
        </w:tc>
        <w:tc>
          <w:tcPr>
            <w:tcW w:w="1233" w:type="dxa"/>
            <w:hideMark/>
          </w:tcPr>
          <w:p w14:paraId="058C7390" w14:textId="77777777" w:rsidR="00643AC2" w:rsidRPr="00C55E13" w:rsidRDefault="00643AC2" w:rsidP="00C55E13">
            <w:pPr>
              <w:pStyle w:val="TableCopy"/>
              <w:rPr>
                <w:b/>
                <w:lang w:val="en-GB"/>
              </w:rPr>
            </w:pPr>
            <w:r w:rsidRPr="00C55E13">
              <w:rPr>
                <w:b/>
                <w:lang w:val="en-GB"/>
              </w:rPr>
              <w:t>94,670</w:t>
            </w:r>
          </w:p>
        </w:tc>
        <w:tc>
          <w:tcPr>
            <w:tcW w:w="1153" w:type="dxa"/>
            <w:hideMark/>
          </w:tcPr>
          <w:p w14:paraId="783A17ED" w14:textId="77777777" w:rsidR="00643AC2" w:rsidRPr="00C55E13" w:rsidRDefault="00643AC2" w:rsidP="00C55E13">
            <w:pPr>
              <w:pStyle w:val="TableCopy"/>
              <w:rPr>
                <w:b/>
                <w:lang w:val="en-GB"/>
              </w:rPr>
            </w:pPr>
            <w:r w:rsidRPr="00C55E13">
              <w:rPr>
                <w:b/>
                <w:lang w:val="en-GB"/>
              </w:rPr>
              <w:t>2,326</w:t>
            </w:r>
          </w:p>
        </w:tc>
        <w:tc>
          <w:tcPr>
            <w:tcW w:w="1193" w:type="dxa"/>
            <w:hideMark/>
          </w:tcPr>
          <w:p w14:paraId="67B4DD46" w14:textId="77777777" w:rsidR="00643AC2" w:rsidRPr="00C55E13" w:rsidRDefault="00643AC2" w:rsidP="00C55E13">
            <w:pPr>
              <w:pStyle w:val="TableCopy"/>
              <w:rPr>
                <w:b/>
                <w:lang w:val="en-GB"/>
              </w:rPr>
            </w:pPr>
            <w:r w:rsidRPr="00C55E13">
              <w:rPr>
                <w:b/>
                <w:lang w:val="en-GB"/>
              </w:rPr>
              <w:t>4,651</w:t>
            </w:r>
          </w:p>
        </w:tc>
        <w:tc>
          <w:tcPr>
            <w:tcW w:w="1193" w:type="dxa"/>
            <w:hideMark/>
          </w:tcPr>
          <w:p w14:paraId="2099C223" w14:textId="77777777" w:rsidR="00643AC2" w:rsidRPr="00C55E13" w:rsidRDefault="00643AC2" w:rsidP="00C55E13">
            <w:pPr>
              <w:pStyle w:val="TableCopy"/>
              <w:rPr>
                <w:b/>
                <w:lang w:val="en-GB"/>
              </w:rPr>
            </w:pPr>
            <w:r w:rsidRPr="00C55E13">
              <w:rPr>
                <w:b/>
                <w:lang w:val="en-GB"/>
              </w:rPr>
              <w:t>42,274</w:t>
            </w:r>
          </w:p>
        </w:tc>
        <w:tc>
          <w:tcPr>
            <w:tcW w:w="1193" w:type="dxa"/>
            <w:hideMark/>
          </w:tcPr>
          <w:p w14:paraId="45B98E48" w14:textId="77777777" w:rsidR="00643AC2" w:rsidRPr="00C55E13" w:rsidRDefault="00643AC2" w:rsidP="00C55E13">
            <w:pPr>
              <w:pStyle w:val="TableCopy"/>
              <w:rPr>
                <w:b/>
                <w:lang w:val="en-GB"/>
              </w:rPr>
            </w:pPr>
            <w:r w:rsidRPr="00C55E13">
              <w:rPr>
                <w:b/>
                <w:lang w:val="en-GB"/>
              </w:rPr>
              <w:t>45,419</w:t>
            </w:r>
          </w:p>
        </w:tc>
        <w:tc>
          <w:tcPr>
            <w:tcW w:w="1193" w:type="dxa"/>
            <w:hideMark/>
          </w:tcPr>
          <w:p w14:paraId="7A944AA0" w14:textId="77777777" w:rsidR="00643AC2" w:rsidRPr="00C55E13" w:rsidRDefault="00643AC2" w:rsidP="00C55E13">
            <w:pPr>
              <w:pStyle w:val="TableCopy"/>
              <w:rPr>
                <w:b/>
                <w:lang w:val="en-GB"/>
              </w:rPr>
            </w:pPr>
            <w:r w:rsidRPr="00C55E13">
              <w:rPr>
                <w:b/>
                <w:lang w:val="en-GB"/>
              </w:rPr>
              <w:t>-</w:t>
            </w:r>
          </w:p>
        </w:tc>
      </w:tr>
      <w:tr w:rsidR="008F1D9B" w:rsidRPr="00C55E13" w14:paraId="0D6B50CB" w14:textId="77777777" w:rsidTr="00C55E13">
        <w:trPr>
          <w:cantSplit/>
        </w:trPr>
        <w:tc>
          <w:tcPr>
            <w:tcW w:w="0" w:type="auto"/>
            <w:gridSpan w:val="8"/>
            <w:hideMark/>
          </w:tcPr>
          <w:p w14:paraId="67BE5FBA" w14:textId="1C8C3BF3" w:rsidR="008F1D9B" w:rsidRPr="00C55E13" w:rsidRDefault="008F1D9B" w:rsidP="001E3C3C">
            <w:pPr>
              <w:pStyle w:val="TableHeading"/>
              <w:rPr>
                <w:lang w:val="en-GB"/>
              </w:rPr>
            </w:pPr>
            <w:r w:rsidRPr="00C55E13">
              <w:rPr>
                <w:lang w:val="en-GB"/>
              </w:rPr>
              <w:t>2016</w:t>
            </w:r>
          </w:p>
        </w:tc>
      </w:tr>
      <w:tr w:rsidR="00643AC2" w:rsidRPr="00C55E13" w14:paraId="49256D42" w14:textId="77777777" w:rsidTr="00C55E13">
        <w:trPr>
          <w:cantSplit/>
        </w:trPr>
        <w:tc>
          <w:tcPr>
            <w:tcW w:w="0" w:type="auto"/>
            <w:hideMark/>
          </w:tcPr>
          <w:p w14:paraId="690736A3" w14:textId="77777777" w:rsidR="00643AC2" w:rsidRPr="00C55E13" w:rsidRDefault="00643AC2" w:rsidP="00C55E13">
            <w:pPr>
              <w:pStyle w:val="TableCopy"/>
              <w:rPr>
                <w:lang w:val="en-GB"/>
              </w:rPr>
            </w:pPr>
            <w:r w:rsidRPr="00C55E13">
              <w:rPr>
                <w:lang w:val="en-GB"/>
              </w:rPr>
              <w:t>Motor vehicles under finance lease</w:t>
            </w:r>
          </w:p>
        </w:tc>
        <w:tc>
          <w:tcPr>
            <w:tcW w:w="1193" w:type="dxa"/>
            <w:hideMark/>
          </w:tcPr>
          <w:p w14:paraId="54C80293" w14:textId="77777777" w:rsidR="00643AC2" w:rsidRPr="00C55E13" w:rsidRDefault="00643AC2" w:rsidP="00C55E13">
            <w:pPr>
              <w:pStyle w:val="TableCopy"/>
              <w:rPr>
                <w:lang w:val="en-GB"/>
              </w:rPr>
            </w:pPr>
            <w:r w:rsidRPr="00C55E13">
              <w:rPr>
                <w:lang w:val="en-GB"/>
              </w:rPr>
              <w:t>74,588</w:t>
            </w:r>
          </w:p>
        </w:tc>
        <w:tc>
          <w:tcPr>
            <w:tcW w:w="1233" w:type="dxa"/>
            <w:hideMark/>
          </w:tcPr>
          <w:p w14:paraId="1817A8CE" w14:textId="77777777" w:rsidR="00643AC2" w:rsidRPr="00C55E13" w:rsidRDefault="00643AC2" w:rsidP="00C55E13">
            <w:pPr>
              <w:pStyle w:val="TableCopy"/>
              <w:rPr>
                <w:lang w:val="en-GB"/>
              </w:rPr>
            </w:pPr>
            <w:r w:rsidRPr="00C55E13">
              <w:rPr>
                <w:lang w:val="en-GB"/>
              </w:rPr>
              <w:t>79,923</w:t>
            </w:r>
          </w:p>
        </w:tc>
        <w:tc>
          <w:tcPr>
            <w:tcW w:w="1153" w:type="dxa"/>
            <w:hideMark/>
          </w:tcPr>
          <w:p w14:paraId="5EB3B3C9" w14:textId="77777777" w:rsidR="00643AC2" w:rsidRPr="00C55E13" w:rsidRDefault="00643AC2" w:rsidP="00C55E13">
            <w:pPr>
              <w:pStyle w:val="TableCopy"/>
              <w:rPr>
                <w:lang w:val="en-GB"/>
              </w:rPr>
            </w:pPr>
            <w:r w:rsidRPr="00C55E13">
              <w:rPr>
                <w:lang w:val="en-GB"/>
              </w:rPr>
              <w:t>1,656</w:t>
            </w:r>
          </w:p>
        </w:tc>
        <w:tc>
          <w:tcPr>
            <w:tcW w:w="1193" w:type="dxa"/>
            <w:hideMark/>
          </w:tcPr>
          <w:p w14:paraId="2F0514C4" w14:textId="77777777" w:rsidR="00643AC2" w:rsidRPr="00C55E13" w:rsidRDefault="00643AC2" w:rsidP="00C55E13">
            <w:pPr>
              <w:pStyle w:val="TableCopy"/>
              <w:rPr>
                <w:lang w:val="en-GB"/>
              </w:rPr>
            </w:pPr>
            <w:r w:rsidRPr="00C55E13">
              <w:rPr>
                <w:lang w:val="en-GB"/>
              </w:rPr>
              <w:t>3,312</w:t>
            </w:r>
          </w:p>
        </w:tc>
        <w:tc>
          <w:tcPr>
            <w:tcW w:w="1193" w:type="dxa"/>
            <w:hideMark/>
          </w:tcPr>
          <w:p w14:paraId="70FA6882" w14:textId="77777777" w:rsidR="00643AC2" w:rsidRPr="00C55E13" w:rsidRDefault="00643AC2" w:rsidP="00C55E13">
            <w:pPr>
              <w:pStyle w:val="TableCopy"/>
              <w:rPr>
                <w:lang w:val="en-GB"/>
              </w:rPr>
            </w:pPr>
            <w:r w:rsidRPr="00C55E13">
              <w:rPr>
                <w:lang w:val="en-GB"/>
              </w:rPr>
              <w:t>14,902</w:t>
            </w:r>
          </w:p>
        </w:tc>
        <w:tc>
          <w:tcPr>
            <w:tcW w:w="1193" w:type="dxa"/>
            <w:hideMark/>
          </w:tcPr>
          <w:p w14:paraId="5188441A" w14:textId="77777777" w:rsidR="00643AC2" w:rsidRPr="00C55E13" w:rsidRDefault="00643AC2" w:rsidP="00C55E13">
            <w:pPr>
              <w:pStyle w:val="TableCopy"/>
              <w:rPr>
                <w:lang w:val="en-GB"/>
              </w:rPr>
            </w:pPr>
            <w:r w:rsidRPr="00C55E13">
              <w:rPr>
                <w:lang w:val="en-GB"/>
              </w:rPr>
              <w:t>60,053</w:t>
            </w:r>
          </w:p>
        </w:tc>
        <w:tc>
          <w:tcPr>
            <w:tcW w:w="1193" w:type="dxa"/>
            <w:hideMark/>
          </w:tcPr>
          <w:p w14:paraId="73A98377" w14:textId="77777777" w:rsidR="00643AC2" w:rsidRPr="00C55E13" w:rsidRDefault="00643AC2" w:rsidP="00C55E13">
            <w:pPr>
              <w:pStyle w:val="TableCopy"/>
              <w:rPr>
                <w:lang w:val="en-GB"/>
              </w:rPr>
            </w:pPr>
            <w:r w:rsidRPr="00C55E13">
              <w:rPr>
                <w:lang w:val="en-GB"/>
              </w:rPr>
              <w:t>-</w:t>
            </w:r>
          </w:p>
        </w:tc>
      </w:tr>
    </w:tbl>
    <w:p w14:paraId="3421EF91" w14:textId="77777777" w:rsidR="00643AC2" w:rsidRPr="001A7455" w:rsidRDefault="00643AC2" w:rsidP="00643AC2">
      <w:pPr>
        <w:rPr>
          <w:rStyle w:val="Emphasis"/>
        </w:rPr>
      </w:pPr>
      <w:r w:rsidRPr="001A7455">
        <w:rPr>
          <w:rStyle w:val="Emphasis"/>
        </w:rPr>
        <w:t>Note:</w:t>
      </w:r>
    </w:p>
    <w:p w14:paraId="14F057C8" w14:textId="77777777" w:rsidR="00643AC2" w:rsidRPr="001A7455" w:rsidRDefault="00643AC2" w:rsidP="00643AC2">
      <w:pPr>
        <w:rPr>
          <w:rStyle w:val="Emphasis"/>
        </w:rPr>
      </w:pPr>
      <w:r w:rsidRPr="001A7455">
        <w:rPr>
          <w:rStyle w:val="Emphasis"/>
        </w:rPr>
        <w:t>(a) Maturity analysis is presented using the contractual undiscounted cash flows.</w:t>
      </w:r>
    </w:p>
    <w:p w14:paraId="63645FC8" w14:textId="5AC6B5BA" w:rsidR="00643AC2" w:rsidRPr="00643AC2" w:rsidRDefault="00643AC2" w:rsidP="001A7455">
      <w:pPr>
        <w:pStyle w:val="Heading4"/>
        <w:rPr>
          <w:lang w:val="en-GB"/>
        </w:rPr>
      </w:pPr>
      <w:r w:rsidRPr="00643AC2">
        <w:rPr>
          <w:lang w:val="en-GB"/>
        </w:rPr>
        <w:t>6.2.</w:t>
      </w:r>
      <w:r w:rsidRPr="00643AC2">
        <w:rPr>
          <w:lang w:val="en-GB"/>
        </w:rPr>
        <w:t> </w:t>
      </w:r>
      <w:r w:rsidR="001A7455">
        <w:rPr>
          <w:lang w:val="en-GB"/>
        </w:rPr>
        <w:t>R</w:t>
      </w:r>
      <w:r w:rsidRPr="00643AC2">
        <w:rPr>
          <w:lang w:val="en-GB"/>
        </w:rPr>
        <w:t>econciliation of net result to cash flow from operating activities</w:t>
      </w:r>
    </w:p>
    <w:tbl>
      <w:tblPr>
        <w:tblStyle w:val="TableGrid"/>
        <w:tblW w:w="10485" w:type="dxa"/>
        <w:tblLook w:val="04A0" w:firstRow="1" w:lastRow="0" w:firstColumn="1" w:lastColumn="0" w:noHBand="0" w:noVBand="1"/>
      </w:tblPr>
      <w:tblGrid>
        <w:gridCol w:w="6232"/>
        <w:gridCol w:w="2126"/>
        <w:gridCol w:w="2127"/>
      </w:tblGrid>
      <w:tr w:rsidR="00773275" w:rsidRPr="0041542D" w14:paraId="47C5D7DB" w14:textId="77777777" w:rsidTr="0041542D">
        <w:trPr>
          <w:cantSplit/>
          <w:tblHeader/>
        </w:trPr>
        <w:tc>
          <w:tcPr>
            <w:tcW w:w="6232" w:type="dxa"/>
            <w:hideMark/>
          </w:tcPr>
          <w:p w14:paraId="1CBB6A7A" w14:textId="77777777" w:rsidR="00643AC2" w:rsidRPr="0041542D" w:rsidRDefault="00643AC2" w:rsidP="0041542D">
            <w:pPr>
              <w:pStyle w:val="TableHeading"/>
              <w:rPr>
                <w:lang w:val="en-GB"/>
              </w:rPr>
            </w:pPr>
          </w:p>
        </w:tc>
        <w:tc>
          <w:tcPr>
            <w:tcW w:w="2126" w:type="dxa"/>
            <w:hideMark/>
          </w:tcPr>
          <w:p w14:paraId="5CF09699" w14:textId="77777777" w:rsidR="00643AC2" w:rsidRPr="0041542D" w:rsidRDefault="00643AC2" w:rsidP="0041542D">
            <w:pPr>
              <w:pStyle w:val="TableHeading"/>
              <w:rPr>
                <w:lang w:val="en-GB"/>
              </w:rPr>
            </w:pPr>
            <w:r w:rsidRPr="0041542D">
              <w:rPr>
                <w:bCs/>
                <w:lang w:val="en-GB"/>
              </w:rPr>
              <w:t>2017</w:t>
            </w:r>
          </w:p>
        </w:tc>
        <w:tc>
          <w:tcPr>
            <w:tcW w:w="2127" w:type="dxa"/>
            <w:hideMark/>
          </w:tcPr>
          <w:p w14:paraId="14CE41FA" w14:textId="77777777" w:rsidR="00643AC2" w:rsidRPr="0041542D" w:rsidRDefault="00643AC2" w:rsidP="0041542D">
            <w:pPr>
              <w:pStyle w:val="TableHeading"/>
              <w:rPr>
                <w:lang w:val="en-GB"/>
              </w:rPr>
            </w:pPr>
            <w:r w:rsidRPr="0041542D">
              <w:rPr>
                <w:bCs/>
                <w:lang w:val="en-GB"/>
              </w:rPr>
              <w:t>2016</w:t>
            </w:r>
          </w:p>
        </w:tc>
      </w:tr>
      <w:tr w:rsidR="00773275" w:rsidRPr="0041542D" w14:paraId="3455844B" w14:textId="77777777" w:rsidTr="0041542D">
        <w:trPr>
          <w:cantSplit/>
          <w:tblHeader/>
        </w:trPr>
        <w:tc>
          <w:tcPr>
            <w:tcW w:w="6232" w:type="dxa"/>
            <w:hideMark/>
          </w:tcPr>
          <w:p w14:paraId="0BF6C3B4" w14:textId="77777777" w:rsidR="00643AC2" w:rsidRPr="0041542D" w:rsidRDefault="00643AC2" w:rsidP="0041542D">
            <w:pPr>
              <w:pStyle w:val="TableHeading"/>
              <w:rPr>
                <w:lang w:val="en-GB"/>
              </w:rPr>
            </w:pPr>
          </w:p>
        </w:tc>
        <w:tc>
          <w:tcPr>
            <w:tcW w:w="2126" w:type="dxa"/>
            <w:hideMark/>
          </w:tcPr>
          <w:p w14:paraId="14BE8D63" w14:textId="77777777" w:rsidR="00643AC2" w:rsidRPr="0041542D" w:rsidRDefault="00643AC2" w:rsidP="0041542D">
            <w:pPr>
              <w:pStyle w:val="TableHeading"/>
              <w:rPr>
                <w:lang w:val="en-GB"/>
              </w:rPr>
            </w:pPr>
            <w:r w:rsidRPr="0041542D">
              <w:rPr>
                <w:bCs/>
                <w:lang w:val="en-GB"/>
              </w:rPr>
              <w:t>$</w:t>
            </w:r>
          </w:p>
        </w:tc>
        <w:tc>
          <w:tcPr>
            <w:tcW w:w="2127" w:type="dxa"/>
            <w:hideMark/>
          </w:tcPr>
          <w:p w14:paraId="6D42BCE5" w14:textId="77777777" w:rsidR="00643AC2" w:rsidRPr="0041542D" w:rsidRDefault="00643AC2" w:rsidP="0041542D">
            <w:pPr>
              <w:pStyle w:val="TableHeading"/>
              <w:rPr>
                <w:lang w:val="en-GB"/>
              </w:rPr>
            </w:pPr>
            <w:r w:rsidRPr="0041542D">
              <w:rPr>
                <w:bCs/>
                <w:lang w:val="en-GB"/>
              </w:rPr>
              <w:t>$</w:t>
            </w:r>
          </w:p>
        </w:tc>
      </w:tr>
      <w:tr w:rsidR="00773275" w:rsidRPr="0041542D" w14:paraId="77339C8A" w14:textId="77777777" w:rsidTr="0041542D">
        <w:trPr>
          <w:cantSplit/>
        </w:trPr>
        <w:tc>
          <w:tcPr>
            <w:tcW w:w="6232" w:type="dxa"/>
            <w:hideMark/>
          </w:tcPr>
          <w:p w14:paraId="4FC108B0" w14:textId="77777777" w:rsidR="00643AC2" w:rsidRPr="0041542D" w:rsidRDefault="00643AC2" w:rsidP="0041542D">
            <w:pPr>
              <w:pStyle w:val="TableCopy"/>
              <w:rPr>
                <w:b/>
                <w:lang w:val="en-GB"/>
              </w:rPr>
            </w:pPr>
            <w:r w:rsidRPr="0041542D">
              <w:rPr>
                <w:b/>
                <w:lang w:val="en-GB"/>
              </w:rPr>
              <w:t>Net result</w:t>
            </w:r>
          </w:p>
        </w:tc>
        <w:tc>
          <w:tcPr>
            <w:tcW w:w="2126" w:type="dxa"/>
            <w:hideMark/>
          </w:tcPr>
          <w:p w14:paraId="3B7720CE" w14:textId="77777777" w:rsidR="00643AC2" w:rsidRPr="0041542D" w:rsidRDefault="00643AC2" w:rsidP="0041542D">
            <w:pPr>
              <w:pStyle w:val="TableCopy"/>
              <w:rPr>
                <w:b/>
                <w:lang w:val="en-GB"/>
              </w:rPr>
            </w:pPr>
            <w:r w:rsidRPr="0041542D">
              <w:rPr>
                <w:b/>
                <w:lang w:val="en-GB"/>
              </w:rPr>
              <w:t>1,491,257</w:t>
            </w:r>
          </w:p>
        </w:tc>
        <w:tc>
          <w:tcPr>
            <w:tcW w:w="2127" w:type="dxa"/>
            <w:hideMark/>
          </w:tcPr>
          <w:p w14:paraId="643242A5" w14:textId="77777777" w:rsidR="00643AC2" w:rsidRPr="0041542D" w:rsidRDefault="00643AC2" w:rsidP="0041542D">
            <w:pPr>
              <w:pStyle w:val="TableCopy"/>
              <w:rPr>
                <w:lang w:val="en-GB"/>
              </w:rPr>
            </w:pPr>
            <w:r w:rsidRPr="0041542D">
              <w:rPr>
                <w:lang w:val="en-GB"/>
              </w:rPr>
              <w:t>1,325,461</w:t>
            </w:r>
          </w:p>
        </w:tc>
      </w:tr>
      <w:tr w:rsidR="00CD0624" w:rsidRPr="0041542D" w14:paraId="1482AC91" w14:textId="77777777" w:rsidTr="0041542D">
        <w:trPr>
          <w:cantSplit/>
        </w:trPr>
        <w:tc>
          <w:tcPr>
            <w:tcW w:w="10485" w:type="dxa"/>
            <w:gridSpan w:val="3"/>
            <w:hideMark/>
          </w:tcPr>
          <w:p w14:paraId="3687D853" w14:textId="2C14310D" w:rsidR="00CD0624" w:rsidRPr="0041542D" w:rsidRDefault="00CD0624" w:rsidP="0041542D">
            <w:pPr>
              <w:pStyle w:val="TableHeading"/>
              <w:rPr>
                <w:lang w:val="en-GB"/>
              </w:rPr>
            </w:pPr>
            <w:r w:rsidRPr="0041542D">
              <w:rPr>
                <w:lang w:val="en-GB"/>
              </w:rPr>
              <w:t>Non-cash movements</w:t>
            </w:r>
          </w:p>
        </w:tc>
      </w:tr>
      <w:tr w:rsidR="00773275" w:rsidRPr="0041542D" w14:paraId="2234257B" w14:textId="77777777" w:rsidTr="0041542D">
        <w:trPr>
          <w:cantSplit/>
        </w:trPr>
        <w:tc>
          <w:tcPr>
            <w:tcW w:w="6232" w:type="dxa"/>
            <w:hideMark/>
          </w:tcPr>
          <w:p w14:paraId="7422E3EE" w14:textId="77777777" w:rsidR="00643AC2" w:rsidRPr="0041542D" w:rsidRDefault="00643AC2" w:rsidP="0041542D">
            <w:pPr>
              <w:pStyle w:val="TableCopy"/>
              <w:rPr>
                <w:lang w:val="en-GB"/>
              </w:rPr>
            </w:pPr>
            <w:r w:rsidRPr="0041542D">
              <w:rPr>
                <w:lang w:val="en-GB"/>
              </w:rPr>
              <w:t>Depreciation</w:t>
            </w:r>
          </w:p>
        </w:tc>
        <w:tc>
          <w:tcPr>
            <w:tcW w:w="2126" w:type="dxa"/>
            <w:hideMark/>
          </w:tcPr>
          <w:p w14:paraId="798F1692" w14:textId="77777777" w:rsidR="00643AC2" w:rsidRPr="0041542D" w:rsidRDefault="00643AC2" w:rsidP="0041542D">
            <w:pPr>
              <w:pStyle w:val="TableCopy"/>
              <w:rPr>
                <w:b/>
                <w:lang w:val="en-GB"/>
              </w:rPr>
            </w:pPr>
            <w:r w:rsidRPr="0041542D">
              <w:rPr>
                <w:b/>
                <w:lang w:val="en-GB"/>
              </w:rPr>
              <w:t>102,265</w:t>
            </w:r>
          </w:p>
        </w:tc>
        <w:tc>
          <w:tcPr>
            <w:tcW w:w="2127" w:type="dxa"/>
            <w:hideMark/>
          </w:tcPr>
          <w:p w14:paraId="0161DBA6" w14:textId="77777777" w:rsidR="00643AC2" w:rsidRPr="0041542D" w:rsidRDefault="00643AC2" w:rsidP="0041542D">
            <w:pPr>
              <w:pStyle w:val="TableCopy"/>
              <w:rPr>
                <w:lang w:val="en-GB"/>
              </w:rPr>
            </w:pPr>
            <w:r w:rsidRPr="0041542D">
              <w:rPr>
                <w:lang w:val="en-GB"/>
              </w:rPr>
              <w:t>169,105</w:t>
            </w:r>
          </w:p>
        </w:tc>
      </w:tr>
      <w:tr w:rsidR="00773275" w:rsidRPr="0041542D" w14:paraId="11BB636B" w14:textId="77777777" w:rsidTr="0041542D">
        <w:trPr>
          <w:cantSplit/>
        </w:trPr>
        <w:tc>
          <w:tcPr>
            <w:tcW w:w="6232" w:type="dxa"/>
            <w:hideMark/>
          </w:tcPr>
          <w:p w14:paraId="458E9FAC" w14:textId="77777777" w:rsidR="00643AC2" w:rsidRPr="0041542D" w:rsidRDefault="00643AC2" w:rsidP="0041542D">
            <w:pPr>
              <w:pStyle w:val="TableCopy"/>
              <w:rPr>
                <w:lang w:val="en-GB"/>
              </w:rPr>
            </w:pPr>
            <w:r w:rsidRPr="0041542D">
              <w:rPr>
                <w:lang w:val="en-GB"/>
              </w:rPr>
              <w:t>(Profit)/loss on disposal of non-current assets</w:t>
            </w:r>
          </w:p>
        </w:tc>
        <w:tc>
          <w:tcPr>
            <w:tcW w:w="2126" w:type="dxa"/>
            <w:hideMark/>
          </w:tcPr>
          <w:p w14:paraId="0B907379" w14:textId="77777777" w:rsidR="00643AC2" w:rsidRPr="0041542D" w:rsidRDefault="00643AC2" w:rsidP="0041542D">
            <w:pPr>
              <w:pStyle w:val="TableCopy"/>
              <w:rPr>
                <w:b/>
                <w:lang w:val="en-GB"/>
              </w:rPr>
            </w:pPr>
            <w:r w:rsidRPr="0041542D">
              <w:rPr>
                <w:b/>
                <w:lang w:val="en-GB"/>
              </w:rPr>
              <w:t>53,788</w:t>
            </w:r>
          </w:p>
        </w:tc>
        <w:tc>
          <w:tcPr>
            <w:tcW w:w="2127" w:type="dxa"/>
            <w:hideMark/>
          </w:tcPr>
          <w:p w14:paraId="3FAAACFE" w14:textId="77777777" w:rsidR="00643AC2" w:rsidRPr="0041542D" w:rsidRDefault="00643AC2" w:rsidP="0041542D">
            <w:pPr>
              <w:pStyle w:val="TableCopy"/>
              <w:rPr>
                <w:lang w:val="en-GB"/>
              </w:rPr>
            </w:pPr>
            <w:r w:rsidRPr="0041542D">
              <w:rPr>
                <w:lang w:val="en-GB"/>
              </w:rPr>
              <w:t>-386</w:t>
            </w:r>
          </w:p>
        </w:tc>
      </w:tr>
      <w:tr w:rsidR="00CD0624" w:rsidRPr="0041542D" w14:paraId="1BEA0E18" w14:textId="77777777" w:rsidTr="0041542D">
        <w:trPr>
          <w:cantSplit/>
        </w:trPr>
        <w:tc>
          <w:tcPr>
            <w:tcW w:w="10485" w:type="dxa"/>
            <w:gridSpan w:val="3"/>
            <w:hideMark/>
          </w:tcPr>
          <w:p w14:paraId="25C89ADE" w14:textId="31E83A90" w:rsidR="00CD0624" w:rsidRPr="0041542D" w:rsidRDefault="00CD0624" w:rsidP="0041542D">
            <w:pPr>
              <w:pStyle w:val="TableHeading"/>
              <w:rPr>
                <w:lang w:val="en-GB"/>
              </w:rPr>
            </w:pPr>
            <w:r w:rsidRPr="0041542D">
              <w:rPr>
                <w:lang w:val="en-GB"/>
              </w:rPr>
              <w:t>Change in operating assets and liabilities:</w:t>
            </w:r>
          </w:p>
        </w:tc>
      </w:tr>
      <w:tr w:rsidR="00773275" w:rsidRPr="0041542D" w14:paraId="491603D0" w14:textId="77777777" w:rsidTr="0041542D">
        <w:trPr>
          <w:cantSplit/>
        </w:trPr>
        <w:tc>
          <w:tcPr>
            <w:tcW w:w="6232" w:type="dxa"/>
            <w:hideMark/>
          </w:tcPr>
          <w:p w14:paraId="7D2B6138" w14:textId="77777777" w:rsidR="00643AC2" w:rsidRPr="0041542D" w:rsidRDefault="00643AC2" w:rsidP="0041542D">
            <w:pPr>
              <w:pStyle w:val="TableCopy"/>
              <w:rPr>
                <w:lang w:val="en-GB"/>
              </w:rPr>
            </w:pPr>
            <w:r w:rsidRPr="0041542D">
              <w:rPr>
                <w:lang w:val="en-GB"/>
              </w:rPr>
              <w:lastRenderedPageBreak/>
              <w:t>(Increase)/decrease in receivables</w:t>
            </w:r>
          </w:p>
        </w:tc>
        <w:tc>
          <w:tcPr>
            <w:tcW w:w="2126" w:type="dxa"/>
            <w:hideMark/>
          </w:tcPr>
          <w:p w14:paraId="043D8B85" w14:textId="77777777" w:rsidR="00643AC2" w:rsidRPr="0041542D" w:rsidRDefault="00643AC2" w:rsidP="0041542D">
            <w:pPr>
              <w:pStyle w:val="TableCopy"/>
              <w:rPr>
                <w:b/>
                <w:lang w:val="en-GB"/>
              </w:rPr>
            </w:pPr>
            <w:r w:rsidRPr="0041542D">
              <w:rPr>
                <w:b/>
                <w:lang w:val="en-GB"/>
              </w:rPr>
              <w:t>-2,975,637</w:t>
            </w:r>
          </w:p>
        </w:tc>
        <w:tc>
          <w:tcPr>
            <w:tcW w:w="2127" w:type="dxa"/>
            <w:hideMark/>
          </w:tcPr>
          <w:p w14:paraId="481E2FA1" w14:textId="77777777" w:rsidR="00643AC2" w:rsidRPr="0041542D" w:rsidRDefault="00643AC2" w:rsidP="0041542D">
            <w:pPr>
              <w:pStyle w:val="TableCopy"/>
              <w:rPr>
                <w:lang w:val="en-GB"/>
              </w:rPr>
            </w:pPr>
            <w:r w:rsidRPr="0041542D">
              <w:rPr>
                <w:lang w:val="en-GB"/>
              </w:rPr>
              <w:t>-1,375,583</w:t>
            </w:r>
          </w:p>
        </w:tc>
      </w:tr>
      <w:tr w:rsidR="00773275" w:rsidRPr="0041542D" w14:paraId="156CE428" w14:textId="77777777" w:rsidTr="0041542D">
        <w:trPr>
          <w:cantSplit/>
        </w:trPr>
        <w:tc>
          <w:tcPr>
            <w:tcW w:w="6232" w:type="dxa"/>
            <w:hideMark/>
          </w:tcPr>
          <w:p w14:paraId="6C9D119C" w14:textId="77777777" w:rsidR="00643AC2" w:rsidRPr="0041542D" w:rsidRDefault="00643AC2" w:rsidP="0041542D">
            <w:pPr>
              <w:pStyle w:val="TableCopy"/>
              <w:rPr>
                <w:lang w:val="en-GB"/>
              </w:rPr>
            </w:pPr>
            <w:r w:rsidRPr="0041542D">
              <w:rPr>
                <w:lang w:val="en-GB"/>
              </w:rPr>
              <w:t>(Increase)/decrease in prepayments</w:t>
            </w:r>
          </w:p>
        </w:tc>
        <w:tc>
          <w:tcPr>
            <w:tcW w:w="2126" w:type="dxa"/>
            <w:hideMark/>
          </w:tcPr>
          <w:p w14:paraId="60B97FB6" w14:textId="77777777" w:rsidR="00643AC2" w:rsidRPr="0041542D" w:rsidRDefault="00643AC2" w:rsidP="0041542D">
            <w:pPr>
              <w:pStyle w:val="TableCopy"/>
              <w:rPr>
                <w:b/>
                <w:lang w:val="en-GB"/>
              </w:rPr>
            </w:pPr>
            <w:r w:rsidRPr="0041542D">
              <w:rPr>
                <w:b/>
                <w:lang w:val="en-GB"/>
              </w:rPr>
              <w:t>424,057</w:t>
            </w:r>
          </w:p>
        </w:tc>
        <w:tc>
          <w:tcPr>
            <w:tcW w:w="2127" w:type="dxa"/>
            <w:hideMark/>
          </w:tcPr>
          <w:p w14:paraId="476554A4" w14:textId="77777777" w:rsidR="00643AC2" w:rsidRPr="0041542D" w:rsidRDefault="00643AC2" w:rsidP="0041542D">
            <w:pPr>
              <w:pStyle w:val="TableCopy"/>
              <w:rPr>
                <w:lang w:val="en-GB"/>
              </w:rPr>
            </w:pPr>
            <w:r w:rsidRPr="0041542D">
              <w:rPr>
                <w:lang w:val="en-GB"/>
              </w:rPr>
              <w:t>-412,636</w:t>
            </w:r>
          </w:p>
        </w:tc>
      </w:tr>
      <w:tr w:rsidR="00773275" w:rsidRPr="0041542D" w14:paraId="49128BBE" w14:textId="77777777" w:rsidTr="0041542D">
        <w:trPr>
          <w:cantSplit/>
        </w:trPr>
        <w:tc>
          <w:tcPr>
            <w:tcW w:w="6232" w:type="dxa"/>
            <w:hideMark/>
          </w:tcPr>
          <w:p w14:paraId="0D799E70" w14:textId="77777777" w:rsidR="00643AC2" w:rsidRPr="0041542D" w:rsidRDefault="00643AC2" w:rsidP="0041542D">
            <w:pPr>
              <w:pStyle w:val="TableCopy"/>
              <w:rPr>
                <w:lang w:val="en-GB"/>
              </w:rPr>
            </w:pPr>
            <w:r w:rsidRPr="0041542D">
              <w:rPr>
                <w:lang w:val="en-GB"/>
              </w:rPr>
              <w:t>Increase/(decrease) in creditors and accruals</w:t>
            </w:r>
          </w:p>
        </w:tc>
        <w:tc>
          <w:tcPr>
            <w:tcW w:w="2126" w:type="dxa"/>
            <w:hideMark/>
          </w:tcPr>
          <w:p w14:paraId="0DBFE23E" w14:textId="77777777" w:rsidR="00643AC2" w:rsidRPr="0041542D" w:rsidRDefault="00643AC2" w:rsidP="0041542D">
            <w:pPr>
              <w:pStyle w:val="TableCopy"/>
              <w:rPr>
                <w:b/>
                <w:lang w:val="en-GB"/>
              </w:rPr>
            </w:pPr>
            <w:r w:rsidRPr="0041542D">
              <w:rPr>
                <w:b/>
                <w:lang w:val="en-GB"/>
              </w:rPr>
              <w:t>177,044</w:t>
            </w:r>
          </w:p>
        </w:tc>
        <w:tc>
          <w:tcPr>
            <w:tcW w:w="2127" w:type="dxa"/>
            <w:hideMark/>
          </w:tcPr>
          <w:p w14:paraId="155716CE" w14:textId="77777777" w:rsidR="00643AC2" w:rsidRPr="0041542D" w:rsidRDefault="00643AC2" w:rsidP="0041542D">
            <w:pPr>
              <w:pStyle w:val="TableCopy"/>
              <w:rPr>
                <w:lang w:val="en-GB"/>
              </w:rPr>
            </w:pPr>
            <w:r w:rsidRPr="0041542D">
              <w:rPr>
                <w:lang w:val="en-GB"/>
              </w:rPr>
              <w:t>-47,178</w:t>
            </w:r>
          </w:p>
        </w:tc>
      </w:tr>
      <w:tr w:rsidR="00773275" w:rsidRPr="0041542D" w14:paraId="5E38FE80" w14:textId="77777777" w:rsidTr="0041542D">
        <w:trPr>
          <w:cantSplit/>
        </w:trPr>
        <w:tc>
          <w:tcPr>
            <w:tcW w:w="6232" w:type="dxa"/>
            <w:hideMark/>
          </w:tcPr>
          <w:p w14:paraId="6787C69F" w14:textId="77777777" w:rsidR="00643AC2" w:rsidRPr="0041542D" w:rsidRDefault="00643AC2" w:rsidP="0041542D">
            <w:pPr>
              <w:pStyle w:val="TableCopy"/>
              <w:rPr>
                <w:lang w:val="en-GB"/>
              </w:rPr>
            </w:pPr>
            <w:r w:rsidRPr="0041542D">
              <w:rPr>
                <w:lang w:val="en-GB"/>
              </w:rPr>
              <w:t>Increase/(decrease) in provisions</w:t>
            </w:r>
          </w:p>
        </w:tc>
        <w:tc>
          <w:tcPr>
            <w:tcW w:w="2126" w:type="dxa"/>
            <w:hideMark/>
          </w:tcPr>
          <w:p w14:paraId="5EDBB05B" w14:textId="77777777" w:rsidR="00643AC2" w:rsidRPr="0041542D" w:rsidRDefault="00643AC2" w:rsidP="0041542D">
            <w:pPr>
              <w:pStyle w:val="TableCopy"/>
              <w:rPr>
                <w:b/>
                <w:lang w:val="en-GB"/>
              </w:rPr>
            </w:pPr>
            <w:r w:rsidRPr="0041542D">
              <w:rPr>
                <w:b/>
                <w:lang w:val="en-GB"/>
              </w:rPr>
              <w:t>380,756</w:t>
            </w:r>
          </w:p>
        </w:tc>
        <w:tc>
          <w:tcPr>
            <w:tcW w:w="2127" w:type="dxa"/>
            <w:hideMark/>
          </w:tcPr>
          <w:p w14:paraId="2D0970CC" w14:textId="77777777" w:rsidR="00643AC2" w:rsidRPr="0041542D" w:rsidRDefault="00643AC2" w:rsidP="0041542D">
            <w:pPr>
              <w:pStyle w:val="TableCopy"/>
              <w:rPr>
                <w:lang w:val="en-GB"/>
              </w:rPr>
            </w:pPr>
            <w:r w:rsidRPr="0041542D">
              <w:rPr>
                <w:lang w:val="en-GB"/>
              </w:rPr>
              <w:t>-206,660</w:t>
            </w:r>
          </w:p>
        </w:tc>
      </w:tr>
      <w:tr w:rsidR="00773275" w:rsidRPr="0041542D" w14:paraId="1A284512" w14:textId="77777777" w:rsidTr="0041542D">
        <w:trPr>
          <w:cantSplit/>
        </w:trPr>
        <w:tc>
          <w:tcPr>
            <w:tcW w:w="6232" w:type="dxa"/>
            <w:hideMark/>
          </w:tcPr>
          <w:p w14:paraId="4B885DC6" w14:textId="77777777" w:rsidR="00643AC2" w:rsidRPr="0041542D" w:rsidRDefault="00643AC2" w:rsidP="0041542D">
            <w:pPr>
              <w:pStyle w:val="TableCopy"/>
              <w:rPr>
                <w:lang w:val="en-GB"/>
              </w:rPr>
            </w:pPr>
            <w:r w:rsidRPr="0041542D">
              <w:rPr>
                <w:lang w:val="en-GB"/>
              </w:rPr>
              <w:t>Increase/(decrease) in other liabilities</w:t>
            </w:r>
          </w:p>
        </w:tc>
        <w:tc>
          <w:tcPr>
            <w:tcW w:w="2126" w:type="dxa"/>
            <w:hideMark/>
          </w:tcPr>
          <w:p w14:paraId="498256A3" w14:textId="77777777" w:rsidR="00643AC2" w:rsidRPr="0041542D" w:rsidRDefault="00643AC2" w:rsidP="0041542D">
            <w:pPr>
              <w:pStyle w:val="TableCopy"/>
              <w:rPr>
                <w:b/>
                <w:lang w:val="en-GB"/>
              </w:rPr>
            </w:pPr>
            <w:r w:rsidRPr="0041542D">
              <w:rPr>
                <w:b/>
                <w:lang w:val="en-GB"/>
              </w:rPr>
              <w:t>368,406</w:t>
            </w:r>
          </w:p>
        </w:tc>
        <w:tc>
          <w:tcPr>
            <w:tcW w:w="2127" w:type="dxa"/>
            <w:hideMark/>
          </w:tcPr>
          <w:p w14:paraId="28427FA9" w14:textId="77777777" w:rsidR="00643AC2" w:rsidRPr="0041542D" w:rsidRDefault="00643AC2" w:rsidP="0041542D">
            <w:pPr>
              <w:pStyle w:val="TableCopy"/>
              <w:rPr>
                <w:lang w:val="en-GB"/>
              </w:rPr>
            </w:pPr>
            <w:r w:rsidRPr="0041542D">
              <w:rPr>
                <w:lang w:val="en-GB"/>
              </w:rPr>
              <w:t>562,796</w:t>
            </w:r>
          </w:p>
        </w:tc>
      </w:tr>
      <w:tr w:rsidR="00CD0624" w:rsidRPr="0041542D" w14:paraId="1D6899C7" w14:textId="77777777" w:rsidTr="0041542D">
        <w:trPr>
          <w:cantSplit/>
        </w:trPr>
        <w:tc>
          <w:tcPr>
            <w:tcW w:w="10485" w:type="dxa"/>
            <w:gridSpan w:val="3"/>
            <w:hideMark/>
          </w:tcPr>
          <w:p w14:paraId="5DAEFE8F" w14:textId="77777777" w:rsidR="00CD0624" w:rsidRPr="0041542D" w:rsidRDefault="00CD0624" w:rsidP="0041542D">
            <w:pPr>
              <w:pStyle w:val="TableCopy"/>
              <w:rPr>
                <w:lang w:val="en-GB"/>
              </w:rPr>
            </w:pPr>
          </w:p>
        </w:tc>
      </w:tr>
      <w:tr w:rsidR="00773275" w:rsidRPr="0041542D" w14:paraId="6682F1A6" w14:textId="77777777" w:rsidTr="0041542D">
        <w:trPr>
          <w:cantSplit/>
        </w:trPr>
        <w:tc>
          <w:tcPr>
            <w:tcW w:w="6232" w:type="dxa"/>
            <w:hideMark/>
          </w:tcPr>
          <w:p w14:paraId="50E03B5D" w14:textId="77777777" w:rsidR="00643AC2" w:rsidRPr="0041542D" w:rsidRDefault="00643AC2" w:rsidP="0041542D">
            <w:pPr>
              <w:pStyle w:val="TableCopy"/>
              <w:rPr>
                <w:b/>
                <w:lang w:val="en-GB"/>
              </w:rPr>
            </w:pPr>
            <w:r w:rsidRPr="0041542D">
              <w:rPr>
                <w:b/>
                <w:lang w:val="en-GB"/>
              </w:rPr>
              <w:t>Net cash flows from operating activities</w:t>
            </w:r>
          </w:p>
        </w:tc>
        <w:tc>
          <w:tcPr>
            <w:tcW w:w="2126" w:type="dxa"/>
            <w:hideMark/>
          </w:tcPr>
          <w:p w14:paraId="455230FB" w14:textId="77777777" w:rsidR="00643AC2" w:rsidRPr="0041542D" w:rsidRDefault="00643AC2" w:rsidP="0041542D">
            <w:pPr>
              <w:pStyle w:val="TableCopy"/>
              <w:rPr>
                <w:b/>
                <w:lang w:val="en-GB"/>
              </w:rPr>
            </w:pPr>
            <w:r w:rsidRPr="0041542D">
              <w:rPr>
                <w:b/>
                <w:lang w:val="en-GB"/>
              </w:rPr>
              <w:t>21,936</w:t>
            </w:r>
          </w:p>
        </w:tc>
        <w:tc>
          <w:tcPr>
            <w:tcW w:w="2127" w:type="dxa"/>
            <w:hideMark/>
          </w:tcPr>
          <w:p w14:paraId="7D2DF0FC" w14:textId="77777777" w:rsidR="00643AC2" w:rsidRPr="0041542D" w:rsidRDefault="00643AC2" w:rsidP="0041542D">
            <w:pPr>
              <w:pStyle w:val="TableCopy"/>
              <w:rPr>
                <w:lang w:val="en-GB"/>
              </w:rPr>
            </w:pPr>
            <w:r w:rsidRPr="0041542D">
              <w:rPr>
                <w:lang w:val="en-GB"/>
              </w:rPr>
              <w:t>14,919</w:t>
            </w:r>
          </w:p>
        </w:tc>
      </w:tr>
    </w:tbl>
    <w:p w14:paraId="1E57A291" w14:textId="63231C77" w:rsidR="00643AC2" w:rsidRPr="00643AC2" w:rsidRDefault="00643AC2" w:rsidP="00AA463D">
      <w:pPr>
        <w:pStyle w:val="Heading4"/>
        <w:rPr>
          <w:lang w:val="en-GB"/>
        </w:rPr>
      </w:pPr>
      <w:r w:rsidRPr="00643AC2">
        <w:rPr>
          <w:lang w:val="en-GB"/>
        </w:rPr>
        <w:t>6.3.</w:t>
      </w:r>
      <w:r w:rsidRPr="00643AC2">
        <w:rPr>
          <w:lang w:val="en-GB"/>
        </w:rPr>
        <w:t> </w:t>
      </w:r>
      <w:r w:rsidR="00AA463D">
        <w:rPr>
          <w:lang w:val="en-GB"/>
        </w:rPr>
        <w:t>C</w:t>
      </w:r>
      <w:r w:rsidRPr="00643AC2">
        <w:rPr>
          <w:lang w:val="en-GB"/>
        </w:rPr>
        <w:t>ommitments for expenditure</w:t>
      </w:r>
    </w:p>
    <w:p w14:paraId="23045052" w14:textId="2C4BF21B" w:rsidR="00643AC2" w:rsidRPr="00643AC2" w:rsidRDefault="00643AC2" w:rsidP="00643AC2">
      <w:pPr>
        <w:rPr>
          <w:lang w:val="en-GB"/>
        </w:rPr>
      </w:pPr>
      <w:r w:rsidRPr="00643AC2">
        <w:rPr>
          <w:lang w:val="en-GB"/>
        </w:rPr>
        <w:t>Commitments for future expenditure include operating and capital commitments arising from contracts. These commitments are recorded below at their nominal value and inclusive of GST. Where it is considered appropriate and provides additional relevant information to users, the net present values of significant individual projects are stated. These future expenditures cease to be disclosed as commitments on</w:t>
      </w:r>
      <w:r w:rsidR="00AA463D">
        <w:rPr>
          <w:lang w:val="en-GB"/>
        </w:rPr>
        <w:t xml:space="preserve">ce </w:t>
      </w:r>
      <w:r w:rsidRPr="00643AC2">
        <w:rPr>
          <w:lang w:val="en-GB"/>
        </w:rPr>
        <w:t>the related liabilities are recognised in the balance sheet.</w:t>
      </w:r>
    </w:p>
    <w:tbl>
      <w:tblPr>
        <w:tblStyle w:val="TableGrid"/>
        <w:tblW w:w="10485" w:type="dxa"/>
        <w:tblLook w:val="04A0" w:firstRow="1" w:lastRow="0" w:firstColumn="1" w:lastColumn="0" w:noHBand="0" w:noVBand="1"/>
      </w:tblPr>
      <w:tblGrid>
        <w:gridCol w:w="5275"/>
        <w:gridCol w:w="2604"/>
        <w:gridCol w:w="2606"/>
      </w:tblGrid>
      <w:tr w:rsidR="002E6FCD" w:rsidRPr="0083577A" w14:paraId="02BC5A81" w14:textId="77777777" w:rsidTr="0083577A">
        <w:trPr>
          <w:cantSplit/>
          <w:tblHeader/>
        </w:trPr>
        <w:tc>
          <w:tcPr>
            <w:tcW w:w="0" w:type="auto"/>
            <w:hideMark/>
          </w:tcPr>
          <w:p w14:paraId="778A23BD" w14:textId="77777777" w:rsidR="00643AC2" w:rsidRPr="0083577A" w:rsidRDefault="00643AC2" w:rsidP="0083577A">
            <w:pPr>
              <w:pStyle w:val="TableHeading"/>
              <w:rPr>
                <w:lang w:val="en-GB"/>
              </w:rPr>
            </w:pPr>
          </w:p>
        </w:tc>
        <w:tc>
          <w:tcPr>
            <w:tcW w:w="2085" w:type="dxa"/>
            <w:hideMark/>
          </w:tcPr>
          <w:p w14:paraId="098A1495" w14:textId="77777777" w:rsidR="00643AC2" w:rsidRPr="0083577A" w:rsidRDefault="00643AC2" w:rsidP="0083577A">
            <w:pPr>
              <w:pStyle w:val="TableHeading"/>
              <w:rPr>
                <w:lang w:val="en-GB"/>
              </w:rPr>
            </w:pPr>
            <w:r w:rsidRPr="0083577A">
              <w:rPr>
                <w:bCs/>
                <w:lang w:val="en-GB"/>
              </w:rPr>
              <w:t>2017</w:t>
            </w:r>
          </w:p>
        </w:tc>
        <w:tc>
          <w:tcPr>
            <w:tcW w:w="2086" w:type="dxa"/>
            <w:hideMark/>
          </w:tcPr>
          <w:p w14:paraId="1144429E" w14:textId="77777777" w:rsidR="00643AC2" w:rsidRPr="0083577A" w:rsidRDefault="00643AC2" w:rsidP="0083577A">
            <w:pPr>
              <w:pStyle w:val="TableHeading"/>
              <w:rPr>
                <w:lang w:val="en-GB"/>
              </w:rPr>
            </w:pPr>
            <w:r w:rsidRPr="0083577A">
              <w:rPr>
                <w:bCs/>
                <w:lang w:val="en-GB"/>
              </w:rPr>
              <w:t>2016</w:t>
            </w:r>
          </w:p>
        </w:tc>
      </w:tr>
      <w:tr w:rsidR="002E6FCD" w:rsidRPr="0083577A" w14:paraId="52F8E306" w14:textId="77777777" w:rsidTr="0083577A">
        <w:trPr>
          <w:cantSplit/>
          <w:tblHeader/>
        </w:trPr>
        <w:tc>
          <w:tcPr>
            <w:tcW w:w="0" w:type="auto"/>
            <w:hideMark/>
          </w:tcPr>
          <w:p w14:paraId="0EE8B5B2" w14:textId="77777777" w:rsidR="00643AC2" w:rsidRPr="0083577A" w:rsidRDefault="00643AC2" w:rsidP="0083577A">
            <w:pPr>
              <w:pStyle w:val="TableHeading"/>
              <w:rPr>
                <w:lang w:val="en-GB"/>
              </w:rPr>
            </w:pPr>
          </w:p>
        </w:tc>
        <w:tc>
          <w:tcPr>
            <w:tcW w:w="2085" w:type="dxa"/>
            <w:hideMark/>
          </w:tcPr>
          <w:p w14:paraId="108F354D" w14:textId="77777777" w:rsidR="00643AC2" w:rsidRPr="0083577A" w:rsidRDefault="00643AC2" w:rsidP="0083577A">
            <w:pPr>
              <w:pStyle w:val="TableHeading"/>
              <w:rPr>
                <w:lang w:val="en-GB"/>
              </w:rPr>
            </w:pPr>
            <w:r w:rsidRPr="0083577A">
              <w:rPr>
                <w:bCs/>
                <w:lang w:val="en-GB"/>
              </w:rPr>
              <w:t>$</w:t>
            </w:r>
          </w:p>
        </w:tc>
        <w:tc>
          <w:tcPr>
            <w:tcW w:w="2086" w:type="dxa"/>
            <w:hideMark/>
          </w:tcPr>
          <w:p w14:paraId="60FC87F6" w14:textId="77777777" w:rsidR="00643AC2" w:rsidRPr="0083577A" w:rsidRDefault="00643AC2" w:rsidP="0083577A">
            <w:pPr>
              <w:pStyle w:val="TableHeading"/>
              <w:rPr>
                <w:lang w:val="en-GB"/>
              </w:rPr>
            </w:pPr>
            <w:r w:rsidRPr="0083577A">
              <w:rPr>
                <w:bCs/>
                <w:lang w:val="en-GB"/>
              </w:rPr>
              <w:t>$</w:t>
            </w:r>
          </w:p>
        </w:tc>
      </w:tr>
      <w:tr w:rsidR="002E6FCD" w:rsidRPr="0083577A" w14:paraId="23DEAA97" w14:textId="77777777" w:rsidTr="0083577A">
        <w:trPr>
          <w:cantSplit/>
        </w:trPr>
        <w:tc>
          <w:tcPr>
            <w:tcW w:w="10485" w:type="dxa"/>
            <w:gridSpan w:val="3"/>
            <w:hideMark/>
          </w:tcPr>
          <w:p w14:paraId="7F02A772" w14:textId="7D0BFAAD" w:rsidR="002E6FCD" w:rsidRPr="0083577A" w:rsidRDefault="002E6FCD" w:rsidP="0083577A">
            <w:pPr>
              <w:pStyle w:val="TableHeading"/>
              <w:rPr>
                <w:lang w:val="en-GB"/>
              </w:rPr>
            </w:pPr>
            <w:r w:rsidRPr="0083577A">
              <w:rPr>
                <w:bCs/>
                <w:lang w:val="en-GB"/>
              </w:rPr>
              <w:t>Outsourcing commitments</w:t>
            </w:r>
          </w:p>
        </w:tc>
      </w:tr>
      <w:tr w:rsidR="002E6FCD" w:rsidRPr="0083577A" w14:paraId="22041B69" w14:textId="77777777" w:rsidTr="0083577A">
        <w:trPr>
          <w:cantSplit/>
        </w:trPr>
        <w:tc>
          <w:tcPr>
            <w:tcW w:w="10485" w:type="dxa"/>
            <w:gridSpan w:val="3"/>
            <w:hideMark/>
          </w:tcPr>
          <w:p w14:paraId="5EDEBCF6" w14:textId="5396D383" w:rsidR="002E6FCD" w:rsidRPr="0083577A" w:rsidRDefault="002E6FCD" w:rsidP="0083577A">
            <w:pPr>
              <w:pStyle w:val="TableCopy"/>
              <w:rPr>
                <w:lang w:val="en-GB"/>
              </w:rPr>
            </w:pPr>
            <w:r w:rsidRPr="0083577A">
              <w:rPr>
                <w:lang w:val="en-GB"/>
              </w:rPr>
              <w:t>Commitments under outsourcing for recruitment services, payable:</w:t>
            </w:r>
          </w:p>
        </w:tc>
      </w:tr>
      <w:tr w:rsidR="002E6FCD" w:rsidRPr="0083577A" w14:paraId="58F4FC27" w14:textId="77777777" w:rsidTr="0083577A">
        <w:trPr>
          <w:cantSplit/>
        </w:trPr>
        <w:tc>
          <w:tcPr>
            <w:tcW w:w="0" w:type="auto"/>
            <w:hideMark/>
          </w:tcPr>
          <w:p w14:paraId="129C5028" w14:textId="77777777" w:rsidR="00643AC2" w:rsidRPr="0083577A" w:rsidRDefault="00643AC2" w:rsidP="0083577A">
            <w:pPr>
              <w:pStyle w:val="TableCopy"/>
              <w:rPr>
                <w:lang w:val="en-GB"/>
              </w:rPr>
            </w:pPr>
            <w:r w:rsidRPr="0083577A">
              <w:rPr>
                <w:lang w:val="en-GB"/>
              </w:rPr>
              <w:t>Within one year</w:t>
            </w:r>
          </w:p>
        </w:tc>
        <w:tc>
          <w:tcPr>
            <w:tcW w:w="2085" w:type="dxa"/>
            <w:hideMark/>
          </w:tcPr>
          <w:p w14:paraId="11BBCD2D" w14:textId="77777777" w:rsidR="00643AC2" w:rsidRPr="0083577A" w:rsidRDefault="00643AC2" w:rsidP="0083577A">
            <w:pPr>
              <w:pStyle w:val="TableCopy"/>
              <w:rPr>
                <w:b/>
                <w:lang w:val="en-GB"/>
              </w:rPr>
            </w:pPr>
            <w:r w:rsidRPr="0083577A">
              <w:rPr>
                <w:b/>
                <w:lang w:val="en-GB"/>
              </w:rPr>
              <w:t>766,012</w:t>
            </w:r>
          </w:p>
        </w:tc>
        <w:tc>
          <w:tcPr>
            <w:tcW w:w="2086" w:type="dxa"/>
            <w:hideMark/>
          </w:tcPr>
          <w:p w14:paraId="6CBAE520" w14:textId="77777777" w:rsidR="00643AC2" w:rsidRPr="0083577A" w:rsidRDefault="00643AC2" w:rsidP="0083577A">
            <w:pPr>
              <w:pStyle w:val="TableCopy"/>
              <w:rPr>
                <w:lang w:val="en-GB"/>
              </w:rPr>
            </w:pPr>
            <w:r w:rsidRPr="0083577A">
              <w:rPr>
                <w:lang w:val="en-GB"/>
              </w:rPr>
              <w:t>454,524</w:t>
            </w:r>
          </w:p>
        </w:tc>
      </w:tr>
      <w:tr w:rsidR="002E6FCD" w:rsidRPr="0083577A" w14:paraId="018111F1" w14:textId="77777777" w:rsidTr="0083577A">
        <w:trPr>
          <w:cantSplit/>
        </w:trPr>
        <w:tc>
          <w:tcPr>
            <w:tcW w:w="0" w:type="auto"/>
            <w:hideMark/>
          </w:tcPr>
          <w:p w14:paraId="497A4400" w14:textId="77777777" w:rsidR="00643AC2" w:rsidRPr="0083577A" w:rsidRDefault="00643AC2" w:rsidP="0083577A">
            <w:pPr>
              <w:pStyle w:val="TableCopy"/>
              <w:rPr>
                <w:lang w:val="en-GB"/>
              </w:rPr>
            </w:pPr>
            <w:r w:rsidRPr="0083577A">
              <w:rPr>
                <w:lang w:val="en-GB"/>
              </w:rPr>
              <w:t>Later than one year but not later than five years</w:t>
            </w:r>
          </w:p>
        </w:tc>
        <w:tc>
          <w:tcPr>
            <w:tcW w:w="2085" w:type="dxa"/>
            <w:hideMark/>
          </w:tcPr>
          <w:p w14:paraId="728F9A0D" w14:textId="77777777" w:rsidR="00643AC2" w:rsidRPr="0083577A" w:rsidRDefault="00643AC2" w:rsidP="0083577A">
            <w:pPr>
              <w:pStyle w:val="TableCopy"/>
              <w:rPr>
                <w:b/>
                <w:lang w:val="en-GB"/>
              </w:rPr>
            </w:pPr>
            <w:r w:rsidRPr="0083577A">
              <w:rPr>
                <w:b/>
                <w:lang w:val="en-GB"/>
              </w:rPr>
              <w:t>-</w:t>
            </w:r>
          </w:p>
        </w:tc>
        <w:tc>
          <w:tcPr>
            <w:tcW w:w="2086" w:type="dxa"/>
            <w:hideMark/>
          </w:tcPr>
          <w:p w14:paraId="0A15CDB3" w14:textId="77777777" w:rsidR="00643AC2" w:rsidRPr="0083577A" w:rsidRDefault="00643AC2" w:rsidP="0083577A">
            <w:pPr>
              <w:pStyle w:val="TableCopy"/>
              <w:rPr>
                <w:lang w:val="en-GB"/>
              </w:rPr>
            </w:pPr>
            <w:r w:rsidRPr="0083577A">
              <w:rPr>
                <w:lang w:val="en-GB"/>
              </w:rPr>
              <w:t>378,770</w:t>
            </w:r>
          </w:p>
        </w:tc>
      </w:tr>
      <w:tr w:rsidR="002E6FCD" w:rsidRPr="0083577A" w14:paraId="6A588F00" w14:textId="77777777" w:rsidTr="0083577A">
        <w:trPr>
          <w:cantSplit/>
        </w:trPr>
        <w:tc>
          <w:tcPr>
            <w:tcW w:w="0" w:type="auto"/>
            <w:hideMark/>
          </w:tcPr>
          <w:p w14:paraId="4F99E9B8" w14:textId="77777777" w:rsidR="00643AC2" w:rsidRPr="0083577A" w:rsidRDefault="00643AC2" w:rsidP="0083577A">
            <w:pPr>
              <w:pStyle w:val="TableCopy"/>
              <w:rPr>
                <w:lang w:val="en-GB"/>
              </w:rPr>
            </w:pPr>
            <w:r w:rsidRPr="0083577A">
              <w:rPr>
                <w:lang w:val="en-GB"/>
              </w:rPr>
              <w:t>Later than five years</w:t>
            </w:r>
          </w:p>
        </w:tc>
        <w:tc>
          <w:tcPr>
            <w:tcW w:w="2085" w:type="dxa"/>
            <w:hideMark/>
          </w:tcPr>
          <w:p w14:paraId="5EA82743" w14:textId="77777777" w:rsidR="00643AC2" w:rsidRPr="0083577A" w:rsidRDefault="00643AC2" w:rsidP="0083577A">
            <w:pPr>
              <w:pStyle w:val="TableCopy"/>
              <w:rPr>
                <w:b/>
                <w:lang w:val="en-GB"/>
              </w:rPr>
            </w:pPr>
            <w:r w:rsidRPr="0083577A">
              <w:rPr>
                <w:b/>
                <w:lang w:val="en-GB"/>
              </w:rPr>
              <w:t>-</w:t>
            </w:r>
          </w:p>
        </w:tc>
        <w:tc>
          <w:tcPr>
            <w:tcW w:w="2086" w:type="dxa"/>
            <w:hideMark/>
          </w:tcPr>
          <w:p w14:paraId="73F71E76" w14:textId="77777777" w:rsidR="00643AC2" w:rsidRPr="0083577A" w:rsidRDefault="00643AC2" w:rsidP="0083577A">
            <w:pPr>
              <w:pStyle w:val="TableCopy"/>
              <w:rPr>
                <w:lang w:val="en-GB"/>
              </w:rPr>
            </w:pPr>
            <w:r w:rsidRPr="0083577A">
              <w:rPr>
                <w:lang w:val="en-GB"/>
              </w:rPr>
              <w:t>-</w:t>
            </w:r>
          </w:p>
        </w:tc>
      </w:tr>
      <w:tr w:rsidR="002E6FCD" w:rsidRPr="0083577A" w14:paraId="5F94BBE9" w14:textId="77777777" w:rsidTr="0083577A">
        <w:trPr>
          <w:cantSplit/>
        </w:trPr>
        <w:tc>
          <w:tcPr>
            <w:tcW w:w="0" w:type="auto"/>
            <w:hideMark/>
          </w:tcPr>
          <w:p w14:paraId="6272CFD6" w14:textId="77777777" w:rsidR="00643AC2" w:rsidRPr="0083577A" w:rsidRDefault="00643AC2" w:rsidP="0083577A">
            <w:pPr>
              <w:pStyle w:val="TableCopy"/>
              <w:rPr>
                <w:b/>
                <w:lang w:val="en-GB"/>
              </w:rPr>
            </w:pPr>
            <w:r w:rsidRPr="0083577A">
              <w:rPr>
                <w:b/>
                <w:lang w:val="en-GB"/>
              </w:rPr>
              <w:t>Total commitments (inclusive of GST)</w:t>
            </w:r>
          </w:p>
        </w:tc>
        <w:tc>
          <w:tcPr>
            <w:tcW w:w="2085" w:type="dxa"/>
            <w:hideMark/>
          </w:tcPr>
          <w:p w14:paraId="699C209A" w14:textId="77777777" w:rsidR="00643AC2" w:rsidRPr="0083577A" w:rsidRDefault="00643AC2" w:rsidP="0083577A">
            <w:pPr>
              <w:pStyle w:val="TableCopy"/>
              <w:rPr>
                <w:b/>
                <w:lang w:val="en-GB"/>
              </w:rPr>
            </w:pPr>
            <w:r w:rsidRPr="0083577A">
              <w:rPr>
                <w:b/>
                <w:lang w:val="en-GB"/>
              </w:rPr>
              <w:t>766,012</w:t>
            </w:r>
          </w:p>
        </w:tc>
        <w:tc>
          <w:tcPr>
            <w:tcW w:w="2086" w:type="dxa"/>
            <w:hideMark/>
          </w:tcPr>
          <w:p w14:paraId="259BA850" w14:textId="77777777" w:rsidR="00643AC2" w:rsidRPr="0083577A" w:rsidRDefault="00643AC2" w:rsidP="0083577A">
            <w:pPr>
              <w:pStyle w:val="TableCopy"/>
              <w:rPr>
                <w:lang w:val="en-GB"/>
              </w:rPr>
            </w:pPr>
            <w:r w:rsidRPr="0083577A">
              <w:rPr>
                <w:lang w:val="en-GB"/>
              </w:rPr>
              <w:t>833,293</w:t>
            </w:r>
          </w:p>
        </w:tc>
      </w:tr>
      <w:tr w:rsidR="002E6FCD" w:rsidRPr="0083577A" w14:paraId="6F84590A" w14:textId="77777777" w:rsidTr="0083577A">
        <w:trPr>
          <w:cantSplit/>
        </w:trPr>
        <w:tc>
          <w:tcPr>
            <w:tcW w:w="0" w:type="auto"/>
            <w:hideMark/>
          </w:tcPr>
          <w:p w14:paraId="67F9B1FC" w14:textId="77777777" w:rsidR="00643AC2" w:rsidRPr="0083577A" w:rsidRDefault="00643AC2" w:rsidP="0083577A">
            <w:pPr>
              <w:pStyle w:val="TableCopy"/>
              <w:rPr>
                <w:lang w:val="en-GB"/>
              </w:rPr>
            </w:pPr>
            <w:r w:rsidRPr="0083577A">
              <w:rPr>
                <w:lang w:val="en-GB"/>
              </w:rPr>
              <w:t>Less GST recoverable</w:t>
            </w:r>
          </w:p>
        </w:tc>
        <w:tc>
          <w:tcPr>
            <w:tcW w:w="2085" w:type="dxa"/>
            <w:hideMark/>
          </w:tcPr>
          <w:p w14:paraId="712DF04D" w14:textId="77777777" w:rsidR="00643AC2" w:rsidRPr="0083577A" w:rsidRDefault="00643AC2" w:rsidP="0083577A">
            <w:pPr>
              <w:pStyle w:val="TableCopy"/>
              <w:rPr>
                <w:b/>
                <w:lang w:val="en-GB"/>
              </w:rPr>
            </w:pPr>
            <w:r w:rsidRPr="0083577A">
              <w:rPr>
                <w:b/>
                <w:lang w:val="en-GB"/>
              </w:rPr>
              <w:t>69,637</w:t>
            </w:r>
          </w:p>
        </w:tc>
        <w:tc>
          <w:tcPr>
            <w:tcW w:w="2086" w:type="dxa"/>
            <w:hideMark/>
          </w:tcPr>
          <w:p w14:paraId="0A68BF6C" w14:textId="77777777" w:rsidR="00643AC2" w:rsidRPr="0083577A" w:rsidRDefault="00643AC2" w:rsidP="0083577A">
            <w:pPr>
              <w:pStyle w:val="TableCopy"/>
              <w:rPr>
                <w:lang w:val="en-GB"/>
              </w:rPr>
            </w:pPr>
            <w:r w:rsidRPr="0083577A">
              <w:rPr>
                <w:lang w:val="en-GB"/>
              </w:rPr>
              <w:t>75,754</w:t>
            </w:r>
          </w:p>
        </w:tc>
      </w:tr>
      <w:tr w:rsidR="002E6FCD" w:rsidRPr="0083577A" w14:paraId="33367F7C" w14:textId="77777777" w:rsidTr="0083577A">
        <w:trPr>
          <w:cantSplit/>
        </w:trPr>
        <w:tc>
          <w:tcPr>
            <w:tcW w:w="0" w:type="auto"/>
            <w:hideMark/>
          </w:tcPr>
          <w:p w14:paraId="4358C76C" w14:textId="77777777" w:rsidR="00643AC2" w:rsidRPr="0083577A" w:rsidRDefault="00643AC2" w:rsidP="0083577A">
            <w:pPr>
              <w:pStyle w:val="TableCopy"/>
              <w:rPr>
                <w:b/>
                <w:lang w:val="en-GB"/>
              </w:rPr>
            </w:pPr>
            <w:r w:rsidRPr="0083577A">
              <w:rPr>
                <w:b/>
                <w:lang w:val="en-GB"/>
              </w:rPr>
              <w:t>Total commitments (exclusive of GST)</w:t>
            </w:r>
          </w:p>
        </w:tc>
        <w:tc>
          <w:tcPr>
            <w:tcW w:w="2085" w:type="dxa"/>
            <w:hideMark/>
          </w:tcPr>
          <w:p w14:paraId="3FE75E90" w14:textId="77777777" w:rsidR="00643AC2" w:rsidRPr="0083577A" w:rsidRDefault="00643AC2" w:rsidP="0083577A">
            <w:pPr>
              <w:pStyle w:val="TableCopy"/>
              <w:rPr>
                <w:b/>
                <w:lang w:val="en-GB"/>
              </w:rPr>
            </w:pPr>
            <w:r w:rsidRPr="0083577A">
              <w:rPr>
                <w:b/>
                <w:lang w:val="en-GB"/>
              </w:rPr>
              <w:t>696,375</w:t>
            </w:r>
          </w:p>
        </w:tc>
        <w:tc>
          <w:tcPr>
            <w:tcW w:w="2086" w:type="dxa"/>
            <w:hideMark/>
          </w:tcPr>
          <w:p w14:paraId="2A239C78" w14:textId="77777777" w:rsidR="00643AC2" w:rsidRPr="0083577A" w:rsidRDefault="00643AC2" w:rsidP="0083577A">
            <w:pPr>
              <w:pStyle w:val="TableCopy"/>
              <w:rPr>
                <w:lang w:val="en-GB"/>
              </w:rPr>
            </w:pPr>
            <w:r w:rsidRPr="0083577A">
              <w:rPr>
                <w:lang w:val="en-GB"/>
              </w:rPr>
              <w:t>757,539</w:t>
            </w:r>
          </w:p>
        </w:tc>
      </w:tr>
      <w:tr w:rsidR="002E6FCD" w:rsidRPr="0083577A" w14:paraId="7EF1C3B9" w14:textId="77777777" w:rsidTr="0083577A">
        <w:trPr>
          <w:cantSplit/>
        </w:trPr>
        <w:tc>
          <w:tcPr>
            <w:tcW w:w="10485" w:type="dxa"/>
            <w:gridSpan w:val="3"/>
            <w:hideMark/>
          </w:tcPr>
          <w:p w14:paraId="7819557E" w14:textId="77777777" w:rsidR="002E6FCD" w:rsidRPr="0083577A" w:rsidRDefault="002E6FCD" w:rsidP="0083577A">
            <w:pPr>
              <w:pStyle w:val="TableCopy"/>
              <w:rPr>
                <w:lang w:val="en-GB"/>
              </w:rPr>
            </w:pPr>
          </w:p>
        </w:tc>
      </w:tr>
      <w:tr w:rsidR="002E6FCD" w:rsidRPr="0083577A" w14:paraId="09423696" w14:textId="77777777" w:rsidTr="0083577A">
        <w:trPr>
          <w:cantSplit/>
        </w:trPr>
        <w:tc>
          <w:tcPr>
            <w:tcW w:w="10485" w:type="dxa"/>
            <w:gridSpan w:val="3"/>
            <w:hideMark/>
          </w:tcPr>
          <w:p w14:paraId="2C8BC646" w14:textId="756392FE" w:rsidR="002E6FCD" w:rsidRPr="0083577A" w:rsidRDefault="002E6FCD" w:rsidP="0083577A">
            <w:pPr>
              <w:pStyle w:val="TableHeading"/>
              <w:rPr>
                <w:lang w:val="en-GB"/>
              </w:rPr>
            </w:pPr>
            <w:r w:rsidRPr="0083577A">
              <w:rPr>
                <w:lang w:val="en-GB"/>
              </w:rPr>
              <w:t>Operating lease commitments</w:t>
            </w:r>
          </w:p>
        </w:tc>
      </w:tr>
      <w:tr w:rsidR="002E6FCD" w:rsidRPr="0083577A" w14:paraId="0948BAB6" w14:textId="77777777" w:rsidTr="0083577A">
        <w:trPr>
          <w:cantSplit/>
        </w:trPr>
        <w:tc>
          <w:tcPr>
            <w:tcW w:w="10485" w:type="dxa"/>
            <w:gridSpan w:val="3"/>
            <w:hideMark/>
          </w:tcPr>
          <w:p w14:paraId="18081635" w14:textId="448C81F7" w:rsidR="002E6FCD" w:rsidRPr="0083577A" w:rsidRDefault="002E6FCD" w:rsidP="0083577A">
            <w:pPr>
              <w:pStyle w:val="TableCopy"/>
              <w:rPr>
                <w:lang w:val="en-GB"/>
              </w:rPr>
            </w:pPr>
            <w:r w:rsidRPr="0083577A">
              <w:rPr>
                <w:lang w:val="en-GB"/>
              </w:rPr>
              <w:t>Commitments for minimum lease payments in relation to non-cancellable operating leases, not recognised as liabilities, are payable as follows:</w:t>
            </w:r>
          </w:p>
        </w:tc>
      </w:tr>
      <w:tr w:rsidR="002E6FCD" w:rsidRPr="0083577A" w14:paraId="74079C71" w14:textId="77777777" w:rsidTr="0083577A">
        <w:trPr>
          <w:cantSplit/>
        </w:trPr>
        <w:tc>
          <w:tcPr>
            <w:tcW w:w="0" w:type="auto"/>
            <w:hideMark/>
          </w:tcPr>
          <w:p w14:paraId="462F8839" w14:textId="77777777" w:rsidR="00643AC2" w:rsidRPr="0083577A" w:rsidRDefault="00643AC2" w:rsidP="0083577A">
            <w:pPr>
              <w:pStyle w:val="TableCopy"/>
              <w:rPr>
                <w:lang w:val="en-GB"/>
              </w:rPr>
            </w:pPr>
            <w:r w:rsidRPr="0083577A">
              <w:rPr>
                <w:lang w:val="en-GB"/>
              </w:rPr>
              <w:t>Within one year</w:t>
            </w:r>
          </w:p>
        </w:tc>
        <w:tc>
          <w:tcPr>
            <w:tcW w:w="2085" w:type="dxa"/>
            <w:hideMark/>
          </w:tcPr>
          <w:p w14:paraId="2889BDB6" w14:textId="77777777" w:rsidR="00643AC2" w:rsidRPr="0083577A" w:rsidRDefault="00643AC2" w:rsidP="0083577A">
            <w:pPr>
              <w:pStyle w:val="TableCopy"/>
              <w:rPr>
                <w:b/>
                <w:lang w:val="en-GB"/>
              </w:rPr>
            </w:pPr>
            <w:r w:rsidRPr="0083577A">
              <w:rPr>
                <w:b/>
                <w:lang w:val="en-GB"/>
              </w:rPr>
              <w:t>48,346</w:t>
            </w:r>
          </w:p>
        </w:tc>
        <w:tc>
          <w:tcPr>
            <w:tcW w:w="2086" w:type="dxa"/>
            <w:hideMark/>
          </w:tcPr>
          <w:p w14:paraId="473FC223" w14:textId="77777777" w:rsidR="00643AC2" w:rsidRPr="0083577A" w:rsidRDefault="00643AC2" w:rsidP="0083577A">
            <w:pPr>
              <w:pStyle w:val="TableCopy"/>
              <w:rPr>
                <w:lang w:val="en-GB"/>
              </w:rPr>
            </w:pPr>
            <w:r w:rsidRPr="0083577A">
              <w:rPr>
                <w:lang w:val="en-GB"/>
              </w:rPr>
              <w:t>47,449</w:t>
            </w:r>
          </w:p>
        </w:tc>
      </w:tr>
      <w:tr w:rsidR="002E6FCD" w:rsidRPr="0083577A" w14:paraId="16B5F71F" w14:textId="77777777" w:rsidTr="0083577A">
        <w:trPr>
          <w:cantSplit/>
        </w:trPr>
        <w:tc>
          <w:tcPr>
            <w:tcW w:w="0" w:type="auto"/>
            <w:hideMark/>
          </w:tcPr>
          <w:p w14:paraId="6309922F" w14:textId="77777777" w:rsidR="00643AC2" w:rsidRPr="0083577A" w:rsidRDefault="00643AC2" w:rsidP="0083577A">
            <w:pPr>
              <w:pStyle w:val="TableCopy"/>
              <w:rPr>
                <w:lang w:val="en-GB"/>
              </w:rPr>
            </w:pPr>
            <w:r w:rsidRPr="0083577A">
              <w:rPr>
                <w:lang w:val="en-GB"/>
              </w:rPr>
              <w:t>Later than one year but not later than five years</w:t>
            </w:r>
          </w:p>
        </w:tc>
        <w:tc>
          <w:tcPr>
            <w:tcW w:w="2085" w:type="dxa"/>
            <w:hideMark/>
          </w:tcPr>
          <w:p w14:paraId="013A0E16" w14:textId="77777777" w:rsidR="00643AC2" w:rsidRPr="0083577A" w:rsidRDefault="00643AC2" w:rsidP="0083577A">
            <w:pPr>
              <w:pStyle w:val="TableCopy"/>
              <w:rPr>
                <w:b/>
                <w:lang w:val="en-GB"/>
              </w:rPr>
            </w:pPr>
            <w:r w:rsidRPr="0083577A">
              <w:rPr>
                <w:b/>
                <w:lang w:val="en-GB"/>
              </w:rPr>
              <w:t>-</w:t>
            </w:r>
          </w:p>
        </w:tc>
        <w:tc>
          <w:tcPr>
            <w:tcW w:w="2086" w:type="dxa"/>
            <w:hideMark/>
          </w:tcPr>
          <w:p w14:paraId="2B3B22E2" w14:textId="77777777" w:rsidR="00643AC2" w:rsidRPr="0083577A" w:rsidRDefault="00643AC2" w:rsidP="0083577A">
            <w:pPr>
              <w:pStyle w:val="TableCopy"/>
              <w:rPr>
                <w:lang w:val="en-GB"/>
              </w:rPr>
            </w:pPr>
            <w:r w:rsidRPr="0083577A">
              <w:rPr>
                <w:lang w:val="en-GB"/>
              </w:rPr>
              <w:t>-</w:t>
            </w:r>
          </w:p>
        </w:tc>
      </w:tr>
      <w:tr w:rsidR="002E6FCD" w:rsidRPr="0083577A" w14:paraId="3027446A" w14:textId="77777777" w:rsidTr="0083577A">
        <w:trPr>
          <w:cantSplit/>
        </w:trPr>
        <w:tc>
          <w:tcPr>
            <w:tcW w:w="0" w:type="auto"/>
            <w:hideMark/>
          </w:tcPr>
          <w:p w14:paraId="5DD61605" w14:textId="77777777" w:rsidR="00643AC2" w:rsidRPr="0083577A" w:rsidRDefault="00643AC2" w:rsidP="0083577A">
            <w:pPr>
              <w:pStyle w:val="TableCopy"/>
              <w:rPr>
                <w:lang w:val="en-GB"/>
              </w:rPr>
            </w:pPr>
            <w:r w:rsidRPr="0083577A">
              <w:rPr>
                <w:lang w:val="en-GB"/>
              </w:rPr>
              <w:t>Later than five years</w:t>
            </w:r>
          </w:p>
        </w:tc>
        <w:tc>
          <w:tcPr>
            <w:tcW w:w="2085" w:type="dxa"/>
            <w:hideMark/>
          </w:tcPr>
          <w:p w14:paraId="7917B762" w14:textId="77777777" w:rsidR="00643AC2" w:rsidRPr="0083577A" w:rsidRDefault="00643AC2" w:rsidP="0083577A">
            <w:pPr>
              <w:pStyle w:val="TableCopy"/>
              <w:rPr>
                <w:b/>
                <w:lang w:val="en-GB"/>
              </w:rPr>
            </w:pPr>
            <w:r w:rsidRPr="0083577A">
              <w:rPr>
                <w:b/>
                <w:lang w:val="en-GB"/>
              </w:rPr>
              <w:t>-</w:t>
            </w:r>
          </w:p>
        </w:tc>
        <w:tc>
          <w:tcPr>
            <w:tcW w:w="2086" w:type="dxa"/>
            <w:hideMark/>
          </w:tcPr>
          <w:p w14:paraId="1DE332F9" w14:textId="77777777" w:rsidR="00643AC2" w:rsidRPr="0083577A" w:rsidRDefault="00643AC2" w:rsidP="0083577A">
            <w:pPr>
              <w:pStyle w:val="TableCopy"/>
              <w:rPr>
                <w:lang w:val="en-GB"/>
              </w:rPr>
            </w:pPr>
            <w:r w:rsidRPr="0083577A">
              <w:rPr>
                <w:lang w:val="en-GB"/>
              </w:rPr>
              <w:t>-</w:t>
            </w:r>
          </w:p>
        </w:tc>
      </w:tr>
      <w:tr w:rsidR="002E6FCD" w:rsidRPr="0083577A" w14:paraId="15AB3A64" w14:textId="77777777" w:rsidTr="0083577A">
        <w:trPr>
          <w:cantSplit/>
        </w:trPr>
        <w:tc>
          <w:tcPr>
            <w:tcW w:w="0" w:type="auto"/>
            <w:hideMark/>
          </w:tcPr>
          <w:p w14:paraId="6D7854B2" w14:textId="77777777" w:rsidR="00643AC2" w:rsidRPr="0083577A" w:rsidRDefault="00643AC2" w:rsidP="0083577A">
            <w:pPr>
              <w:pStyle w:val="TableCopy"/>
              <w:rPr>
                <w:b/>
                <w:lang w:val="en-GB"/>
              </w:rPr>
            </w:pPr>
            <w:r w:rsidRPr="0083577A">
              <w:rPr>
                <w:b/>
                <w:lang w:val="en-GB"/>
              </w:rPr>
              <w:t>Total commitments (inclusive of GST)</w:t>
            </w:r>
          </w:p>
        </w:tc>
        <w:tc>
          <w:tcPr>
            <w:tcW w:w="2085" w:type="dxa"/>
            <w:hideMark/>
          </w:tcPr>
          <w:p w14:paraId="3C5627BA" w14:textId="77777777" w:rsidR="00643AC2" w:rsidRPr="0083577A" w:rsidRDefault="00643AC2" w:rsidP="0083577A">
            <w:pPr>
              <w:pStyle w:val="TableCopy"/>
              <w:rPr>
                <w:b/>
                <w:lang w:val="en-GB"/>
              </w:rPr>
            </w:pPr>
            <w:r w:rsidRPr="0083577A">
              <w:rPr>
                <w:b/>
                <w:lang w:val="en-GB"/>
              </w:rPr>
              <w:t>48,346</w:t>
            </w:r>
          </w:p>
        </w:tc>
        <w:tc>
          <w:tcPr>
            <w:tcW w:w="2086" w:type="dxa"/>
            <w:hideMark/>
          </w:tcPr>
          <w:p w14:paraId="503ED62C" w14:textId="77777777" w:rsidR="00643AC2" w:rsidRPr="0083577A" w:rsidRDefault="00643AC2" w:rsidP="0083577A">
            <w:pPr>
              <w:pStyle w:val="TableCopy"/>
              <w:rPr>
                <w:lang w:val="en-GB"/>
              </w:rPr>
            </w:pPr>
            <w:r w:rsidRPr="0083577A">
              <w:rPr>
                <w:lang w:val="en-GB"/>
              </w:rPr>
              <w:t>47,449</w:t>
            </w:r>
          </w:p>
        </w:tc>
      </w:tr>
      <w:tr w:rsidR="002E6FCD" w:rsidRPr="0083577A" w14:paraId="03CADDFE" w14:textId="77777777" w:rsidTr="0083577A">
        <w:trPr>
          <w:cantSplit/>
        </w:trPr>
        <w:tc>
          <w:tcPr>
            <w:tcW w:w="0" w:type="auto"/>
            <w:hideMark/>
          </w:tcPr>
          <w:p w14:paraId="64EBD116" w14:textId="77777777" w:rsidR="00643AC2" w:rsidRPr="0083577A" w:rsidRDefault="00643AC2" w:rsidP="0083577A">
            <w:pPr>
              <w:pStyle w:val="TableCopy"/>
              <w:rPr>
                <w:lang w:val="en-GB"/>
              </w:rPr>
            </w:pPr>
            <w:r w:rsidRPr="0083577A">
              <w:rPr>
                <w:lang w:val="en-GB"/>
              </w:rPr>
              <w:t>Less GST recoverable</w:t>
            </w:r>
          </w:p>
        </w:tc>
        <w:tc>
          <w:tcPr>
            <w:tcW w:w="2085" w:type="dxa"/>
            <w:hideMark/>
          </w:tcPr>
          <w:p w14:paraId="45C13320" w14:textId="77777777" w:rsidR="00643AC2" w:rsidRPr="0083577A" w:rsidRDefault="00643AC2" w:rsidP="0083577A">
            <w:pPr>
              <w:pStyle w:val="TableCopy"/>
              <w:rPr>
                <w:b/>
                <w:lang w:val="en-GB"/>
              </w:rPr>
            </w:pPr>
            <w:r w:rsidRPr="0083577A">
              <w:rPr>
                <w:b/>
                <w:lang w:val="en-GB"/>
              </w:rPr>
              <w:t>4,395</w:t>
            </w:r>
          </w:p>
        </w:tc>
        <w:tc>
          <w:tcPr>
            <w:tcW w:w="2086" w:type="dxa"/>
            <w:hideMark/>
          </w:tcPr>
          <w:p w14:paraId="1FD32F50" w14:textId="77777777" w:rsidR="00643AC2" w:rsidRPr="0083577A" w:rsidRDefault="00643AC2" w:rsidP="0083577A">
            <w:pPr>
              <w:pStyle w:val="TableCopy"/>
              <w:rPr>
                <w:lang w:val="en-GB"/>
              </w:rPr>
            </w:pPr>
            <w:r w:rsidRPr="0083577A">
              <w:rPr>
                <w:lang w:val="en-GB"/>
              </w:rPr>
              <w:t>4,314</w:t>
            </w:r>
          </w:p>
        </w:tc>
      </w:tr>
      <w:tr w:rsidR="002E6FCD" w:rsidRPr="0083577A" w14:paraId="1793719F" w14:textId="77777777" w:rsidTr="0083577A">
        <w:trPr>
          <w:cantSplit/>
        </w:trPr>
        <w:tc>
          <w:tcPr>
            <w:tcW w:w="0" w:type="auto"/>
            <w:hideMark/>
          </w:tcPr>
          <w:p w14:paraId="18B30928" w14:textId="77777777" w:rsidR="00643AC2" w:rsidRPr="0083577A" w:rsidRDefault="00643AC2" w:rsidP="0083577A">
            <w:pPr>
              <w:pStyle w:val="TableCopy"/>
              <w:rPr>
                <w:b/>
                <w:lang w:val="en-GB"/>
              </w:rPr>
            </w:pPr>
            <w:r w:rsidRPr="0083577A">
              <w:rPr>
                <w:b/>
                <w:lang w:val="en-GB"/>
              </w:rPr>
              <w:lastRenderedPageBreak/>
              <w:t>Total commitments (exclusive of GST)</w:t>
            </w:r>
          </w:p>
        </w:tc>
        <w:tc>
          <w:tcPr>
            <w:tcW w:w="2085" w:type="dxa"/>
            <w:hideMark/>
          </w:tcPr>
          <w:p w14:paraId="2772F9A2" w14:textId="77777777" w:rsidR="00643AC2" w:rsidRPr="0083577A" w:rsidRDefault="00643AC2" w:rsidP="0083577A">
            <w:pPr>
              <w:pStyle w:val="TableCopy"/>
              <w:rPr>
                <w:b/>
                <w:lang w:val="en-GB"/>
              </w:rPr>
            </w:pPr>
            <w:r w:rsidRPr="0083577A">
              <w:rPr>
                <w:b/>
                <w:lang w:val="en-GB"/>
              </w:rPr>
              <w:t>43,951</w:t>
            </w:r>
          </w:p>
        </w:tc>
        <w:tc>
          <w:tcPr>
            <w:tcW w:w="2086" w:type="dxa"/>
            <w:hideMark/>
          </w:tcPr>
          <w:p w14:paraId="00DF74E0" w14:textId="77777777" w:rsidR="00643AC2" w:rsidRPr="0083577A" w:rsidRDefault="00643AC2" w:rsidP="0083577A">
            <w:pPr>
              <w:pStyle w:val="TableCopy"/>
              <w:rPr>
                <w:lang w:val="en-GB"/>
              </w:rPr>
            </w:pPr>
            <w:r w:rsidRPr="0083577A">
              <w:rPr>
                <w:lang w:val="en-GB"/>
              </w:rPr>
              <w:t>43,135</w:t>
            </w:r>
          </w:p>
        </w:tc>
      </w:tr>
    </w:tbl>
    <w:p w14:paraId="1D407BBC" w14:textId="2CEFD103" w:rsidR="00643AC2" w:rsidRPr="00643AC2" w:rsidRDefault="00643AC2" w:rsidP="002563DF">
      <w:pPr>
        <w:pStyle w:val="Heading2"/>
        <w:rPr>
          <w:lang w:val="en-GB"/>
        </w:rPr>
      </w:pPr>
      <w:bookmarkStart w:id="94" w:name="_Toc494112022"/>
      <w:r w:rsidRPr="00643AC2">
        <w:rPr>
          <w:lang w:val="en-GB"/>
        </w:rPr>
        <w:t>7.</w:t>
      </w:r>
      <w:r w:rsidRPr="00643AC2">
        <w:rPr>
          <w:lang w:val="en-GB"/>
        </w:rPr>
        <w:t> </w:t>
      </w:r>
      <w:r w:rsidR="002563DF">
        <w:rPr>
          <w:lang w:val="en-GB"/>
        </w:rPr>
        <w:t>R</w:t>
      </w:r>
      <w:r w:rsidRPr="00643AC2">
        <w:rPr>
          <w:lang w:val="en-GB"/>
        </w:rPr>
        <w:t>isks, contingencies and valuation judgements</w:t>
      </w:r>
      <w:bookmarkEnd w:id="94"/>
    </w:p>
    <w:p w14:paraId="60FECA00" w14:textId="77777777" w:rsidR="00643AC2" w:rsidRPr="00643AC2" w:rsidRDefault="00643AC2" w:rsidP="002563DF">
      <w:pPr>
        <w:pStyle w:val="Heading3"/>
        <w:rPr>
          <w:lang w:val="en-GB"/>
        </w:rPr>
      </w:pPr>
      <w:bookmarkStart w:id="95" w:name="_Toc494112023"/>
      <w:r w:rsidRPr="00643AC2">
        <w:rPr>
          <w:lang w:val="en-GB"/>
        </w:rPr>
        <w:t>Introduction</w:t>
      </w:r>
      <w:bookmarkEnd w:id="95"/>
    </w:p>
    <w:p w14:paraId="29985AC9" w14:textId="6EB27B59" w:rsidR="00643AC2" w:rsidRPr="00643AC2" w:rsidRDefault="00643AC2" w:rsidP="00643AC2">
      <w:pPr>
        <w:rPr>
          <w:lang w:val="en-GB"/>
        </w:rPr>
      </w:pPr>
      <w:r w:rsidRPr="00643AC2">
        <w:rPr>
          <w:lang w:val="en-GB"/>
        </w:rPr>
        <w:t>The Commission is exposed to risk from its activities and outside factors. In additi</w:t>
      </w:r>
      <w:r w:rsidR="002563DF">
        <w:rPr>
          <w:lang w:val="en-GB"/>
        </w:rPr>
        <w:t xml:space="preserve">on, it is often </w:t>
      </w:r>
      <w:r w:rsidRPr="00643AC2">
        <w:rPr>
          <w:lang w:val="en-GB"/>
        </w:rPr>
        <w:t>necessary to make judgements and estimates associated wi</w:t>
      </w:r>
      <w:r w:rsidR="002563DF">
        <w:rPr>
          <w:lang w:val="en-GB"/>
        </w:rPr>
        <w:t xml:space="preserve">th recognition and measurement </w:t>
      </w:r>
      <w:r w:rsidRPr="00643AC2">
        <w:rPr>
          <w:lang w:val="en-GB"/>
        </w:rPr>
        <w:t>of items in the financial statements. </w:t>
      </w:r>
    </w:p>
    <w:p w14:paraId="54DFA35D" w14:textId="2C9B9204" w:rsidR="00643AC2" w:rsidRPr="00643AC2" w:rsidRDefault="00643AC2" w:rsidP="00643AC2">
      <w:pPr>
        <w:rPr>
          <w:lang w:val="en-GB"/>
        </w:rPr>
      </w:pPr>
      <w:r w:rsidRPr="00643AC2">
        <w:rPr>
          <w:lang w:val="en-GB"/>
        </w:rPr>
        <w:t>This section sets out financial instrument specific information (including</w:t>
      </w:r>
      <w:r w:rsidR="002563DF">
        <w:rPr>
          <w:lang w:val="en-GB"/>
        </w:rPr>
        <w:t xml:space="preserve"> exposures to financial risks) </w:t>
      </w:r>
      <w:r w:rsidRPr="00643AC2">
        <w:rPr>
          <w:lang w:val="en-GB"/>
        </w:rPr>
        <w:t>as well as those items that are contingent in nature or require a higher lev</w:t>
      </w:r>
      <w:r w:rsidR="002563DF">
        <w:rPr>
          <w:lang w:val="en-GB"/>
        </w:rPr>
        <w:t xml:space="preserve">el of judgement to be applied, </w:t>
      </w:r>
      <w:r w:rsidRPr="00643AC2">
        <w:rPr>
          <w:lang w:val="en-GB"/>
        </w:rPr>
        <w:t>which for the Commission relates mainly to fair value determination.</w:t>
      </w:r>
    </w:p>
    <w:p w14:paraId="228B1887" w14:textId="77777777" w:rsidR="00643AC2" w:rsidRPr="00643AC2" w:rsidRDefault="00643AC2" w:rsidP="002563DF">
      <w:pPr>
        <w:pStyle w:val="Heading3"/>
        <w:rPr>
          <w:lang w:val="en-GB"/>
        </w:rPr>
      </w:pPr>
      <w:bookmarkStart w:id="96" w:name="_Toc494112024"/>
      <w:r w:rsidRPr="00643AC2">
        <w:rPr>
          <w:lang w:val="en-GB"/>
        </w:rPr>
        <w:t>Structure</w:t>
      </w:r>
      <w:bookmarkEnd w:id="96"/>
    </w:p>
    <w:p w14:paraId="4D38C28B" w14:textId="673D6E61" w:rsidR="00643AC2" w:rsidRPr="00643AC2" w:rsidRDefault="00643AC2" w:rsidP="00643AC2">
      <w:pPr>
        <w:rPr>
          <w:lang w:val="en-GB"/>
        </w:rPr>
      </w:pPr>
      <w:r w:rsidRPr="00643AC2">
        <w:rPr>
          <w:lang w:val="en-GB"/>
        </w:rPr>
        <w:t>7.1.</w:t>
      </w:r>
      <w:r w:rsidRPr="00643AC2">
        <w:rPr>
          <w:lang w:val="en-GB"/>
        </w:rPr>
        <w:t> </w:t>
      </w:r>
      <w:r w:rsidR="002563DF">
        <w:rPr>
          <w:lang w:val="en-GB"/>
        </w:rPr>
        <w:t>F</w:t>
      </w:r>
      <w:r w:rsidRPr="00643AC2">
        <w:rPr>
          <w:lang w:val="en-GB"/>
        </w:rPr>
        <w:t>inancial instruments specific disclosures</w:t>
      </w:r>
    </w:p>
    <w:p w14:paraId="158C1DA0" w14:textId="3AC071A8" w:rsidR="00643AC2" w:rsidRPr="00643AC2" w:rsidRDefault="00643AC2" w:rsidP="00643AC2">
      <w:pPr>
        <w:rPr>
          <w:lang w:val="en-GB"/>
        </w:rPr>
      </w:pPr>
      <w:r w:rsidRPr="00643AC2">
        <w:rPr>
          <w:lang w:val="en-GB"/>
        </w:rPr>
        <w:t>7.2.</w:t>
      </w:r>
      <w:r w:rsidRPr="00643AC2">
        <w:rPr>
          <w:lang w:val="en-GB"/>
        </w:rPr>
        <w:t> </w:t>
      </w:r>
      <w:r w:rsidR="002563DF">
        <w:rPr>
          <w:lang w:val="en-GB"/>
        </w:rPr>
        <w:t>C</w:t>
      </w:r>
      <w:r w:rsidRPr="00643AC2">
        <w:rPr>
          <w:lang w:val="en-GB"/>
        </w:rPr>
        <w:t>ontingent assets and contingent liabilities </w:t>
      </w:r>
    </w:p>
    <w:p w14:paraId="3B592F69" w14:textId="03D4FB86" w:rsidR="00643AC2" w:rsidRPr="00643AC2" w:rsidRDefault="00643AC2" w:rsidP="002563DF">
      <w:pPr>
        <w:pStyle w:val="Heading4"/>
        <w:rPr>
          <w:lang w:val="en-GB"/>
        </w:rPr>
      </w:pPr>
      <w:r w:rsidRPr="00643AC2">
        <w:rPr>
          <w:lang w:val="en-GB"/>
        </w:rPr>
        <w:t>7.1.</w:t>
      </w:r>
      <w:r w:rsidRPr="00643AC2">
        <w:rPr>
          <w:lang w:val="en-GB"/>
        </w:rPr>
        <w:t> </w:t>
      </w:r>
      <w:r w:rsidR="002563DF">
        <w:rPr>
          <w:lang w:val="en-GB"/>
        </w:rPr>
        <w:t>F</w:t>
      </w:r>
      <w:r w:rsidRPr="00643AC2">
        <w:rPr>
          <w:lang w:val="en-GB"/>
        </w:rPr>
        <w:t>inancial instruments specific disclosures </w:t>
      </w:r>
    </w:p>
    <w:p w14:paraId="677C9008" w14:textId="56C95B7F" w:rsidR="00643AC2" w:rsidRPr="00643AC2" w:rsidRDefault="00643AC2" w:rsidP="00643AC2">
      <w:pPr>
        <w:rPr>
          <w:lang w:val="en-GB"/>
        </w:rPr>
      </w:pPr>
      <w:r w:rsidRPr="00643AC2">
        <w:rPr>
          <w:lang w:val="en-GB"/>
        </w:rPr>
        <w:t>Financial instruments arise out of contractual agreements that give rise to a financial asset of one entity and a financial liability or equity instrument of another entity. Due to the nature of the Commission’s activities, certain financial assets and financial liabilities arise under statute rather t</w:t>
      </w:r>
      <w:r w:rsidR="002563DF">
        <w:rPr>
          <w:lang w:val="en-GB"/>
        </w:rPr>
        <w:t xml:space="preserve">han a contract. Such financial </w:t>
      </w:r>
      <w:r w:rsidRPr="00643AC2">
        <w:rPr>
          <w:lang w:val="en-GB"/>
        </w:rPr>
        <w:t xml:space="preserve">assets and financial liabilities do not meet the definition of financial instruments in AASB 132 </w:t>
      </w:r>
      <w:r w:rsidRPr="00643AC2">
        <w:rPr>
          <w:i/>
          <w:iCs/>
          <w:lang w:val="en-GB"/>
        </w:rPr>
        <w:t>Financial Instruments: Presentation</w:t>
      </w:r>
      <w:r w:rsidRPr="00643AC2">
        <w:rPr>
          <w:lang w:val="en-GB"/>
        </w:rPr>
        <w:t>.</w:t>
      </w:r>
    </w:p>
    <w:p w14:paraId="30AE6849" w14:textId="77777777" w:rsidR="00643AC2" w:rsidRPr="00643AC2" w:rsidRDefault="00643AC2" w:rsidP="002563DF">
      <w:pPr>
        <w:pStyle w:val="Heading5"/>
        <w:rPr>
          <w:lang w:val="en-GB"/>
        </w:rPr>
      </w:pPr>
      <w:r w:rsidRPr="00643AC2">
        <w:rPr>
          <w:lang w:val="en-GB"/>
        </w:rPr>
        <w:t>Categories of financial instruments</w:t>
      </w:r>
    </w:p>
    <w:p w14:paraId="2DE38925" w14:textId="77777777" w:rsidR="00643AC2" w:rsidRPr="00643AC2" w:rsidRDefault="00643AC2" w:rsidP="002563DF">
      <w:pPr>
        <w:pStyle w:val="Heading6"/>
        <w:rPr>
          <w:lang w:val="en-GB"/>
        </w:rPr>
      </w:pPr>
      <w:r w:rsidRPr="00643AC2">
        <w:rPr>
          <w:lang w:val="en-GB"/>
        </w:rPr>
        <w:t>Receivables and cash</w:t>
      </w:r>
    </w:p>
    <w:p w14:paraId="0D111501" w14:textId="104049D2" w:rsidR="00643AC2" w:rsidRPr="00643AC2" w:rsidRDefault="00643AC2" w:rsidP="00643AC2">
      <w:pPr>
        <w:rPr>
          <w:lang w:val="en-GB"/>
        </w:rPr>
      </w:pPr>
      <w:r w:rsidRPr="00643AC2">
        <w:rPr>
          <w:lang w:val="en-GB"/>
        </w:rPr>
        <w:t xml:space="preserve">Receivables and cash are financial instrument assets with fixed </w:t>
      </w:r>
      <w:r w:rsidR="002563DF">
        <w:rPr>
          <w:lang w:val="en-GB"/>
        </w:rPr>
        <w:t xml:space="preserve">and determinable payments that </w:t>
      </w:r>
      <w:r w:rsidRPr="00643AC2">
        <w:rPr>
          <w:lang w:val="en-GB"/>
        </w:rPr>
        <w:t>are not quoted on an active market. These assets are initially recognised at fair value plus any directly attributable transaction costs. Subsequent to initial measurement, rec</w:t>
      </w:r>
      <w:r w:rsidR="002563DF">
        <w:rPr>
          <w:lang w:val="en-GB"/>
        </w:rPr>
        <w:t xml:space="preserve">eivables and cash are measured </w:t>
      </w:r>
      <w:r w:rsidRPr="00643AC2">
        <w:rPr>
          <w:lang w:val="en-GB"/>
        </w:rPr>
        <w:t>at amortised cost using the effective interest method, less any impairment.</w:t>
      </w:r>
    </w:p>
    <w:p w14:paraId="635F828E" w14:textId="77777777" w:rsidR="00643AC2" w:rsidRPr="00643AC2" w:rsidRDefault="00643AC2" w:rsidP="00643AC2">
      <w:pPr>
        <w:rPr>
          <w:lang w:val="en-GB"/>
        </w:rPr>
      </w:pPr>
      <w:r w:rsidRPr="00643AC2">
        <w:rPr>
          <w:lang w:val="en-GB"/>
        </w:rPr>
        <w:t>The Commission recognises the following assets in this category:</w:t>
      </w:r>
    </w:p>
    <w:p w14:paraId="62206E74" w14:textId="77777777" w:rsidR="00643AC2" w:rsidRPr="00643AC2" w:rsidRDefault="00643AC2" w:rsidP="002563DF">
      <w:pPr>
        <w:pStyle w:val="Bullet"/>
        <w:rPr>
          <w:lang w:val="en-GB"/>
        </w:rPr>
      </w:pPr>
      <w:r w:rsidRPr="00643AC2">
        <w:rPr>
          <w:lang w:val="en-GB"/>
        </w:rPr>
        <w:t>cash and deposits; and</w:t>
      </w:r>
    </w:p>
    <w:p w14:paraId="113A556D" w14:textId="77777777" w:rsidR="00643AC2" w:rsidRPr="00643AC2" w:rsidRDefault="00643AC2" w:rsidP="002563DF">
      <w:pPr>
        <w:pStyle w:val="Bullet"/>
        <w:rPr>
          <w:lang w:val="en-GB"/>
        </w:rPr>
      </w:pPr>
      <w:r w:rsidRPr="00643AC2">
        <w:rPr>
          <w:lang w:val="en-GB"/>
        </w:rPr>
        <w:t>trade receivables (excluding statutory receivables).</w:t>
      </w:r>
    </w:p>
    <w:p w14:paraId="05EBDEB0" w14:textId="77777777" w:rsidR="00643AC2" w:rsidRPr="00643AC2" w:rsidRDefault="00643AC2" w:rsidP="002563DF">
      <w:pPr>
        <w:pStyle w:val="Heading6"/>
        <w:rPr>
          <w:lang w:val="en-GB"/>
        </w:rPr>
      </w:pPr>
      <w:r w:rsidRPr="00643AC2">
        <w:rPr>
          <w:lang w:val="en-GB"/>
        </w:rPr>
        <w:t>Financial liabilities at amortised cost</w:t>
      </w:r>
    </w:p>
    <w:p w14:paraId="44CAC03B" w14:textId="31923B3F" w:rsidR="00643AC2" w:rsidRPr="00643AC2" w:rsidRDefault="00643AC2" w:rsidP="00643AC2">
      <w:pPr>
        <w:rPr>
          <w:lang w:val="en-GB"/>
        </w:rPr>
      </w:pPr>
      <w:r w:rsidRPr="00643AC2">
        <w:rPr>
          <w:lang w:val="en-GB"/>
        </w:rPr>
        <w:t>Financial instrument liabilities are recognised on the date they are originate</w:t>
      </w:r>
      <w:r w:rsidR="002563DF">
        <w:rPr>
          <w:lang w:val="en-GB"/>
        </w:rPr>
        <w:t xml:space="preserve">d. They are initially measured </w:t>
      </w:r>
      <w:r w:rsidRPr="00643AC2">
        <w:rPr>
          <w:lang w:val="en-GB"/>
        </w:rPr>
        <w:t>at fair value plus any directly attributable transaction costs. Subsequent</w:t>
      </w:r>
      <w:r w:rsidR="002563DF">
        <w:rPr>
          <w:lang w:val="en-GB"/>
        </w:rPr>
        <w:t xml:space="preserve"> to initial recognition, these </w:t>
      </w:r>
      <w:r w:rsidRPr="00643AC2">
        <w:rPr>
          <w:lang w:val="en-GB"/>
        </w:rPr>
        <w:t>financial instruments are measured at amortised cost using the effective interest rate method.</w:t>
      </w:r>
    </w:p>
    <w:p w14:paraId="313D7D6A" w14:textId="77777777" w:rsidR="00643AC2" w:rsidRPr="00643AC2" w:rsidRDefault="00643AC2" w:rsidP="00643AC2">
      <w:pPr>
        <w:rPr>
          <w:lang w:val="en-GB"/>
        </w:rPr>
      </w:pPr>
      <w:r w:rsidRPr="00643AC2">
        <w:rPr>
          <w:lang w:val="en-GB"/>
        </w:rPr>
        <w:t>The Commission recognises the following liabilities in this category:</w:t>
      </w:r>
    </w:p>
    <w:p w14:paraId="1F010727" w14:textId="77777777" w:rsidR="00643AC2" w:rsidRPr="00643AC2" w:rsidRDefault="00643AC2" w:rsidP="00285ABB">
      <w:pPr>
        <w:pStyle w:val="Bullet"/>
        <w:rPr>
          <w:lang w:val="en-GB"/>
        </w:rPr>
      </w:pPr>
      <w:r w:rsidRPr="00643AC2">
        <w:rPr>
          <w:lang w:val="en-GB"/>
        </w:rPr>
        <w:t>contractual payables;</w:t>
      </w:r>
    </w:p>
    <w:p w14:paraId="057C2D20" w14:textId="77777777" w:rsidR="00643AC2" w:rsidRPr="00643AC2" w:rsidRDefault="00643AC2" w:rsidP="00285ABB">
      <w:pPr>
        <w:pStyle w:val="Bullet"/>
        <w:rPr>
          <w:lang w:val="en-GB"/>
        </w:rPr>
      </w:pPr>
      <w:r w:rsidRPr="00643AC2">
        <w:rPr>
          <w:lang w:val="en-GB"/>
        </w:rPr>
        <w:t>unearned income; and</w:t>
      </w:r>
    </w:p>
    <w:p w14:paraId="07DBE2D2" w14:textId="77777777" w:rsidR="00643AC2" w:rsidRPr="00643AC2" w:rsidRDefault="00643AC2" w:rsidP="00285ABB">
      <w:pPr>
        <w:pStyle w:val="Bullet"/>
        <w:rPr>
          <w:lang w:val="en-GB"/>
        </w:rPr>
      </w:pPr>
      <w:r w:rsidRPr="00643AC2">
        <w:rPr>
          <w:lang w:val="en-GB"/>
        </w:rPr>
        <w:t>borrowings.</w:t>
      </w:r>
    </w:p>
    <w:p w14:paraId="19993CA0" w14:textId="77777777" w:rsidR="00643AC2" w:rsidRPr="00643AC2" w:rsidRDefault="00643AC2" w:rsidP="00285ABB">
      <w:pPr>
        <w:pStyle w:val="Heading6"/>
        <w:rPr>
          <w:lang w:val="en-GB"/>
        </w:rPr>
      </w:pPr>
      <w:r w:rsidRPr="00643AC2">
        <w:rPr>
          <w:lang w:val="en-GB"/>
        </w:rPr>
        <w:t>Offsetting financial instruments</w:t>
      </w:r>
    </w:p>
    <w:p w14:paraId="26B791A8" w14:textId="77777777" w:rsidR="00643AC2" w:rsidRPr="00643AC2" w:rsidRDefault="00643AC2" w:rsidP="00643AC2">
      <w:pPr>
        <w:rPr>
          <w:lang w:val="en-GB"/>
        </w:rPr>
      </w:pPr>
      <w:r w:rsidRPr="00643AC2">
        <w:rPr>
          <w:lang w:val="en-GB"/>
        </w:rPr>
        <w:lastRenderedPageBreak/>
        <w:t>Financial instrument assets and liabilities are offset and the net amount presented in the balance sheet when, and only when, the Commission concerned has a legal right to offset the amounts and intend either to settle on a net basis or to realise the asset and settle the liability simultaneously. </w:t>
      </w:r>
    </w:p>
    <w:p w14:paraId="32DA7FB1" w14:textId="39AB4380" w:rsidR="00643AC2" w:rsidRPr="00643AC2" w:rsidRDefault="00643AC2" w:rsidP="00177249">
      <w:pPr>
        <w:pStyle w:val="Heading5"/>
        <w:rPr>
          <w:lang w:val="en-GB"/>
        </w:rPr>
      </w:pPr>
      <w:r w:rsidRPr="00643AC2">
        <w:rPr>
          <w:lang w:val="en-GB"/>
        </w:rPr>
        <w:t>7.1.1.</w:t>
      </w:r>
      <w:r w:rsidRPr="00643AC2">
        <w:rPr>
          <w:lang w:val="en-GB"/>
        </w:rPr>
        <w:t> </w:t>
      </w:r>
      <w:r w:rsidR="00177249">
        <w:rPr>
          <w:lang w:val="en-GB"/>
        </w:rPr>
        <w:t>C</w:t>
      </w:r>
      <w:r w:rsidRPr="00643AC2">
        <w:rPr>
          <w:lang w:val="en-GB"/>
        </w:rPr>
        <w:t>ategorisation of financial instruments</w:t>
      </w:r>
    </w:p>
    <w:tbl>
      <w:tblPr>
        <w:tblStyle w:val="TableGrid"/>
        <w:tblW w:w="10485" w:type="dxa"/>
        <w:tblLook w:val="04A0" w:firstRow="1" w:lastRow="0" w:firstColumn="1" w:lastColumn="0" w:noHBand="0" w:noVBand="1"/>
      </w:tblPr>
      <w:tblGrid>
        <w:gridCol w:w="2122"/>
        <w:gridCol w:w="708"/>
        <w:gridCol w:w="4395"/>
        <w:gridCol w:w="1630"/>
        <w:gridCol w:w="1630"/>
      </w:tblGrid>
      <w:tr w:rsidR="00803C19" w:rsidRPr="00177249" w14:paraId="11169704" w14:textId="77777777" w:rsidTr="00E13CDB">
        <w:trPr>
          <w:tblHeader/>
        </w:trPr>
        <w:tc>
          <w:tcPr>
            <w:tcW w:w="2122" w:type="dxa"/>
            <w:vMerge w:val="restart"/>
            <w:vAlign w:val="bottom"/>
          </w:tcPr>
          <w:p w14:paraId="7F2AB844" w14:textId="63E7D371" w:rsidR="00803C19" w:rsidRPr="00177249" w:rsidRDefault="00803C19" w:rsidP="00E13CDB">
            <w:pPr>
              <w:pStyle w:val="TableHeading"/>
              <w:rPr>
                <w:lang w:val="en-GB"/>
              </w:rPr>
            </w:pPr>
            <w:r w:rsidRPr="00177249">
              <w:rPr>
                <w:lang w:val="en-GB"/>
              </w:rPr>
              <w:t>Financial assets</w:t>
            </w:r>
          </w:p>
        </w:tc>
        <w:tc>
          <w:tcPr>
            <w:tcW w:w="708" w:type="dxa"/>
            <w:vMerge w:val="restart"/>
            <w:vAlign w:val="bottom"/>
          </w:tcPr>
          <w:p w14:paraId="24EC0546" w14:textId="4FA78133" w:rsidR="00803C19" w:rsidRPr="00177249" w:rsidRDefault="00803C19" w:rsidP="00E13CDB">
            <w:pPr>
              <w:pStyle w:val="TableHeading"/>
              <w:rPr>
                <w:lang w:val="en-GB"/>
              </w:rPr>
            </w:pPr>
            <w:r w:rsidRPr="00177249">
              <w:rPr>
                <w:lang w:val="en-GB"/>
              </w:rPr>
              <w:t>Note</w:t>
            </w:r>
          </w:p>
        </w:tc>
        <w:tc>
          <w:tcPr>
            <w:tcW w:w="4395" w:type="dxa"/>
            <w:vMerge w:val="restart"/>
            <w:vAlign w:val="bottom"/>
          </w:tcPr>
          <w:p w14:paraId="0D931457" w14:textId="681451A0" w:rsidR="00803C19" w:rsidRPr="00177249" w:rsidRDefault="00803C19" w:rsidP="00E13CDB">
            <w:pPr>
              <w:pStyle w:val="TableHeading"/>
              <w:rPr>
                <w:lang w:val="en-GB"/>
              </w:rPr>
            </w:pPr>
            <w:r w:rsidRPr="00177249">
              <w:rPr>
                <w:lang w:val="en-GB"/>
              </w:rPr>
              <w:t>Category</w:t>
            </w:r>
          </w:p>
        </w:tc>
        <w:tc>
          <w:tcPr>
            <w:tcW w:w="3260" w:type="dxa"/>
            <w:gridSpan w:val="2"/>
          </w:tcPr>
          <w:p w14:paraId="726B1521" w14:textId="6E8C47A1" w:rsidR="00803C19" w:rsidRPr="00177249" w:rsidRDefault="00803C19" w:rsidP="00E13CDB">
            <w:pPr>
              <w:pStyle w:val="TableHeading"/>
              <w:rPr>
                <w:lang w:val="en-GB"/>
              </w:rPr>
            </w:pPr>
            <w:r w:rsidRPr="00177249">
              <w:rPr>
                <w:lang w:val="en-GB"/>
              </w:rPr>
              <w:t>Carrying amount</w:t>
            </w:r>
          </w:p>
        </w:tc>
      </w:tr>
      <w:tr w:rsidR="00803C19" w:rsidRPr="00177249" w14:paraId="0BA6EBF6" w14:textId="77777777" w:rsidTr="00E13CDB">
        <w:trPr>
          <w:tblHeader/>
        </w:trPr>
        <w:tc>
          <w:tcPr>
            <w:tcW w:w="2122" w:type="dxa"/>
            <w:vMerge/>
            <w:hideMark/>
          </w:tcPr>
          <w:p w14:paraId="1FDAD932" w14:textId="77777777" w:rsidR="00803C19" w:rsidRPr="00177249" w:rsidRDefault="00803C19" w:rsidP="00E13CDB">
            <w:pPr>
              <w:pStyle w:val="TableHeading"/>
              <w:rPr>
                <w:lang w:val="en-GB"/>
              </w:rPr>
            </w:pPr>
          </w:p>
        </w:tc>
        <w:tc>
          <w:tcPr>
            <w:tcW w:w="708" w:type="dxa"/>
            <w:vMerge/>
            <w:hideMark/>
          </w:tcPr>
          <w:p w14:paraId="29CB09CA" w14:textId="77777777" w:rsidR="00803C19" w:rsidRPr="00177249" w:rsidRDefault="00803C19" w:rsidP="00E13CDB">
            <w:pPr>
              <w:pStyle w:val="TableHeading"/>
              <w:rPr>
                <w:lang w:val="en-GB"/>
              </w:rPr>
            </w:pPr>
          </w:p>
        </w:tc>
        <w:tc>
          <w:tcPr>
            <w:tcW w:w="4395" w:type="dxa"/>
            <w:vMerge/>
            <w:hideMark/>
          </w:tcPr>
          <w:p w14:paraId="6D434DD1" w14:textId="77777777" w:rsidR="00803C19" w:rsidRPr="00177249" w:rsidRDefault="00803C19" w:rsidP="00E13CDB">
            <w:pPr>
              <w:pStyle w:val="TableHeading"/>
              <w:rPr>
                <w:lang w:val="en-GB"/>
              </w:rPr>
            </w:pPr>
          </w:p>
        </w:tc>
        <w:tc>
          <w:tcPr>
            <w:tcW w:w="1630" w:type="dxa"/>
            <w:hideMark/>
          </w:tcPr>
          <w:p w14:paraId="4A0D370C" w14:textId="77777777" w:rsidR="00803C19" w:rsidRPr="00177249" w:rsidRDefault="00803C19" w:rsidP="00E13CDB">
            <w:pPr>
              <w:pStyle w:val="TableHeading"/>
              <w:rPr>
                <w:lang w:val="en-GB"/>
              </w:rPr>
            </w:pPr>
            <w:r w:rsidRPr="00177249">
              <w:rPr>
                <w:lang w:val="en-GB"/>
              </w:rPr>
              <w:t>2017</w:t>
            </w:r>
          </w:p>
        </w:tc>
        <w:tc>
          <w:tcPr>
            <w:tcW w:w="1630" w:type="dxa"/>
            <w:hideMark/>
          </w:tcPr>
          <w:p w14:paraId="7805A564" w14:textId="77777777" w:rsidR="00803C19" w:rsidRPr="00177249" w:rsidRDefault="00803C19" w:rsidP="00E13CDB">
            <w:pPr>
              <w:pStyle w:val="TableHeading"/>
              <w:rPr>
                <w:lang w:val="en-GB"/>
              </w:rPr>
            </w:pPr>
            <w:r w:rsidRPr="00177249">
              <w:rPr>
                <w:lang w:val="en-GB"/>
              </w:rPr>
              <w:t>2016</w:t>
            </w:r>
          </w:p>
        </w:tc>
      </w:tr>
      <w:tr w:rsidR="00803C19" w:rsidRPr="00177249" w14:paraId="2FDF7D2C" w14:textId="77777777" w:rsidTr="00E13CDB">
        <w:trPr>
          <w:tblHeader/>
        </w:trPr>
        <w:tc>
          <w:tcPr>
            <w:tcW w:w="2122" w:type="dxa"/>
            <w:vMerge/>
            <w:hideMark/>
          </w:tcPr>
          <w:p w14:paraId="1DB6EEF2" w14:textId="77777777" w:rsidR="00803C19" w:rsidRPr="00177249" w:rsidRDefault="00803C19" w:rsidP="00E13CDB">
            <w:pPr>
              <w:pStyle w:val="TableHeading"/>
              <w:rPr>
                <w:lang w:val="en-GB"/>
              </w:rPr>
            </w:pPr>
          </w:p>
        </w:tc>
        <w:tc>
          <w:tcPr>
            <w:tcW w:w="708" w:type="dxa"/>
            <w:vMerge/>
            <w:hideMark/>
          </w:tcPr>
          <w:p w14:paraId="0DF984B2" w14:textId="77777777" w:rsidR="00803C19" w:rsidRPr="00177249" w:rsidRDefault="00803C19" w:rsidP="00E13CDB">
            <w:pPr>
              <w:pStyle w:val="TableHeading"/>
              <w:rPr>
                <w:lang w:val="en-GB"/>
              </w:rPr>
            </w:pPr>
          </w:p>
        </w:tc>
        <w:tc>
          <w:tcPr>
            <w:tcW w:w="4395" w:type="dxa"/>
            <w:vMerge/>
            <w:hideMark/>
          </w:tcPr>
          <w:p w14:paraId="38645EC8" w14:textId="77777777" w:rsidR="00803C19" w:rsidRPr="00177249" w:rsidRDefault="00803C19" w:rsidP="00E13CDB">
            <w:pPr>
              <w:pStyle w:val="TableHeading"/>
              <w:rPr>
                <w:lang w:val="en-GB"/>
              </w:rPr>
            </w:pPr>
          </w:p>
        </w:tc>
        <w:tc>
          <w:tcPr>
            <w:tcW w:w="1630" w:type="dxa"/>
            <w:hideMark/>
          </w:tcPr>
          <w:p w14:paraId="7D94E862" w14:textId="77777777" w:rsidR="00803C19" w:rsidRPr="00177249" w:rsidRDefault="00803C19" w:rsidP="00E13CDB">
            <w:pPr>
              <w:pStyle w:val="TableHeading"/>
              <w:rPr>
                <w:lang w:val="en-GB"/>
              </w:rPr>
            </w:pPr>
            <w:r w:rsidRPr="00177249">
              <w:rPr>
                <w:lang w:val="en-GB"/>
              </w:rPr>
              <w:t>$</w:t>
            </w:r>
          </w:p>
        </w:tc>
        <w:tc>
          <w:tcPr>
            <w:tcW w:w="1630" w:type="dxa"/>
            <w:hideMark/>
          </w:tcPr>
          <w:p w14:paraId="54A3ED9D" w14:textId="77777777" w:rsidR="00803C19" w:rsidRPr="00177249" w:rsidRDefault="00803C19" w:rsidP="00E13CDB">
            <w:pPr>
              <w:pStyle w:val="TableHeading"/>
              <w:rPr>
                <w:lang w:val="en-GB"/>
              </w:rPr>
            </w:pPr>
            <w:r w:rsidRPr="00177249">
              <w:rPr>
                <w:lang w:val="en-GB"/>
              </w:rPr>
              <w:t>$</w:t>
            </w:r>
          </w:p>
        </w:tc>
      </w:tr>
      <w:tr w:rsidR="00177249" w:rsidRPr="00643AC2" w14:paraId="649CF611" w14:textId="77777777" w:rsidTr="00001EF4">
        <w:tc>
          <w:tcPr>
            <w:tcW w:w="2122" w:type="dxa"/>
            <w:hideMark/>
          </w:tcPr>
          <w:p w14:paraId="2BD1D25C" w14:textId="77777777" w:rsidR="00643AC2" w:rsidRPr="00643AC2" w:rsidRDefault="00643AC2" w:rsidP="00E13CDB">
            <w:pPr>
              <w:pStyle w:val="TableCopy"/>
              <w:rPr>
                <w:lang w:val="en-GB"/>
              </w:rPr>
            </w:pPr>
            <w:r w:rsidRPr="00643AC2">
              <w:rPr>
                <w:lang w:val="en-GB"/>
              </w:rPr>
              <w:t>Cash and deposits</w:t>
            </w:r>
          </w:p>
        </w:tc>
        <w:tc>
          <w:tcPr>
            <w:tcW w:w="708" w:type="dxa"/>
            <w:hideMark/>
          </w:tcPr>
          <w:p w14:paraId="2B7FD0F1" w14:textId="77777777" w:rsidR="00643AC2" w:rsidRPr="00643AC2" w:rsidRDefault="00643AC2" w:rsidP="00E13CDB">
            <w:pPr>
              <w:pStyle w:val="TableCopy"/>
              <w:rPr>
                <w:lang w:val="en-GB"/>
              </w:rPr>
            </w:pPr>
          </w:p>
        </w:tc>
        <w:tc>
          <w:tcPr>
            <w:tcW w:w="4395" w:type="dxa"/>
            <w:hideMark/>
          </w:tcPr>
          <w:p w14:paraId="617F65E5" w14:textId="77777777" w:rsidR="00643AC2" w:rsidRPr="00643AC2" w:rsidRDefault="00643AC2" w:rsidP="00E13CDB">
            <w:pPr>
              <w:pStyle w:val="TableCopy"/>
              <w:rPr>
                <w:lang w:val="en-GB"/>
              </w:rPr>
            </w:pPr>
            <w:r w:rsidRPr="00643AC2">
              <w:rPr>
                <w:lang w:val="en-GB"/>
              </w:rPr>
              <w:t>Cash</w:t>
            </w:r>
          </w:p>
        </w:tc>
        <w:tc>
          <w:tcPr>
            <w:tcW w:w="1630" w:type="dxa"/>
            <w:hideMark/>
          </w:tcPr>
          <w:p w14:paraId="6F74F2CE" w14:textId="77777777" w:rsidR="00643AC2" w:rsidRPr="00DB4923" w:rsidRDefault="00643AC2" w:rsidP="00E13CDB">
            <w:pPr>
              <w:pStyle w:val="TableCopy"/>
              <w:rPr>
                <w:b/>
                <w:lang w:val="en-GB"/>
              </w:rPr>
            </w:pPr>
            <w:r w:rsidRPr="00DB4923">
              <w:rPr>
                <w:b/>
                <w:lang w:val="en-GB"/>
              </w:rPr>
              <w:t>600</w:t>
            </w:r>
          </w:p>
        </w:tc>
        <w:tc>
          <w:tcPr>
            <w:tcW w:w="1630" w:type="dxa"/>
            <w:hideMark/>
          </w:tcPr>
          <w:p w14:paraId="7493C943" w14:textId="77777777" w:rsidR="00643AC2" w:rsidRPr="00643AC2" w:rsidRDefault="00643AC2" w:rsidP="00E13CDB">
            <w:pPr>
              <w:pStyle w:val="TableCopy"/>
              <w:rPr>
                <w:lang w:val="en-GB"/>
              </w:rPr>
            </w:pPr>
            <w:r w:rsidRPr="00643AC2">
              <w:rPr>
                <w:lang w:val="en-GB"/>
              </w:rPr>
              <w:t>600</w:t>
            </w:r>
          </w:p>
        </w:tc>
      </w:tr>
      <w:tr w:rsidR="00177249" w:rsidRPr="00643AC2" w14:paraId="4A712B9E" w14:textId="77777777" w:rsidTr="00001EF4">
        <w:tc>
          <w:tcPr>
            <w:tcW w:w="2122" w:type="dxa"/>
            <w:hideMark/>
          </w:tcPr>
          <w:p w14:paraId="7498C536" w14:textId="77777777" w:rsidR="00643AC2" w:rsidRPr="00643AC2" w:rsidRDefault="00643AC2" w:rsidP="00E13CDB">
            <w:pPr>
              <w:pStyle w:val="TableCopy"/>
              <w:rPr>
                <w:lang w:val="en-GB"/>
              </w:rPr>
            </w:pPr>
            <w:r w:rsidRPr="00643AC2">
              <w:rPr>
                <w:lang w:val="en-GB"/>
              </w:rPr>
              <w:t>Receivables*</w:t>
            </w:r>
          </w:p>
        </w:tc>
        <w:tc>
          <w:tcPr>
            <w:tcW w:w="708" w:type="dxa"/>
            <w:hideMark/>
          </w:tcPr>
          <w:p w14:paraId="23D29D0F" w14:textId="77777777" w:rsidR="00643AC2" w:rsidRPr="00643AC2" w:rsidRDefault="00643AC2" w:rsidP="00E13CDB">
            <w:pPr>
              <w:pStyle w:val="TableCopy"/>
              <w:rPr>
                <w:lang w:val="en-GB"/>
              </w:rPr>
            </w:pPr>
            <w:r w:rsidRPr="00643AC2">
              <w:rPr>
                <w:lang w:val="en-GB"/>
              </w:rPr>
              <w:t>5.1</w:t>
            </w:r>
          </w:p>
        </w:tc>
        <w:tc>
          <w:tcPr>
            <w:tcW w:w="4395" w:type="dxa"/>
            <w:hideMark/>
          </w:tcPr>
          <w:p w14:paraId="61E0066A" w14:textId="77777777" w:rsidR="00643AC2" w:rsidRPr="00643AC2" w:rsidRDefault="00643AC2" w:rsidP="00E13CDB">
            <w:pPr>
              <w:pStyle w:val="TableCopy"/>
              <w:rPr>
                <w:lang w:val="en-GB"/>
              </w:rPr>
            </w:pPr>
            <w:r w:rsidRPr="00643AC2">
              <w:rPr>
                <w:lang w:val="en-GB"/>
              </w:rPr>
              <w:t>Loans and receivables</w:t>
            </w:r>
          </w:p>
        </w:tc>
        <w:tc>
          <w:tcPr>
            <w:tcW w:w="1630" w:type="dxa"/>
            <w:hideMark/>
          </w:tcPr>
          <w:p w14:paraId="6A62F2A9" w14:textId="77777777" w:rsidR="00643AC2" w:rsidRPr="00DB4923" w:rsidRDefault="00643AC2" w:rsidP="00E13CDB">
            <w:pPr>
              <w:pStyle w:val="TableCopy"/>
              <w:rPr>
                <w:b/>
                <w:lang w:val="en-GB"/>
              </w:rPr>
            </w:pPr>
            <w:r w:rsidRPr="00DB4923">
              <w:rPr>
                <w:b/>
                <w:lang w:val="en-GB"/>
              </w:rPr>
              <w:t>1,209,758</w:t>
            </w:r>
          </w:p>
        </w:tc>
        <w:tc>
          <w:tcPr>
            <w:tcW w:w="1630" w:type="dxa"/>
            <w:hideMark/>
          </w:tcPr>
          <w:p w14:paraId="71043BA5" w14:textId="77777777" w:rsidR="00643AC2" w:rsidRPr="00643AC2" w:rsidRDefault="00643AC2" w:rsidP="00E13CDB">
            <w:pPr>
              <w:pStyle w:val="TableCopy"/>
              <w:rPr>
                <w:lang w:val="en-GB"/>
              </w:rPr>
            </w:pPr>
            <w:r w:rsidRPr="00643AC2">
              <w:rPr>
                <w:lang w:val="en-GB"/>
              </w:rPr>
              <w:t>678,720</w:t>
            </w:r>
          </w:p>
        </w:tc>
      </w:tr>
      <w:tr w:rsidR="00177249" w:rsidRPr="00643AC2" w14:paraId="1112EC68" w14:textId="77777777" w:rsidTr="00001EF4">
        <w:tc>
          <w:tcPr>
            <w:tcW w:w="2122" w:type="dxa"/>
            <w:hideMark/>
          </w:tcPr>
          <w:p w14:paraId="72A31DD8" w14:textId="77777777" w:rsidR="00643AC2" w:rsidRPr="00643AC2" w:rsidRDefault="00643AC2" w:rsidP="00E13CDB">
            <w:pPr>
              <w:pStyle w:val="TableCopy"/>
              <w:rPr>
                <w:lang w:val="en-GB"/>
              </w:rPr>
            </w:pPr>
          </w:p>
        </w:tc>
        <w:tc>
          <w:tcPr>
            <w:tcW w:w="708" w:type="dxa"/>
            <w:hideMark/>
          </w:tcPr>
          <w:p w14:paraId="76BCD250" w14:textId="77777777" w:rsidR="00643AC2" w:rsidRPr="00643AC2" w:rsidRDefault="00643AC2" w:rsidP="00E13CDB">
            <w:pPr>
              <w:pStyle w:val="TableCopy"/>
              <w:rPr>
                <w:lang w:val="en-GB"/>
              </w:rPr>
            </w:pPr>
          </w:p>
        </w:tc>
        <w:tc>
          <w:tcPr>
            <w:tcW w:w="4395" w:type="dxa"/>
            <w:hideMark/>
          </w:tcPr>
          <w:p w14:paraId="44DD482A" w14:textId="77777777" w:rsidR="00643AC2" w:rsidRPr="00643AC2" w:rsidRDefault="00643AC2" w:rsidP="00E13CDB">
            <w:pPr>
              <w:pStyle w:val="TableCopy"/>
              <w:rPr>
                <w:lang w:val="en-GB"/>
              </w:rPr>
            </w:pPr>
          </w:p>
        </w:tc>
        <w:tc>
          <w:tcPr>
            <w:tcW w:w="1630" w:type="dxa"/>
            <w:hideMark/>
          </w:tcPr>
          <w:p w14:paraId="78264BE5" w14:textId="77777777" w:rsidR="00643AC2" w:rsidRPr="00DB4923" w:rsidRDefault="00643AC2" w:rsidP="00E13CDB">
            <w:pPr>
              <w:pStyle w:val="TableCopy"/>
              <w:rPr>
                <w:b/>
                <w:lang w:val="en-GB"/>
              </w:rPr>
            </w:pPr>
            <w:r w:rsidRPr="00DB4923">
              <w:rPr>
                <w:b/>
                <w:lang w:val="en-GB"/>
              </w:rPr>
              <w:t>1,210,358</w:t>
            </w:r>
          </w:p>
        </w:tc>
        <w:tc>
          <w:tcPr>
            <w:tcW w:w="1630" w:type="dxa"/>
            <w:hideMark/>
          </w:tcPr>
          <w:p w14:paraId="703A8BD2" w14:textId="77777777" w:rsidR="00643AC2" w:rsidRPr="00643AC2" w:rsidRDefault="00643AC2" w:rsidP="00E13CDB">
            <w:pPr>
              <w:pStyle w:val="TableCopy"/>
              <w:rPr>
                <w:lang w:val="en-GB"/>
              </w:rPr>
            </w:pPr>
            <w:r w:rsidRPr="00643AC2">
              <w:rPr>
                <w:lang w:val="en-GB"/>
              </w:rPr>
              <w:t>679,320</w:t>
            </w:r>
          </w:p>
        </w:tc>
      </w:tr>
      <w:tr w:rsidR="00C67000" w:rsidRPr="00643AC2" w14:paraId="5CA0BF98" w14:textId="77777777" w:rsidTr="003E321E">
        <w:tc>
          <w:tcPr>
            <w:tcW w:w="10485" w:type="dxa"/>
            <w:gridSpan w:val="5"/>
            <w:hideMark/>
          </w:tcPr>
          <w:p w14:paraId="7AD1C5DE" w14:textId="7BAFF6E2" w:rsidR="00C67000" w:rsidRPr="00643AC2" w:rsidRDefault="00C67000" w:rsidP="00C97A00">
            <w:pPr>
              <w:pStyle w:val="TableHeading"/>
              <w:rPr>
                <w:lang w:val="en-GB"/>
              </w:rPr>
            </w:pPr>
            <w:r w:rsidRPr="00643AC2">
              <w:rPr>
                <w:lang w:val="en-GB"/>
              </w:rPr>
              <w:t>Financial liabilities</w:t>
            </w:r>
          </w:p>
        </w:tc>
      </w:tr>
      <w:tr w:rsidR="00177249" w:rsidRPr="00643AC2" w14:paraId="7D44A278" w14:textId="77777777" w:rsidTr="00001EF4">
        <w:tc>
          <w:tcPr>
            <w:tcW w:w="2122" w:type="dxa"/>
            <w:hideMark/>
          </w:tcPr>
          <w:p w14:paraId="1DE3246E" w14:textId="77777777" w:rsidR="00643AC2" w:rsidRPr="00643AC2" w:rsidRDefault="00643AC2" w:rsidP="00E13CDB">
            <w:pPr>
              <w:pStyle w:val="TableCopy"/>
              <w:rPr>
                <w:lang w:val="en-GB"/>
              </w:rPr>
            </w:pPr>
            <w:r w:rsidRPr="00643AC2">
              <w:rPr>
                <w:lang w:val="en-GB"/>
              </w:rPr>
              <w:t>Payables</w:t>
            </w:r>
          </w:p>
        </w:tc>
        <w:tc>
          <w:tcPr>
            <w:tcW w:w="708" w:type="dxa"/>
            <w:hideMark/>
          </w:tcPr>
          <w:p w14:paraId="2DF94D41" w14:textId="77777777" w:rsidR="00643AC2" w:rsidRPr="00643AC2" w:rsidRDefault="00643AC2" w:rsidP="00E13CDB">
            <w:pPr>
              <w:pStyle w:val="TableCopy"/>
              <w:rPr>
                <w:lang w:val="en-GB"/>
              </w:rPr>
            </w:pPr>
          </w:p>
        </w:tc>
        <w:tc>
          <w:tcPr>
            <w:tcW w:w="4395" w:type="dxa"/>
            <w:hideMark/>
          </w:tcPr>
          <w:p w14:paraId="5015806B" w14:textId="77777777" w:rsidR="00643AC2" w:rsidRPr="00643AC2" w:rsidRDefault="00643AC2" w:rsidP="00E13CDB">
            <w:pPr>
              <w:pStyle w:val="TableCopy"/>
              <w:rPr>
                <w:lang w:val="en-GB"/>
              </w:rPr>
            </w:pPr>
            <w:r w:rsidRPr="00643AC2">
              <w:rPr>
                <w:lang w:val="en-GB"/>
              </w:rPr>
              <w:t>Financial liabilities at amortised cost</w:t>
            </w:r>
          </w:p>
        </w:tc>
        <w:tc>
          <w:tcPr>
            <w:tcW w:w="1630" w:type="dxa"/>
            <w:hideMark/>
          </w:tcPr>
          <w:p w14:paraId="63EC5F7D" w14:textId="77777777" w:rsidR="00643AC2" w:rsidRPr="00DB4923" w:rsidRDefault="00643AC2" w:rsidP="00E13CDB">
            <w:pPr>
              <w:pStyle w:val="TableCopy"/>
              <w:rPr>
                <w:b/>
                <w:lang w:val="en-GB"/>
              </w:rPr>
            </w:pPr>
            <w:r w:rsidRPr="00DB4923">
              <w:rPr>
                <w:b/>
                <w:lang w:val="en-GB"/>
              </w:rPr>
              <w:t>514,300</w:t>
            </w:r>
          </w:p>
        </w:tc>
        <w:tc>
          <w:tcPr>
            <w:tcW w:w="1630" w:type="dxa"/>
            <w:hideMark/>
          </w:tcPr>
          <w:p w14:paraId="7E181759" w14:textId="77777777" w:rsidR="00643AC2" w:rsidRPr="00643AC2" w:rsidRDefault="00643AC2" w:rsidP="00E13CDB">
            <w:pPr>
              <w:pStyle w:val="TableCopy"/>
              <w:rPr>
                <w:lang w:val="en-GB"/>
              </w:rPr>
            </w:pPr>
            <w:r w:rsidRPr="00643AC2">
              <w:rPr>
                <w:lang w:val="en-GB"/>
              </w:rPr>
              <w:t>337,257</w:t>
            </w:r>
          </w:p>
        </w:tc>
      </w:tr>
      <w:tr w:rsidR="00177249" w:rsidRPr="00643AC2" w14:paraId="70A6E069" w14:textId="77777777" w:rsidTr="00001EF4">
        <w:tc>
          <w:tcPr>
            <w:tcW w:w="2122" w:type="dxa"/>
            <w:hideMark/>
          </w:tcPr>
          <w:p w14:paraId="4D19E096" w14:textId="77777777" w:rsidR="00643AC2" w:rsidRPr="00643AC2" w:rsidRDefault="00643AC2" w:rsidP="00E13CDB">
            <w:pPr>
              <w:pStyle w:val="TableCopy"/>
              <w:rPr>
                <w:lang w:val="en-GB"/>
              </w:rPr>
            </w:pPr>
            <w:r w:rsidRPr="00643AC2">
              <w:rPr>
                <w:lang w:val="en-GB"/>
              </w:rPr>
              <w:t>Borrowings</w:t>
            </w:r>
          </w:p>
        </w:tc>
        <w:tc>
          <w:tcPr>
            <w:tcW w:w="708" w:type="dxa"/>
            <w:hideMark/>
          </w:tcPr>
          <w:p w14:paraId="74C9B23B" w14:textId="77777777" w:rsidR="00643AC2" w:rsidRPr="00643AC2" w:rsidRDefault="00643AC2" w:rsidP="00E13CDB">
            <w:pPr>
              <w:pStyle w:val="TableCopy"/>
              <w:rPr>
                <w:lang w:val="en-GB"/>
              </w:rPr>
            </w:pPr>
            <w:r w:rsidRPr="00643AC2">
              <w:rPr>
                <w:lang w:val="en-GB"/>
              </w:rPr>
              <w:t>6.1</w:t>
            </w:r>
          </w:p>
        </w:tc>
        <w:tc>
          <w:tcPr>
            <w:tcW w:w="4395" w:type="dxa"/>
            <w:hideMark/>
          </w:tcPr>
          <w:p w14:paraId="78C7762B" w14:textId="77777777" w:rsidR="00643AC2" w:rsidRPr="00643AC2" w:rsidRDefault="00643AC2" w:rsidP="00E13CDB">
            <w:pPr>
              <w:pStyle w:val="TableCopy"/>
              <w:rPr>
                <w:lang w:val="en-GB"/>
              </w:rPr>
            </w:pPr>
            <w:r w:rsidRPr="00643AC2">
              <w:rPr>
                <w:lang w:val="en-GB"/>
              </w:rPr>
              <w:t>Financial liabilities at amortised cost</w:t>
            </w:r>
          </w:p>
        </w:tc>
        <w:tc>
          <w:tcPr>
            <w:tcW w:w="1630" w:type="dxa"/>
            <w:hideMark/>
          </w:tcPr>
          <w:p w14:paraId="170D4FD4" w14:textId="77777777" w:rsidR="00643AC2" w:rsidRPr="00DB4923" w:rsidRDefault="00643AC2" w:rsidP="00E13CDB">
            <w:pPr>
              <w:pStyle w:val="TableCopy"/>
              <w:rPr>
                <w:b/>
                <w:lang w:val="en-GB"/>
              </w:rPr>
            </w:pPr>
            <w:r w:rsidRPr="00DB4923">
              <w:rPr>
                <w:b/>
                <w:lang w:val="en-GB"/>
              </w:rPr>
              <w:t>90,596</w:t>
            </w:r>
          </w:p>
        </w:tc>
        <w:tc>
          <w:tcPr>
            <w:tcW w:w="1630" w:type="dxa"/>
            <w:hideMark/>
          </w:tcPr>
          <w:p w14:paraId="74BC2365" w14:textId="77777777" w:rsidR="00643AC2" w:rsidRPr="00643AC2" w:rsidRDefault="00643AC2" w:rsidP="00E13CDB">
            <w:pPr>
              <w:pStyle w:val="TableCopy"/>
              <w:rPr>
                <w:lang w:val="en-GB"/>
              </w:rPr>
            </w:pPr>
            <w:r w:rsidRPr="00643AC2">
              <w:rPr>
                <w:lang w:val="en-GB"/>
              </w:rPr>
              <w:t>74,588</w:t>
            </w:r>
          </w:p>
        </w:tc>
      </w:tr>
      <w:tr w:rsidR="00177249" w:rsidRPr="00643AC2" w14:paraId="3528DE03" w14:textId="77777777" w:rsidTr="00001EF4">
        <w:tc>
          <w:tcPr>
            <w:tcW w:w="2122" w:type="dxa"/>
            <w:hideMark/>
          </w:tcPr>
          <w:p w14:paraId="4CFC0CC3" w14:textId="77777777" w:rsidR="00643AC2" w:rsidRPr="00643AC2" w:rsidRDefault="00643AC2" w:rsidP="00E13CDB">
            <w:pPr>
              <w:pStyle w:val="TableCopy"/>
              <w:rPr>
                <w:lang w:val="en-GB"/>
              </w:rPr>
            </w:pPr>
          </w:p>
        </w:tc>
        <w:tc>
          <w:tcPr>
            <w:tcW w:w="708" w:type="dxa"/>
            <w:hideMark/>
          </w:tcPr>
          <w:p w14:paraId="7C826EFA" w14:textId="77777777" w:rsidR="00643AC2" w:rsidRPr="00643AC2" w:rsidRDefault="00643AC2" w:rsidP="00E13CDB">
            <w:pPr>
              <w:pStyle w:val="TableCopy"/>
              <w:rPr>
                <w:lang w:val="en-GB"/>
              </w:rPr>
            </w:pPr>
          </w:p>
        </w:tc>
        <w:tc>
          <w:tcPr>
            <w:tcW w:w="4395" w:type="dxa"/>
            <w:hideMark/>
          </w:tcPr>
          <w:p w14:paraId="32E85A5E" w14:textId="77777777" w:rsidR="00643AC2" w:rsidRPr="00643AC2" w:rsidRDefault="00643AC2" w:rsidP="00E13CDB">
            <w:pPr>
              <w:pStyle w:val="TableCopy"/>
              <w:rPr>
                <w:lang w:val="en-GB"/>
              </w:rPr>
            </w:pPr>
          </w:p>
        </w:tc>
        <w:tc>
          <w:tcPr>
            <w:tcW w:w="1630" w:type="dxa"/>
            <w:hideMark/>
          </w:tcPr>
          <w:p w14:paraId="16DF9135" w14:textId="77777777" w:rsidR="00643AC2" w:rsidRPr="00DB4923" w:rsidRDefault="00643AC2" w:rsidP="00E13CDB">
            <w:pPr>
              <w:pStyle w:val="TableCopy"/>
              <w:rPr>
                <w:b/>
                <w:lang w:val="en-GB"/>
              </w:rPr>
            </w:pPr>
            <w:r w:rsidRPr="00DB4923">
              <w:rPr>
                <w:b/>
                <w:lang w:val="en-GB"/>
              </w:rPr>
              <w:t>604,896</w:t>
            </w:r>
          </w:p>
        </w:tc>
        <w:tc>
          <w:tcPr>
            <w:tcW w:w="1630" w:type="dxa"/>
            <w:hideMark/>
          </w:tcPr>
          <w:p w14:paraId="19D2558E" w14:textId="77777777" w:rsidR="00643AC2" w:rsidRPr="00643AC2" w:rsidRDefault="00643AC2" w:rsidP="00E13CDB">
            <w:pPr>
              <w:pStyle w:val="TableCopy"/>
              <w:rPr>
                <w:lang w:val="en-GB"/>
              </w:rPr>
            </w:pPr>
            <w:r w:rsidRPr="00643AC2">
              <w:rPr>
                <w:lang w:val="en-GB"/>
              </w:rPr>
              <w:t>411,845</w:t>
            </w:r>
          </w:p>
        </w:tc>
      </w:tr>
    </w:tbl>
    <w:p w14:paraId="7077E697" w14:textId="75968F24" w:rsidR="00643AC2" w:rsidRPr="003E2740" w:rsidRDefault="003E2740" w:rsidP="00643AC2">
      <w:pPr>
        <w:rPr>
          <w:rStyle w:val="Emphasis"/>
        </w:rPr>
      </w:pPr>
      <w:r w:rsidRPr="003E2740">
        <w:rPr>
          <w:rStyle w:val="Emphasis"/>
        </w:rPr>
        <w:t xml:space="preserve">* </w:t>
      </w:r>
      <w:r w:rsidR="00643AC2" w:rsidRPr="003E2740">
        <w:rPr>
          <w:rStyle w:val="Emphasis"/>
        </w:rPr>
        <w:t>Receivables disclosed here exclude statutory receivables (i.e. amounts receivab</w:t>
      </w:r>
      <w:r>
        <w:rPr>
          <w:rStyle w:val="Emphasis"/>
        </w:rPr>
        <w:t xml:space="preserve">le from government departments </w:t>
      </w:r>
      <w:r w:rsidR="00643AC2" w:rsidRPr="003E2740">
        <w:rPr>
          <w:rStyle w:val="Emphasis"/>
        </w:rPr>
        <w:t>and GST recoverable)</w:t>
      </w:r>
    </w:p>
    <w:p w14:paraId="42D62D42" w14:textId="77777777" w:rsidR="00643AC2" w:rsidRPr="00643AC2" w:rsidRDefault="00643AC2" w:rsidP="00647C19">
      <w:pPr>
        <w:pStyle w:val="Heading5"/>
        <w:rPr>
          <w:lang w:val="en-GB"/>
        </w:rPr>
      </w:pPr>
      <w:r w:rsidRPr="00643AC2">
        <w:rPr>
          <w:lang w:val="en-GB"/>
        </w:rPr>
        <w:t>7.1.2.</w:t>
      </w:r>
      <w:r w:rsidRPr="00643AC2">
        <w:rPr>
          <w:lang w:val="en-GB"/>
        </w:rPr>
        <w:t> </w:t>
      </w:r>
      <w:r w:rsidRPr="00643AC2">
        <w:rPr>
          <w:lang w:val="en-GB"/>
        </w:rPr>
        <w:t>Financial risk management objectives and policies</w:t>
      </w:r>
    </w:p>
    <w:p w14:paraId="2D93274D" w14:textId="77777777" w:rsidR="00643AC2" w:rsidRPr="00643AC2" w:rsidRDefault="00643AC2" w:rsidP="00890E6E">
      <w:pPr>
        <w:pStyle w:val="Heading6"/>
        <w:rPr>
          <w:lang w:val="en-GB"/>
        </w:rPr>
      </w:pPr>
      <w:r w:rsidRPr="00643AC2">
        <w:rPr>
          <w:lang w:val="en-GB"/>
        </w:rPr>
        <w:t>Financial instruments: Credit risk</w:t>
      </w:r>
    </w:p>
    <w:p w14:paraId="01578526" w14:textId="2E599E08" w:rsidR="00643AC2" w:rsidRPr="00643AC2" w:rsidRDefault="00643AC2" w:rsidP="00643AC2">
      <w:pPr>
        <w:rPr>
          <w:lang w:val="en-GB"/>
        </w:rPr>
      </w:pPr>
      <w:r w:rsidRPr="00643AC2">
        <w:rPr>
          <w:lang w:val="en-GB"/>
        </w:rPr>
        <w:t xml:space="preserve">Credit risk arises from the financial assets of the Commission, which </w:t>
      </w:r>
      <w:r w:rsidR="00890E6E">
        <w:rPr>
          <w:lang w:val="en-GB"/>
        </w:rPr>
        <w:t xml:space="preserve">comprise cash and receivables. </w:t>
      </w:r>
      <w:r w:rsidRPr="00643AC2">
        <w:rPr>
          <w:lang w:val="en-GB"/>
        </w:rPr>
        <w:t xml:space="preserve">The Commission’s exposure to credit risk arises from the potential default of counterparties on their contractual obligations resulting in financial loss to the Commission. Credit </w:t>
      </w:r>
      <w:r w:rsidR="00890E6E">
        <w:rPr>
          <w:lang w:val="en-GB"/>
        </w:rPr>
        <w:t xml:space="preserve">risk is measured at fair value </w:t>
      </w:r>
      <w:r w:rsidRPr="00643AC2">
        <w:rPr>
          <w:lang w:val="en-GB"/>
        </w:rPr>
        <w:t>and is monitored on a regular basis.</w:t>
      </w:r>
    </w:p>
    <w:p w14:paraId="159BC3EC" w14:textId="77777777" w:rsidR="00643AC2" w:rsidRPr="00643AC2" w:rsidRDefault="00643AC2" w:rsidP="00890E6E">
      <w:pPr>
        <w:pStyle w:val="Heading6"/>
        <w:rPr>
          <w:lang w:val="en-GB"/>
        </w:rPr>
      </w:pPr>
      <w:r w:rsidRPr="00643AC2">
        <w:rPr>
          <w:lang w:val="en-GB"/>
        </w:rPr>
        <w:t>Financial instruments: Liquidity risk</w:t>
      </w:r>
    </w:p>
    <w:p w14:paraId="13B7E24C" w14:textId="30B59B6A" w:rsidR="00643AC2" w:rsidRPr="00643AC2" w:rsidRDefault="00643AC2" w:rsidP="00643AC2">
      <w:pPr>
        <w:rPr>
          <w:lang w:val="en-GB"/>
        </w:rPr>
      </w:pPr>
      <w:r w:rsidRPr="00643AC2">
        <w:rPr>
          <w:lang w:val="en-GB"/>
        </w:rPr>
        <w:t xml:space="preserve">The Commission’s exposure to liquidity risk is deemed insignificant </w:t>
      </w:r>
      <w:r w:rsidR="00890E6E">
        <w:rPr>
          <w:lang w:val="en-GB"/>
        </w:rPr>
        <w:t xml:space="preserve">based on prior period data and </w:t>
      </w:r>
      <w:r w:rsidRPr="00643AC2">
        <w:rPr>
          <w:lang w:val="en-GB"/>
        </w:rPr>
        <w:t>a current assessment of risk. Maximum exposure to liquidity risk is th</w:t>
      </w:r>
      <w:r w:rsidR="00890E6E">
        <w:rPr>
          <w:lang w:val="en-GB"/>
        </w:rPr>
        <w:t xml:space="preserve">e carrying amount of financial </w:t>
      </w:r>
      <w:r w:rsidRPr="00643AC2">
        <w:rPr>
          <w:lang w:val="en-GB"/>
        </w:rPr>
        <w:t xml:space="preserve">liabilities. The Commission manages its liquidity risk by maintaining an adequate level of </w:t>
      </w:r>
      <w:r w:rsidR="00890E6E">
        <w:rPr>
          <w:lang w:val="en-GB"/>
        </w:rPr>
        <w:t xml:space="preserve">uncommitted </w:t>
      </w:r>
      <w:r w:rsidRPr="00643AC2">
        <w:rPr>
          <w:lang w:val="en-GB"/>
        </w:rPr>
        <w:t>funds that can be drawn at short notice to meet its short term obligations.</w:t>
      </w:r>
    </w:p>
    <w:p w14:paraId="10712703" w14:textId="77777777" w:rsidR="00643AC2" w:rsidRPr="00643AC2" w:rsidRDefault="00643AC2" w:rsidP="00890E6E">
      <w:pPr>
        <w:pStyle w:val="Heading6"/>
        <w:rPr>
          <w:lang w:val="en-GB"/>
        </w:rPr>
      </w:pPr>
      <w:r w:rsidRPr="00643AC2">
        <w:rPr>
          <w:lang w:val="en-GB"/>
        </w:rPr>
        <w:t>Financial instruments: Market risk</w:t>
      </w:r>
    </w:p>
    <w:p w14:paraId="5FF24C0F" w14:textId="2D3940DF" w:rsidR="00643AC2" w:rsidRPr="00643AC2" w:rsidRDefault="00643AC2" w:rsidP="00643AC2">
      <w:pPr>
        <w:rPr>
          <w:lang w:val="en-GB"/>
        </w:rPr>
      </w:pPr>
      <w:r w:rsidRPr="00643AC2">
        <w:rPr>
          <w:lang w:val="en-GB"/>
        </w:rPr>
        <w:t>The Commission has no exposure to interest rate, foreign currency or oth</w:t>
      </w:r>
      <w:r w:rsidR="00890E6E">
        <w:rPr>
          <w:lang w:val="en-GB"/>
        </w:rPr>
        <w:t xml:space="preserve">er price risks. Interest rates </w:t>
      </w:r>
      <w:r w:rsidRPr="00643AC2">
        <w:rPr>
          <w:lang w:val="en-GB"/>
        </w:rPr>
        <w:t>on the Commission’s finance lease liabilities are fixed.</w:t>
      </w:r>
    </w:p>
    <w:p w14:paraId="6D5CB2DA" w14:textId="087A70A0" w:rsidR="00643AC2" w:rsidRPr="00643AC2" w:rsidRDefault="00643AC2" w:rsidP="00890E6E">
      <w:pPr>
        <w:pStyle w:val="Heading4"/>
        <w:rPr>
          <w:lang w:val="en-GB"/>
        </w:rPr>
      </w:pPr>
      <w:r w:rsidRPr="00643AC2">
        <w:rPr>
          <w:lang w:val="en-GB"/>
        </w:rPr>
        <w:t>7.2.</w:t>
      </w:r>
      <w:r w:rsidRPr="00643AC2">
        <w:rPr>
          <w:lang w:val="en-GB"/>
        </w:rPr>
        <w:t> </w:t>
      </w:r>
      <w:r w:rsidR="00890E6E">
        <w:rPr>
          <w:lang w:val="en-GB"/>
        </w:rPr>
        <w:t>C</w:t>
      </w:r>
      <w:r w:rsidRPr="00643AC2">
        <w:rPr>
          <w:lang w:val="en-GB"/>
        </w:rPr>
        <w:t>ontingent assets and contingent liabilities</w:t>
      </w:r>
    </w:p>
    <w:p w14:paraId="18463DCC" w14:textId="526B550B" w:rsidR="00643AC2" w:rsidRPr="00643AC2" w:rsidRDefault="00643AC2" w:rsidP="00643AC2">
      <w:pPr>
        <w:rPr>
          <w:lang w:val="en-GB"/>
        </w:rPr>
      </w:pPr>
      <w:r w:rsidRPr="00890E6E">
        <w:rPr>
          <w:b/>
          <w:lang w:val="en-GB"/>
        </w:rPr>
        <w:t>Contingent assets</w:t>
      </w:r>
      <w:r w:rsidRPr="00643AC2">
        <w:rPr>
          <w:lang w:val="en-GB"/>
        </w:rPr>
        <w:t xml:space="preserve"> are possible assets that arise from past events, whose ex</w:t>
      </w:r>
      <w:r w:rsidR="00890E6E">
        <w:rPr>
          <w:lang w:val="en-GB"/>
        </w:rPr>
        <w:t xml:space="preserve">istence will be confirmed only </w:t>
      </w:r>
      <w:r w:rsidRPr="00643AC2">
        <w:rPr>
          <w:lang w:val="en-GB"/>
        </w:rPr>
        <w:t>by the occurrence or non-occurrence of one or more uncertain future events not wholly within the control</w:t>
      </w:r>
      <w:r w:rsidR="00890E6E">
        <w:rPr>
          <w:lang w:val="en-GB"/>
        </w:rPr>
        <w:t xml:space="preserve"> </w:t>
      </w:r>
      <w:r w:rsidRPr="00643AC2">
        <w:rPr>
          <w:lang w:val="en-GB"/>
        </w:rPr>
        <w:t>of the entity. </w:t>
      </w:r>
    </w:p>
    <w:p w14:paraId="59BD8477" w14:textId="77777777" w:rsidR="00643AC2" w:rsidRPr="00643AC2" w:rsidRDefault="00643AC2" w:rsidP="00643AC2">
      <w:pPr>
        <w:rPr>
          <w:lang w:val="en-GB"/>
        </w:rPr>
      </w:pPr>
      <w:r w:rsidRPr="00643AC2">
        <w:rPr>
          <w:lang w:val="en-GB"/>
        </w:rPr>
        <w:t>These are classified as either quantifiable, where the potential economic benefit is known, or non-quantifiable. </w:t>
      </w:r>
    </w:p>
    <w:p w14:paraId="568F9C66" w14:textId="77777777" w:rsidR="00643AC2" w:rsidRPr="00643AC2" w:rsidRDefault="00643AC2" w:rsidP="00643AC2">
      <w:pPr>
        <w:rPr>
          <w:lang w:val="en-GB"/>
        </w:rPr>
      </w:pPr>
      <w:r w:rsidRPr="00890E6E">
        <w:rPr>
          <w:b/>
          <w:lang w:val="en-GB"/>
        </w:rPr>
        <w:t>Contingent liabilities</w:t>
      </w:r>
      <w:r w:rsidRPr="00643AC2">
        <w:rPr>
          <w:lang w:val="en-GB"/>
        </w:rPr>
        <w:t xml:space="preserve"> are: </w:t>
      </w:r>
    </w:p>
    <w:p w14:paraId="5E6FE6B8" w14:textId="3E2286B5" w:rsidR="00643AC2" w:rsidRPr="00643AC2" w:rsidRDefault="00643AC2" w:rsidP="00890E6E">
      <w:pPr>
        <w:pStyle w:val="Bullet"/>
        <w:rPr>
          <w:lang w:val="en-GB"/>
        </w:rPr>
      </w:pPr>
      <w:r w:rsidRPr="00643AC2">
        <w:rPr>
          <w:lang w:val="en-GB"/>
        </w:rPr>
        <w:t>possible obligations that arise from past events, whose existence will be confirmed only by the occurrence or non-occurrence of one or more uncertain future events</w:t>
      </w:r>
      <w:r w:rsidR="00B546CC">
        <w:rPr>
          <w:lang w:val="en-GB"/>
        </w:rPr>
        <w:t xml:space="preserve"> not wholly within the control </w:t>
      </w:r>
      <w:r w:rsidRPr="00643AC2">
        <w:rPr>
          <w:lang w:val="en-GB"/>
        </w:rPr>
        <w:t>of the entity; or </w:t>
      </w:r>
    </w:p>
    <w:p w14:paraId="05F30FBE" w14:textId="77777777" w:rsidR="00643AC2" w:rsidRPr="00643AC2" w:rsidRDefault="00643AC2" w:rsidP="00890E6E">
      <w:pPr>
        <w:pStyle w:val="Bullet"/>
        <w:rPr>
          <w:lang w:val="en-GB"/>
        </w:rPr>
      </w:pPr>
      <w:r w:rsidRPr="00643AC2">
        <w:rPr>
          <w:lang w:val="en-GB"/>
        </w:rPr>
        <w:t>present obligations that arise from past events but are not recognised because: </w:t>
      </w:r>
    </w:p>
    <w:p w14:paraId="58AF98E8" w14:textId="2685F0F4" w:rsidR="00643AC2" w:rsidRPr="00643AC2" w:rsidRDefault="00643AC2" w:rsidP="00B546CC">
      <w:pPr>
        <w:pStyle w:val="Bullet"/>
        <w:numPr>
          <w:ilvl w:val="1"/>
          <w:numId w:val="1"/>
        </w:numPr>
        <w:rPr>
          <w:lang w:val="en-GB"/>
        </w:rPr>
      </w:pPr>
      <w:r w:rsidRPr="00643AC2">
        <w:rPr>
          <w:lang w:val="en-GB"/>
        </w:rPr>
        <w:t>it is not probable that an outflow of resources embodying econ</w:t>
      </w:r>
      <w:r w:rsidR="00B546CC">
        <w:rPr>
          <w:lang w:val="en-GB"/>
        </w:rPr>
        <w:t xml:space="preserve">omic benefits will be required </w:t>
      </w:r>
      <w:r w:rsidRPr="00643AC2">
        <w:rPr>
          <w:lang w:val="en-GB"/>
        </w:rPr>
        <w:t>to settle the obligations; or </w:t>
      </w:r>
    </w:p>
    <w:p w14:paraId="6389CE8D" w14:textId="77777777" w:rsidR="00643AC2" w:rsidRPr="00643AC2" w:rsidRDefault="00643AC2" w:rsidP="00B546CC">
      <w:pPr>
        <w:pStyle w:val="Bullet"/>
        <w:numPr>
          <w:ilvl w:val="1"/>
          <w:numId w:val="1"/>
        </w:numPr>
        <w:rPr>
          <w:lang w:val="en-GB"/>
        </w:rPr>
      </w:pPr>
      <w:r w:rsidRPr="00643AC2">
        <w:rPr>
          <w:lang w:val="en-GB"/>
        </w:rPr>
        <w:lastRenderedPageBreak/>
        <w:t>the amount of the obligations cannot be measured with sufficient reliability.; and</w:t>
      </w:r>
    </w:p>
    <w:p w14:paraId="38C5E1FF" w14:textId="77777777" w:rsidR="00643AC2" w:rsidRPr="00643AC2" w:rsidRDefault="00643AC2" w:rsidP="00890E6E">
      <w:pPr>
        <w:pStyle w:val="Bullet"/>
        <w:rPr>
          <w:lang w:val="en-GB"/>
        </w:rPr>
      </w:pPr>
      <w:r w:rsidRPr="00643AC2">
        <w:rPr>
          <w:lang w:val="en-GB"/>
        </w:rPr>
        <w:t>classified as either quantifiable or non-quantifiable. </w:t>
      </w:r>
    </w:p>
    <w:p w14:paraId="1A7BC742" w14:textId="77777777" w:rsidR="00643AC2" w:rsidRPr="00643AC2" w:rsidRDefault="00643AC2" w:rsidP="00643AC2">
      <w:pPr>
        <w:rPr>
          <w:lang w:val="en-GB"/>
        </w:rPr>
      </w:pPr>
      <w:r w:rsidRPr="00643AC2">
        <w:rPr>
          <w:lang w:val="en-GB"/>
        </w:rPr>
        <w:t>There were no contingent assets or contingent liabilities for the Commission at 30 June 2017 (30 June 2016: Nil).</w:t>
      </w:r>
    </w:p>
    <w:p w14:paraId="1997FDBB" w14:textId="083578E9" w:rsidR="00643AC2" w:rsidRPr="00643AC2" w:rsidRDefault="00643AC2" w:rsidP="009A169C">
      <w:pPr>
        <w:pStyle w:val="Heading2"/>
        <w:rPr>
          <w:lang w:val="en-GB"/>
        </w:rPr>
      </w:pPr>
      <w:bookmarkStart w:id="97" w:name="_Toc494112025"/>
      <w:r w:rsidRPr="00643AC2">
        <w:rPr>
          <w:lang w:val="en-GB"/>
        </w:rPr>
        <w:t>8.</w:t>
      </w:r>
      <w:r w:rsidRPr="00643AC2">
        <w:rPr>
          <w:lang w:val="en-GB"/>
        </w:rPr>
        <w:t> </w:t>
      </w:r>
      <w:r w:rsidR="009A169C">
        <w:rPr>
          <w:lang w:val="en-GB"/>
        </w:rPr>
        <w:t>O</w:t>
      </w:r>
      <w:r w:rsidRPr="00643AC2">
        <w:rPr>
          <w:lang w:val="en-GB"/>
        </w:rPr>
        <w:t>ther disclosures</w:t>
      </w:r>
      <w:bookmarkEnd w:id="97"/>
    </w:p>
    <w:p w14:paraId="14EF8E28" w14:textId="77777777" w:rsidR="00643AC2" w:rsidRPr="00643AC2" w:rsidRDefault="00643AC2" w:rsidP="009A169C">
      <w:pPr>
        <w:pStyle w:val="Heading3"/>
        <w:rPr>
          <w:lang w:val="en-GB"/>
        </w:rPr>
      </w:pPr>
      <w:bookmarkStart w:id="98" w:name="_Toc494112026"/>
      <w:r w:rsidRPr="00643AC2">
        <w:rPr>
          <w:lang w:val="en-GB"/>
        </w:rPr>
        <w:t>Introduction</w:t>
      </w:r>
      <w:bookmarkEnd w:id="98"/>
    </w:p>
    <w:p w14:paraId="452D51BF" w14:textId="7F45A1DD" w:rsidR="00643AC2" w:rsidRPr="00643AC2" w:rsidRDefault="00643AC2" w:rsidP="00643AC2">
      <w:pPr>
        <w:rPr>
          <w:lang w:val="en-GB"/>
        </w:rPr>
      </w:pPr>
      <w:r w:rsidRPr="00643AC2">
        <w:rPr>
          <w:lang w:val="en-GB"/>
        </w:rPr>
        <w:t>This section includes additional material disclosures required by acc</w:t>
      </w:r>
      <w:r w:rsidR="009A169C">
        <w:rPr>
          <w:lang w:val="en-GB"/>
        </w:rPr>
        <w:t xml:space="preserve">ounting standards or otherwise </w:t>
      </w:r>
      <w:r w:rsidRPr="00643AC2">
        <w:rPr>
          <w:lang w:val="en-GB"/>
        </w:rPr>
        <w:t>for the understanding of this financial report.</w:t>
      </w:r>
    </w:p>
    <w:p w14:paraId="76A5F595" w14:textId="77777777" w:rsidR="00643AC2" w:rsidRPr="00643AC2" w:rsidRDefault="00643AC2" w:rsidP="009A169C">
      <w:pPr>
        <w:pStyle w:val="Heading3"/>
        <w:rPr>
          <w:lang w:val="en-GB"/>
        </w:rPr>
      </w:pPr>
      <w:bookmarkStart w:id="99" w:name="_Toc494112027"/>
      <w:r w:rsidRPr="00643AC2">
        <w:rPr>
          <w:lang w:val="en-GB"/>
        </w:rPr>
        <w:t>Structure</w:t>
      </w:r>
      <w:bookmarkEnd w:id="99"/>
    </w:p>
    <w:p w14:paraId="57CB563B" w14:textId="2D5F9126" w:rsidR="00643AC2" w:rsidRPr="00643AC2" w:rsidRDefault="00643AC2" w:rsidP="00643AC2">
      <w:pPr>
        <w:rPr>
          <w:lang w:val="en-GB"/>
        </w:rPr>
      </w:pPr>
      <w:r w:rsidRPr="00643AC2">
        <w:rPr>
          <w:lang w:val="en-GB"/>
        </w:rPr>
        <w:t>8.1.</w:t>
      </w:r>
      <w:r w:rsidRPr="00643AC2">
        <w:rPr>
          <w:lang w:val="en-GB"/>
        </w:rPr>
        <w:t> </w:t>
      </w:r>
      <w:r w:rsidR="009A169C">
        <w:rPr>
          <w:lang w:val="en-GB"/>
        </w:rPr>
        <w:t>R</w:t>
      </w:r>
      <w:r w:rsidRPr="00643AC2">
        <w:rPr>
          <w:lang w:val="en-GB"/>
        </w:rPr>
        <w:t>esponsible persons</w:t>
      </w:r>
    </w:p>
    <w:p w14:paraId="2EB7EE13" w14:textId="46502E01" w:rsidR="00643AC2" w:rsidRPr="00643AC2" w:rsidRDefault="00643AC2" w:rsidP="00643AC2">
      <w:pPr>
        <w:rPr>
          <w:lang w:val="en-GB"/>
        </w:rPr>
      </w:pPr>
      <w:r w:rsidRPr="00643AC2">
        <w:rPr>
          <w:lang w:val="en-GB"/>
        </w:rPr>
        <w:t>8.2.</w:t>
      </w:r>
      <w:r w:rsidRPr="00643AC2">
        <w:rPr>
          <w:lang w:val="en-GB"/>
        </w:rPr>
        <w:t> </w:t>
      </w:r>
      <w:r w:rsidR="009A169C">
        <w:rPr>
          <w:lang w:val="en-GB"/>
        </w:rPr>
        <w:t>R</w:t>
      </w:r>
      <w:r w:rsidRPr="00643AC2">
        <w:rPr>
          <w:lang w:val="en-GB"/>
        </w:rPr>
        <w:t>emuneration of executives</w:t>
      </w:r>
    </w:p>
    <w:p w14:paraId="6135242B" w14:textId="0D01B5FB" w:rsidR="00643AC2" w:rsidRPr="00643AC2" w:rsidRDefault="00643AC2" w:rsidP="00643AC2">
      <w:pPr>
        <w:rPr>
          <w:lang w:val="en-GB"/>
        </w:rPr>
      </w:pPr>
      <w:r w:rsidRPr="00643AC2">
        <w:rPr>
          <w:lang w:val="en-GB"/>
        </w:rPr>
        <w:t>8.3.</w:t>
      </w:r>
      <w:r w:rsidRPr="00643AC2">
        <w:rPr>
          <w:lang w:val="en-GB"/>
        </w:rPr>
        <w:t> </w:t>
      </w:r>
      <w:r w:rsidR="009A169C">
        <w:rPr>
          <w:lang w:val="en-GB"/>
        </w:rPr>
        <w:t>R</w:t>
      </w:r>
      <w:r w:rsidRPr="00643AC2">
        <w:rPr>
          <w:lang w:val="en-GB"/>
        </w:rPr>
        <w:t>elated parties</w:t>
      </w:r>
    </w:p>
    <w:p w14:paraId="4EB97A95" w14:textId="15AF1AF4" w:rsidR="00643AC2" w:rsidRPr="00643AC2" w:rsidRDefault="00643AC2" w:rsidP="00643AC2">
      <w:pPr>
        <w:rPr>
          <w:lang w:val="en-GB"/>
        </w:rPr>
      </w:pPr>
      <w:r w:rsidRPr="00643AC2">
        <w:rPr>
          <w:lang w:val="en-GB"/>
        </w:rPr>
        <w:t>8.4.</w:t>
      </w:r>
      <w:r w:rsidRPr="00643AC2">
        <w:rPr>
          <w:lang w:val="en-GB"/>
        </w:rPr>
        <w:t> </w:t>
      </w:r>
      <w:r w:rsidR="009A169C">
        <w:rPr>
          <w:lang w:val="en-GB"/>
        </w:rPr>
        <w:t>R</w:t>
      </w:r>
      <w:r w:rsidRPr="00643AC2">
        <w:rPr>
          <w:lang w:val="en-GB"/>
        </w:rPr>
        <w:t>emuneration of auditors</w:t>
      </w:r>
    </w:p>
    <w:p w14:paraId="3CA094B9" w14:textId="79A9C207" w:rsidR="00643AC2" w:rsidRPr="00643AC2" w:rsidRDefault="00643AC2" w:rsidP="00643AC2">
      <w:pPr>
        <w:rPr>
          <w:lang w:val="en-GB"/>
        </w:rPr>
      </w:pPr>
      <w:r w:rsidRPr="00643AC2">
        <w:rPr>
          <w:lang w:val="en-GB"/>
        </w:rPr>
        <w:t>8.5.</w:t>
      </w:r>
      <w:r w:rsidRPr="00643AC2">
        <w:rPr>
          <w:lang w:val="en-GB"/>
        </w:rPr>
        <w:t> </w:t>
      </w:r>
      <w:r w:rsidR="009A169C">
        <w:rPr>
          <w:lang w:val="en-GB"/>
        </w:rPr>
        <w:t>O</w:t>
      </w:r>
      <w:r w:rsidRPr="00643AC2">
        <w:rPr>
          <w:lang w:val="en-GB"/>
        </w:rPr>
        <w:t>ther accounting policies</w:t>
      </w:r>
    </w:p>
    <w:p w14:paraId="77765AF0" w14:textId="00857A03" w:rsidR="00643AC2" w:rsidRPr="00643AC2" w:rsidRDefault="00643AC2" w:rsidP="00643AC2">
      <w:pPr>
        <w:rPr>
          <w:lang w:val="en-GB"/>
        </w:rPr>
      </w:pPr>
      <w:r w:rsidRPr="00643AC2">
        <w:rPr>
          <w:lang w:val="en-GB"/>
        </w:rPr>
        <w:t>8.6.</w:t>
      </w:r>
      <w:r w:rsidRPr="00643AC2">
        <w:rPr>
          <w:lang w:val="en-GB"/>
        </w:rPr>
        <w:t> </w:t>
      </w:r>
      <w:r w:rsidR="009A169C">
        <w:rPr>
          <w:lang w:val="en-GB"/>
        </w:rPr>
        <w:t>A</w:t>
      </w:r>
      <w:r w:rsidRPr="00643AC2">
        <w:rPr>
          <w:lang w:val="en-GB"/>
        </w:rPr>
        <w:t>ustralian Accounting Standards issued that are not yet effective</w:t>
      </w:r>
    </w:p>
    <w:p w14:paraId="128BB24F" w14:textId="1BA6751F" w:rsidR="00643AC2" w:rsidRPr="00643AC2" w:rsidRDefault="00643AC2" w:rsidP="009A169C">
      <w:pPr>
        <w:pStyle w:val="Heading4"/>
        <w:rPr>
          <w:lang w:val="en-GB"/>
        </w:rPr>
      </w:pPr>
      <w:r w:rsidRPr="00643AC2">
        <w:rPr>
          <w:lang w:val="en-GB"/>
        </w:rPr>
        <w:t>8.1.</w:t>
      </w:r>
      <w:r w:rsidRPr="00643AC2">
        <w:rPr>
          <w:lang w:val="en-GB"/>
        </w:rPr>
        <w:t> </w:t>
      </w:r>
      <w:r w:rsidR="009A169C">
        <w:rPr>
          <w:lang w:val="en-GB"/>
        </w:rPr>
        <w:t>R</w:t>
      </w:r>
      <w:r w:rsidRPr="00643AC2">
        <w:rPr>
          <w:lang w:val="en-GB"/>
        </w:rPr>
        <w:t>esponsible persons</w:t>
      </w:r>
    </w:p>
    <w:p w14:paraId="144443C3" w14:textId="6B144840" w:rsidR="00643AC2" w:rsidRPr="00643AC2" w:rsidRDefault="00643AC2" w:rsidP="00643AC2">
      <w:pPr>
        <w:rPr>
          <w:lang w:val="en-GB"/>
        </w:rPr>
      </w:pPr>
      <w:r w:rsidRPr="00643AC2">
        <w:rPr>
          <w:lang w:val="en-GB"/>
        </w:rPr>
        <w:t>The persons who held the positions of Minister and Accountable Officer in the Commission duri</w:t>
      </w:r>
      <w:r w:rsidR="009A169C">
        <w:rPr>
          <w:lang w:val="en-GB"/>
        </w:rPr>
        <w:t xml:space="preserve">ng </w:t>
      </w:r>
      <w:r w:rsidRPr="00643AC2">
        <w:rPr>
          <w:lang w:val="en-GB"/>
        </w:rPr>
        <w:t>the financial year were as follows:</w:t>
      </w:r>
    </w:p>
    <w:p w14:paraId="19E8591F" w14:textId="2645524D" w:rsidR="00643AC2" w:rsidRPr="00DE6609" w:rsidRDefault="00DE6609" w:rsidP="00DE6609">
      <w:pPr>
        <w:pStyle w:val="Bullet"/>
        <w:rPr>
          <w:lang w:val="en-GB"/>
        </w:rPr>
      </w:pPr>
      <w:r w:rsidRPr="00DE6609">
        <w:rPr>
          <w:b/>
          <w:lang w:val="en-GB"/>
        </w:rPr>
        <w:t>Responsible Minister</w:t>
      </w:r>
      <w:r>
        <w:rPr>
          <w:lang w:val="en-GB"/>
        </w:rPr>
        <w:t xml:space="preserve"> – </w:t>
      </w:r>
      <w:r w:rsidR="00643AC2" w:rsidRPr="00DE6609">
        <w:rPr>
          <w:lang w:val="en-GB"/>
        </w:rPr>
        <w:t>The Hon Daniel Andrews, MP, Premier</w:t>
      </w:r>
    </w:p>
    <w:p w14:paraId="01AFC678" w14:textId="7F86E7EC" w:rsidR="00643AC2" w:rsidRPr="00DE6609" w:rsidRDefault="00DE6609" w:rsidP="00DE6609">
      <w:pPr>
        <w:pStyle w:val="Bullet"/>
        <w:rPr>
          <w:lang w:val="en-GB"/>
        </w:rPr>
      </w:pPr>
      <w:r w:rsidRPr="00DE6609">
        <w:rPr>
          <w:b/>
          <w:lang w:val="en-GB"/>
        </w:rPr>
        <w:t>Accountable Officer</w:t>
      </w:r>
      <w:r>
        <w:rPr>
          <w:lang w:val="en-GB"/>
        </w:rPr>
        <w:t xml:space="preserve"> – </w:t>
      </w:r>
      <w:r w:rsidR="00643AC2" w:rsidRPr="00DE6609">
        <w:rPr>
          <w:lang w:val="en-GB"/>
        </w:rPr>
        <w:t>Belinda Clark, Victorian Public Sector Commissioner </w:t>
      </w:r>
    </w:p>
    <w:p w14:paraId="4F5D92A7" w14:textId="4E24EB53" w:rsidR="00643AC2" w:rsidRPr="00643AC2" w:rsidRDefault="00643AC2" w:rsidP="00643AC2">
      <w:pPr>
        <w:rPr>
          <w:lang w:val="en-GB"/>
        </w:rPr>
      </w:pPr>
      <w:r w:rsidRPr="00643AC2">
        <w:rPr>
          <w:lang w:val="en-GB"/>
        </w:rPr>
        <w:t>Total remuneration received or receivable by the Accountable Officer, in connection wi</w:t>
      </w:r>
      <w:r w:rsidR="007F7849">
        <w:rPr>
          <w:lang w:val="en-GB"/>
        </w:rPr>
        <w:t xml:space="preserve">th the </w:t>
      </w:r>
      <w:r w:rsidRPr="00643AC2">
        <w:rPr>
          <w:lang w:val="en-GB"/>
        </w:rPr>
        <w:t>management of the Commission during the reporting period was in the range: $460,000 – $469,999 ($460,000 – $469,999 in 2015-16). </w:t>
      </w:r>
    </w:p>
    <w:p w14:paraId="53CFFF30" w14:textId="7964A1B8" w:rsidR="00643AC2" w:rsidRPr="00643AC2" w:rsidRDefault="00643AC2" w:rsidP="007F7849">
      <w:pPr>
        <w:pStyle w:val="Heading4"/>
        <w:rPr>
          <w:lang w:val="en-GB"/>
        </w:rPr>
      </w:pPr>
      <w:r w:rsidRPr="00643AC2">
        <w:rPr>
          <w:lang w:val="en-GB"/>
        </w:rPr>
        <w:t>8.2.</w:t>
      </w:r>
      <w:r w:rsidRPr="00643AC2">
        <w:rPr>
          <w:lang w:val="en-GB"/>
        </w:rPr>
        <w:t> </w:t>
      </w:r>
      <w:r w:rsidR="007F7849">
        <w:rPr>
          <w:lang w:val="en-GB"/>
        </w:rPr>
        <w:t>R</w:t>
      </w:r>
      <w:r w:rsidRPr="00643AC2">
        <w:rPr>
          <w:lang w:val="en-GB"/>
        </w:rPr>
        <w:t>emuneration of executives</w:t>
      </w:r>
    </w:p>
    <w:p w14:paraId="6D7DC234" w14:textId="3974A2FC" w:rsidR="00643AC2" w:rsidRPr="00643AC2" w:rsidRDefault="00643AC2" w:rsidP="00643AC2">
      <w:pPr>
        <w:rPr>
          <w:lang w:val="en-GB"/>
        </w:rPr>
      </w:pPr>
      <w:r w:rsidRPr="00643AC2">
        <w:rPr>
          <w:lang w:val="en-GB"/>
        </w:rPr>
        <w:t>The number of executive officers, other than Ministers and Account</w:t>
      </w:r>
      <w:r w:rsidR="007F7849">
        <w:rPr>
          <w:lang w:val="en-GB"/>
        </w:rPr>
        <w:t xml:space="preserve">able Officers, and their total </w:t>
      </w:r>
      <w:r w:rsidRPr="00643AC2">
        <w:rPr>
          <w:lang w:val="en-GB"/>
        </w:rPr>
        <w:t>remuneration during the reporting period are shown in the table below. Total annualised employee equivalents provides a measure of full time equivalent executive officers over the reporting period.</w:t>
      </w:r>
    </w:p>
    <w:p w14:paraId="0C904911" w14:textId="67AFF16F" w:rsidR="00643AC2" w:rsidRPr="00643AC2" w:rsidRDefault="00643AC2" w:rsidP="00643AC2">
      <w:pPr>
        <w:rPr>
          <w:lang w:val="en-GB"/>
        </w:rPr>
      </w:pPr>
      <w:r w:rsidRPr="00643AC2">
        <w:rPr>
          <w:lang w:val="en-GB"/>
        </w:rPr>
        <w:t>Remuneration comprises employee expenses in all forms of considera</w:t>
      </w:r>
      <w:r w:rsidR="007F7849">
        <w:rPr>
          <w:lang w:val="en-GB"/>
        </w:rPr>
        <w:t xml:space="preserve">tion paid, payable or provided </w:t>
      </w:r>
      <w:r w:rsidRPr="00643AC2">
        <w:rPr>
          <w:lang w:val="en-GB"/>
        </w:rPr>
        <w:t>by the entity or on behalf of the entity, in exchange for services rendered, and is disclos</w:t>
      </w:r>
      <w:r w:rsidR="007F7849">
        <w:rPr>
          <w:lang w:val="en-GB"/>
        </w:rPr>
        <w:t xml:space="preserve">ed </w:t>
      </w:r>
      <w:r w:rsidRPr="00643AC2">
        <w:rPr>
          <w:lang w:val="en-GB"/>
        </w:rPr>
        <w:t>in the following categories: </w:t>
      </w:r>
    </w:p>
    <w:p w14:paraId="164FD48A" w14:textId="5A0DE15E" w:rsidR="00643AC2" w:rsidRPr="00643AC2" w:rsidRDefault="00643AC2" w:rsidP="007F7849">
      <w:pPr>
        <w:pStyle w:val="Bullet"/>
        <w:rPr>
          <w:lang w:val="en-GB"/>
        </w:rPr>
      </w:pPr>
      <w:r w:rsidRPr="00643AC2">
        <w:rPr>
          <w:lang w:val="en-GB"/>
        </w:rPr>
        <w:t>short-term employee expenses include amounts such as wages, salari</w:t>
      </w:r>
      <w:r w:rsidR="007F7849">
        <w:rPr>
          <w:lang w:val="en-GB"/>
        </w:rPr>
        <w:t xml:space="preserve">es, annual leave or sick leave </w:t>
      </w:r>
      <w:r w:rsidRPr="00643AC2">
        <w:rPr>
          <w:lang w:val="en-GB"/>
        </w:rPr>
        <w:t>that are usually paid or payable on a regular basis, as well as</w:t>
      </w:r>
      <w:r w:rsidR="007F7849">
        <w:rPr>
          <w:lang w:val="en-GB"/>
        </w:rPr>
        <w:t xml:space="preserve"> non-monetary benefits such as </w:t>
      </w:r>
      <w:r w:rsidRPr="00643AC2">
        <w:rPr>
          <w:lang w:val="en-GB"/>
        </w:rPr>
        <w:t>allowances and free or subsidised goods or services;</w:t>
      </w:r>
    </w:p>
    <w:p w14:paraId="0F9970ED" w14:textId="47E82707" w:rsidR="00643AC2" w:rsidRPr="00643AC2" w:rsidRDefault="00643AC2" w:rsidP="007F7849">
      <w:pPr>
        <w:pStyle w:val="Bullet"/>
        <w:rPr>
          <w:lang w:val="en-GB"/>
        </w:rPr>
      </w:pPr>
      <w:r w:rsidRPr="00643AC2">
        <w:rPr>
          <w:lang w:val="en-GB"/>
        </w:rPr>
        <w:t>post-employment benefits include employer contributions for m</w:t>
      </w:r>
      <w:r w:rsidR="007F7849">
        <w:rPr>
          <w:lang w:val="en-GB"/>
        </w:rPr>
        <w:t xml:space="preserve">embers of both defined benefit </w:t>
      </w:r>
      <w:r w:rsidRPr="00643AC2">
        <w:rPr>
          <w:lang w:val="en-GB"/>
        </w:rPr>
        <w:t>and defined contribution superannuation plans;</w:t>
      </w:r>
    </w:p>
    <w:p w14:paraId="0C8DEFD2" w14:textId="77777777" w:rsidR="00643AC2" w:rsidRPr="00643AC2" w:rsidRDefault="00643AC2" w:rsidP="007F7849">
      <w:pPr>
        <w:pStyle w:val="Bullet"/>
        <w:rPr>
          <w:lang w:val="en-GB"/>
        </w:rPr>
      </w:pPr>
      <w:r w:rsidRPr="00643AC2">
        <w:rPr>
          <w:lang w:val="en-GB"/>
        </w:rPr>
        <w:t>other long-term benefits include long service leave, other long-service benefit or deferred compensation; and</w:t>
      </w:r>
    </w:p>
    <w:p w14:paraId="7D256643" w14:textId="5A42405D" w:rsidR="00643AC2" w:rsidRPr="008C29C3" w:rsidRDefault="00643AC2" w:rsidP="00643AC2">
      <w:pPr>
        <w:pStyle w:val="Bullet"/>
        <w:rPr>
          <w:lang w:val="en-GB"/>
        </w:rPr>
      </w:pPr>
      <w:r w:rsidRPr="00643AC2">
        <w:rPr>
          <w:lang w:val="en-GB"/>
        </w:rPr>
        <w:t>termination benefits include termination of employment payments, such as severance packages.</w:t>
      </w:r>
    </w:p>
    <w:tbl>
      <w:tblPr>
        <w:tblStyle w:val="TableGrid"/>
        <w:tblW w:w="0" w:type="auto"/>
        <w:tblLook w:val="04A0" w:firstRow="1" w:lastRow="0" w:firstColumn="1" w:lastColumn="0" w:noHBand="0" w:noVBand="1"/>
      </w:tblPr>
      <w:tblGrid>
        <w:gridCol w:w="8784"/>
        <w:gridCol w:w="1559"/>
      </w:tblGrid>
      <w:tr w:rsidR="008C29C3" w:rsidRPr="00B22E53" w14:paraId="07ABCB8C" w14:textId="77777777" w:rsidTr="002C3408">
        <w:trPr>
          <w:cantSplit/>
          <w:tblHeader/>
        </w:trPr>
        <w:tc>
          <w:tcPr>
            <w:tcW w:w="8784" w:type="dxa"/>
            <w:hideMark/>
          </w:tcPr>
          <w:p w14:paraId="1ED10FC7" w14:textId="77777777" w:rsidR="00643AC2" w:rsidRPr="00B22E53" w:rsidRDefault="00643AC2" w:rsidP="002C3408">
            <w:pPr>
              <w:pStyle w:val="TableHeading"/>
              <w:rPr>
                <w:lang w:val="en-GB"/>
              </w:rPr>
            </w:pPr>
          </w:p>
        </w:tc>
        <w:tc>
          <w:tcPr>
            <w:tcW w:w="1559" w:type="dxa"/>
            <w:hideMark/>
          </w:tcPr>
          <w:p w14:paraId="55570D73" w14:textId="77777777" w:rsidR="00643AC2" w:rsidRPr="00B22E53" w:rsidRDefault="00643AC2" w:rsidP="002C3408">
            <w:pPr>
              <w:pStyle w:val="TableHeading"/>
              <w:rPr>
                <w:lang w:val="en-GB"/>
              </w:rPr>
            </w:pPr>
            <w:r w:rsidRPr="00B22E53">
              <w:rPr>
                <w:bCs/>
                <w:lang w:val="en-GB"/>
              </w:rPr>
              <w:t>2017</w:t>
            </w:r>
          </w:p>
        </w:tc>
      </w:tr>
      <w:tr w:rsidR="008C29C3" w:rsidRPr="00B22E53" w14:paraId="62F4DC5F" w14:textId="77777777" w:rsidTr="002C3408">
        <w:trPr>
          <w:cantSplit/>
          <w:tblHeader/>
        </w:trPr>
        <w:tc>
          <w:tcPr>
            <w:tcW w:w="8784" w:type="dxa"/>
            <w:hideMark/>
          </w:tcPr>
          <w:p w14:paraId="64AC7A5F" w14:textId="77777777" w:rsidR="00643AC2" w:rsidRPr="00B22E53" w:rsidRDefault="00643AC2" w:rsidP="002C3408">
            <w:pPr>
              <w:pStyle w:val="TableHeading"/>
              <w:rPr>
                <w:lang w:val="en-GB"/>
              </w:rPr>
            </w:pPr>
            <w:r w:rsidRPr="00B22E53">
              <w:rPr>
                <w:bCs/>
                <w:lang w:val="en-GB"/>
              </w:rPr>
              <w:t>Remuneration of executive officers</w:t>
            </w:r>
          </w:p>
        </w:tc>
        <w:tc>
          <w:tcPr>
            <w:tcW w:w="1559" w:type="dxa"/>
            <w:hideMark/>
          </w:tcPr>
          <w:p w14:paraId="47DF7769" w14:textId="77777777" w:rsidR="00643AC2" w:rsidRPr="00B22E53" w:rsidRDefault="00643AC2" w:rsidP="002C3408">
            <w:pPr>
              <w:pStyle w:val="TableHeading"/>
              <w:rPr>
                <w:lang w:val="en-GB"/>
              </w:rPr>
            </w:pPr>
            <w:r w:rsidRPr="00B22E53">
              <w:rPr>
                <w:bCs/>
                <w:lang w:val="en-GB"/>
              </w:rPr>
              <w:t>$</w:t>
            </w:r>
          </w:p>
        </w:tc>
      </w:tr>
      <w:tr w:rsidR="008C29C3" w:rsidRPr="00B22E53" w14:paraId="0D3DCF59" w14:textId="77777777" w:rsidTr="00B22E53">
        <w:trPr>
          <w:cantSplit/>
        </w:trPr>
        <w:tc>
          <w:tcPr>
            <w:tcW w:w="8784" w:type="dxa"/>
            <w:hideMark/>
          </w:tcPr>
          <w:p w14:paraId="66B7118F" w14:textId="77777777" w:rsidR="00643AC2" w:rsidRPr="00B22E53" w:rsidRDefault="00643AC2" w:rsidP="00B22E53">
            <w:pPr>
              <w:pStyle w:val="TableCopy"/>
              <w:rPr>
                <w:lang w:val="en-GB"/>
              </w:rPr>
            </w:pPr>
            <w:r w:rsidRPr="00B22E53">
              <w:rPr>
                <w:lang w:val="en-GB"/>
              </w:rPr>
              <w:t>Short-term employee benefits</w:t>
            </w:r>
          </w:p>
        </w:tc>
        <w:tc>
          <w:tcPr>
            <w:tcW w:w="1559" w:type="dxa"/>
            <w:hideMark/>
          </w:tcPr>
          <w:p w14:paraId="18298E1E" w14:textId="77777777" w:rsidR="00643AC2" w:rsidRPr="00CB2B79" w:rsidRDefault="00643AC2" w:rsidP="00B22E53">
            <w:pPr>
              <w:pStyle w:val="TableCopy"/>
              <w:rPr>
                <w:b/>
                <w:lang w:val="en-GB"/>
              </w:rPr>
            </w:pPr>
            <w:r w:rsidRPr="00CB2B79">
              <w:rPr>
                <w:b/>
                <w:lang w:val="en-GB"/>
              </w:rPr>
              <w:t>1,372,163</w:t>
            </w:r>
          </w:p>
        </w:tc>
      </w:tr>
      <w:tr w:rsidR="008C29C3" w:rsidRPr="00B22E53" w14:paraId="36C64855" w14:textId="77777777" w:rsidTr="00B22E53">
        <w:trPr>
          <w:cantSplit/>
        </w:trPr>
        <w:tc>
          <w:tcPr>
            <w:tcW w:w="8784" w:type="dxa"/>
            <w:hideMark/>
          </w:tcPr>
          <w:p w14:paraId="17483086" w14:textId="77777777" w:rsidR="00643AC2" w:rsidRPr="00B22E53" w:rsidRDefault="00643AC2" w:rsidP="00B22E53">
            <w:pPr>
              <w:pStyle w:val="TableCopy"/>
              <w:rPr>
                <w:lang w:val="en-GB"/>
              </w:rPr>
            </w:pPr>
            <w:r w:rsidRPr="00B22E53">
              <w:rPr>
                <w:lang w:val="en-GB"/>
              </w:rPr>
              <w:lastRenderedPageBreak/>
              <w:t>Post-employment benefits </w:t>
            </w:r>
          </w:p>
        </w:tc>
        <w:tc>
          <w:tcPr>
            <w:tcW w:w="1559" w:type="dxa"/>
            <w:hideMark/>
          </w:tcPr>
          <w:p w14:paraId="477A3815" w14:textId="77777777" w:rsidR="00643AC2" w:rsidRPr="00CB2B79" w:rsidRDefault="00643AC2" w:rsidP="00B22E53">
            <w:pPr>
              <w:pStyle w:val="TableCopy"/>
              <w:rPr>
                <w:b/>
                <w:lang w:val="en-GB"/>
              </w:rPr>
            </w:pPr>
            <w:r w:rsidRPr="00CB2B79">
              <w:rPr>
                <w:b/>
                <w:lang w:val="en-GB"/>
              </w:rPr>
              <w:t>169,907</w:t>
            </w:r>
          </w:p>
        </w:tc>
      </w:tr>
      <w:tr w:rsidR="008C29C3" w:rsidRPr="00B22E53" w14:paraId="7A13680F" w14:textId="77777777" w:rsidTr="00B22E53">
        <w:trPr>
          <w:cantSplit/>
        </w:trPr>
        <w:tc>
          <w:tcPr>
            <w:tcW w:w="8784" w:type="dxa"/>
            <w:hideMark/>
          </w:tcPr>
          <w:p w14:paraId="6FD1C263" w14:textId="77777777" w:rsidR="00643AC2" w:rsidRPr="00B22E53" w:rsidRDefault="00643AC2" w:rsidP="00B22E53">
            <w:pPr>
              <w:pStyle w:val="TableCopy"/>
              <w:rPr>
                <w:lang w:val="en-GB"/>
              </w:rPr>
            </w:pPr>
            <w:r w:rsidRPr="00B22E53">
              <w:rPr>
                <w:lang w:val="en-GB"/>
              </w:rPr>
              <w:t>Other long-term benefits </w:t>
            </w:r>
          </w:p>
        </w:tc>
        <w:tc>
          <w:tcPr>
            <w:tcW w:w="1559" w:type="dxa"/>
            <w:hideMark/>
          </w:tcPr>
          <w:p w14:paraId="5D1B442D" w14:textId="77777777" w:rsidR="00643AC2" w:rsidRPr="00CB2B79" w:rsidRDefault="00643AC2" w:rsidP="00B22E53">
            <w:pPr>
              <w:pStyle w:val="TableCopy"/>
              <w:rPr>
                <w:b/>
                <w:lang w:val="en-GB"/>
              </w:rPr>
            </w:pPr>
            <w:r w:rsidRPr="00CB2B79">
              <w:rPr>
                <w:b/>
                <w:lang w:val="en-GB"/>
              </w:rPr>
              <w:t>31,360</w:t>
            </w:r>
          </w:p>
        </w:tc>
      </w:tr>
      <w:tr w:rsidR="008C29C3" w:rsidRPr="00B22E53" w14:paraId="228D83B6" w14:textId="77777777" w:rsidTr="00B22E53">
        <w:trPr>
          <w:cantSplit/>
        </w:trPr>
        <w:tc>
          <w:tcPr>
            <w:tcW w:w="8784" w:type="dxa"/>
            <w:hideMark/>
          </w:tcPr>
          <w:p w14:paraId="558BEF00" w14:textId="77777777" w:rsidR="00643AC2" w:rsidRPr="00B22E53" w:rsidRDefault="00643AC2" w:rsidP="00B22E53">
            <w:pPr>
              <w:pStyle w:val="TableCopy"/>
              <w:rPr>
                <w:lang w:val="en-GB"/>
              </w:rPr>
            </w:pPr>
            <w:r w:rsidRPr="00B22E53">
              <w:rPr>
                <w:lang w:val="en-GB"/>
              </w:rPr>
              <w:t>Termination benefits </w:t>
            </w:r>
          </w:p>
        </w:tc>
        <w:tc>
          <w:tcPr>
            <w:tcW w:w="1559" w:type="dxa"/>
            <w:hideMark/>
          </w:tcPr>
          <w:p w14:paraId="745CAE09" w14:textId="77777777" w:rsidR="00643AC2" w:rsidRPr="00CB2B79" w:rsidRDefault="00643AC2" w:rsidP="00B22E53">
            <w:pPr>
              <w:pStyle w:val="TableCopy"/>
              <w:rPr>
                <w:b/>
                <w:lang w:val="en-GB"/>
              </w:rPr>
            </w:pPr>
            <w:r w:rsidRPr="00CB2B79">
              <w:rPr>
                <w:b/>
                <w:lang w:val="en-GB"/>
              </w:rPr>
              <w:t>78,729</w:t>
            </w:r>
          </w:p>
        </w:tc>
      </w:tr>
      <w:tr w:rsidR="008C29C3" w:rsidRPr="00B22E53" w14:paraId="5E8234E9" w14:textId="77777777" w:rsidTr="00B22E53">
        <w:trPr>
          <w:cantSplit/>
        </w:trPr>
        <w:tc>
          <w:tcPr>
            <w:tcW w:w="8784" w:type="dxa"/>
            <w:hideMark/>
          </w:tcPr>
          <w:p w14:paraId="2A029B16" w14:textId="77777777" w:rsidR="00643AC2" w:rsidRPr="00CB2B79" w:rsidRDefault="00643AC2" w:rsidP="00B22E53">
            <w:pPr>
              <w:pStyle w:val="TableCopy"/>
              <w:rPr>
                <w:b/>
                <w:lang w:val="en-GB"/>
              </w:rPr>
            </w:pPr>
            <w:r w:rsidRPr="00CB2B79">
              <w:rPr>
                <w:b/>
                <w:lang w:val="en-GB"/>
              </w:rPr>
              <w:t xml:space="preserve">Total remuneration </w:t>
            </w:r>
            <w:r w:rsidRPr="00CB2B79">
              <w:rPr>
                <w:b/>
                <w:vertAlign w:val="superscript"/>
                <w:lang w:val="en-GB"/>
              </w:rPr>
              <w:t>(a)</w:t>
            </w:r>
          </w:p>
        </w:tc>
        <w:tc>
          <w:tcPr>
            <w:tcW w:w="1559" w:type="dxa"/>
            <w:hideMark/>
          </w:tcPr>
          <w:p w14:paraId="410456C9" w14:textId="77777777" w:rsidR="00643AC2" w:rsidRPr="00CB2B79" w:rsidRDefault="00643AC2" w:rsidP="00B22E53">
            <w:pPr>
              <w:pStyle w:val="TableCopy"/>
              <w:rPr>
                <w:b/>
                <w:lang w:val="en-GB"/>
              </w:rPr>
            </w:pPr>
            <w:r w:rsidRPr="00CB2B79">
              <w:rPr>
                <w:b/>
                <w:lang w:val="en-GB"/>
              </w:rPr>
              <w:t>1,652,159</w:t>
            </w:r>
          </w:p>
        </w:tc>
      </w:tr>
      <w:tr w:rsidR="008C29C3" w:rsidRPr="00B22E53" w14:paraId="1B2808A1" w14:textId="77777777" w:rsidTr="00B22E53">
        <w:trPr>
          <w:cantSplit/>
        </w:trPr>
        <w:tc>
          <w:tcPr>
            <w:tcW w:w="8784" w:type="dxa"/>
            <w:hideMark/>
          </w:tcPr>
          <w:p w14:paraId="4434AAF5" w14:textId="77777777" w:rsidR="00643AC2" w:rsidRPr="00CB2B79" w:rsidRDefault="00643AC2" w:rsidP="00B22E53">
            <w:pPr>
              <w:pStyle w:val="TableCopy"/>
              <w:rPr>
                <w:b/>
                <w:lang w:val="en-GB"/>
              </w:rPr>
            </w:pPr>
            <w:r w:rsidRPr="00CB2B79">
              <w:rPr>
                <w:b/>
                <w:lang w:val="en-GB"/>
              </w:rPr>
              <w:t>Total number of executives</w:t>
            </w:r>
          </w:p>
        </w:tc>
        <w:tc>
          <w:tcPr>
            <w:tcW w:w="1559" w:type="dxa"/>
            <w:hideMark/>
          </w:tcPr>
          <w:p w14:paraId="338F4A74" w14:textId="77777777" w:rsidR="00643AC2" w:rsidRPr="00CB2B79" w:rsidRDefault="00643AC2" w:rsidP="00B22E53">
            <w:pPr>
              <w:pStyle w:val="TableCopy"/>
              <w:rPr>
                <w:b/>
                <w:lang w:val="en-GB"/>
              </w:rPr>
            </w:pPr>
            <w:r w:rsidRPr="00CB2B79">
              <w:rPr>
                <w:b/>
                <w:lang w:val="en-GB"/>
              </w:rPr>
              <w:t>9</w:t>
            </w:r>
          </w:p>
        </w:tc>
      </w:tr>
      <w:tr w:rsidR="008C29C3" w:rsidRPr="00B22E53" w14:paraId="034D9FB8" w14:textId="77777777" w:rsidTr="00B22E53">
        <w:trPr>
          <w:cantSplit/>
        </w:trPr>
        <w:tc>
          <w:tcPr>
            <w:tcW w:w="8784" w:type="dxa"/>
            <w:hideMark/>
          </w:tcPr>
          <w:p w14:paraId="69DFBCB6" w14:textId="77777777" w:rsidR="00643AC2" w:rsidRPr="00CB2B79" w:rsidRDefault="00643AC2" w:rsidP="00B22E53">
            <w:pPr>
              <w:pStyle w:val="TableCopy"/>
              <w:rPr>
                <w:b/>
                <w:lang w:val="en-GB"/>
              </w:rPr>
            </w:pPr>
            <w:r w:rsidRPr="00CB2B79">
              <w:rPr>
                <w:b/>
                <w:lang w:val="en-GB"/>
              </w:rPr>
              <w:t xml:space="preserve">Total annualised employee equivalents </w:t>
            </w:r>
            <w:r w:rsidRPr="00CB2B79">
              <w:rPr>
                <w:b/>
                <w:vertAlign w:val="superscript"/>
                <w:lang w:val="en-GB"/>
              </w:rPr>
              <w:t>(b)</w:t>
            </w:r>
          </w:p>
        </w:tc>
        <w:tc>
          <w:tcPr>
            <w:tcW w:w="1559" w:type="dxa"/>
            <w:hideMark/>
          </w:tcPr>
          <w:p w14:paraId="4757831C" w14:textId="77777777" w:rsidR="00643AC2" w:rsidRPr="00CB2B79" w:rsidRDefault="00643AC2" w:rsidP="00B22E53">
            <w:pPr>
              <w:pStyle w:val="TableCopy"/>
              <w:rPr>
                <w:b/>
                <w:lang w:val="en-GB"/>
              </w:rPr>
            </w:pPr>
            <w:r w:rsidRPr="00CB2B79">
              <w:rPr>
                <w:b/>
                <w:lang w:val="en-GB"/>
              </w:rPr>
              <w:t>6.9</w:t>
            </w:r>
          </w:p>
        </w:tc>
      </w:tr>
    </w:tbl>
    <w:p w14:paraId="79458E0A" w14:textId="77777777" w:rsidR="00643AC2" w:rsidRPr="001A64B6" w:rsidRDefault="00643AC2" w:rsidP="00643AC2">
      <w:pPr>
        <w:rPr>
          <w:rStyle w:val="Emphasis"/>
        </w:rPr>
      </w:pPr>
      <w:r w:rsidRPr="001A64B6">
        <w:rPr>
          <w:rStyle w:val="Emphasis"/>
        </w:rPr>
        <w:t>Notes:</w:t>
      </w:r>
    </w:p>
    <w:p w14:paraId="7C6710BD" w14:textId="47DBD05F" w:rsidR="00643AC2" w:rsidRPr="001A64B6" w:rsidRDefault="001A64B6" w:rsidP="00643AC2">
      <w:pPr>
        <w:rPr>
          <w:rStyle w:val="Emphasis"/>
        </w:rPr>
      </w:pPr>
      <w:r w:rsidRPr="001A64B6">
        <w:rPr>
          <w:rStyle w:val="Emphasis"/>
        </w:rPr>
        <w:t xml:space="preserve">(a) </w:t>
      </w:r>
      <w:r w:rsidR="00643AC2" w:rsidRPr="001A64B6">
        <w:rPr>
          <w:rStyle w:val="Emphasis"/>
        </w:rPr>
        <w:t>No comparatives have been reported because remuneration in the prior year was determined in line with the basis and definition under Financial Reporting Direction 21B. Remuneration previously excluded non-monetary benefits and comprised any money, consideration or benefit received or receivable, excluding reimbursement of out-of-pocket expenses, including any amount received or receivable from a related party transaction. Refer to the prior year’s financial statements for executive remuneration for the 2015-16 reporting period.</w:t>
      </w:r>
    </w:p>
    <w:p w14:paraId="18FA0D49" w14:textId="77777777" w:rsidR="00643AC2" w:rsidRPr="001A64B6" w:rsidRDefault="00643AC2" w:rsidP="00643AC2">
      <w:pPr>
        <w:rPr>
          <w:rStyle w:val="Emphasis"/>
        </w:rPr>
      </w:pPr>
      <w:r w:rsidRPr="001A64B6">
        <w:rPr>
          <w:rStyle w:val="Emphasis"/>
        </w:rPr>
        <w:t>(b) Annualised employee equivalent is based on the time fraction worked over the reporting period.</w:t>
      </w:r>
    </w:p>
    <w:p w14:paraId="4BDC6F47" w14:textId="56D5B08A" w:rsidR="00643AC2" w:rsidRPr="00643AC2" w:rsidRDefault="00643AC2" w:rsidP="001A64B6">
      <w:pPr>
        <w:pStyle w:val="Heading4"/>
        <w:rPr>
          <w:lang w:val="en-GB"/>
        </w:rPr>
      </w:pPr>
      <w:r w:rsidRPr="00643AC2">
        <w:rPr>
          <w:lang w:val="en-GB"/>
        </w:rPr>
        <w:t>8.3.</w:t>
      </w:r>
      <w:r w:rsidRPr="00643AC2">
        <w:rPr>
          <w:lang w:val="en-GB"/>
        </w:rPr>
        <w:t> </w:t>
      </w:r>
      <w:r w:rsidR="001A64B6">
        <w:rPr>
          <w:lang w:val="en-GB"/>
        </w:rPr>
        <w:t>R</w:t>
      </w:r>
      <w:r w:rsidRPr="00643AC2">
        <w:rPr>
          <w:lang w:val="en-GB"/>
        </w:rPr>
        <w:t>elated parties</w:t>
      </w:r>
    </w:p>
    <w:p w14:paraId="62A5D4C0" w14:textId="33F2DCAB" w:rsidR="00643AC2" w:rsidRPr="00643AC2" w:rsidRDefault="00643AC2" w:rsidP="00643AC2">
      <w:pPr>
        <w:rPr>
          <w:lang w:val="en-GB"/>
        </w:rPr>
      </w:pPr>
      <w:r w:rsidRPr="00643AC2">
        <w:rPr>
          <w:lang w:val="en-GB"/>
        </w:rPr>
        <w:t>The Commission is a wholly owned and controlled entity of the Stat</w:t>
      </w:r>
      <w:r w:rsidR="001A64B6">
        <w:rPr>
          <w:lang w:val="en-GB"/>
        </w:rPr>
        <w:t xml:space="preserve">e of Victoria. Related parties </w:t>
      </w:r>
      <w:r w:rsidRPr="00643AC2">
        <w:rPr>
          <w:lang w:val="en-GB"/>
        </w:rPr>
        <w:t>of the Commission include:</w:t>
      </w:r>
    </w:p>
    <w:p w14:paraId="0EDFC16A" w14:textId="77777777" w:rsidR="00643AC2" w:rsidRPr="00643AC2" w:rsidRDefault="00643AC2" w:rsidP="001A64B6">
      <w:pPr>
        <w:pStyle w:val="Bullet"/>
        <w:rPr>
          <w:lang w:val="en-GB"/>
        </w:rPr>
      </w:pPr>
      <w:r w:rsidRPr="00643AC2">
        <w:rPr>
          <w:lang w:val="en-GB"/>
        </w:rPr>
        <w:t>all key management personnel and their close family members; and</w:t>
      </w:r>
    </w:p>
    <w:p w14:paraId="390BB60E" w14:textId="77777777" w:rsidR="00643AC2" w:rsidRPr="00643AC2" w:rsidRDefault="00643AC2" w:rsidP="001A64B6">
      <w:pPr>
        <w:pStyle w:val="Bullet"/>
        <w:rPr>
          <w:lang w:val="en-GB"/>
        </w:rPr>
      </w:pPr>
      <w:r w:rsidRPr="00643AC2">
        <w:rPr>
          <w:lang w:val="en-GB"/>
        </w:rPr>
        <w:t>all cabinet ministers and their close family members.</w:t>
      </w:r>
    </w:p>
    <w:p w14:paraId="115419EB" w14:textId="77777777" w:rsidR="00643AC2" w:rsidRPr="00643AC2" w:rsidRDefault="00643AC2" w:rsidP="001A64B6">
      <w:pPr>
        <w:pStyle w:val="Heading5"/>
        <w:rPr>
          <w:lang w:val="en-GB"/>
        </w:rPr>
      </w:pPr>
      <w:r w:rsidRPr="00643AC2">
        <w:rPr>
          <w:lang w:val="en-GB"/>
        </w:rPr>
        <w:t>Significant transactions with government-related entities</w:t>
      </w:r>
    </w:p>
    <w:p w14:paraId="62731640" w14:textId="77777777" w:rsidR="00643AC2" w:rsidRPr="00643AC2" w:rsidRDefault="00643AC2" w:rsidP="00643AC2">
      <w:pPr>
        <w:rPr>
          <w:lang w:val="en-GB"/>
        </w:rPr>
      </w:pPr>
      <w:r w:rsidRPr="00643AC2">
        <w:rPr>
          <w:lang w:val="en-GB"/>
        </w:rPr>
        <w:t>During 2016-17, the Commission received funding of $3.3 million for the setup and establishment of the Victorian Leadership Academy (VLA). The funding comprised of equal contributions by the seven State departments and Victorian Police.</w:t>
      </w:r>
    </w:p>
    <w:p w14:paraId="742972D5" w14:textId="3F40F313" w:rsidR="00643AC2" w:rsidRPr="00643AC2" w:rsidRDefault="00643AC2" w:rsidP="00643AC2">
      <w:pPr>
        <w:rPr>
          <w:lang w:val="en-GB"/>
        </w:rPr>
      </w:pPr>
      <w:r w:rsidRPr="00643AC2">
        <w:rPr>
          <w:lang w:val="en-GB"/>
        </w:rPr>
        <w:t>VLA is a new and progressive model to support leadership developme</w:t>
      </w:r>
      <w:r w:rsidR="00C11A03">
        <w:rPr>
          <w:lang w:val="en-GB"/>
        </w:rPr>
        <w:t xml:space="preserve">nt aligned to the future needs </w:t>
      </w:r>
      <w:r w:rsidRPr="00643AC2">
        <w:rPr>
          <w:lang w:val="en-GB"/>
        </w:rPr>
        <w:t>of the sector. Its goal is to equip leaders with the required skills and capabilities to operate in an increasingly complex and changeable environment and to deliver on the Government’s priorities for Victoria.</w:t>
      </w:r>
    </w:p>
    <w:p w14:paraId="7527508F" w14:textId="2FFC30B2" w:rsidR="00643AC2" w:rsidRPr="00643AC2" w:rsidRDefault="00643AC2" w:rsidP="00643AC2">
      <w:pPr>
        <w:rPr>
          <w:lang w:val="en-GB"/>
        </w:rPr>
      </w:pPr>
      <w:r w:rsidRPr="00643AC2">
        <w:rPr>
          <w:lang w:val="en-GB"/>
        </w:rPr>
        <w:t>Key management personnel (KMP) of the Commission include the Premie</w:t>
      </w:r>
      <w:r w:rsidR="00C11A03">
        <w:rPr>
          <w:lang w:val="en-GB"/>
        </w:rPr>
        <w:t xml:space="preserve">r, the Hon. Daniel Andrews MP, </w:t>
      </w:r>
      <w:r w:rsidRPr="00643AC2">
        <w:rPr>
          <w:lang w:val="en-GB"/>
        </w:rPr>
        <w:t>the Special Minister of State, the Hon. Gavin Jennings MLC and the members of the Senior Executive Team, which includes:</w:t>
      </w:r>
    </w:p>
    <w:tbl>
      <w:tblPr>
        <w:tblStyle w:val="TableGrid"/>
        <w:tblW w:w="0" w:type="auto"/>
        <w:tblLook w:val="04A0" w:firstRow="1" w:lastRow="0" w:firstColumn="1" w:lastColumn="0" w:noHBand="0" w:noVBand="1"/>
      </w:tblPr>
      <w:tblGrid>
        <w:gridCol w:w="3681"/>
        <w:gridCol w:w="6662"/>
      </w:tblGrid>
      <w:tr w:rsidR="00643AC2" w:rsidRPr="00643AC2" w14:paraId="03A731CD" w14:textId="77777777" w:rsidTr="009B6B0F">
        <w:trPr>
          <w:cantSplit/>
          <w:tblHeader/>
        </w:trPr>
        <w:tc>
          <w:tcPr>
            <w:tcW w:w="3681" w:type="dxa"/>
            <w:hideMark/>
          </w:tcPr>
          <w:p w14:paraId="004A6F78" w14:textId="77777777" w:rsidR="00643AC2" w:rsidRPr="00643AC2" w:rsidRDefault="00643AC2" w:rsidP="009B6B0F">
            <w:pPr>
              <w:pStyle w:val="TableHeading"/>
              <w:rPr>
                <w:lang w:val="en-GB"/>
              </w:rPr>
            </w:pPr>
            <w:r w:rsidRPr="00643AC2">
              <w:rPr>
                <w:lang w:val="en-GB"/>
              </w:rPr>
              <w:t>Key management personnel</w:t>
            </w:r>
          </w:p>
        </w:tc>
        <w:tc>
          <w:tcPr>
            <w:tcW w:w="6662" w:type="dxa"/>
            <w:hideMark/>
          </w:tcPr>
          <w:p w14:paraId="42A30943" w14:textId="77777777" w:rsidR="00643AC2" w:rsidRPr="00643AC2" w:rsidRDefault="00643AC2" w:rsidP="009B6B0F">
            <w:pPr>
              <w:pStyle w:val="TableHeading"/>
              <w:rPr>
                <w:lang w:val="en-GB"/>
              </w:rPr>
            </w:pPr>
            <w:r w:rsidRPr="00643AC2">
              <w:rPr>
                <w:lang w:val="en-GB"/>
              </w:rPr>
              <w:t>Role at Victorian Public Sector Commission</w:t>
            </w:r>
          </w:p>
        </w:tc>
      </w:tr>
      <w:tr w:rsidR="00643AC2" w:rsidRPr="00643AC2" w14:paraId="499E6BD3" w14:textId="77777777" w:rsidTr="009B6B0F">
        <w:trPr>
          <w:cantSplit/>
        </w:trPr>
        <w:tc>
          <w:tcPr>
            <w:tcW w:w="3681" w:type="dxa"/>
            <w:hideMark/>
          </w:tcPr>
          <w:p w14:paraId="402E3AE6" w14:textId="77777777" w:rsidR="00643AC2" w:rsidRPr="00643AC2" w:rsidRDefault="00643AC2" w:rsidP="009B6B0F">
            <w:pPr>
              <w:pStyle w:val="TableCopy"/>
              <w:rPr>
                <w:lang w:val="en-GB"/>
              </w:rPr>
            </w:pPr>
            <w:r w:rsidRPr="00643AC2">
              <w:rPr>
                <w:lang w:val="en-GB"/>
              </w:rPr>
              <w:t>Belinda Clark</w:t>
            </w:r>
          </w:p>
        </w:tc>
        <w:tc>
          <w:tcPr>
            <w:tcW w:w="6662" w:type="dxa"/>
            <w:hideMark/>
          </w:tcPr>
          <w:p w14:paraId="48965096" w14:textId="77777777" w:rsidR="00643AC2" w:rsidRPr="00643AC2" w:rsidRDefault="00643AC2" w:rsidP="009B6B0F">
            <w:pPr>
              <w:pStyle w:val="TableCopy"/>
              <w:rPr>
                <w:lang w:val="en-GB"/>
              </w:rPr>
            </w:pPr>
            <w:r w:rsidRPr="00643AC2">
              <w:rPr>
                <w:lang w:val="en-GB"/>
              </w:rPr>
              <w:t>Commissioner</w:t>
            </w:r>
          </w:p>
        </w:tc>
      </w:tr>
      <w:tr w:rsidR="00643AC2" w:rsidRPr="00643AC2" w14:paraId="7C85ED89" w14:textId="77777777" w:rsidTr="009B6B0F">
        <w:trPr>
          <w:cantSplit/>
        </w:trPr>
        <w:tc>
          <w:tcPr>
            <w:tcW w:w="3681" w:type="dxa"/>
            <w:hideMark/>
          </w:tcPr>
          <w:p w14:paraId="5D9B559E" w14:textId="77777777" w:rsidR="00643AC2" w:rsidRPr="00643AC2" w:rsidRDefault="00643AC2" w:rsidP="009B6B0F">
            <w:pPr>
              <w:pStyle w:val="TableCopy"/>
              <w:rPr>
                <w:lang w:val="en-GB"/>
              </w:rPr>
            </w:pPr>
            <w:r w:rsidRPr="00643AC2">
              <w:rPr>
                <w:lang w:val="en-GB"/>
              </w:rPr>
              <w:t>Damian West</w:t>
            </w:r>
          </w:p>
        </w:tc>
        <w:tc>
          <w:tcPr>
            <w:tcW w:w="6662" w:type="dxa"/>
            <w:hideMark/>
          </w:tcPr>
          <w:p w14:paraId="2B3071AE" w14:textId="77777777" w:rsidR="00643AC2" w:rsidRPr="00643AC2" w:rsidRDefault="00643AC2" w:rsidP="009B6B0F">
            <w:pPr>
              <w:pStyle w:val="TableCopy"/>
              <w:rPr>
                <w:lang w:val="en-GB"/>
              </w:rPr>
            </w:pPr>
            <w:r w:rsidRPr="00643AC2">
              <w:rPr>
                <w:lang w:val="en-GB"/>
              </w:rPr>
              <w:t>Deputy Commissioner</w:t>
            </w:r>
          </w:p>
        </w:tc>
      </w:tr>
      <w:tr w:rsidR="00643AC2" w:rsidRPr="00643AC2" w14:paraId="7E16D3DC" w14:textId="77777777" w:rsidTr="009B6B0F">
        <w:trPr>
          <w:cantSplit/>
        </w:trPr>
        <w:tc>
          <w:tcPr>
            <w:tcW w:w="3681" w:type="dxa"/>
            <w:hideMark/>
          </w:tcPr>
          <w:p w14:paraId="38F68BFE" w14:textId="77777777" w:rsidR="00643AC2" w:rsidRPr="00643AC2" w:rsidRDefault="00643AC2" w:rsidP="009B6B0F">
            <w:pPr>
              <w:pStyle w:val="TableCopy"/>
              <w:rPr>
                <w:lang w:val="en-GB"/>
              </w:rPr>
            </w:pPr>
            <w:r w:rsidRPr="00643AC2">
              <w:rPr>
                <w:lang w:val="en-GB"/>
              </w:rPr>
              <w:t>Karen Lau</w:t>
            </w:r>
          </w:p>
        </w:tc>
        <w:tc>
          <w:tcPr>
            <w:tcW w:w="6662" w:type="dxa"/>
            <w:hideMark/>
          </w:tcPr>
          <w:p w14:paraId="6565666A" w14:textId="77777777" w:rsidR="00643AC2" w:rsidRPr="00643AC2" w:rsidRDefault="00643AC2" w:rsidP="009B6B0F">
            <w:pPr>
              <w:pStyle w:val="TableCopy"/>
              <w:rPr>
                <w:lang w:val="en-GB"/>
              </w:rPr>
            </w:pPr>
            <w:r w:rsidRPr="00643AC2">
              <w:rPr>
                <w:lang w:val="en-GB"/>
              </w:rPr>
              <w:t>Executive Director, Performance and Integrity</w:t>
            </w:r>
          </w:p>
        </w:tc>
      </w:tr>
      <w:tr w:rsidR="00643AC2" w:rsidRPr="00643AC2" w14:paraId="30EE60F6" w14:textId="77777777" w:rsidTr="009B6B0F">
        <w:trPr>
          <w:cantSplit/>
        </w:trPr>
        <w:tc>
          <w:tcPr>
            <w:tcW w:w="3681" w:type="dxa"/>
            <w:hideMark/>
          </w:tcPr>
          <w:p w14:paraId="4CCA9994" w14:textId="77777777" w:rsidR="00643AC2" w:rsidRPr="00643AC2" w:rsidRDefault="00643AC2" w:rsidP="009B6B0F">
            <w:pPr>
              <w:pStyle w:val="TableCopy"/>
              <w:rPr>
                <w:lang w:val="en-GB"/>
              </w:rPr>
            </w:pPr>
            <w:r w:rsidRPr="00643AC2">
              <w:rPr>
                <w:lang w:val="en-GB"/>
              </w:rPr>
              <w:t>Linda Holmes</w:t>
            </w:r>
          </w:p>
        </w:tc>
        <w:tc>
          <w:tcPr>
            <w:tcW w:w="6662" w:type="dxa"/>
            <w:hideMark/>
          </w:tcPr>
          <w:p w14:paraId="1372A9F2" w14:textId="77777777" w:rsidR="00643AC2" w:rsidRPr="00643AC2" w:rsidRDefault="00643AC2" w:rsidP="009B6B0F">
            <w:pPr>
              <w:pStyle w:val="TableCopy"/>
              <w:rPr>
                <w:lang w:val="en-GB"/>
              </w:rPr>
            </w:pPr>
            <w:r w:rsidRPr="00643AC2">
              <w:rPr>
                <w:lang w:val="en-GB"/>
              </w:rPr>
              <w:t>Executive Director, Leadership and Workforce</w:t>
            </w:r>
          </w:p>
        </w:tc>
      </w:tr>
    </w:tbl>
    <w:p w14:paraId="649426B8" w14:textId="2D6A030E" w:rsidR="00643AC2" w:rsidRPr="00643AC2" w:rsidRDefault="00643AC2" w:rsidP="00643AC2">
      <w:pPr>
        <w:rPr>
          <w:lang w:val="en-GB"/>
        </w:rPr>
      </w:pPr>
      <w:r w:rsidRPr="00643AC2">
        <w:rPr>
          <w:lang w:val="en-GB"/>
        </w:rPr>
        <w:t>The compensation detailed in the following page excludes the salary a</w:t>
      </w:r>
      <w:r w:rsidR="00C11A03">
        <w:rPr>
          <w:lang w:val="en-GB"/>
        </w:rPr>
        <w:t xml:space="preserve">nd benefit the Premier and the </w:t>
      </w:r>
      <w:r w:rsidRPr="00643AC2">
        <w:rPr>
          <w:lang w:val="en-GB"/>
        </w:rPr>
        <w:t xml:space="preserve">Special Minister of State receive. The Premier and the Special Minister of State’s remuneration and allowance, set by the </w:t>
      </w:r>
      <w:r w:rsidRPr="00643AC2">
        <w:rPr>
          <w:i/>
          <w:iCs/>
          <w:lang w:val="en-GB"/>
        </w:rPr>
        <w:t>Parliamentary Salaries and Superannuation Act 1968</w:t>
      </w:r>
      <w:r w:rsidR="00C11A03">
        <w:rPr>
          <w:lang w:val="en-GB"/>
        </w:rPr>
        <w:t xml:space="preserve">, are reported within the </w:t>
      </w:r>
      <w:r w:rsidRPr="00643AC2">
        <w:rPr>
          <w:lang w:val="en-GB"/>
        </w:rPr>
        <w:t>financial report of the Department of Parliamentary Services.</w:t>
      </w:r>
    </w:p>
    <w:tbl>
      <w:tblPr>
        <w:tblStyle w:val="TableGrid"/>
        <w:tblW w:w="10343" w:type="dxa"/>
        <w:tblLook w:val="04A0" w:firstRow="1" w:lastRow="0" w:firstColumn="1" w:lastColumn="0" w:noHBand="0" w:noVBand="1"/>
      </w:tblPr>
      <w:tblGrid>
        <w:gridCol w:w="8500"/>
        <w:gridCol w:w="1843"/>
      </w:tblGrid>
      <w:tr w:rsidR="00A472B0" w:rsidRPr="004F2112" w14:paraId="2636DEE1" w14:textId="77777777" w:rsidTr="00524B98">
        <w:trPr>
          <w:cantSplit/>
          <w:tblHeader/>
        </w:trPr>
        <w:tc>
          <w:tcPr>
            <w:tcW w:w="8500" w:type="dxa"/>
            <w:hideMark/>
          </w:tcPr>
          <w:p w14:paraId="229E45ED" w14:textId="77777777" w:rsidR="00643AC2" w:rsidRPr="004F2112" w:rsidRDefault="00643AC2" w:rsidP="004F2112">
            <w:pPr>
              <w:pStyle w:val="TableHeading"/>
              <w:rPr>
                <w:lang w:val="en-GB"/>
              </w:rPr>
            </w:pPr>
          </w:p>
        </w:tc>
        <w:tc>
          <w:tcPr>
            <w:tcW w:w="1843" w:type="dxa"/>
            <w:hideMark/>
          </w:tcPr>
          <w:p w14:paraId="2CED49D9" w14:textId="77777777" w:rsidR="00643AC2" w:rsidRPr="004F2112" w:rsidRDefault="00643AC2" w:rsidP="004F2112">
            <w:pPr>
              <w:pStyle w:val="TableHeading"/>
              <w:rPr>
                <w:lang w:val="en-GB"/>
              </w:rPr>
            </w:pPr>
            <w:r w:rsidRPr="004F2112">
              <w:rPr>
                <w:bCs/>
                <w:lang w:val="en-GB"/>
              </w:rPr>
              <w:t>2017</w:t>
            </w:r>
          </w:p>
        </w:tc>
      </w:tr>
      <w:tr w:rsidR="00A472B0" w:rsidRPr="004F2112" w14:paraId="5ACE00FB" w14:textId="77777777" w:rsidTr="00524B98">
        <w:trPr>
          <w:cantSplit/>
          <w:tblHeader/>
        </w:trPr>
        <w:tc>
          <w:tcPr>
            <w:tcW w:w="8500" w:type="dxa"/>
            <w:hideMark/>
          </w:tcPr>
          <w:p w14:paraId="2211176F" w14:textId="77777777" w:rsidR="00643AC2" w:rsidRPr="004F2112" w:rsidRDefault="00643AC2" w:rsidP="004F2112">
            <w:pPr>
              <w:pStyle w:val="TableHeading"/>
              <w:rPr>
                <w:lang w:val="en-GB"/>
              </w:rPr>
            </w:pPr>
            <w:r w:rsidRPr="004F2112">
              <w:rPr>
                <w:bCs/>
                <w:lang w:val="en-GB"/>
              </w:rPr>
              <w:lastRenderedPageBreak/>
              <w:t>Compensation of KMPs</w:t>
            </w:r>
          </w:p>
        </w:tc>
        <w:tc>
          <w:tcPr>
            <w:tcW w:w="1843" w:type="dxa"/>
            <w:hideMark/>
          </w:tcPr>
          <w:p w14:paraId="04BCD1EC" w14:textId="77777777" w:rsidR="00643AC2" w:rsidRPr="004F2112" w:rsidRDefault="00643AC2" w:rsidP="004F2112">
            <w:pPr>
              <w:pStyle w:val="TableHeading"/>
              <w:rPr>
                <w:lang w:val="en-GB"/>
              </w:rPr>
            </w:pPr>
            <w:r w:rsidRPr="004F2112">
              <w:rPr>
                <w:bCs/>
                <w:lang w:val="en-GB"/>
              </w:rPr>
              <w:t>$</w:t>
            </w:r>
          </w:p>
        </w:tc>
      </w:tr>
      <w:tr w:rsidR="00A472B0" w:rsidRPr="004F2112" w14:paraId="1356FA29" w14:textId="77777777" w:rsidTr="004F2112">
        <w:trPr>
          <w:cantSplit/>
        </w:trPr>
        <w:tc>
          <w:tcPr>
            <w:tcW w:w="8500" w:type="dxa"/>
            <w:hideMark/>
          </w:tcPr>
          <w:p w14:paraId="2C088A81" w14:textId="77777777" w:rsidR="00643AC2" w:rsidRPr="004F2112" w:rsidRDefault="00643AC2" w:rsidP="004F2112">
            <w:pPr>
              <w:pStyle w:val="TableCopy"/>
              <w:rPr>
                <w:lang w:val="en-GB"/>
              </w:rPr>
            </w:pPr>
            <w:r w:rsidRPr="004F2112">
              <w:rPr>
                <w:lang w:val="en-GB"/>
              </w:rPr>
              <w:t>Short-term employee benefits</w:t>
            </w:r>
          </w:p>
        </w:tc>
        <w:tc>
          <w:tcPr>
            <w:tcW w:w="1843" w:type="dxa"/>
            <w:hideMark/>
          </w:tcPr>
          <w:p w14:paraId="5EB6513A" w14:textId="77777777" w:rsidR="00643AC2" w:rsidRPr="004F2112" w:rsidRDefault="00643AC2" w:rsidP="004F2112">
            <w:pPr>
              <w:pStyle w:val="TableCopy"/>
              <w:rPr>
                <w:b/>
                <w:lang w:val="en-GB"/>
              </w:rPr>
            </w:pPr>
            <w:r w:rsidRPr="004F2112">
              <w:rPr>
                <w:b/>
                <w:lang w:val="en-GB"/>
              </w:rPr>
              <w:t>1,073,911</w:t>
            </w:r>
          </w:p>
        </w:tc>
      </w:tr>
      <w:tr w:rsidR="00A472B0" w:rsidRPr="004F2112" w14:paraId="4C8A813C" w14:textId="77777777" w:rsidTr="004F2112">
        <w:trPr>
          <w:cantSplit/>
        </w:trPr>
        <w:tc>
          <w:tcPr>
            <w:tcW w:w="8500" w:type="dxa"/>
            <w:hideMark/>
          </w:tcPr>
          <w:p w14:paraId="0AC7B371" w14:textId="77777777" w:rsidR="00643AC2" w:rsidRPr="004F2112" w:rsidRDefault="00643AC2" w:rsidP="004F2112">
            <w:pPr>
              <w:pStyle w:val="TableCopy"/>
              <w:rPr>
                <w:lang w:val="en-GB"/>
              </w:rPr>
            </w:pPr>
            <w:r w:rsidRPr="004F2112">
              <w:rPr>
                <w:lang w:val="en-GB"/>
              </w:rPr>
              <w:t>Post-employment benefits </w:t>
            </w:r>
          </w:p>
        </w:tc>
        <w:tc>
          <w:tcPr>
            <w:tcW w:w="1843" w:type="dxa"/>
            <w:hideMark/>
          </w:tcPr>
          <w:p w14:paraId="2A3BA089" w14:textId="77777777" w:rsidR="00643AC2" w:rsidRPr="004F2112" w:rsidRDefault="00643AC2" w:rsidP="004F2112">
            <w:pPr>
              <w:pStyle w:val="TableCopy"/>
              <w:rPr>
                <w:b/>
                <w:lang w:val="en-GB"/>
              </w:rPr>
            </w:pPr>
            <w:r w:rsidRPr="004F2112">
              <w:rPr>
                <w:b/>
                <w:lang w:val="en-GB"/>
              </w:rPr>
              <w:t>81,399</w:t>
            </w:r>
          </w:p>
        </w:tc>
      </w:tr>
      <w:tr w:rsidR="00A472B0" w:rsidRPr="004F2112" w14:paraId="1D3A12A3" w14:textId="77777777" w:rsidTr="004F2112">
        <w:trPr>
          <w:cantSplit/>
        </w:trPr>
        <w:tc>
          <w:tcPr>
            <w:tcW w:w="8500" w:type="dxa"/>
            <w:hideMark/>
          </w:tcPr>
          <w:p w14:paraId="788CAFFD" w14:textId="77777777" w:rsidR="00643AC2" w:rsidRPr="004F2112" w:rsidRDefault="00643AC2" w:rsidP="004F2112">
            <w:pPr>
              <w:pStyle w:val="TableCopy"/>
              <w:rPr>
                <w:lang w:val="en-GB"/>
              </w:rPr>
            </w:pPr>
            <w:r w:rsidRPr="004F2112">
              <w:rPr>
                <w:lang w:val="en-GB"/>
              </w:rPr>
              <w:t>Other long-term benefits </w:t>
            </w:r>
          </w:p>
        </w:tc>
        <w:tc>
          <w:tcPr>
            <w:tcW w:w="1843" w:type="dxa"/>
            <w:hideMark/>
          </w:tcPr>
          <w:p w14:paraId="48486AE8" w14:textId="77777777" w:rsidR="00643AC2" w:rsidRPr="004F2112" w:rsidRDefault="00643AC2" w:rsidP="004F2112">
            <w:pPr>
              <w:pStyle w:val="TableCopy"/>
              <w:rPr>
                <w:b/>
                <w:lang w:val="en-GB"/>
              </w:rPr>
            </w:pPr>
            <w:r w:rsidRPr="004F2112">
              <w:rPr>
                <w:b/>
                <w:lang w:val="en-GB"/>
              </w:rPr>
              <w:t>23,752</w:t>
            </w:r>
          </w:p>
        </w:tc>
      </w:tr>
      <w:tr w:rsidR="00A472B0" w:rsidRPr="004F2112" w14:paraId="6D4CAFB5" w14:textId="77777777" w:rsidTr="004F2112">
        <w:trPr>
          <w:cantSplit/>
        </w:trPr>
        <w:tc>
          <w:tcPr>
            <w:tcW w:w="8500" w:type="dxa"/>
            <w:hideMark/>
          </w:tcPr>
          <w:p w14:paraId="57E9AE36" w14:textId="77777777" w:rsidR="00643AC2" w:rsidRPr="004F2112" w:rsidRDefault="00643AC2" w:rsidP="004F2112">
            <w:pPr>
              <w:pStyle w:val="TableCopy"/>
              <w:rPr>
                <w:lang w:val="en-GB"/>
              </w:rPr>
            </w:pPr>
            <w:r w:rsidRPr="004F2112">
              <w:rPr>
                <w:lang w:val="en-GB"/>
              </w:rPr>
              <w:t>Termination benefits </w:t>
            </w:r>
          </w:p>
        </w:tc>
        <w:tc>
          <w:tcPr>
            <w:tcW w:w="1843" w:type="dxa"/>
            <w:hideMark/>
          </w:tcPr>
          <w:p w14:paraId="3ACD33E5" w14:textId="77777777" w:rsidR="00643AC2" w:rsidRPr="004F2112" w:rsidRDefault="00643AC2" w:rsidP="004F2112">
            <w:pPr>
              <w:pStyle w:val="TableCopy"/>
              <w:rPr>
                <w:b/>
                <w:lang w:val="en-GB"/>
              </w:rPr>
            </w:pPr>
            <w:r w:rsidRPr="004F2112">
              <w:rPr>
                <w:b/>
                <w:lang w:val="en-GB"/>
              </w:rPr>
              <w:t>-</w:t>
            </w:r>
          </w:p>
        </w:tc>
      </w:tr>
      <w:tr w:rsidR="00A472B0" w:rsidRPr="004F2112" w14:paraId="1A201F58" w14:textId="77777777" w:rsidTr="004F2112">
        <w:trPr>
          <w:cantSplit/>
        </w:trPr>
        <w:tc>
          <w:tcPr>
            <w:tcW w:w="8500" w:type="dxa"/>
            <w:hideMark/>
          </w:tcPr>
          <w:p w14:paraId="31FD9297" w14:textId="77777777" w:rsidR="00643AC2" w:rsidRPr="004F2112" w:rsidRDefault="00643AC2" w:rsidP="004F2112">
            <w:pPr>
              <w:pStyle w:val="TableCopy"/>
              <w:rPr>
                <w:b/>
                <w:lang w:val="en-GB"/>
              </w:rPr>
            </w:pPr>
            <w:r w:rsidRPr="004F2112">
              <w:rPr>
                <w:b/>
                <w:lang w:val="en-GB"/>
              </w:rPr>
              <w:t>Total remuneration</w:t>
            </w:r>
          </w:p>
        </w:tc>
        <w:tc>
          <w:tcPr>
            <w:tcW w:w="1843" w:type="dxa"/>
            <w:hideMark/>
          </w:tcPr>
          <w:p w14:paraId="67ED6A9E" w14:textId="77777777" w:rsidR="00643AC2" w:rsidRPr="004F2112" w:rsidRDefault="00643AC2" w:rsidP="004F2112">
            <w:pPr>
              <w:pStyle w:val="TableCopy"/>
              <w:rPr>
                <w:b/>
                <w:lang w:val="en-GB"/>
              </w:rPr>
            </w:pPr>
            <w:r w:rsidRPr="004F2112">
              <w:rPr>
                <w:b/>
                <w:lang w:val="en-GB"/>
              </w:rPr>
              <w:t>1,179,062</w:t>
            </w:r>
          </w:p>
        </w:tc>
      </w:tr>
    </w:tbl>
    <w:p w14:paraId="2874DC84" w14:textId="7928AB50" w:rsidR="00643AC2" w:rsidRPr="00643AC2" w:rsidRDefault="00643AC2" w:rsidP="003E321E">
      <w:pPr>
        <w:pStyle w:val="Heading4"/>
        <w:rPr>
          <w:lang w:val="en-GB"/>
        </w:rPr>
      </w:pPr>
      <w:r w:rsidRPr="00643AC2">
        <w:rPr>
          <w:lang w:val="en-GB"/>
        </w:rPr>
        <w:t>8.4.</w:t>
      </w:r>
      <w:r w:rsidRPr="00643AC2">
        <w:rPr>
          <w:lang w:val="en-GB"/>
        </w:rPr>
        <w:t> </w:t>
      </w:r>
      <w:r w:rsidR="003E321E">
        <w:rPr>
          <w:lang w:val="en-GB"/>
        </w:rPr>
        <w:t>R</w:t>
      </w:r>
      <w:r w:rsidRPr="00643AC2">
        <w:rPr>
          <w:lang w:val="en-GB"/>
        </w:rPr>
        <w:t>emuneration of auditors</w:t>
      </w:r>
    </w:p>
    <w:tbl>
      <w:tblPr>
        <w:tblStyle w:val="TableGrid"/>
        <w:tblW w:w="0" w:type="auto"/>
        <w:tblLook w:val="04A0" w:firstRow="1" w:lastRow="0" w:firstColumn="1" w:lastColumn="0" w:noHBand="0" w:noVBand="1"/>
      </w:tblPr>
      <w:tblGrid>
        <w:gridCol w:w="6559"/>
        <w:gridCol w:w="1892"/>
        <w:gridCol w:w="1892"/>
      </w:tblGrid>
      <w:tr w:rsidR="0040660D" w:rsidRPr="00B53648" w14:paraId="7E0FECD7" w14:textId="77777777" w:rsidTr="00B53648">
        <w:trPr>
          <w:cantSplit/>
        </w:trPr>
        <w:tc>
          <w:tcPr>
            <w:tcW w:w="6559" w:type="dxa"/>
            <w:hideMark/>
          </w:tcPr>
          <w:p w14:paraId="263C7D9C" w14:textId="77777777" w:rsidR="00643AC2" w:rsidRPr="00B53648" w:rsidRDefault="00643AC2" w:rsidP="00B53648">
            <w:pPr>
              <w:pStyle w:val="TableHeading"/>
              <w:rPr>
                <w:lang w:val="en-GB"/>
              </w:rPr>
            </w:pPr>
          </w:p>
        </w:tc>
        <w:tc>
          <w:tcPr>
            <w:tcW w:w="1892" w:type="dxa"/>
            <w:hideMark/>
          </w:tcPr>
          <w:p w14:paraId="79AB9259" w14:textId="77777777" w:rsidR="00643AC2" w:rsidRPr="00B53648" w:rsidRDefault="00643AC2" w:rsidP="00B53648">
            <w:pPr>
              <w:pStyle w:val="TableHeading"/>
              <w:rPr>
                <w:lang w:val="en-GB"/>
              </w:rPr>
            </w:pPr>
            <w:r w:rsidRPr="00B53648">
              <w:rPr>
                <w:bCs/>
                <w:lang w:val="en-GB"/>
              </w:rPr>
              <w:t>2017</w:t>
            </w:r>
          </w:p>
        </w:tc>
        <w:tc>
          <w:tcPr>
            <w:tcW w:w="1892" w:type="dxa"/>
            <w:hideMark/>
          </w:tcPr>
          <w:p w14:paraId="461A67E1" w14:textId="77777777" w:rsidR="00643AC2" w:rsidRPr="00B53648" w:rsidRDefault="00643AC2" w:rsidP="00B53648">
            <w:pPr>
              <w:pStyle w:val="TableHeading"/>
              <w:rPr>
                <w:lang w:val="en-GB"/>
              </w:rPr>
            </w:pPr>
            <w:r w:rsidRPr="00B53648">
              <w:rPr>
                <w:bCs/>
                <w:lang w:val="en-GB"/>
              </w:rPr>
              <w:t>2016</w:t>
            </w:r>
          </w:p>
        </w:tc>
      </w:tr>
      <w:tr w:rsidR="0040660D" w:rsidRPr="00B53648" w14:paraId="46906430" w14:textId="77777777" w:rsidTr="00B53648">
        <w:trPr>
          <w:cantSplit/>
        </w:trPr>
        <w:tc>
          <w:tcPr>
            <w:tcW w:w="6559" w:type="dxa"/>
            <w:hideMark/>
          </w:tcPr>
          <w:p w14:paraId="43FDE699" w14:textId="77777777" w:rsidR="00643AC2" w:rsidRPr="00B53648" w:rsidRDefault="00643AC2" w:rsidP="00B53648">
            <w:pPr>
              <w:pStyle w:val="TableHeading"/>
              <w:rPr>
                <w:lang w:val="en-GB"/>
              </w:rPr>
            </w:pPr>
            <w:r w:rsidRPr="00B53648">
              <w:rPr>
                <w:bCs/>
                <w:lang w:val="en-GB"/>
              </w:rPr>
              <w:t>Audit fees paid or payable to the Victorian Auditor-General’s Office</w:t>
            </w:r>
          </w:p>
        </w:tc>
        <w:tc>
          <w:tcPr>
            <w:tcW w:w="1892" w:type="dxa"/>
            <w:hideMark/>
          </w:tcPr>
          <w:p w14:paraId="7E844409" w14:textId="77777777" w:rsidR="00643AC2" w:rsidRPr="00B53648" w:rsidRDefault="00643AC2" w:rsidP="00B53648">
            <w:pPr>
              <w:pStyle w:val="TableHeading"/>
              <w:rPr>
                <w:lang w:val="en-GB"/>
              </w:rPr>
            </w:pPr>
            <w:r w:rsidRPr="00B53648">
              <w:rPr>
                <w:bCs/>
                <w:lang w:val="en-GB"/>
              </w:rPr>
              <w:t>$</w:t>
            </w:r>
          </w:p>
        </w:tc>
        <w:tc>
          <w:tcPr>
            <w:tcW w:w="1892" w:type="dxa"/>
            <w:hideMark/>
          </w:tcPr>
          <w:p w14:paraId="3332FFE9" w14:textId="77777777" w:rsidR="00643AC2" w:rsidRPr="00B53648" w:rsidRDefault="00643AC2" w:rsidP="00B53648">
            <w:pPr>
              <w:pStyle w:val="TableHeading"/>
              <w:rPr>
                <w:lang w:val="en-GB"/>
              </w:rPr>
            </w:pPr>
            <w:r w:rsidRPr="00B53648">
              <w:rPr>
                <w:bCs/>
                <w:lang w:val="en-GB"/>
              </w:rPr>
              <w:t>$</w:t>
            </w:r>
          </w:p>
        </w:tc>
      </w:tr>
      <w:tr w:rsidR="0040660D" w:rsidRPr="00B53648" w14:paraId="7FB6AAB1" w14:textId="77777777" w:rsidTr="00B53648">
        <w:trPr>
          <w:cantSplit/>
        </w:trPr>
        <w:tc>
          <w:tcPr>
            <w:tcW w:w="6559" w:type="dxa"/>
            <w:hideMark/>
          </w:tcPr>
          <w:p w14:paraId="2C605769" w14:textId="77777777" w:rsidR="00643AC2" w:rsidRPr="00B53648" w:rsidRDefault="00643AC2" w:rsidP="00B53648">
            <w:pPr>
              <w:pStyle w:val="TableCopy"/>
              <w:rPr>
                <w:lang w:val="en-GB"/>
              </w:rPr>
            </w:pPr>
            <w:r w:rsidRPr="00B53648">
              <w:rPr>
                <w:lang w:val="en-GB"/>
              </w:rPr>
              <w:t>Audit of the annual financial statements</w:t>
            </w:r>
          </w:p>
        </w:tc>
        <w:tc>
          <w:tcPr>
            <w:tcW w:w="1892" w:type="dxa"/>
            <w:hideMark/>
          </w:tcPr>
          <w:p w14:paraId="0706260C" w14:textId="77777777" w:rsidR="00643AC2" w:rsidRPr="00B53648" w:rsidRDefault="00643AC2" w:rsidP="00B53648">
            <w:pPr>
              <w:pStyle w:val="TableCopy"/>
              <w:rPr>
                <w:b/>
                <w:lang w:val="en-GB"/>
              </w:rPr>
            </w:pPr>
            <w:r w:rsidRPr="00B53648">
              <w:rPr>
                <w:b/>
                <w:lang w:val="en-GB"/>
              </w:rPr>
              <w:t>16,300</w:t>
            </w:r>
          </w:p>
        </w:tc>
        <w:tc>
          <w:tcPr>
            <w:tcW w:w="1892" w:type="dxa"/>
            <w:hideMark/>
          </w:tcPr>
          <w:p w14:paraId="11EE581A" w14:textId="77777777" w:rsidR="00643AC2" w:rsidRPr="00B53648" w:rsidRDefault="00643AC2" w:rsidP="00B53648">
            <w:pPr>
              <w:pStyle w:val="TableCopy"/>
              <w:rPr>
                <w:lang w:val="en-GB"/>
              </w:rPr>
            </w:pPr>
            <w:r w:rsidRPr="00B53648">
              <w:rPr>
                <w:lang w:val="en-GB"/>
              </w:rPr>
              <w:t>15,900</w:t>
            </w:r>
          </w:p>
        </w:tc>
      </w:tr>
    </w:tbl>
    <w:p w14:paraId="4FDCDCB5" w14:textId="77777777" w:rsidR="00643AC2" w:rsidRPr="00643AC2" w:rsidRDefault="00643AC2" w:rsidP="00643AC2">
      <w:pPr>
        <w:rPr>
          <w:lang w:val="en-GB"/>
        </w:rPr>
      </w:pPr>
      <w:r w:rsidRPr="00643AC2">
        <w:rPr>
          <w:lang w:val="en-GB"/>
        </w:rPr>
        <w:t>No other services were provided by the Victorian Auditor-General’s Office.</w:t>
      </w:r>
    </w:p>
    <w:p w14:paraId="670BF5B3" w14:textId="6D760839" w:rsidR="00643AC2" w:rsidRPr="00643AC2" w:rsidRDefault="00643AC2" w:rsidP="00F44619">
      <w:pPr>
        <w:pStyle w:val="Heading4"/>
        <w:rPr>
          <w:lang w:val="en-GB"/>
        </w:rPr>
      </w:pPr>
      <w:r w:rsidRPr="00643AC2">
        <w:rPr>
          <w:lang w:val="en-GB"/>
        </w:rPr>
        <w:t>8.5.</w:t>
      </w:r>
      <w:r w:rsidRPr="00643AC2">
        <w:rPr>
          <w:lang w:val="en-GB"/>
        </w:rPr>
        <w:t> </w:t>
      </w:r>
      <w:r w:rsidR="00F44619">
        <w:rPr>
          <w:lang w:val="en-GB"/>
        </w:rPr>
        <w:t>O</w:t>
      </w:r>
      <w:r w:rsidRPr="00643AC2">
        <w:rPr>
          <w:lang w:val="en-GB"/>
        </w:rPr>
        <w:t>ther accounting policies</w:t>
      </w:r>
    </w:p>
    <w:p w14:paraId="50DDCE16" w14:textId="77777777" w:rsidR="00643AC2" w:rsidRPr="00643AC2" w:rsidRDefault="00643AC2" w:rsidP="00F44619">
      <w:pPr>
        <w:pStyle w:val="Heading5"/>
        <w:rPr>
          <w:lang w:val="en-GB"/>
        </w:rPr>
      </w:pPr>
      <w:r w:rsidRPr="00643AC2">
        <w:rPr>
          <w:lang w:val="en-GB"/>
        </w:rPr>
        <w:t>Contributions by owners</w:t>
      </w:r>
    </w:p>
    <w:p w14:paraId="6837F7B5" w14:textId="77777777" w:rsidR="00643AC2" w:rsidRPr="00643AC2" w:rsidRDefault="00643AC2" w:rsidP="00643AC2">
      <w:pPr>
        <w:rPr>
          <w:lang w:val="en-GB"/>
        </w:rPr>
      </w:pPr>
      <w:r w:rsidRPr="00643AC2">
        <w:rPr>
          <w:lang w:val="en-GB"/>
        </w:rPr>
        <w:t xml:space="preserve">Consistent with the requirements of AASB 1004 </w:t>
      </w:r>
      <w:r w:rsidRPr="00643AC2">
        <w:rPr>
          <w:i/>
          <w:iCs/>
          <w:lang w:val="en-GB"/>
        </w:rPr>
        <w:t>Contributions</w:t>
      </w:r>
      <w:r w:rsidRPr="00643AC2">
        <w:rPr>
          <w:lang w:val="en-GB"/>
        </w:rPr>
        <w:t>, contributions by owners (that is, contributed capital and its repayment) are treated as equity transactions and, therefore, do not form part of the income and expenses of the Commission.</w:t>
      </w:r>
    </w:p>
    <w:p w14:paraId="4626D32A" w14:textId="6426723C" w:rsidR="00643AC2" w:rsidRPr="00643AC2" w:rsidRDefault="00643AC2" w:rsidP="00F44619">
      <w:pPr>
        <w:pStyle w:val="Heading4"/>
        <w:rPr>
          <w:lang w:val="en-GB"/>
        </w:rPr>
      </w:pPr>
      <w:r w:rsidRPr="00643AC2">
        <w:rPr>
          <w:lang w:val="en-GB"/>
        </w:rPr>
        <w:t>8.6.</w:t>
      </w:r>
      <w:r w:rsidRPr="00643AC2">
        <w:rPr>
          <w:lang w:val="en-GB"/>
        </w:rPr>
        <w:t> </w:t>
      </w:r>
      <w:r w:rsidR="00F44619">
        <w:rPr>
          <w:lang w:val="en-GB"/>
        </w:rPr>
        <w:t>A</w:t>
      </w:r>
      <w:r w:rsidRPr="00643AC2">
        <w:rPr>
          <w:lang w:val="en-GB"/>
        </w:rPr>
        <w:t>ustralian Accounting Standards issued that are not yet effective</w:t>
      </w:r>
    </w:p>
    <w:p w14:paraId="5A7FC820" w14:textId="77777777" w:rsidR="00643AC2" w:rsidRPr="00643AC2" w:rsidRDefault="00643AC2" w:rsidP="00643AC2">
      <w:pPr>
        <w:rPr>
          <w:lang w:val="en-GB"/>
        </w:rPr>
      </w:pPr>
      <w:r w:rsidRPr="00643AC2">
        <w:rPr>
          <w:lang w:val="en-GB"/>
        </w:rPr>
        <w:t>The following Australian Accounting Standards (AASs) become effective for reporting periods commencing after the 30 June 2017. </w:t>
      </w:r>
    </w:p>
    <w:p w14:paraId="732D539B" w14:textId="5084EC01" w:rsidR="00643AC2" w:rsidRPr="00643AC2" w:rsidRDefault="00643AC2" w:rsidP="00643AC2">
      <w:pPr>
        <w:rPr>
          <w:lang w:val="en-GB"/>
        </w:rPr>
      </w:pPr>
      <w:r w:rsidRPr="00643AC2">
        <w:rPr>
          <w:lang w:val="en-GB"/>
        </w:rPr>
        <w:t xml:space="preserve">These AASs have been published, but are not mandatory for the </w:t>
      </w:r>
      <w:r w:rsidR="00F44619">
        <w:rPr>
          <w:lang w:val="en-GB"/>
        </w:rPr>
        <w:t xml:space="preserve">30 June 2017 reporting period. </w:t>
      </w:r>
      <w:r w:rsidRPr="00643AC2">
        <w:rPr>
          <w:lang w:val="en-GB"/>
        </w:rPr>
        <w:t>The Department of Treasury and Finance (DTF) has assessed the impact of all these new standa</w:t>
      </w:r>
      <w:r w:rsidR="00F44619">
        <w:rPr>
          <w:lang w:val="en-GB"/>
        </w:rPr>
        <w:t xml:space="preserve">rds </w:t>
      </w:r>
      <w:r w:rsidRPr="00643AC2">
        <w:rPr>
          <w:lang w:val="en-GB"/>
        </w:rPr>
        <w:t>and advised the Department of their applicability and early adoption where applicable. The table below details the AASs issued but not yet effective for the 2016-17 reporting period.</w:t>
      </w:r>
    </w:p>
    <w:tbl>
      <w:tblPr>
        <w:tblStyle w:val="TableGrid"/>
        <w:tblW w:w="0" w:type="auto"/>
        <w:tblLook w:val="04A0" w:firstRow="1" w:lastRow="0" w:firstColumn="1" w:lastColumn="0" w:noHBand="0" w:noVBand="1"/>
      </w:tblPr>
      <w:tblGrid>
        <w:gridCol w:w="1679"/>
        <w:gridCol w:w="4311"/>
        <w:gridCol w:w="1333"/>
        <w:gridCol w:w="3133"/>
      </w:tblGrid>
      <w:tr w:rsidR="00F44619" w:rsidRPr="00643AC2" w14:paraId="51D37E93" w14:textId="77777777" w:rsidTr="00F44619">
        <w:trPr>
          <w:cantSplit/>
          <w:tblHeader/>
        </w:trPr>
        <w:tc>
          <w:tcPr>
            <w:tcW w:w="1679" w:type="dxa"/>
            <w:hideMark/>
          </w:tcPr>
          <w:p w14:paraId="2CED554D" w14:textId="543F92A7" w:rsidR="00643AC2" w:rsidRPr="00643AC2" w:rsidRDefault="00643AC2" w:rsidP="00643AC2">
            <w:pPr>
              <w:rPr>
                <w:lang w:val="en-GB"/>
              </w:rPr>
            </w:pPr>
            <w:r w:rsidRPr="00643AC2">
              <w:rPr>
                <w:b/>
                <w:bCs/>
                <w:lang w:val="en-GB"/>
              </w:rPr>
              <w:t>Standard/</w:t>
            </w:r>
            <w:r w:rsidR="00F44619">
              <w:rPr>
                <w:b/>
                <w:bCs/>
                <w:lang w:val="en-GB"/>
              </w:rPr>
              <w:br/>
            </w:r>
            <w:r w:rsidRPr="00643AC2">
              <w:rPr>
                <w:b/>
                <w:bCs/>
                <w:lang w:val="en-GB"/>
              </w:rPr>
              <w:t>Interpretation</w:t>
            </w:r>
          </w:p>
        </w:tc>
        <w:tc>
          <w:tcPr>
            <w:tcW w:w="4311" w:type="dxa"/>
            <w:hideMark/>
          </w:tcPr>
          <w:p w14:paraId="27EE2558" w14:textId="77777777" w:rsidR="00643AC2" w:rsidRPr="00643AC2" w:rsidRDefault="00643AC2" w:rsidP="00643AC2">
            <w:pPr>
              <w:rPr>
                <w:lang w:val="en-GB"/>
              </w:rPr>
            </w:pPr>
            <w:r w:rsidRPr="00643AC2">
              <w:rPr>
                <w:b/>
                <w:bCs/>
                <w:lang w:val="en-GB"/>
              </w:rPr>
              <w:t>Summary</w:t>
            </w:r>
          </w:p>
        </w:tc>
        <w:tc>
          <w:tcPr>
            <w:tcW w:w="1333" w:type="dxa"/>
            <w:hideMark/>
          </w:tcPr>
          <w:p w14:paraId="761B678C" w14:textId="77777777" w:rsidR="00643AC2" w:rsidRPr="00643AC2" w:rsidRDefault="00643AC2" w:rsidP="00643AC2">
            <w:pPr>
              <w:rPr>
                <w:lang w:val="en-GB"/>
              </w:rPr>
            </w:pPr>
            <w:r w:rsidRPr="00643AC2">
              <w:rPr>
                <w:b/>
                <w:bCs/>
                <w:lang w:val="en-GB"/>
              </w:rPr>
              <w:t>Applicable for annual reporting periods beginning on</w:t>
            </w:r>
          </w:p>
        </w:tc>
        <w:tc>
          <w:tcPr>
            <w:tcW w:w="3133" w:type="dxa"/>
            <w:hideMark/>
          </w:tcPr>
          <w:p w14:paraId="14606A1C" w14:textId="77777777" w:rsidR="00643AC2" w:rsidRPr="00643AC2" w:rsidRDefault="00643AC2" w:rsidP="00643AC2">
            <w:pPr>
              <w:rPr>
                <w:lang w:val="en-GB"/>
              </w:rPr>
            </w:pPr>
            <w:r w:rsidRPr="00643AC2">
              <w:rPr>
                <w:b/>
                <w:bCs/>
                <w:lang w:val="en-GB"/>
              </w:rPr>
              <w:t>Impact on public sector entity financial statements</w:t>
            </w:r>
          </w:p>
        </w:tc>
      </w:tr>
      <w:tr w:rsidR="00F44619" w:rsidRPr="00643AC2" w14:paraId="2DBAB6B9" w14:textId="77777777" w:rsidTr="00F44619">
        <w:trPr>
          <w:cantSplit/>
        </w:trPr>
        <w:tc>
          <w:tcPr>
            <w:tcW w:w="1679" w:type="dxa"/>
            <w:hideMark/>
          </w:tcPr>
          <w:p w14:paraId="39ABB567" w14:textId="77777777" w:rsidR="00643AC2" w:rsidRPr="00643AC2" w:rsidRDefault="00643AC2" w:rsidP="00B30DB4">
            <w:pPr>
              <w:pStyle w:val="TableCopy"/>
              <w:rPr>
                <w:lang w:val="en-GB"/>
              </w:rPr>
            </w:pPr>
            <w:r w:rsidRPr="00643AC2">
              <w:rPr>
                <w:lang w:val="en-GB"/>
              </w:rPr>
              <w:t xml:space="preserve">AASB 9 </w:t>
            </w:r>
            <w:r w:rsidRPr="00B30DB4">
              <w:rPr>
                <w:i/>
                <w:lang w:val="en-GB"/>
              </w:rPr>
              <w:t>Financial Instruments</w:t>
            </w:r>
          </w:p>
        </w:tc>
        <w:tc>
          <w:tcPr>
            <w:tcW w:w="4311" w:type="dxa"/>
            <w:hideMark/>
          </w:tcPr>
          <w:p w14:paraId="0B5B0EC2" w14:textId="77777777" w:rsidR="00643AC2" w:rsidRPr="00643AC2" w:rsidRDefault="00643AC2" w:rsidP="00B30DB4">
            <w:pPr>
              <w:pStyle w:val="TableCopy"/>
              <w:rPr>
                <w:lang w:val="en-GB"/>
              </w:rPr>
            </w:pPr>
            <w:r w:rsidRPr="00643AC2">
              <w:rPr>
                <w:lang w:val="en-GB"/>
              </w:rPr>
              <w:t>The key changes include the simplified requirements for the classification and measurement of financial assets, a new hedging accounting model and a revised impairment loss model to recognise impairment losses earlier, as opposed to the current approach that recognises impairment only when incurred.</w:t>
            </w:r>
          </w:p>
        </w:tc>
        <w:tc>
          <w:tcPr>
            <w:tcW w:w="1333" w:type="dxa"/>
            <w:hideMark/>
          </w:tcPr>
          <w:p w14:paraId="3F51CFE4" w14:textId="77777777" w:rsidR="00643AC2" w:rsidRPr="00643AC2" w:rsidRDefault="00643AC2" w:rsidP="00B30DB4">
            <w:pPr>
              <w:pStyle w:val="TableCopy"/>
              <w:rPr>
                <w:lang w:val="en-GB"/>
              </w:rPr>
            </w:pPr>
            <w:r w:rsidRPr="00643AC2">
              <w:rPr>
                <w:lang w:val="en-GB"/>
              </w:rPr>
              <w:t>1-Jan-18</w:t>
            </w:r>
          </w:p>
        </w:tc>
        <w:tc>
          <w:tcPr>
            <w:tcW w:w="3133" w:type="dxa"/>
            <w:hideMark/>
          </w:tcPr>
          <w:p w14:paraId="40A12622" w14:textId="009CC438" w:rsidR="00643AC2" w:rsidRPr="00643AC2" w:rsidRDefault="00643AC2" w:rsidP="00B30DB4">
            <w:pPr>
              <w:pStyle w:val="TableCopy"/>
              <w:rPr>
                <w:lang w:val="en-GB"/>
              </w:rPr>
            </w:pPr>
            <w:r w:rsidRPr="00643AC2">
              <w:rPr>
                <w:lang w:val="en-GB"/>
              </w:rPr>
              <w:t xml:space="preserve">The </w:t>
            </w:r>
            <w:r w:rsidR="001D2A18">
              <w:rPr>
                <w:lang w:val="en-GB"/>
              </w:rPr>
              <w:t xml:space="preserve">assessment has identified that </w:t>
            </w:r>
            <w:r w:rsidRPr="00643AC2">
              <w:rPr>
                <w:lang w:val="en-GB"/>
              </w:rPr>
              <w:t>the amendments are likely to result in earlier recognition of impairment losses and at more regular intervals. </w:t>
            </w:r>
          </w:p>
          <w:p w14:paraId="0140CB0F" w14:textId="65CE6474" w:rsidR="00643AC2" w:rsidRPr="00643AC2" w:rsidRDefault="00643AC2" w:rsidP="00B30DB4">
            <w:pPr>
              <w:pStyle w:val="TableCopy"/>
              <w:rPr>
                <w:lang w:val="en-GB"/>
              </w:rPr>
            </w:pPr>
            <w:r w:rsidRPr="00643AC2">
              <w:rPr>
                <w:lang w:val="en-GB"/>
              </w:rPr>
              <w:t>Whil</w:t>
            </w:r>
            <w:r w:rsidR="001D2A18">
              <w:rPr>
                <w:lang w:val="en-GB"/>
              </w:rPr>
              <w:t xml:space="preserve">e there will be no significant </w:t>
            </w:r>
            <w:r w:rsidRPr="00643AC2">
              <w:rPr>
                <w:lang w:val="en-GB"/>
              </w:rPr>
              <w:t>imp</w:t>
            </w:r>
            <w:r w:rsidR="001D2A18">
              <w:rPr>
                <w:lang w:val="en-GB"/>
              </w:rPr>
              <w:t xml:space="preserve">act arising from AASB 9, there </w:t>
            </w:r>
            <w:r w:rsidRPr="00643AC2">
              <w:rPr>
                <w:lang w:val="en-GB"/>
              </w:rPr>
              <w:t>will be a change to the way financial instruments are disclosed. </w:t>
            </w:r>
          </w:p>
        </w:tc>
      </w:tr>
      <w:tr w:rsidR="00F44619" w:rsidRPr="00643AC2" w14:paraId="7DF3C9C9" w14:textId="77777777" w:rsidTr="00F44619">
        <w:trPr>
          <w:cantSplit/>
        </w:trPr>
        <w:tc>
          <w:tcPr>
            <w:tcW w:w="1679" w:type="dxa"/>
            <w:hideMark/>
          </w:tcPr>
          <w:p w14:paraId="6F009A7E" w14:textId="77777777" w:rsidR="00643AC2" w:rsidRPr="00643AC2" w:rsidRDefault="00643AC2" w:rsidP="00B30DB4">
            <w:pPr>
              <w:pStyle w:val="TableCopy"/>
              <w:rPr>
                <w:lang w:val="en-GB"/>
              </w:rPr>
            </w:pPr>
            <w:r w:rsidRPr="00643AC2">
              <w:rPr>
                <w:lang w:val="en-GB"/>
              </w:rPr>
              <w:lastRenderedPageBreak/>
              <w:t xml:space="preserve">AASB 2010-7 </w:t>
            </w:r>
            <w:r w:rsidRPr="00B30DB4">
              <w:rPr>
                <w:i/>
                <w:lang w:val="en-GB"/>
              </w:rPr>
              <w:t>Amendments to Australian Accounting Standards arising from AASB 9 (December 2010)</w:t>
            </w:r>
          </w:p>
        </w:tc>
        <w:tc>
          <w:tcPr>
            <w:tcW w:w="4311" w:type="dxa"/>
            <w:hideMark/>
          </w:tcPr>
          <w:p w14:paraId="0533BD77" w14:textId="77777777" w:rsidR="00643AC2" w:rsidRPr="00643AC2" w:rsidRDefault="00643AC2" w:rsidP="00B30DB4">
            <w:pPr>
              <w:pStyle w:val="TableCopy"/>
              <w:rPr>
                <w:lang w:val="en-GB"/>
              </w:rPr>
            </w:pPr>
            <w:r w:rsidRPr="00643AC2">
              <w:rPr>
                <w:lang w:val="en-GB"/>
              </w:rPr>
              <w:t>The requirements for classifying and measuring financial liabilities were added to AASB 9. The existing requirements for the classification of financial liabilities and the ability to use the fair value option have been retained. However, where the fair value option is used for financial liabilities the change in fair value is accounted for as follows:</w:t>
            </w:r>
          </w:p>
          <w:p w14:paraId="2CF82678" w14:textId="0B404452" w:rsidR="00643AC2" w:rsidRPr="00643AC2" w:rsidRDefault="00643AC2" w:rsidP="00B30DB4">
            <w:pPr>
              <w:pStyle w:val="TableBullet"/>
              <w:rPr>
                <w:lang w:val="en-GB"/>
              </w:rPr>
            </w:pPr>
            <w:r w:rsidRPr="00643AC2">
              <w:rPr>
                <w:lang w:val="en-GB"/>
              </w:rPr>
              <w:t>The change in fair value attributable to change</w:t>
            </w:r>
            <w:r w:rsidR="00E60936">
              <w:rPr>
                <w:lang w:val="en-GB"/>
              </w:rPr>
              <w:t xml:space="preserve">s in credit risk is presented </w:t>
            </w:r>
            <w:r w:rsidRPr="00643AC2">
              <w:rPr>
                <w:lang w:val="en-GB"/>
              </w:rPr>
              <w:t>in other comprehensive income (OCI); and </w:t>
            </w:r>
          </w:p>
          <w:p w14:paraId="46E891D3" w14:textId="2D0EC79E" w:rsidR="00643AC2" w:rsidRPr="00643AC2" w:rsidRDefault="00643AC2" w:rsidP="00B30DB4">
            <w:pPr>
              <w:pStyle w:val="TableBullet"/>
              <w:rPr>
                <w:lang w:val="en-GB"/>
              </w:rPr>
            </w:pPr>
            <w:r w:rsidRPr="00643AC2">
              <w:rPr>
                <w:lang w:val="en-GB"/>
              </w:rPr>
              <w:t xml:space="preserve">Other fair value changes are presented in profit and loss. If this approach creates or enlarges an accounting mismatch in the profit or loss, the effect of the changes in </w:t>
            </w:r>
            <w:r w:rsidR="00E60936">
              <w:rPr>
                <w:lang w:val="en-GB"/>
              </w:rPr>
              <w:t xml:space="preserve">credit risk are also presented </w:t>
            </w:r>
            <w:r w:rsidRPr="00643AC2">
              <w:rPr>
                <w:lang w:val="en-GB"/>
              </w:rPr>
              <w:t>in profit or loss. </w:t>
            </w:r>
          </w:p>
        </w:tc>
        <w:tc>
          <w:tcPr>
            <w:tcW w:w="1333" w:type="dxa"/>
            <w:hideMark/>
          </w:tcPr>
          <w:p w14:paraId="632F2963" w14:textId="77777777" w:rsidR="00643AC2" w:rsidRPr="00643AC2" w:rsidRDefault="00643AC2" w:rsidP="00B30DB4">
            <w:pPr>
              <w:pStyle w:val="TableCopy"/>
              <w:rPr>
                <w:lang w:val="en-GB"/>
              </w:rPr>
            </w:pPr>
            <w:r w:rsidRPr="00643AC2">
              <w:rPr>
                <w:lang w:val="en-GB"/>
              </w:rPr>
              <w:t>1-Jan-18</w:t>
            </w:r>
          </w:p>
        </w:tc>
        <w:tc>
          <w:tcPr>
            <w:tcW w:w="3133" w:type="dxa"/>
            <w:hideMark/>
          </w:tcPr>
          <w:p w14:paraId="23539DB9" w14:textId="77777777" w:rsidR="00643AC2" w:rsidRPr="00643AC2" w:rsidRDefault="00643AC2" w:rsidP="00B30DB4">
            <w:pPr>
              <w:pStyle w:val="TableCopy"/>
              <w:rPr>
                <w:lang w:val="en-GB"/>
              </w:rPr>
            </w:pPr>
            <w:r w:rsidRPr="00643AC2">
              <w:rPr>
                <w:lang w:val="en-GB"/>
              </w:rPr>
              <w:t>The assessment has identified that the financial impact of available for sale (AFS) assets will now be reported through other comprehensive income (OCI) and no longer recycled to the profit and loss. </w:t>
            </w:r>
          </w:p>
          <w:p w14:paraId="59D6851E" w14:textId="5232AF58" w:rsidR="00643AC2" w:rsidRPr="00643AC2" w:rsidRDefault="00E60936" w:rsidP="00B30DB4">
            <w:pPr>
              <w:pStyle w:val="TableCopy"/>
              <w:rPr>
                <w:lang w:val="en-GB"/>
              </w:rPr>
            </w:pPr>
            <w:r>
              <w:rPr>
                <w:lang w:val="en-GB"/>
              </w:rPr>
              <w:t xml:space="preserve">Changes in own credit risk in </w:t>
            </w:r>
            <w:r w:rsidR="00643AC2" w:rsidRPr="00643AC2">
              <w:rPr>
                <w:lang w:val="en-GB"/>
              </w:rPr>
              <w:t>res</w:t>
            </w:r>
            <w:r>
              <w:rPr>
                <w:lang w:val="en-GB"/>
              </w:rPr>
              <w:t xml:space="preserve">pect of liabilities designated </w:t>
            </w:r>
            <w:r w:rsidR="00643AC2" w:rsidRPr="00643AC2">
              <w:rPr>
                <w:lang w:val="en-GB"/>
              </w:rPr>
              <w:t>at fair value through profit and loss will now be presented within other comprehensive income (OCI). </w:t>
            </w:r>
          </w:p>
          <w:p w14:paraId="15BDB19C" w14:textId="77777777" w:rsidR="00643AC2" w:rsidRPr="00643AC2" w:rsidRDefault="00643AC2" w:rsidP="00B30DB4">
            <w:pPr>
              <w:pStyle w:val="TableCopy"/>
              <w:rPr>
                <w:lang w:val="en-GB"/>
              </w:rPr>
            </w:pPr>
            <w:r w:rsidRPr="00643AC2">
              <w:rPr>
                <w:lang w:val="en-GB"/>
              </w:rPr>
              <w:t>Hedge accounting will be more closely aligned with common risk management practices making it easier to have an effective hedge. </w:t>
            </w:r>
          </w:p>
          <w:p w14:paraId="29535BC1" w14:textId="579C3B5E" w:rsidR="00643AC2" w:rsidRPr="00643AC2" w:rsidRDefault="00643AC2" w:rsidP="00B30DB4">
            <w:pPr>
              <w:pStyle w:val="TableCopy"/>
              <w:rPr>
                <w:lang w:val="en-GB"/>
              </w:rPr>
            </w:pPr>
            <w:r w:rsidRPr="00643AC2">
              <w:rPr>
                <w:lang w:val="en-GB"/>
              </w:rPr>
              <w:t>For entities with significant lending activities, an overhaul of rel</w:t>
            </w:r>
            <w:r w:rsidR="00E60936">
              <w:rPr>
                <w:lang w:val="en-GB"/>
              </w:rPr>
              <w:t xml:space="preserve">ated systems and processes may </w:t>
            </w:r>
            <w:r w:rsidRPr="00643AC2">
              <w:rPr>
                <w:lang w:val="en-GB"/>
              </w:rPr>
              <w:t>be needed. </w:t>
            </w:r>
          </w:p>
        </w:tc>
      </w:tr>
      <w:tr w:rsidR="00F44619" w:rsidRPr="00643AC2" w14:paraId="1A1AAA0A" w14:textId="77777777" w:rsidTr="00F44619">
        <w:trPr>
          <w:cantSplit/>
        </w:trPr>
        <w:tc>
          <w:tcPr>
            <w:tcW w:w="1679" w:type="dxa"/>
            <w:hideMark/>
          </w:tcPr>
          <w:p w14:paraId="0C911996" w14:textId="1B49B1B1" w:rsidR="00643AC2" w:rsidRPr="00643AC2" w:rsidRDefault="00643AC2" w:rsidP="006A3D64">
            <w:pPr>
              <w:pStyle w:val="TableCopy"/>
              <w:rPr>
                <w:lang w:val="en-GB"/>
              </w:rPr>
            </w:pPr>
            <w:r w:rsidRPr="00643AC2">
              <w:rPr>
                <w:lang w:val="en-GB"/>
              </w:rPr>
              <w:t xml:space="preserve">AASB 2014-1 </w:t>
            </w:r>
            <w:r w:rsidRPr="006A3D64">
              <w:rPr>
                <w:i/>
                <w:lang w:val="en-GB"/>
              </w:rPr>
              <w:t>Amendments to A</w:t>
            </w:r>
            <w:r w:rsidR="00B66288" w:rsidRPr="006A3D64">
              <w:rPr>
                <w:i/>
                <w:lang w:val="en-GB"/>
              </w:rPr>
              <w:t xml:space="preserve">ustralian Accounting Standards </w:t>
            </w:r>
            <w:r w:rsidRPr="006A3D64">
              <w:rPr>
                <w:i/>
                <w:lang w:val="en-GB"/>
              </w:rPr>
              <w:t>[Part E Financial Instruments] </w:t>
            </w:r>
          </w:p>
        </w:tc>
        <w:tc>
          <w:tcPr>
            <w:tcW w:w="4311" w:type="dxa"/>
            <w:hideMark/>
          </w:tcPr>
          <w:p w14:paraId="358F42D2" w14:textId="08834F0A" w:rsidR="00643AC2" w:rsidRPr="00643AC2" w:rsidRDefault="00D35458" w:rsidP="006A3D64">
            <w:pPr>
              <w:pStyle w:val="TableCopy"/>
              <w:rPr>
                <w:lang w:val="en-GB"/>
              </w:rPr>
            </w:pPr>
            <w:r>
              <w:rPr>
                <w:lang w:val="en-GB"/>
              </w:rPr>
              <w:t xml:space="preserve">Amends various AASs to reflect the AASB’s decision </w:t>
            </w:r>
            <w:r w:rsidR="00643AC2" w:rsidRPr="00643AC2">
              <w:rPr>
                <w:lang w:val="en-GB"/>
              </w:rPr>
              <w:t>to defer the mandatory application date of AASB 9 to annual reporting periods beginning on or after 1 January 2018 as a consequence of Chapter 6 Hedge Accounting, and to amend reduced disclosure requirements. </w:t>
            </w:r>
          </w:p>
        </w:tc>
        <w:tc>
          <w:tcPr>
            <w:tcW w:w="1333" w:type="dxa"/>
            <w:hideMark/>
          </w:tcPr>
          <w:p w14:paraId="54033606" w14:textId="77777777" w:rsidR="00643AC2" w:rsidRPr="00643AC2" w:rsidRDefault="00643AC2" w:rsidP="006A3D64">
            <w:pPr>
              <w:pStyle w:val="TableCopy"/>
              <w:rPr>
                <w:lang w:val="en-GB"/>
              </w:rPr>
            </w:pPr>
            <w:r w:rsidRPr="00643AC2">
              <w:rPr>
                <w:lang w:val="en-GB"/>
              </w:rPr>
              <w:t>1-Jan-18</w:t>
            </w:r>
          </w:p>
        </w:tc>
        <w:tc>
          <w:tcPr>
            <w:tcW w:w="3133" w:type="dxa"/>
            <w:hideMark/>
          </w:tcPr>
          <w:p w14:paraId="1A3C65D0" w14:textId="2A813411" w:rsidR="00643AC2" w:rsidRPr="00643AC2" w:rsidRDefault="00643AC2" w:rsidP="006A3D64">
            <w:pPr>
              <w:pStyle w:val="TableCopy"/>
              <w:rPr>
                <w:lang w:val="en-GB"/>
              </w:rPr>
            </w:pPr>
            <w:r w:rsidRPr="00643AC2">
              <w:rPr>
                <w:lang w:val="en-GB"/>
              </w:rPr>
              <w:t>Thi</w:t>
            </w:r>
            <w:r w:rsidR="00D35458">
              <w:rPr>
                <w:lang w:val="en-GB"/>
              </w:rPr>
              <w:t xml:space="preserve">s amending standard will defer </w:t>
            </w:r>
            <w:r w:rsidRPr="00643AC2">
              <w:rPr>
                <w:lang w:val="en-GB"/>
              </w:rPr>
              <w:t>th</w:t>
            </w:r>
            <w:r w:rsidR="00D35458">
              <w:rPr>
                <w:lang w:val="en-GB"/>
              </w:rPr>
              <w:t xml:space="preserve">e application period of AASB 9 </w:t>
            </w:r>
            <w:r w:rsidRPr="00643AC2">
              <w:rPr>
                <w:lang w:val="en-GB"/>
              </w:rPr>
              <w:t>to the 2018-19 reporting period in accordance with the transition requirements. </w:t>
            </w:r>
          </w:p>
        </w:tc>
      </w:tr>
      <w:tr w:rsidR="00F44619" w:rsidRPr="00643AC2" w14:paraId="1D2356CD" w14:textId="77777777" w:rsidTr="00F44619">
        <w:trPr>
          <w:cantSplit/>
        </w:trPr>
        <w:tc>
          <w:tcPr>
            <w:tcW w:w="1679" w:type="dxa"/>
            <w:hideMark/>
          </w:tcPr>
          <w:p w14:paraId="0BFA146F" w14:textId="77777777" w:rsidR="00643AC2" w:rsidRPr="00643AC2" w:rsidRDefault="00643AC2" w:rsidP="006A3D64">
            <w:pPr>
              <w:pStyle w:val="TableCopy"/>
              <w:rPr>
                <w:lang w:val="en-GB"/>
              </w:rPr>
            </w:pPr>
            <w:r w:rsidRPr="00643AC2">
              <w:rPr>
                <w:lang w:val="en-GB"/>
              </w:rPr>
              <w:t xml:space="preserve">AASB 2014-7 </w:t>
            </w:r>
            <w:r w:rsidRPr="006A3D64">
              <w:rPr>
                <w:i/>
                <w:lang w:val="en-GB"/>
              </w:rPr>
              <w:t>Amendments to Australian Accounting Standards arising from AASB 9</w:t>
            </w:r>
          </w:p>
        </w:tc>
        <w:tc>
          <w:tcPr>
            <w:tcW w:w="4311" w:type="dxa"/>
            <w:hideMark/>
          </w:tcPr>
          <w:p w14:paraId="13EE8ECA" w14:textId="77777777" w:rsidR="00643AC2" w:rsidRPr="00643AC2" w:rsidRDefault="00643AC2" w:rsidP="006A3D64">
            <w:pPr>
              <w:pStyle w:val="TableCopy"/>
              <w:rPr>
                <w:lang w:val="en-GB"/>
              </w:rPr>
            </w:pPr>
            <w:r w:rsidRPr="00643AC2">
              <w:rPr>
                <w:lang w:val="en-GB"/>
              </w:rPr>
              <w:t>Amends various AASs to incorporate the consequential amendments arising from the issuance of AASB 9. </w:t>
            </w:r>
          </w:p>
        </w:tc>
        <w:tc>
          <w:tcPr>
            <w:tcW w:w="1333" w:type="dxa"/>
            <w:hideMark/>
          </w:tcPr>
          <w:p w14:paraId="41E89228" w14:textId="77777777" w:rsidR="00643AC2" w:rsidRPr="00643AC2" w:rsidRDefault="00643AC2" w:rsidP="006A3D64">
            <w:pPr>
              <w:pStyle w:val="TableCopy"/>
              <w:rPr>
                <w:lang w:val="en-GB"/>
              </w:rPr>
            </w:pPr>
            <w:r w:rsidRPr="00643AC2">
              <w:rPr>
                <w:lang w:val="en-GB"/>
              </w:rPr>
              <w:t>1-Jan-18</w:t>
            </w:r>
          </w:p>
        </w:tc>
        <w:tc>
          <w:tcPr>
            <w:tcW w:w="3133" w:type="dxa"/>
            <w:hideMark/>
          </w:tcPr>
          <w:p w14:paraId="123BD9E8" w14:textId="4418B5BC" w:rsidR="00643AC2" w:rsidRPr="00643AC2" w:rsidRDefault="00643AC2" w:rsidP="006A3D64">
            <w:pPr>
              <w:pStyle w:val="TableCopy"/>
              <w:rPr>
                <w:lang w:val="en-GB"/>
              </w:rPr>
            </w:pPr>
            <w:r w:rsidRPr="00643AC2">
              <w:rPr>
                <w:lang w:val="en-GB"/>
              </w:rPr>
              <w:t>The assessment has indicated that there</w:t>
            </w:r>
            <w:r w:rsidR="00D35458">
              <w:rPr>
                <w:lang w:val="en-GB"/>
              </w:rPr>
              <w:t xml:space="preserve"> will be no significant impact </w:t>
            </w:r>
            <w:r w:rsidRPr="00643AC2">
              <w:rPr>
                <w:lang w:val="en-GB"/>
              </w:rPr>
              <w:t>for the public sector. </w:t>
            </w:r>
          </w:p>
        </w:tc>
      </w:tr>
      <w:tr w:rsidR="00F44619" w:rsidRPr="00643AC2" w14:paraId="0511EBF7" w14:textId="77777777" w:rsidTr="00F44619">
        <w:trPr>
          <w:cantSplit/>
        </w:trPr>
        <w:tc>
          <w:tcPr>
            <w:tcW w:w="1679" w:type="dxa"/>
            <w:hideMark/>
          </w:tcPr>
          <w:p w14:paraId="6FC5AED1" w14:textId="77777777" w:rsidR="00643AC2" w:rsidRPr="00643AC2" w:rsidRDefault="00643AC2" w:rsidP="00D43C32">
            <w:pPr>
              <w:pStyle w:val="TableCopy"/>
              <w:rPr>
                <w:lang w:val="en-GB"/>
              </w:rPr>
            </w:pPr>
            <w:r w:rsidRPr="00643AC2">
              <w:rPr>
                <w:lang w:val="en-GB"/>
              </w:rPr>
              <w:t xml:space="preserve">AASB 15 </w:t>
            </w:r>
            <w:r w:rsidRPr="00D43C32">
              <w:rPr>
                <w:i/>
                <w:lang w:val="en-GB"/>
              </w:rPr>
              <w:t>Revenue from Contracts with Customers</w:t>
            </w:r>
          </w:p>
        </w:tc>
        <w:tc>
          <w:tcPr>
            <w:tcW w:w="4311" w:type="dxa"/>
            <w:hideMark/>
          </w:tcPr>
          <w:p w14:paraId="0DD0788C" w14:textId="390DD85A" w:rsidR="00643AC2" w:rsidRPr="00643AC2" w:rsidRDefault="00643AC2" w:rsidP="00D43C32">
            <w:pPr>
              <w:pStyle w:val="TableCopy"/>
              <w:rPr>
                <w:lang w:val="en-GB"/>
              </w:rPr>
            </w:pPr>
            <w:r w:rsidRPr="00643AC2">
              <w:rPr>
                <w:lang w:val="en-GB"/>
              </w:rPr>
              <w:t>The core principle of AASB 15 requires an entity to recognise rev</w:t>
            </w:r>
            <w:r w:rsidR="00B25D23">
              <w:rPr>
                <w:lang w:val="en-GB"/>
              </w:rPr>
              <w:t xml:space="preserve">enue when the entity satisfies </w:t>
            </w:r>
            <w:r w:rsidRPr="00643AC2">
              <w:rPr>
                <w:lang w:val="en-GB"/>
              </w:rPr>
              <w:t>a performance obligation b</w:t>
            </w:r>
            <w:r w:rsidR="00B25D23">
              <w:rPr>
                <w:lang w:val="en-GB"/>
              </w:rPr>
              <w:t xml:space="preserve">y transferring a promised good </w:t>
            </w:r>
            <w:r w:rsidRPr="00643AC2">
              <w:rPr>
                <w:lang w:val="en-GB"/>
              </w:rPr>
              <w:t>or service to a customer.</w:t>
            </w:r>
          </w:p>
        </w:tc>
        <w:tc>
          <w:tcPr>
            <w:tcW w:w="1333" w:type="dxa"/>
            <w:hideMark/>
          </w:tcPr>
          <w:p w14:paraId="11AD46A3" w14:textId="77777777" w:rsidR="00643AC2" w:rsidRPr="00643AC2" w:rsidRDefault="00643AC2" w:rsidP="00D43C32">
            <w:pPr>
              <w:pStyle w:val="TableCopy"/>
              <w:rPr>
                <w:lang w:val="en-GB"/>
              </w:rPr>
            </w:pPr>
            <w:r w:rsidRPr="00643AC2">
              <w:rPr>
                <w:lang w:val="en-GB"/>
              </w:rPr>
              <w:t>1-Jan-18</w:t>
            </w:r>
          </w:p>
        </w:tc>
        <w:tc>
          <w:tcPr>
            <w:tcW w:w="3133" w:type="dxa"/>
            <w:hideMark/>
          </w:tcPr>
          <w:p w14:paraId="3F7BA266" w14:textId="77777777" w:rsidR="00643AC2" w:rsidRPr="00643AC2" w:rsidRDefault="00643AC2" w:rsidP="00D43C32">
            <w:pPr>
              <w:pStyle w:val="TableCopy"/>
              <w:rPr>
                <w:lang w:val="en-GB"/>
              </w:rPr>
            </w:pPr>
            <w:r w:rsidRPr="00643AC2">
              <w:rPr>
                <w:lang w:val="en-GB"/>
              </w:rPr>
              <w:t>The changes in revenue recognition requirements in AASB 15 may result in changes to the timing and amount of revenue recorded in the financial statements. The Standard will also require additional disclosures on service revenue and contract modifications. </w:t>
            </w:r>
          </w:p>
        </w:tc>
      </w:tr>
      <w:tr w:rsidR="00F44619" w:rsidRPr="00643AC2" w14:paraId="2041A44F" w14:textId="77777777" w:rsidTr="00F44619">
        <w:trPr>
          <w:cantSplit/>
        </w:trPr>
        <w:tc>
          <w:tcPr>
            <w:tcW w:w="1679" w:type="dxa"/>
            <w:hideMark/>
          </w:tcPr>
          <w:p w14:paraId="1B960C18" w14:textId="1B7067D3" w:rsidR="00643AC2" w:rsidRPr="00643AC2" w:rsidRDefault="00643AC2" w:rsidP="00D43C32">
            <w:pPr>
              <w:pStyle w:val="TableCopy"/>
              <w:rPr>
                <w:lang w:val="en-GB"/>
              </w:rPr>
            </w:pPr>
            <w:r w:rsidRPr="00643AC2">
              <w:rPr>
                <w:lang w:val="en-GB"/>
              </w:rPr>
              <w:lastRenderedPageBreak/>
              <w:t xml:space="preserve">AASB 2014-5 </w:t>
            </w:r>
            <w:r w:rsidRPr="00DC647F">
              <w:rPr>
                <w:i/>
                <w:lang w:val="en-GB"/>
              </w:rPr>
              <w:t>Amendments to A</w:t>
            </w:r>
            <w:r w:rsidR="001854A1" w:rsidRPr="00DC647F">
              <w:rPr>
                <w:i/>
                <w:lang w:val="en-GB"/>
              </w:rPr>
              <w:t xml:space="preserve">ustralian Accounting Standards </w:t>
            </w:r>
            <w:r w:rsidRPr="00DC647F">
              <w:rPr>
                <w:i/>
                <w:lang w:val="en-GB"/>
              </w:rPr>
              <w:t>arising from AASB 15</w:t>
            </w:r>
          </w:p>
        </w:tc>
        <w:tc>
          <w:tcPr>
            <w:tcW w:w="4311" w:type="dxa"/>
            <w:hideMark/>
          </w:tcPr>
          <w:p w14:paraId="665AB262" w14:textId="77777777" w:rsidR="00643AC2" w:rsidRPr="00643AC2" w:rsidRDefault="00643AC2" w:rsidP="00D43C32">
            <w:pPr>
              <w:pStyle w:val="TableCopy"/>
              <w:rPr>
                <w:lang w:val="en-GB"/>
              </w:rPr>
            </w:pPr>
            <w:r w:rsidRPr="00643AC2">
              <w:rPr>
                <w:lang w:val="en-GB"/>
              </w:rPr>
              <w:t>Amends the measurement of trade receivables and the recognition of dividends.</w:t>
            </w:r>
          </w:p>
          <w:p w14:paraId="407A463F" w14:textId="77777777" w:rsidR="00643AC2" w:rsidRPr="00643AC2" w:rsidRDefault="00643AC2" w:rsidP="00D43C32">
            <w:pPr>
              <w:pStyle w:val="TableCopy"/>
              <w:rPr>
                <w:lang w:val="en-GB"/>
              </w:rPr>
            </w:pPr>
            <w:r w:rsidRPr="00643AC2">
              <w:rPr>
                <w:lang w:val="en-GB"/>
              </w:rPr>
              <w:t>Trade receivables, that do not have a significant financing component, are to be measured at their transaction price, at initial recognition. </w:t>
            </w:r>
          </w:p>
          <w:p w14:paraId="2DE5C743" w14:textId="77777777" w:rsidR="00643AC2" w:rsidRPr="00643AC2" w:rsidRDefault="00643AC2" w:rsidP="00D43C32">
            <w:pPr>
              <w:pStyle w:val="TableCopy"/>
              <w:rPr>
                <w:lang w:val="en-GB"/>
              </w:rPr>
            </w:pPr>
            <w:r w:rsidRPr="00643AC2">
              <w:rPr>
                <w:lang w:val="en-GB"/>
              </w:rPr>
              <w:t>Dividends are recognised in the profit and loss only when:</w:t>
            </w:r>
          </w:p>
          <w:p w14:paraId="631A3027" w14:textId="729CFEE0" w:rsidR="00643AC2" w:rsidRPr="00643AC2" w:rsidRDefault="00643AC2" w:rsidP="00D43C32">
            <w:pPr>
              <w:pStyle w:val="TableBullet"/>
              <w:rPr>
                <w:lang w:val="en-GB"/>
              </w:rPr>
            </w:pPr>
            <w:r w:rsidRPr="00643AC2">
              <w:rPr>
                <w:lang w:val="en-GB"/>
              </w:rPr>
              <w:t>the entity’s right to r</w:t>
            </w:r>
            <w:r w:rsidR="001854A1">
              <w:rPr>
                <w:lang w:val="en-GB"/>
              </w:rPr>
              <w:t xml:space="preserve">eceive payment of the dividend </w:t>
            </w:r>
            <w:r w:rsidRPr="00643AC2">
              <w:rPr>
                <w:lang w:val="en-GB"/>
              </w:rPr>
              <w:t>is established; </w:t>
            </w:r>
          </w:p>
          <w:p w14:paraId="7EB627B3" w14:textId="4B239D19" w:rsidR="00643AC2" w:rsidRPr="00643AC2" w:rsidRDefault="00643AC2" w:rsidP="00D43C32">
            <w:pPr>
              <w:pStyle w:val="TableBullet"/>
              <w:rPr>
                <w:lang w:val="en-GB"/>
              </w:rPr>
            </w:pPr>
            <w:r w:rsidRPr="00643AC2">
              <w:rPr>
                <w:lang w:val="en-GB"/>
              </w:rPr>
              <w:t>it is probable that the economic benefits associat</w:t>
            </w:r>
            <w:r w:rsidR="001854A1">
              <w:rPr>
                <w:lang w:val="en-GB"/>
              </w:rPr>
              <w:t xml:space="preserve">ed with the dividend will flow </w:t>
            </w:r>
            <w:r w:rsidRPr="00643AC2">
              <w:rPr>
                <w:lang w:val="en-GB"/>
              </w:rPr>
              <w:t>to the entity; and </w:t>
            </w:r>
          </w:p>
          <w:p w14:paraId="2D1DEE92" w14:textId="3F959597" w:rsidR="00643AC2" w:rsidRPr="00643AC2" w:rsidRDefault="001854A1" w:rsidP="00D43C32">
            <w:pPr>
              <w:pStyle w:val="TableBullet"/>
              <w:rPr>
                <w:lang w:val="en-GB"/>
              </w:rPr>
            </w:pPr>
            <w:r>
              <w:rPr>
                <w:lang w:val="en-GB"/>
              </w:rPr>
              <w:t xml:space="preserve">the amount can be </w:t>
            </w:r>
            <w:r w:rsidR="00643AC2" w:rsidRPr="00643AC2">
              <w:rPr>
                <w:lang w:val="en-GB"/>
              </w:rPr>
              <w:t>measured reliably.</w:t>
            </w:r>
          </w:p>
        </w:tc>
        <w:tc>
          <w:tcPr>
            <w:tcW w:w="1333" w:type="dxa"/>
            <w:hideMark/>
          </w:tcPr>
          <w:p w14:paraId="70562A48" w14:textId="77777777" w:rsidR="00643AC2" w:rsidRPr="00643AC2" w:rsidRDefault="00643AC2" w:rsidP="00D43C32">
            <w:pPr>
              <w:pStyle w:val="TableCopy"/>
              <w:rPr>
                <w:lang w:val="en-GB"/>
              </w:rPr>
            </w:pPr>
            <w:r w:rsidRPr="00643AC2">
              <w:rPr>
                <w:lang w:val="en-GB"/>
              </w:rPr>
              <w:t>1 Jan 2017, except amendments to AASB 9 (Dec 2009) and AASB 9 (Dec 2010) apply from 1 Jan 2018</w:t>
            </w:r>
          </w:p>
        </w:tc>
        <w:tc>
          <w:tcPr>
            <w:tcW w:w="3133" w:type="dxa"/>
            <w:hideMark/>
          </w:tcPr>
          <w:p w14:paraId="34A104CB" w14:textId="5551D642" w:rsidR="00643AC2" w:rsidRPr="00643AC2" w:rsidRDefault="00643AC2" w:rsidP="00D43C32">
            <w:pPr>
              <w:pStyle w:val="TableCopy"/>
              <w:rPr>
                <w:lang w:val="en-GB"/>
              </w:rPr>
            </w:pPr>
            <w:r w:rsidRPr="00643AC2">
              <w:rPr>
                <w:lang w:val="en-GB"/>
              </w:rPr>
              <w:t>The assessment has indicated that ther</w:t>
            </w:r>
            <w:r w:rsidR="001854A1">
              <w:rPr>
                <w:lang w:val="en-GB"/>
              </w:rPr>
              <w:t xml:space="preserve">e will be no significant impact </w:t>
            </w:r>
            <w:r w:rsidRPr="00643AC2">
              <w:rPr>
                <w:lang w:val="en-GB"/>
              </w:rPr>
              <w:t>for the public sector.</w:t>
            </w:r>
          </w:p>
        </w:tc>
      </w:tr>
      <w:tr w:rsidR="00F44619" w:rsidRPr="00643AC2" w14:paraId="6700B371" w14:textId="77777777" w:rsidTr="00F44619">
        <w:trPr>
          <w:cantSplit/>
        </w:trPr>
        <w:tc>
          <w:tcPr>
            <w:tcW w:w="1679" w:type="dxa"/>
            <w:hideMark/>
          </w:tcPr>
          <w:p w14:paraId="114925E5" w14:textId="43295B5C" w:rsidR="00643AC2" w:rsidRPr="00643AC2" w:rsidRDefault="00643AC2" w:rsidP="00826FB4">
            <w:pPr>
              <w:pStyle w:val="TableCopy"/>
              <w:rPr>
                <w:lang w:val="en-GB"/>
              </w:rPr>
            </w:pPr>
            <w:r w:rsidRPr="00643AC2">
              <w:rPr>
                <w:lang w:val="en-GB"/>
              </w:rPr>
              <w:t xml:space="preserve">AASB 2015-8 </w:t>
            </w:r>
            <w:r w:rsidRPr="00826FB4">
              <w:rPr>
                <w:i/>
                <w:lang w:val="en-GB"/>
              </w:rPr>
              <w:t>Amendments to Australian Account</w:t>
            </w:r>
            <w:r w:rsidR="001854A1" w:rsidRPr="00826FB4">
              <w:rPr>
                <w:i/>
                <w:lang w:val="en-GB"/>
              </w:rPr>
              <w:t xml:space="preserve">ing Standards – Effective Date </w:t>
            </w:r>
            <w:r w:rsidRPr="00826FB4">
              <w:rPr>
                <w:i/>
                <w:lang w:val="en-GB"/>
              </w:rPr>
              <w:t>of AASB 15</w:t>
            </w:r>
          </w:p>
        </w:tc>
        <w:tc>
          <w:tcPr>
            <w:tcW w:w="4311" w:type="dxa"/>
            <w:hideMark/>
          </w:tcPr>
          <w:p w14:paraId="3E3F88B3" w14:textId="10F0E244" w:rsidR="00643AC2" w:rsidRPr="00643AC2" w:rsidRDefault="00643AC2" w:rsidP="00826FB4">
            <w:pPr>
              <w:pStyle w:val="TableCopy"/>
              <w:rPr>
                <w:lang w:val="en-GB"/>
              </w:rPr>
            </w:pPr>
            <w:r w:rsidRPr="00643AC2">
              <w:rPr>
                <w:lang w:val="en-GB"/>
              </w:rPr>
              <w:t xml:space="preserve">This Standard defers the mandatory effective date </w:t>
            </w:r>
            <w:r w:rsidR="001854A1">
              <w:rPr>
                <w:lang w:val="en-GB"/>
              </w:rPr>
              <w:t xml:space="preserve">of AASB 15 from 1 January 2017 </w:t>
            </w:r>
            <w:r w:rsidRPr="00643AC2">
              <w:rPr>
                <w:lang w:val="en-GB"/>
              </w:rPr>
              <w:t>to 1 January 2018.</w:t>
            </w:r>
          </w:p>
        </w:tc>
        <w:tc>
          <w:tcPr>
            <w:tcW w:w="1333" w:type="dxa"/>
            <w:hideMark/>
          </w:tcPr>
          <w:p w14:paraId="266C11F2" w14:textId="77777777" w:rsidR="00643AC2" w:rsidRPr="00643AC2" w:rsidRDefault="00643AC2" w:rsidP="00826FB4">
            <w:pPr>
              <w:pStyle w:val="TableCopy"/>
              <w:rPr>
                <w:lang w:val="en-GB"/>
              </w:rPr>
            </w:pPr>
            <w:r w:rsidRPr="00643AC2">
              <w:rPr>
                <w:lang w:val="en-GB"/>
              </w:rPr>
              <w:t>1-Jan-18</w:t>
            </w:r>
          </w:p>
        </w:tc>
        <w:tc>
          <w:tcPr>
            <w:tcW w:w="3133" w:type="dxa"/>
            <w:hideMark/>
          </w:tcPr>
          <w:p w14:paraId="1AF93F5E" w14:textId="2303C552" w:rsidR="00643AC2" w:rsidRPr="00643AC2" w:rsidRDefault="00643AC2" w:rsidP="00826FB4">
            <w:pPr>
              <w:pStyle w:val="TableCopy"/>
              <w:rPr>
                <w:lang w:val="en-GB"/>
              </w:rPr>
            </w:pPr>
            <w:r w:rsidRPr="00643AC2">
              <w:rPr>
                <w:lang w:val="en-GB"/>
              </w:rPr>
              <w:t>Thi</w:t>
            </w:r>
            <w:r w:rsidR="001854A1">
              <w:rPr>
                <w:lang w:val="en-GB"/>
              </w:rPr>
              <w:t xml:space="preserve">s amending standard will defer </w:t>
            </w:r>
            <w:r w:rsidRPr="00643AC2">
              <w:rPr>
                <w:lang w:val="en-GB"/>
              </w:rPr>
              <w:t>the application period of AASB 15 for for-profit entities to the 2018-19 repor</w:t>
            </w:r>
            <w:r w:rsidR="001854A1">
              <w:rPr>
                <w:lang w:val="en-GB"/>
              </w:rPr>
              <w:t xml:space="preserve">ting period in accordance with </w:t>
            </w:r>
            <w:r w:rsidRPr="00643AC2">
              <w:rPr>
                <w:lang w:val="en-GB"/>
              </w:rPr>
              <w:t>the transition requirements. </w:t>
            </w:r>
          </w:p>
        </w:tc>
      </w:tr>
      <w:tr w:rsidR="00F44619" w:rsidRPr="00643AC2" w14:paraId="53C404A7" w14:textId="77777777" w:rsidTr="00F44619">
        <w:trPr>
          <w:cantSplit/>
        </w:trPr>
        <w:tc>
          <w:tcPr>
            <w:tcW w:w="1679" w:type="dxa"/>
            <w:hideMark/>
          </w:tcPr>
          <w:p w14:paraId="20F0DC08" w14:textId="6D94F08A" w:rsidR="00643AC2" w:rsidRPr="00643AC2" w:rsidRDefault="00643AC2" w:rsidP="001D7E82">
            <w:pPr>
              <w:pStyle w:val="TableCopy"/>
              <w:rPr>
                <w:lang w:val="en-GB"/>
              </w:rPr>
            </w:pPr>
            <w:r w:rsidRPr="00643AC2">
              <w:rPr>
                <w:lang w:val="en-GB"/>
              </w:rPr>
              <w:t xml:space="preserve">AASB 2016-3 </w:t>
            </w:r>
            <w:r w:rsidRPr="001D7E82">
              <w:rPr>
                <w:i/>
                <w:lang w:val="en-GB"/>
              </w:rPr>
              <w:t>Amendments to Australian Accounting Standards – Clarification</w:t>
            </w:r>
            <w:r w:rsidR="001854A1" w:rsidRPr="001D7E82">
              <w:rPr>
                <w:i/>
                <w:lang w:val="en-GB"/>
              </w:rPr>
              <w:t xml:space="preserve">s </w:t>
            </w:r>
            <w:r w:rsidRPr="001D7E82">
              <w:rPr>
                <w:i/>
                <w:lang w:val="en-GB"/>
              </w:rPr>
              <w:t>to AASB 15</w:t>
            </w:r>
          </w:p>
        </w:tc>
        <w:tc>
          <w:tcPr>
            <w:tcW w:w="4311" w:type="dxa"/>
            <w:hideMark/>
          </w:tcPr>
          <w:p w14:paraId="5335DA8C" w14:textId="04BAA176" w:rsidR="00643AC2" w:rsidRPr="00643AC2" w:rsidRDefault="00643AC2" w:rsidP="001D7E82">
            <w:pPr>
              <w:pStyle w:val="TableCopy"/>
              <w:rPr>
                <w:lang w:val="en-GB"/>
              </w:rPr>
            </w:pPr>
            <w:r w:rsidRPr="00643AC2">
              <w:rPr>
                <w:lang w:val="en-GB"/>
              </w:rPr>
              <w:t>This Standard amends AASB 15 to clarify the requirements on identifying performance obligations, principal versus agent considerations and the timing of recognising re</w:t>
            </w:r>
            <w:r w:rsidR="001854A1">
              <w:rPr>
                <w:lang w:val="en-GB"/>
              </w:rPr>
              <w:t xml:space="preserve">venue from granting a licence. </w:t>
            </w:r>
            <w:r w:rsidRPr="00643AC2">
              <w:rPr>
                <w:lang w:val="en-GB"/>
              </w:rPr>
              <w:t>The amendments require: </w:t>
            </w:r>
          </w:p>
          <w:p w14:paraId="540E1D2D" w14:textId="77777777" w:rsidR="00643AC2" w:rsidRPr="00643AC2" w:rsidRDefault="00643AC2" w:rsidP="001D7E82">
            <w:pPr>
              <w:pStyle w:val="TableBullet"/>
              <w:rPr>
                <w:lang w:val="en-GB"/>
              </w:rPr>
            </w:pPr>
            <w:r w:rsidRPr="00643AC2">
              <w:rPr>
                <w:lang w:val="en-GB"/>
              </w:rPr>
              <w:t>A promise to transfer to a customer a good or service that is ‘distinct’ to be recognised as a separate performance obligation; </w:t>
            </w:r>
          </w:p>
          <w:p w14:paraId="3C822BE7" w14:textId="5538B8AB" w:rsidR="00643AC2" w:rsidRPr="00643AC2" w:rsidRDefault="001854A1" w:rsidP="001D7E82">
            <w:pPr>
              <w:pStyle w:val="TableBullet"/>
              <w:rPr>
                <w:lang w:val="en-GB"/>
              </w:rPr>
            </w:pPr>
            <w:r>
              <w:rPr>
                <w:lang w:val="en-GB"/>
              </w:rPr>
              <w:t xml:space="preserve">For items purchased online, </w:t>
            </w:r>
            <w:r w:rsidR="00643AC2" w:rsidRPr="00643AC2">
              <w:rPr>
                <w:lang w:val="en-GB"/>
              </w:rPr>
              <w:t xml:space="preserve">the entity is a principal if </w:t>
            </w:r>
            <w:r>
              <w:rPr>
                <w:lang w:val="en-GB"/>
              </w:rPr>
              <w:t xml:space="preserve">it obtains control of the good </w:t>
            </w:r>
            <w:r w:rsidR="00643AC2" w:rsidRPr="00643AC2">
              <w:rPr>
                <w:lang w:val="en-GB"/>
              </w:rPr>
              <w:t>or service prior to transferring to the customer; and </w:t>
            </w:r>
          </w:p>
          <w:p w14:paraId="68DB0D9D" w14:textId="40AFEE76" w:rsidR="00643AC2" w:rsidRPr="00643AC2" w:rsidRDefault="00643AC2" w:rsidP="001D7E82">
            <w:pPr>
              <w:pStyle w:val="TableBullet"/>
              <w:rPr>
                <w:lang w:val="en-GB"/>
              </w:rPr>
            </w:pPr>
            <w:r w:rsidRPr="00643AC2">
              <w:rPr>
                <w:lang w:val="en-GB"/>
              </w:rPr>
              <w:t>For licences identified as being distinct from other goods or services in a contract, entities need to determine whether the licence transfers to the customer over tim</w:t>
            </w:r>
            <w:r w:rsidR="001854A1">
              <w:rPr>
                <w:lang w:val="en-GB"/>
              </w:rPr>
              <w:t xml:space="preserve">e (right to use) or at a point </w:t>
            </w:r>
            <w:r w:rsidRPr="00643AC2">
              <w:rPr>
                <w:lang w:val="en-GB"/>
              </w:rPr>
              <w:t>in time (right to access).</w:t>
            </w:r>
          </w:p>
        </w:tc>
        <w:tc>
          <w:tcPr>
            <w:tcW w:w="1333" w:type="dxa"/>
            <w:hideMark/>
          </w:tcPr>
          <w:p w14:paraId="36A631ED" w14:textId="77777777" w:rsidR="00643AC2" w:rsidRPr="00643AC2" w:rsidRDefault="00643AC2" w:rsidP="001D7E82">
            <w:pPr>
              <w:pStyle w:val="TableCopy"/>
              <w:rPr>
                <w:lang w:val="en-GB"/>
              </w:rPr>
            </w:pPr>
            <w:r w:rsidRPr="00643AC2">
              <w:rPr>
                <w:lang w:val="en-GB"/>
              </w:rPr>
              <w:t>1-Jan-18</w:t>
            </w:r>
          </w:p>
        </w:tc>
        <w:tc>
          <w:tcPr>
            <w:tcW w:w="3133" w:type="dxa"/>
            <w:hideMark/>
          </w:tcPr>
          <w:p w14:paraId="20D62E89" w14:textId="3A9DCA91" w:rsidR="00643AC2" w:rsidRPr="00643AC2" w:rsidRDefault="00643AC2" w:rsidP="001D7E82">
            <w:pPr>
              <w:pStyle w:val="TableCopy"/>
              <w:rPr>
                <w:lang w:val="en-GB"/>
              </w:rPr>
            </w:pPr>
            <w:r w:rsidRPr="00643AC2">
              <w:rPr>
                <w:lang w:val="en-GB"/>
              </w:rPr>
              <w:t>The assessment has indicated that there</w:t>
            </w:r>
            <w:r w:rsidR="001854A1">
              <w:rPr>
                <w:lang w:val="en-GB"/>
              </w:rPr>
              <w:t xml:space="preserve"> will be no significant impact </w:t>
            </w:r>
            <w:r w:rsidRPr="00643AC2">
              <w:rPr>
                <w:lang w:val="en-GB"/>
              </w:rPr>
              <w:t>for the public sector, other than the impact identified for AASB 15 above. </w:t>
            </w:r>
          </w:p>
        </w:tc>
      </w:tr>
      <w:tr w:rsidR="00F44619" w:rsidRPr="00643AC2" w14:paraId="0634411A" w14:textId="77777777" w:rsidTr="00F44619">
        <w:trPr>
          <w:cantSplit/>
        </w:trPr>
        <w:tc>
          <w:tcPr>
            <w:tcW w:w="1679" w:type="dxa"/>
            <w:hideMark/>
          </w:tcPr>
          <w:p w14:paraId="21F34E11" w14:textId="77777777" w:rsidR="00643AC2" w:rsidRPr="00643AC2" w:rsidRDefault="00643AC2" w:rsidP="006024E2">
            <w:pPr>
              <w:pStyle w:val="TableCopy"/>
              <w:rPr>
                <w:lang w:val="en-GB"/>
              </w:rPr>
            </w:pPr>
            <w:r w:rsidRPr="00643AC2">
              <w:rPr>
                <w:lang w:val="en-GB"/>
              </w:rPr>
              <w:lastRenderedPageBreak/>
              <w:t xml:space="preserve">AASB 2016-7 </w:t>
            </w:r>
            <w:r w:rsidRPr="006024E2">
              <w:rPr>
                <w:i/>
                <w:lang w:val="en-GB"/>
              </w:rPr>
              <w:t>Amendments to Australian Accounting Standards – Deferral of AASB 15 for Not-for-Profit Entities</w:t>
            </w:r>
          </w:p>
        </w:tc>
        <w:tc>
          <w:tcPr>
            <w:tcW w:w="4311" w:type="dxa"/>
            <w:hideMark/>
          </w:tcPr>
          <w:p w14:paraId="0E069C06" w14:textId="356C6592" w:rsidR="00643AC2" w:rsidRPr="00643AC2" w:rsidRDefault="00643AC2" w:rsidP="006024E2">
            <w:pPr>
              <w:pStyle w:val="TableCopy"/>
              <w:rPr>
                <w:lang w:val="en-GB"/>
              </w:rPr>
            </w:pPr>
            <w:r w:rsidRPr="00643AC2">
              <w:rPr>
                <w:lang w:val="en-GB"/>
              </w:rPr>
              <w:t xml:space="preserve">This Standard defers </w:t>
            </w:r>
            <w:r w:rsidR="00604343">
              <w:rPr>
                <w:lang w:val="en-GB"/>
              </w:rPr>
              <w:t xml:space="preserve">the mandatory effective date </w:t>
            </w:r>
            <w:r w:rsidRPr="00643AC2">
              <w:rPr>
                <w:lang w:val="en-GB"/>
              </w:rPr>
              <w:t>of AASB 15 for not-for-profi</w:t>
            </w:r>
            <w:r w:rsidR="00604343">
              <w:rPr>
                <w:lang w:val="en-GB"/>
              </w:rPr>
              <w:t xml:space="preserve">t entities from 1 January 2018 </w:t>
            </w:r>
            <w:r w:rsidRPr="00643AC2">
              <w:rPr>
                <w:lang w:val="en-GB"/>
              </w:rPr>
              <w:t>to 1 January 2019.</w:t>
            </w:r>
          </w:p>
        </w:tc>
        <w:tc>
          <w:tcPr>
            <w:tcW w:w="1333" w:type="dxa"/>
            <w:hideMark/>
          </w:tcPr>
          <w:p w14:paraId="2E9C4E59" w14:textId="77777777" w:rsidR="00643AC2" w:rsidRPr="00643AC2" w:rsidRDefault="00643AC2" w:rsidP="006024E2">
            <w:pPr>
              <w:pStyle w:val="TableCopy"/>
              <w:rPr>
                <w:lang w:val="en-GB"/>
              </w:rPr>
            </w:pPr>
            <w:r w:rsidRPr="00643AC2">
              <w:rPr>
                <w:lang w:val="en-GB"/>
              </w:rPr>
              <w:t>1-Jan-19</w:t>
            </w:r>
          </w:p>
        </w:tc>
        <w:tc>
          <w:tcPr>
            <w:tcW w:w="3133" w:type="dxa"/>
            <w:hideMark/>
          </w:tcPr>
          <w:p w14:paraId="3D7680B4" w14:textId="39D4ED91" w:rsidR="00643AC2" w:rsidRPr="00643AC2" w:rsidRDefault="00643AC2" w:rsidP="006024E2">
            <w:pPr>
              <w:pStyle w:val="TableCopy"/>
              <w:rPr>
                <w:lang w:val="en-GB"/>
              </w:rPr>
            </w:pPr>
            <w:r w:rsidRPr="00643AC2">
              <w:rPr>
                <w:lang w:val="en-GB"/>
              </w:rPr>
              <w:t>Thi</w:t>
            </w:r>
            <w:r w:rsidR="00604343">
              <w:rPr>
                <w:lang w:val="en-GB"/>
              </w:rPr>
              <w:t xml:space="preserve">s amending standard will defer </w:t>
            </w:r>
            <w:r w:rsidRPr="00643AC2">
              <w:rPr>
                <w:lang w:val="en-GB"/>
              </w:rPr>
              <w:t>the</w:t>
            </w:r>
            <w:r w:rsidR="00604343">
              <w:rPr>
                <w:lang w:val="en-GB"/>
              </w:rPr>
              <w:t xml:space="preserve"> application period of AASB 15 </w:t>
            </w:r>
            <w:r w:rsidRPr="00643AC2">
              <w:rPr>
                <w:lang w:val="en-GB"/>
              </w:rPr>
              <w:t xml:space="preserve">for </w:t>
            </w:r>
            <w:r w:rsidR="00604343">
              <w:rPr>
                <w:lang w:val="en-GB"/>
              </w:rPr>
              <w:t xml:space="preserve">not-for-profit entities to the </w:t>
            </w:r>
            <w:r w:rsidRPr="00643AC2">
              <w:rPr>
                <w:lang w:val="en-GB"/>
              </w:rPr>
              <w:t>2019-20 reporting period.</w:t>
            </w:r>
          </w:p>
        </w:tc>
      </w:tr>
      <w:tr w:rsidR="00F44619" w:rsidRPr="00643AC2" w14:paraId="1D98BEDB" w14:textId="77777777" w:rsidTr="00F44619">
        <w:trPr>
          <w:cantSplit/>
        </w:trPr>
        <w:tc>
          <w:tcPr>
            <w:tcW w:w="1679" w:type="dxa"/>
            <w:hideMark/>
          </w:tcPr>
          <w:p w14:paraId="1DB22F68" w14:textId="77777777" w:rsidR="00643AC2" w:rsidRPr="00643AC2" w:rsidRDefault="00643AC2" w:rsidP="00F4118B">
            <w:pPr>
              <w:pStyle w:val="TableCopy"/>
              <w:rPr>
                <w:lang w:val="en-GB"/>
              </w:rPr>
            </w:pPr>
            <w:r w:rsidRPr="00643AC2">
              <w:rPr>
                <w:lang w:val="en-GB"/>
              </w:rPr>
              <w:t xml:space="preserve">AASB 2016-8 </w:t>
            </w:r>
            <w:r w:rsidRPr="00F4118B">
              <w:rPr>
                <w:i/>
                <w:lang w:val="en-GB"/>
              </w:rPr>
              <w:t>Amendments to Australian Accounting Standards – Australian Implementation Guidance for Not-for-Profit Entities</w:t>
            </w:r>
          </w:p>
        </w:tc>
        <w:tc>
          <w:tcPr>
            <w:tcW w:w="4311" w:type="dxa"/>
            <w:hideMark/>
          </w:tcPr>
          <w:p w14:paraId="57D15BA8" w14:textId="0345FB5E" w:rsidR="00643AC2" w:rsidRPr="00643AC2" w:rsidRDefault="00643AC2" w:rsidP="00F4118B">
            <w:pPr>
              <w:pStyle w:val="TableCopy"/>
              <w:rPr>
                <w:lang w:val="en-GB"/>
              </w:rPr>
            </w:pPr>
            <w:r w:rsidRPr="00643AC2">
              <w:rPr>
                <w:lang w:val="en-GB"/>
              </w:rPr>
              <w:t>This Standard amends AASB 9 and AASB 15 to include requirements to assist not-for-profit entities in applying the respective standards to parti</w:t>
            </w:r>
            <w:r w:rsidR="00604343">
              <w:rPr>
                <w:lang w:val="en-GB"/>
              </w:rPr>
              <w:t xml:space="preserve">cular transactions and events. </w:t>
            </w:r>
            <w:r w:rsidRPr="00643AC2">
              <w:rPr>
                <w:lang w:val="en-GB"/>
              </w:rPr>
              <w:t>The amendments: </w:t>
            </w:r>
          </w:p>
          <w:p w14:paraId="15B622B0" w14:textId="0C21AD0E" w:rsidR="00643AC2" w:rsidRPr="00643AC2" w:rsidRDefault="00643AC2" w:rsidP="00F4118B">
            <w:pPr>
              <w:pStyle w:val="TableBullet"/>
              <w:rPr>
                <w:lang w:val="en-GB"/>
              </w:rPr>
            </w:pPr>
            <w:r w:rsidRPr="00643AC2">
              <w:rPr>
                <w:lang w:val="en-GB"/>
              </w:rPr>
              <w:t>require non-contractual receivables arisi</w:t>
            </w:r>
            <w:r w:rsidR="00604343">
              <w:rPr>
                <w:lang w:val="en-GB"/>
              </w:rPr>
              <w:t xml:space="preserve">ng from statutory requirements </w:t>
            </w:r>
            <w:r w:rsidRPr="00643AC2">
              <w:rPr>
                <w:lang w:val="en-GB"/>
              </w:rPr>
              <w:t>(i.e. taxes, rates and fines) to be initially measure</w:t>
            </w:r>
            <w:r w:rsidR="00604343">
              <w:rPr>
                <w:lang w:val="en-GB"/>
              </w:rPr>
              <w:t xml:space="preserve">d and recognised in accordance </w:t>
            </w:r>
            <w:r w:rsidRPr="00643AC2">
              <w:rPr>
                <w:lang w:val="en-GB"/>
              </w:rPr>
              <w:t>with AASB 9 as if those receivables are financial instruments; and </w:t>
            </w:r>
          </w:p>
          <w:p w14:paraId="075D6793" w14:textId="77777777" w:rsidR="00643AC2" w:rsidRPr="00643AC2" w:rsidRDefault="00643AC2" w:rsidP="00F4118B">
            <w:pPr>
              <w:pStyle w:val="TableBullet"/>
              <w:rPr>
                <w:lang w:val="en-GB"/>
              </w:rPr>
            </w:pPr>
            <w:r w:rsidRPr="00643AC2">
              <w:rPr>
                <w:lang w:val="en-GB"/>
              </w:rPr>
              <w:t>clarifies circumstances when a contract with a customer is within the scope of AASB 15. </w:t>
            </w:r>
          </w:p>
        </w:tc>
        <w:tc>
          <w:tcPr>
            <w:tcW w:w="1333" w:type="dxa"/>
            <w:hideMark/>
          </w:tcPr>
          <w:p w14:paraId="255B1745" w14:textId="77777777" w:rsidR="00643AC2" w:rsidRPr="00643AC2" w:rsidRDefault="00643AC2" w:rsidP="00F4118B">
            <w:pPr>
              <w:pStyle w:val="TableCopy"/>
              <w:rPr>
                <w:lang w:val="en-GB"/>
              </w:rPr>
            </w:pPr>
            <w:r w:rsidRPr="00643AC2">
              <w:rPr>
                <w:lang w:val="en-GB"/>
              </w:rPr>
              <w:t>1-Jan-19</w:t>
            </w:r>
          </w:p>
        </w:tc>
        <w:tc>
          <w:tcPr>
            <w:tcW w:w="3133" w:type="dxa"/>
            <w:hideMark/>
          </w:tcPr>
          <w:p w14:paraId="329873A1" w14:textId="0448BD99" w:rsidR="00643AC2" w:rsidRPr="00643AC2" w:rsidRDefault="00643AC2" w:rsidP="00F4118B">
            <w:pPr>
              <w:pStyle w:val="TableCopy"/>
              <w:rPr>
                <w:lang w:val="en-GB"/>
              </w:rPr>
            </w:pPr>
            <w:r w:rsidRPr="00643AC2">
              <w:rPr>
                <w:lang w:val="en-GB"/>
              </w:rPr>
              <w:t>The assessment has indicated that there</w:t>
            </w:r>
            <w:r w:rsidR="00CD0867">
              <w:rPr>
                <w:lang w:val="en-GB"/>
              </w:rPr>
              <w:t xml:space="preserve"> will be no significant impact </w:t>
            </w:r>
            <w:r w:rsidRPr="00643AC2">
              <w:rPr>
                <w:lang w:val="en-GB"/>
              </w:rPr>
              <w:t>for</w:t>
            </w:r>
            <w:r w:rsidR="00CD0867">
              <w:rPr>
                <w:lang w:val="en-GB"/>
              </w:rPr>
              <w:t xml:space="preserve"> the public sector, other than </w:t>
            </w:r>
            <w:r w:rsidRPr="00643AC2">
              <w:rPr>
                <w:lang w:val="en-GB"/>
              </w:rPr>
              <w:t>the impacts identified for A</w:t>
            </w:r>
            <w:r w:rsidR="00CD0867">
              <w:rPr>
                <w:lang w:val="en-GB"/>
              </w:rPr>
              <w:t xml:space="preserve">ASB 9 </w:t>
            </w:r>
            <w:r w:rsidRPr="00643AC2">
              <w:rPr>
                <w:lang w:val="en-GB"/>
              </w:rPr>
              <w:t>and AASB 15 above.</w:t>
            </w:r>
          </w:p>
        </w:tc>
      </w:tr>
      <w:tr w:rsidR="00F44619" w:rsidRPr="00643AC2" w14:paraId="5C1BAAD5" w14:textId="77777777" w:rsidTr="00F44619">
        <w:trPr>
          <w:cantSplit/>
        </w:trPr>
        <w:tc>
          <w:tcPr>
            <w:tcW w:w="1679" w:type="dxa"/>
            <w:hideMark/>
          </w:tcPr>
          <w:p w14:paraId="07DEA975" w14:textId="77777777" w:rsidR="00643AC2" w:rsidRPr="00643AC2" w:rsidRDefault="00643AC2" w:rsidP="00AD6370">
            <w:pPr>
              <w:pStyle w:val="TableCopy"/>
              <w:rPr>
                <w:lang w:val="en-GB"/>
              </w:rPr>
            </w:pPr>
            <w:r w:rsidRPr="00643AC2">
              <w:rPr>
                <w:lang w:val="en-GB"/>
              </w:rPr>
              <w:t xml:space="preserve">AASB 16 </w:t>
            </w:r>
            <w:r w:rsidRPr="00643AC2">
              <w:rPr>
                <w:i/>
                <w:iCs/>
                <w:lang w:val="en-GB"/>
              </w:rPr>
              <w:t>Leases</w:t>
            </w:r>
          </w:p>
        </w:tc>
        <w:tc>
          <w:tcPr>
            <w:tcW w:w="4311" w:type="dxa"/>
            <w:hideMark/>
          </w:tcPr>
          <w:p w14:paraId="0417B570" w14:textId="653FB9A3" w:rsidR="00643AC2" w:rsidRPr="00643AC2" w:rsidRDefault="00FC5F0D" w:rsidP="00AD6370">
            <w:pPr>
              <w:pStyle w:val="TableCopy"/>
              <w:rPr>
                <w:lang w:val="en-GB"/>
              </w:rPr>
            </w:pPr>
            <w:r>
              <w:rPr>
                <w:lang w:val="en-GB"/>
              </w:rPr>
              <w:t xml:space="preserve">The key changes introduced </w:t>
            </w:r>
            <w:r w:rsidR="00643AC2" w:rsidRPr="00643AC2">
              <w:rPr>
                <w:lang w:val="en-GB"/>
              </w:rPr>
              <w:t>by AASB 16 include the recognition of most operating leases (which are current not recognised) on balance sheet.</w:t>
            </w:r>
          </w:p>
        </w:tc>
        <w:tc>
          <w:tcPr>
            <w:tcW w:w="1333" w:type="dxa"/>
            <w:hideMark/>
          </w:tcPr>
          <w:p w14:paraId="1C984B8D" w14:textId="77777777" w:rsidR="00643AC2" w:rsidRPr="00643AC2" w:rsidRDefault="00643AC2" w:rsidP="00AD6370">
            <w:pPr>
              <w:pStyle w:val="TableCopy"/>
              <w:rPr>
                <w:lang w:val="en-GB"/>
              </w:rPr>
            </w:pPr>
            <w:r w:rsidRPr="00643AC2">
              <w:rPr>
                <w:lang w:val="en-GB"/>
              </w:rPr>
              <w:t>1-Jan-19</w:t>
            </w:r>
          </w:p>
        </w:tc>
        <w:tc>
          <w:tcPr>
            <w:tcW w:w="3133" w:type="dxa"/>
            <w:hideMark/>
          </w:tcPr>
          <w:p w14:paraId="19972D1A" w14:textId="143286E9" w:rsidR="00643AC2" w:rsidRPr="00643AC2" w:rsidRDefault="00643AC2" w:rsidP="00AD6370">
            <w:pPr>
              <w:pStyle w:val="TableCopy"/>
              <w:rPr>
                <w:lang w:val="en-GB"/>
              </w:rPr>
            </w:pPr>
            <w:r w:rsidRPr="00643AC2">
              <w:rPr>
                <w:lang w:val="en-GB"/>
              </w:rPr>
              <w:t>The</w:t>
            </w:r>
            <w:r w:rsidR="00FC5F0D">
              <w:rPr>
                <w:lang w:val="en-GB"/>
              </w:rPr>
              <w:t xml:space="preserve"> assessment has indicated that </w:t>
            </w:r>
            <w:r w:rsidRPr="00643AC2">
              <w:rPr>
                <w:lang w:val="en-GB"/>
              </w:rPr>
              <w:t>as most operating leases will</w:t>
            </w:r>
            <w:r w:rsidR="00FC5F0D">
              <w:rPr>
                <w:lang w:val="en-GB"/>
              </w:rPr>
              <w:t xml:space="preserve"> come </w:t>
            </w:r>
            <w:r w:rsidRPr="00643AC2">
              <w:rPr>
                <w:lang w:val="en-GB"/>
              </w:rPr>
              <w:t>on balance sheet, recognition of the right-of-use assets and lease l</w:t>
            </w:r>
            <w:r w:rsidR="00FC5F0D">
              <w:rPr>
                <w:lang w:val="en-GB"/>
              </w:rPr>
              <w:t xml:space="preserve">iabilities will cause net debt </w:t>
            </w:r>
            <w:r w:rsidRPr="00643AC2">
              <w:rPr>
                <w:lang w:val="en-GB"/>
              </w:rPr>
              <w:t>to increase. </w:t>
            </w:r>
          </w:p>
          <w:p w14:paraId="57A9FFDB" w14:textId="77777777" w:rsidR="00643AC2" w:rsidRPr="00643AC2" w:rsidRDefault="00643AC2" w:rsidP="00AD6370">
            <w:pPr>
              <w:pStyle w:val="TableCopy"/>
              <w:rPr>
                <w:lang w:val="en-GB"/>
              </w:rPr>
            </w:pPr>
            <w:r w:rsidRPr="00643AC2">
              <w:rPr>
                <w:lang w:val="en-GB"/>
              </w:rPr>
              <w:t>Rather than expensing the lease payments, depreciation of right-of-use assets and interest on lease liabilities will be recognised in the income statement with marginal impact on the operating surplus.</w:t>
            </w:r>
          </w:p>
          <w:p w14:paraId="2FC9645A" w14:textId="77777777" w:rsidR="00643AC2" w:rsidRPr="00643AC2" w:rsidRDefault="00643AC2" w:rsidP="00AD6370">
            <w:pPr>
              <w:pStyle w:val="TableCopy"/>
              <w:rPr>
                <w:lang w:val="en-GB"/>
              </w:rPr>
            </w:pPr>
            <w:r w:rsidRPr="00643AC2">
              <w:rPr>
                <w:lang w:val="en-GB"/>
              </w:rPr>
              <w:t>There will be no changes for lessors. </w:t>
            </w:r>
          </w:p>
        </w:tc>
      </w:tr>
      <w:tr w:rsidR="00F44619" w:rsidRPr="00643AC2" w14:paraId="47EC7D76" w14:textId="77777777" w:rsidTr="00F44619">
        <w:trPr>
          <w:cantSplit/>
        </w:trPr>
        <w:tc>
          <w:tcPr>
            <w:tcW w:w="1679" w:type="dxa"/>
            <w:hideMark/>
          </w:tcPr>
          <w:p w14:paraId="2C759AED" w14:textId="77777777" w:rsidR="00643AC2" w:rsidRPr="00643AC2" w:rsidRDefault="00643AC2" w:rsidP="00C62F48">
            <w:pPr>
              <w:pStyle w:val="TableCopy"/>
              <w:rPr>
                <w:lang w:val="en-GB"/>
              </w:rPr>
            </w:pPr>
            <w:r w:rsidRPr="00643AC2">
              <w:rPr>
                <w:lang w:val="en-GB"/>
              </w:rPr>
              <w:t xml:space="preserve">AASB 2016-4 </w:t>
            </w:r>
            <w:r w:rsidRPr="00C62F48">
              <w:rPr>
                <w:i/>
                <w:lang w:val="en-GB"/>
              </w:rPr>
              <w:t>Amendments to Australian Accounting Standards – Recoverable Amount of Non-Cash-Generating Specialised Assets of Not-for-Profit Entities </w:t>
            </w:r>
          </w:p>
        </w:tc>
        <w:tc>
          <w:tcPr>
            <w:tcW w:w="4311" w:type="dxa"/>
            <w:hideMark/>
          </w:tcPr>
          <w:p w14:paraId="36C53F01" w14:textId="7F23B223" w:rsidR="00643AC2" w:rsidRPr="00643AC2" w:rsidRDefault="00643AC2" w:rsidP="00C62F48">
            <w:pPr>
              <w:pStyle w:val="TableCopy"/>
              <w:rPr>
                <w:lang w:val="en-GB"/>
              </w:rPr>
            </w:pPr>
            <w:r w:rsidRPr="00643AC2">
              <w:rPr>
                <w:lang w:val="en-GB"/>
              </w:rPr>
              <w:t xml:space="preserve">The standard amends AASB 136 </w:t>
            </w:r>
            <w:r w:rsidRPr="00C62F48">
              <w:rPr>
                <w:i/>
                <w:lang w:val="en-GB"/>
              </w:rPr>
              <w:t>Impairment of Assets</w:t>
            </w:r>
            <w:r w:rsidRPr="00643AC2">
              <w:rPr>
                <w:lang w:val="en-GB"/>
              </w:rPr>
              <w:t xml:space="preserve"> to remove references to using depreciated replacement cost (DRC) as</w:t>
            </w:r>
            <w:r w:rsidR="00F32D47">
              <w:rPr>
                <w:lang w:val="en-GB"/>
              </w:rPr>
              <w:t xml:space="preserve"> a measure of value in use for </w:t>
            </w:r>
            <w:r w:rsidRPr="00643AC2">
              <w:rPr>
                <w:lang w:val="en-GB"/>
              </w:rPr>
              <w:t>not-for-profit entities. </w:t>
            </w:r>
          </w:p>
        </w:tc>
        <w:tc>
          <w:tcPr>
            <w:tcW w:w="1333" w:type="dxa"/>
            <w:hideMark/>
          </w:tcPr>
          <w:p w14:paraId="480ED916" w14:textId="77777777" w:rsidR="00643AC2" w:rsidRPr="00643AC2" w:rsidRDefault="00643AC2" w:rsidP="00C62F48">
            <w:pPr>
              <w:pStyle w:val="TableCopy"/>
              <w:rPr>
                <w:lang w:val="en-GB"/>
              </w:rPr>
            </w:pPr>
            <w:r w:rsidRPr="00643AC2">
              <w:rPr>
                <w:lang w:val="en-GB"/>
              </w:rPr>
              <w:t>1 Jan 2017</w:t>
            </w:r>
          </w:p>
        </w:tc>
        <w:tc>
          <w:tcPr>
            <w:tcW w:w="3133" w:type="dxa"/>
            <w:hideMark/>
          </w:tcPr>
          <w:p w14:paraId="7CAB0505" w14:textId="6667DB92" w:rsidR="00643AC2" w:rsidRPr="00643AC2" w:rsidRDefault="00643AC2" w:rsidP="00C62F48">
            <w:pPr>
              <w:pStyle w:val="TableCopy"/>
              <w:rPr>
                <w:lang w:val="en-GB"/>
              </w:rPr>
            </w:pPr>
            <w:r w:rsidRPr="00643AC2">
              <w:rPr>
                <w:lang w:val="en-GB"/>
              </w:rPr>
              <w:t>The assessment has indicated that there is minimal impact. Given the speci</w:t>
            </w:r>
            <w:r w:rsidR="00F32D47">
              <w:rPr>
                <w:lang w:val="en-GB"/>
              </w:rPr>
              <w:t xml:space="preserve">alised nature and restrictions </w:t>
            </w:r>
            <w:r w:rsidRPr="00643AC2">
              <w:rPr>
                <w:lang w:val="en-GB"/>
              </w:rPr>
              <w:t>of publ</w:t>
            </w:r>
            <w:r w:rsidR="00F32D47">
              <w:rPr>
                <w:lang w:val="en-GB"/>
              </w:rPr>
              <w:t xml:space="preserve">ic sector assets, the existing </w:t>
            </w:r>
            <w:r w:rsidRPr="00643AC2">
              <w:rPr>
                <w:lang w:val="en-GB"/>
              </w:rPr>
              <w:t xml:space="preserve">use is presumed to be the highest and best use (HBU), hence current </w:t>
            </w:r>
            <w:r w:rsidR="00F32D47">
              <w:rPr>
                <w:lang w:val="en-GB"/>
              </w:rPr>
              <w:t xml:space="preserve">replacement cost under AASB 13 </w:t>
            </w:r>
            <w:r w:rsidRPr="00C62F48">
              <w:rPr>
                <w:i/>
                <w:lang w:val="en-GB"/>
              </w:rPr>
              <w:t>Fair Value Measurement</w:t>
            </w:r>
            <w:r w:rsidR="00F32D47" w:rsidRPr="00C62F48">
              <w:rPr>
                <w:i/>
                <w:lang w:val="en-GB"/>
              </w:rPr>
              <w:t xml:space="preserve"> </w:t>
            </w:r>
            <w:r w:rsidR="00F32D47">
              <w:rPr>
                <w:lang w:val="en-GB"/>
              </w:rPr>
              <w:t xml:space="preserve">is the same </w:t>
            </w:r>
            <w:r w:rsidRPr="00643AC2">
              <w:rPr>
                <w:lang w:val="en-GB"/>
              </w:rPr>
              <w:t>as the depreciated replacement cost concept under AASB 136. </w:t>
            </w:r>
          </w:p>
        </w:tc>
      </w:tr>
      <w:tr w:rsidR="00F44619" w:rsidRPr="00643AC2" w14:paraId="41435ACA" w14:textId="77777777" w:rsidTr="00F44619">
        <w:trPr>
          <w:cantSplit/>
        </w:trPr>
        <w:tc>
          <w:tcPr>
            <w:tcW w:w="1679" w:type="dxa"/>
            <w:hideMark/>
          </w:tcPr>
          <w:p w14:paraId="56960064" w14:textId="77777777" w:rsidR="00643AC2" w:rsidRPr="00643AC2" w:rsidRDefault="00643AC2" w:rsidP="00EA55F0">
            <w:pPr>
              <w:pStyle w:val="TableCopy"/>
              <w:rPr>
                <w:lang w:val="en-GB"/>
              </w:rPr>
            </w:pPr>
            <w:r w:rsidRPr="00643AC2">
              <w:rPr>
                <w:lang w:val="en-GB"/>
              </w:rPr>
              <w:lastRenderedPageBreak/>
              <w:t xml:space="preserve">AASB 1058 </w:t>
            </w:r>
            <w:r w:rsidRPr="008204D6">
              <w:rPr>
                <w:i/>
                <w:lang w:val="en-GB"/>
              </w:rPr>
              <w:t>Income of Not-for-Profit Entities</w:t>
            </w:r>
          </w:p>
        </w:tc>
        <w:tc>
          <w:tcPr>
            <w:tcW w:w="4311" w:type="dxa"/>
            <w:hideMark/>
          </w:tcPr>
          <w:p w14:paraId="5399E514" w14:textId="1B56A3BC" w:rsidR="00643AC2" w:rsidRPr="00643AC2" w:rsidRDefault="00F32D47" w:rsidP="00EA55F0">
            <w:pPr>
              <w:pStyle w:val="TableCopy"/>
              <w:rPr>
                <w:lang w:val="en-GB"/>
              </w:rPr>
            </w:pPr>
            <w:r>
              <w:rPr>
                <w:lang w:val="en-GB"/>
              </w:rPr>
              <w:t xml:space="preserve">This standard replaces </w:t>
            </w:r>
            <w:r w:rsidR="00643AC2" w:rsidRPr="00643AC2">
              <w:rPr>
                <w:lang w:val="en-GB"/>
              </w:rPr>
              <w:t>AASB 1004 Contributions and establishes revenue recognition principles for transactions where the consideration to acquire an asset is significantly less than fair value to enable to not-for-profit entity to further its objectives. </w:t>
            </w:r>
          </w:p>
        </w:tc>
        <w:tc>
          <w:tcPr>
            <w:tcW w:w="1333" w:type="dxa"/>
            <w:hideMark/>
          </w:tcPr>
          <w:p w14:paraId="51F6078E" w14:textId="77777777" w:rsidR="00643AC2" w:rsidRPr="00643AC2" w:rsidRDefault="00643AC2" w:rsidP="00EA55F0">
            <w:pPr>
              <w:pStyle w:val="TableCopy"/>
              <w:rPr>
                <w:lang w:val="en-GB"/>
              </w:rPr>
            </w:pPr>
            <w:r w:rsidRPr="00643AC2">
              <w:rPr>
                <w:lang w:val="en-GB"/>
              </w:rPr>
              <w:t>1-Jan-19</w:t>
            </w:r>
          </w:p>
        </w:tc>
        <w:tc>
          <w:tcPr>
            <w:tcW w:w="3133" w:type="dxa"/>
            <w:hideMark/>
          </w:tcPr>
          <w:p w14:paraId="668CC3E0" w14:textId="77777777" w:rsidR="00643AC2" w:rsidRPr="00643AC2" w:rsidRDefault="00643AC2" w:rsidP="00EA55F0">
            <w:pPr>
              <w:pStyle w:val="TableCopy"/>
              <w:rPr>
                <w:lang w:val="en-GB"/>
              </w:rPr>
            </w:pPr>
            <w:r w:rsidRPr="00643AC2">
              <w:rPr>
                <w:lang w:val="en-GB"/>
              </w:rPr>
              <w:t>The assessment has indicated that revenue from capital grants that are provided under an enforceable agreement that have sufficiently specific obligations will now be deferred and recognised as performance obligations are satisfied. As a result, the timing recognition of revenue will change. </w:t>
            </w:r>
          </w:p>
        </w:tc>
      </w:tr>
    </w:tbl>
    <w:p w14:paraId="7FC6D131" w14:textId="77777777" w:rsidR="00643AC2" w:rsidRPr="00643AC2" w:rsidRDefault="00643AC2" w:rsidP="00643AC2">
      <w:pPr>
        <w:rPr>
          <w:lang w:val="en-GB"/>
        </w:rPr>
      </w:pPr>
      <w:r w:rsidRPr="00643AC2">
        <w:rPr>
          <w:lang w:val="en-GB"/>
        </w:rPr>
        <w:t>In addition to the new standards and amendments above, the AASB has issued a list of other amending standards that are not effective for the 2016-17 reporting period (as listed below). In general, these amending standards include editorial and references changes that are expected to have insignificant impacts on public sector reporting. </w:t>
      </w:r>
    </w:p>
    <w:p w14:paraId="0954412F" w14:textId="1793D7E9" w:rsidR="00643AC2" w:rsidRPr="00643AC2" w:rsidRDefault="00643AC2" w:rsidP="00F32D47">
      <w:pPr>
        <w:pStyle w:val="Bullet"/>
        <w:rPr>
          <w:lang w:val="en-GB"/>
        </w:rPr>
      </w:pPr>
      <w:r w:rsidRPr="00643AC2">
        <w:rPr>
          <w:lang w:val="en-GB"/>
        </w:rPr>
        <w:t>AASB 2016-1 Amendments to Australian Accounting Standards – Reco</w:t>
      </w:r>
      <w:r w:rsidR="00F32D47">
        <w:rPr>
          <w:lang w:val="en-GB"/>
        </w:rPr>
        <w:t xml:space="preserve">gnition of Deferred Tax Assets </w:t>
      </w:r>
      <w:r w:rsidRPr="00643AC2">
        <w:rPr>
          <w:lang w:val="en-GB"/>
        </w:rPr>
        <w:t>for Unrealised Losses [AASB 112] </w:t>
      </w:r>
    </w:p>
    <w:p w14:paraId="00556FA3" w14:textId="2094D56F" w:rsidR="00643AC2" w:rsidRPr="00643AC2" w:rsidRDefault="00643AC2" w:rsidP="00F32D47">
      <w:pPr>
        <w:pStyle w:val="Bullet"/>
        <w:rPr>
          <w:lang w:val="en-GB"/>
        </w:rPr>
      </w:pPr>
      <w:r w:rsidRPr="00643AC2">
        <w:rPr>
          <w:lang w:val="en-GB"/>
        </w:rPr>
        <w:t>AASB 2016-2 Amendments to Australian Accounting Standards – Dis</w:t>
      </w:r>
      <w:r w:rsidR="00F32D47">
        <w:rPr>
          <w:lang w:val="en-GB"/>
        </w:rPr>
        <w:t xml:space="preserve">closure Initiative: Amendments </w:t>
      </w:r>
      <w:r w:rsidRPr="00643AC2">
        <w:rPr>
          <w:lang w:val="en-GB"/>
        </w:rPr>
        <w:t>to AASB 107</w:t>
      </w:r>
    </w:p>
    <w:p w14:paraId="68A85F3C" w14:textId="3242947D" w:rsidR="00643AC2" w:rsidRPr="00643AC2" w:rsidRDefault="00643AC2" w:rsidP="00F32D47">
      <w:pPr>
        <w:pStyle w:val="Bullet"/>
        <w:rPr>
          <w:lang w:val="en-GB"/>
        </w:rPr>
      </w:pPr>
      <w:r w:rsidRPr="00643AC2">
        <w:rPr>
          <w:lang w:val="en-GB"/>
        </w:rPr>
        <w:t>AASB 2016-5 Amendments to Australian Accounting Standards – Classification and M</w:t>
      </w:r>
      <w:r w:rsidR="00F32D47">
        <w:rPr>
          <w:lang w:val="en-GB"/>
        </w:rPr>
        <w:t xml:space="preserve">easurements </w:t>
      </w:r>
      <w:r w:rsidRPr="00643AC2">
        <w:rPr>
          <w:lang w:val="en-GB"/>
        </w:rPr>
        <w:t>of Share-based Payment Transactions</w:t>
      </w:r>
    </w:p>
    <w:p w14:paraId="1E5A6248" w14:textId="2D43946D" w:rsidR="00643AC2" w:rsidRPr="00643AC2" w:rsidRDefault="00643AC2" w:rsidP="00F32D47">
      <w:pPr>
        <w:pStyle w:val="Bullet"/>
        <w:rPr>
          <w:lang w:val="en-GB"/>
        </w:rPr>
      </w:pPr>
      <w:r w:rsidRPr="00643AC2">
        <w:rPr>
          <w:lang w:val="en-GB"/>
        </w:rPr>
        <w:t>AASB 2016-6 Amendments to Australian Accounting Standar</w:t>
      </w:r>
      <w:r w:rsidR="00F32D47">
        <w:rPr>
          <w:lang w:val="en-GB"/>
        </w:rPr>
        <w:t xml:space="preserve">ds – Applying AASB 9 Financial </w:t>
      </w:r>
      <w:r w:rsidRPr="00643AC2">
        <w:rPr>
          <w:lang w:val="en-GB"/>
        </w:rPr>
        <w:t>Instruments with AASB 4 Insurance Contracts</w:t>
      </w:r>
    </w:p>
    <w:p w14:paraId="0C793216" w14:textId="77777777" w:rsidR="00643AC2" w:rsidRPr="00643AC2" w:rsidRDefault="00643AC2" w:rsidP="00F32D47">
      <w:pPr>
        <w:pStyle w:val="Bullet"/>
        <w:rPr>
          <w:lang w:val="en-GB"/>
        </w:rPr>
      </w:pPr>
      <w:r w:rsidRPr="00643AC2">
        <w:rPr>
          <w:lang w:val="en-GB"/>
        </w:rPr>
        <w:t>AASB 2017-1 Amendments to Australian Accounting Standards – Transfers of Investment Property, Annual Improvements 2014-16 Cycle and Other Amendments </w:t>
      </w:r>
    </w:p>
    <w:p w14:paraId="208325E0" w14:textId="222D7692" w:rsidR="00643AC2" w:rsidRPr="00643AC2" w:rsidRDefault="00643AC2" w:rsidP="00F32D47">
      <w:pPr>
        <w:pStyle w:val="Bullet"/>
        <w:rPr>
          <w:lang w:val="en-GB"/>
        </w:rPr>
      </w:pPr>
      <w:r w:rsidRPr="00643AC2">
        <w:rPr>
          <w:lang w:val="en-GB"/>
        </w:rPr>
        <w:t>AASB 2017-2 Amendments to Australian Accounting Standards</w:t>
      </w:r>
      <w:r w:rsidR="00F32D47">
        <w:rPr>
          <w:lang w:val="en-GB"/>
        </w:rPr>
        <w:t xml:space="preserve"> – Further Annual Improvements </w:t>
      </w:r>
      <w:r w:rsidRPr="00643AC2">
        <w:rPr>
          <w:lang w:val="en-GB"/>
        </w:rPr>
        <w:t>2014-16 Cycle</w:t>
      </w:r>
    </w:p>
    <w:p w14:paraId="4DC1D957" w14:textId="77777777" w:rsidR="00643AC2" w:rsidRPr="00643AC2" w:rsidRDefault="00643AC2" w:rsidP="001F7B00">
      <w:pPr>
        <w:pStyle w:val="Heading5"/>
        <w:rPr>
          <w:lang w:val="en-GB"/>
        </w:rPr>
      </w:pPr>
      <w:r w:rsidRPr="00643AC2">
        <w:rPr>
          <w:lang w:val="en-GB"/>
        </w:rPr>
        <w:t>Accountable Officer’s and Chief Financial Officer’s declaration</w:t>
      </w:r>
    </w:p>
    <w:p w14:paraId="5DF00FF4" w14:textId="7F866F2C" w:rsidR="00643AC2" w:rsidRPr="00643AC2" w:rsidRDefault="00643AC2" w:rsidP="00643AC2">
      <w:pPr>
        <w:rPr>
          <w:lang w:val="en-GB"/>
        </w:rPr>
      </w:pPr>
      <w:r w:rsidRPr="00643AC2">
        <w:rPr>
          <w:lang w:val="en-GB"/>
        </w:rPr>
        <w:t>The attached financial statements for the Victorian Public Sector</w:t>
      </w:r>
      <w:r w:rsidR="001F7B00">
        <w:rPr>
          <w:lang w:val="en-GB"/>
        </w:rPr>
        <w:t xml:space="preserve"> Commission have been prepared </w:t>
      </w:r>
      <w:r w:rsidRPr="00643AC2">
        <w:rPr>
          <w:lang w:val="en-GB"/>
        </w:rPr>
        <w:t xml:space="preserve">in accordance with Direction 5.2 of the Standing Directions of the Minister of Finance under the </w:t>
      </w:r>
      <w:r w:rsidRPr="00643AC2">
        <w:rPr>
          <w:i/>
          <w:iCs/>
          <w:lang w:val="en-GB"/>
        </w:rPr>
        <w:t>Financial Management Act 1994</w:t>
      </w:r>
      <w:r w:rsidRPr="00643AC2">
        <w:rPr>
          <w:lang w:val="en-GB"/>
        </w:rPr>
        <w:t>, applicable Financial Reporting Directions, A</w:t>
      </w:r>
      <w:r w:rsidR="001F7B00">
        <w:rPr>
          <w:lang w:val="en-GB"/>
        </w:rPr>
        <w:t xml:space="preserve">ustralian Accounting Standards </w:t>
      </w:r>
      <w:r w:rsidRPr="00643AC2">
        <w:rPr>
          <w:lang w:val="en-GB"/>
        </w:rPr>
        <w:t>including interpretations, and other mandatory professional reporting requirements.</w:t>
      </w:r>
    </w:p>
    <w:p w14:paraId="5DA0ED96" w14:textId="094B58BF" w:rsidR="00643AC2" w:rsidRPr="00643AC2" w:rsidRDefault="00643AC2" w:rsidP="00643AC2">
      <w:pPr>
        <w:rPr>
          <w:lang w:val="en-GB"/>
        </w:rPr>
      </w:pPr>
      <w:r w:rsidRPr="00643AC2">
        <w:rPr>
          <w:lang w:val="en-GB"/>
        </w:rPr>
        <w:t>We further state that, in our opinion, the information set out in the comprehensive operating statement, balance sheet, cash flow statement, statement of changes in equity an</w:t>
      </w:r>
      <w:r w:rsidR="001F7B00">
        <w:rPr>
          <w:lang w:val="en-GB"/>
        </w:rPr>
        <w:t xml:space="preserve">d accompanying notes, presents </w:t>
      </w:r>
      <w:r w:rsidRPr="00643AC2">
        <w:rPr>
          <w:lang w:val="en-GB"/>
        </w:rPr>
        <w:t>fairly the financial transactions during the year ended 30 June 2017 and the financial position of the Commission as at 30 June 2017.</w:t>
      </w:r>
    </w:p>
    <w:p w14:paraId="01C78D8E" w14:textId="2E43800E" w:rsidR="00643AC2" w:rsidRPr="00643AC2" w:rsidRDefault="00643AC2" w:rsidP="00643AC2">
      <w:pPr>
        <w:rPr>
          <w:lang w:val="en-GB"/>
        </w:rPr>
      </w:pPr>
      <w:r w:rsidRPr="00643AC2">
        <w:rPr>
          <w:lang w:val="en-GB"/>
        </w:rPr>
        <w:t>At the time of signing, we are not aware of any circumstance which would r</w:t>
      </w:r>
      <w:r w:rsidR="001F7B00">
        <w:rPr>
          <w:lang w:val="en-GB"/>
        </w:rPr>
        <w:t xml:space="preserve">ender any particulars included </w:t>
      </w:r>
      <w:r w:rsidRPr="00643AC2">
        <w:rPr>
          <w:lang w:val="en-GB"/>
        </w:rPr>
        <w:t>in the financial statements to be misleading or inaccurate.</w:t>
      </w:r>
    </w:p>
    <w:p w14:paraId="5F8E2FF0" w14:textId="77777777" w:rsidR="00643AC2" w:rsidRPr="00643AC2" w:rsidRDefault="00643AC2" w:rsidP="00643AC2">
      <w:pPr>
        <w:rPr>
          <w:lang w:val="en-GB"/>
        </w:rPr>
      </w:pPr>
      <w:r w:rsidRPr="00643AC2">
        <w:rPr>
          <w:lang w:val="en-GB"/>
        </w:rPr>
        <w:t>We authorise the attached financial statements for issue on 6 September 2017.</w:t>
      </w:r>
    </w:p>
    <w:p w14:paraId="4894C0B5" w14:textId="77777777" w:rsidR="001F7B00" w:rsidRPr="001F7B00" w:rsidRDefault="001F7B00" w:rsidP="001F7B00">
      <w:pPr>
        <w:rPr>
          <w:b/>
          <w:lang w:val="en-GB"/>
        </w:rPr>
      </w:pPr>
      <w:r w:rsidRPr="001F7B00">
        <w:rPr>
          <w:b/>
          <w:lang w:val="en-GB"/>
        </w:rPr>
        <w:t>Joseph Yeung</w:t>
      </w:r>
    </w:p>
    <w:p w14:paraId="0DB1C98F" w14:textId="77777777" w:rsidR="001F7B00" w:rsidRPr="001F7B00" w:rsidRDefault="001F7B00" w:rsidP="001F7B00">
      <w:pPr>
        <w:rPr>
          <w:b/>
          <w:lang w:val="en-GB"/>
        </w:rPr>
      </w:pPr>
      <w:r w:rsidRPr="001F7B00">
        <w:rPr>
          <w:b/>
          <w:lang w:val="en-GB"/>
        </w:rPr>
        <w:t>Chief Financial Officer</w:t>
      </w:r>
    </w:p>
    <w:p w14:paraId="07733B83" w14:textId="77777777" w:rsidR="001F7B00" w:rsidRPr="001F7B00" w:rsidRDefault="001F7B00" w:rsidP="001F7B00">
      <w:pPr>
        <w:rPr>
          <w:b/>
          <w:lang w:val="en-GB"/>
        </w:rPr>
      </w:pPr>
      <w:r w:rsidRPr="001F7B00">
        <w:rPr>
          <w:b/>
          <w:lang w:val="en-GB"/>
        </w:rPr>
        <w:t>Melbourne 6 September 2017</w:t>
      </w:r>
      <w:r w:rsidRPr="001F7B00">
        <w:rPr>
          <w:b/>
          <w:lang w:val="en-GB"/>
        </w:rPr>
        <w:tab/>
      </w:r>
    </w:p>
    <w:p w14:paraId="2990F477" w14:textId="77777777" w:rsidR="001F7B00" w:rsidRPr="001F7B00" w:rsidRDefault="001F7B00" w:rsidP="001F7B00">
      <w:pPr>
        <w:rPr>
          <w:b/>
          <w:lang w:val="en-GB"/>
        </w:rPr>
      </w:pPr>
    </w:p>
    <w:p w14:paraId="788E2958" w14:textId="6ABECD78" w:rsidR="001F7B00" w:rsidRPr="001F7B00" w:rsidRDefault="001F7B00" w:rsidP="001F7B00">
      <w:pPr>
        <w:rPr>
          <w:b/>
          <w:lang w:val="en-GB"/>
        </w:rPr>
      </w:pPr>
      <w:r w:rsidRPr="001F7B00">
        <w:rPr>
          <w:b/>
          <w:lang w:val="en-GB"/>
        </w:rPr>
        <w:t>Elizabeth Langdon</w:t>
      </w:r>
    </w:p>
    <w:p w14:paraId="00D5103B" w14:textId="77777777" w:rsidR="001F7B00" w:rsidRPr="001F7B00" w:rsidRDefault="001F7B00" w:rsidP="001F7B00">
      <w:pPr>
        <w:rPr>
          <w:b/>
          <w:lang w:val="en-GB"/>
        </w:rPr>
      </w:pPr>
      <w:r w:rsidRPr="001F7B00">
        <w:rPr>
          <w:b/>
          <w:lang w:val="en-GB"/>
        </w:rPr>
        <w:t>Acting Victorian Public Sector Commissioner</w:t>
      </w:r>
    </w:p>
    <w:p w14:paraId="7DA0871C" w14:textId="4FC03303" w:rsidR="006E3F10" w:rsidRDefault="001F7B00" w:rsidP="00E56313">
      <w:pPr>
        <w:rPr>
          <w:b/>
          <w:lang w:val="en-GB"/>
        </w:rPr>
      </w:pPr>
      <w:r w:rsidRPr="001F7B00">
        <w:rPr>
          <w:b/>
          <w:lang w:val="en-GB"/>
        </w:rPr>
        <w:lastRenderedPageBreak/>
        <w:t>Melbourne 6 September 2017</w:t>
      </w:r>
    </w:p>
    <w:p w14:paraId="1179F932" w14:textId="5706C08E" w:rsidR="00913454" w:rsidRPr="00913454" w:rsidRDefault="00913454" w:rsidP="00913454">
      <w:pPr>
        <w:pStyle w:val="Heading1"/>
        <w:rPr>
          <w:lang w:val="en-GB"/>
        </w:rPr>
      </w:pPr>
      <w:bookmarkStart w:id="100" w:name="_Toc494112028"/>
      <w:r>
        <w:rPr>
          <w:lang w:val="en-GB"/>
        </w:rPr>
        <w:t>Victorian Auditor-General’s Office</w:t>
      </w:r>
      <w:bookmarkEnd w:id="100"/>
    </w:p>
    <w:p w14:paraId="1A77EB7A" w14:textId="0CD639F4" w:rsidR="009B24F4" w:rsidRDefault="00913454" w:rsidP="005111E4">
      <w:pPr>
        <w:pStyle w:val="Heading2"/>
        <w:rPr>
          <w:lang w:val="en-GB"/>
        </w:rPr>
      </w:pPr>
      <w:bookmarkStart w:id="101" w:name="_Toc494112029"/>
      <w:r w:rsidRPr="00913454">
        <w:rPr>
          <w:lang w:val="en-GB"/>
        </w:rPr>
        <w:t>Independent Auditor’s Report</w:t>
      </w:r>
      <w:bookmarkEnd w:id="101"/>
      <w:r w:rsidRPr="00913454">
        <w:rPr>
          <w:lang w:val="en-GB"/>
        </w:rPr>
        <w:t> </w:t>
      </w:r>
    </w:p>
    <w:p w14:paraId="1974E3B1" w14:textId="0C2D646E" w:rsidR="00913454" w:rsidRPr="005111E4" w:rsidRDefault="00913454" w:rsidP="00913454">
      <w:pPr>
        <w:rPr>
          <w:b/>
          <w:i/>
          <w:lang w:val="en-GB"/>
        </w:rPr>
      </w:pPr>
      <w:r w:rsidRPr="005111E4">
        <w:rPr>
          <w:b/>
          <w:i/>
          <w:lang w:val="en-GB"/>
        </w:rPr>
        <w:t>To the Commissioner of the Victorian Public Sector Commission </w:t>
      </w:r>
    </w:p>
    <w:tbl>
      <w:tblPr>
        <w:tblStyle w:val="TableGrid"/>
        <w:tblW w:w="0" w:type="auto"/>
        <w:tblLook w:val="04A0" w:firstRow="1" w:lastRow="0" w:firstColumn="1" w:lastColumn="0" w:noHBand="0" w:noVBand="1"/>
      </w:tblPr>
      <w:tblGrid>
        <w:gridCol w:w="2556"/>
        <w:gridCol w:w="8126"/>
      </w:tblGrid>
      <w:tr w:rsidR="00913454" w:rsidRPr="00913454" w14:paraId="2E22043F" w14:textId="77777777" w:rsidTr="000F4801">
        <w:trPr>
          <w:cantSplit/>
        </w:trPr>
        <w:tc>
          <w:tcPr>
            <w:tcW w:w="0" w:type="auto"/>
            <w:hideMark/>
          </w:tcPr>
          <w:p w14:paraId="344FC9CE" w14:textId="77777777" w:rsidR="00913454" w:rsidRPr="00913454" w:rsidRDefault="00913454" w:rsidP="00913454">
            <w:pPr>
              <w:pStyle w:val="TableHeading"/>
              <w:rPr>
                <w:lang w:val="en-GB"/>
              </w:rPr>
            </w:pPr>
            <w:r w:rsidRPr="00913454">
              <w:rPr>
                <w:lang w:val="en-GB"/>
              </w:rPr>
              <w:t> Opinion </w:t>
            </w:r>
          </w:p>
        </w:tc>
        <w:tc>
          <w:tcPr>
            <w:tcW w:w="0" w:type="auto"/>
            <w:hideMark/>
          </w:tcPr>
          <w:p w14:paraId="73FDA8C4" w14:textId="4C124E80" w:rsidR="00913454" w:rsidRPr="00913454" w:rsidRDefault="00913454" w:rsidP="00913454">
            <w:pPr>
              <w:pStyle w:val="TableCopy"/>
              <w:rPr>
                <w:lang w:val="en-GB"/>
              </w:rPr>
            </w:pPr>
            <w:r w:rsidRPr="00913454">
              <w:rPr>
                <w:lang w:val="en-GB"/>
              </w:rPr>
              <w:t>I have audited the financial report of the Victoria</w:t>
            </w:r>
            <w:r>
              <w:rPr>
                <w:lang w:val="en-GB"/>
              </w:rPr>
              <w:t xml:space="preserve">n Public Sector Commission (the </w:t>
            </w:r>
            <w:r w:rsidRPr="00913454">
              <w:rPr>
                <w:lang w:val="en-GB"/>
              </w:rPr>
              <w:t>Commission) which comprises the: </w:t>
            </w:r>
          </w:p>
          <w:p w14:paraId="65406B99" w14:textId="7B930A0A" w:rsidR="00913454" w:rsidRPr="00913454" w:rsidRDefault="00913454" w:rsidP="00913454">
            <w:pPr>
              <w:pStyle w:val="TableBullet"/>
              <w:rPr>
                <w:lang w:val="en-GB"/>
              </w:rPr>
            </w:pPr>
            <w:r w:rsidRPr="00913454">
              <w:rPr>
                <w:lang w:val="en-GB"/>
              </w:rPr>
              <w:t>balance sheet as at 30 June 2017 </w:t>
            </w:r>
          </w:p>
          <w:p w14:paraId="736CCB48" w14:textId="23088A81" w:rsidR="00913454" w:rsidRPr="00913454" w:rsidRDefault="00913454" w:rsidP="00913454">
            <w:pPr>
              <w:pStyle w:val="TableBullet"/>
              <w:rPr>
                <w:lang w:val="en-GB"/>
              </w:rPr>
            </w:pPr>
            <w:r w:rsidRPr="00913454">
              <w:rPr>
                <w:lang w:val="en-GB"/>
              </w:rPr>
              <w:t>comprehensive operating statement for the year then ended </w:t>
            </w:r>
          </w:p>
          <w:p w14:paraId="2FBF8F47" w14:textId="01BBC125" w:rsidR="00913454" w:rsidRPr="00913454" w:rsidRDefault="00913454" w:rsidP="00913454">
            <w:pPr>
              <w:pStyle w:val="TableBullet"/>
              <w:rPr>
                <w:lang w:val="en-GB"/>
              </w:rPr>
            </w:pPr>
            <w:r w:rsidRPr="00913454">
              <w:rPr>
                <w:lang w:val="en-GB"/>
              </w:rPr>
              <w:t>statement of changes in equity for the year then ended </w:t>
            </w:r>
          </w:p>
          <w:p w14:paraId="62E87606" w14:textId="1F22B597" w:rsidR="00913454" w:rsidRPr="00913454" w:rsidRDefault="00913454" w:rsidP="00913454">
            <w:pPr>
              <w:pStyle w:val="TableBullet"/>
              <w:rPr>
                <w:lang w:val="en-GB"/>
              </w:rPr>
            </w:pPr>
            <w:r w:rsidRPr="00913454">
              <w:rPr>
                <w:lang w:val="en-GB"/>
              </w:rPr>
              <w:t>cash flow statement for the year then ended </w:t>
            </w:r>
          </w:p>
          <w:p w14:paraId="0B04BF37" w14:textId="556D0B57" w:rsidR="00913454" w:rsidRPr="00913454" w:rsidRDefault="00913454" w:rsidP="00913454">
            <w:pPr>
              <w:pStyle w:val="TableBullet"/>
              <w:rPr>
                <w:lang w:val="en-GB"/>
              </w:rPr>
            </w:pPr>
            <w:r w:rsidRPr="00913454">
              <w:rPr>
                <w:lang w:val="en-GB"/>
              </w:rPr>
              <w:t>notes to the financial statements, including significant accounting policies </w:t>
            </w:r>
          </w:p>
          <w:p w14:paraId="50285E32" w14:textId="136FC70A" w:rsidR="00913454" w:rsidRPr="00913454" w:rsidRDefault="00913454" w:rsidP="00913454">
            <w:pPr>
              <w:pStyle w:val="TableBullet"/>
              <w:rPr>
                <w:lang w:val="en-GB"/>
              </w:rPr>
            </w:pPr>
            <w:r w:rsidRPr="00913454">
              <w:rPr>
                <w:lang w:val="en-GB"/>
              </w:rPr>
              <w:t>Accountable Officer’s and Chief Financial Officer’s declaration. </w:t>
            </w:r>
          </w:p>
          <w:p w14:paraId="57E60386" w14:textId="77777777" w:rsidR="00913454" w:rsidRPr="00913454" w:rsidRDefault="00913454" w:rsidP="00913454">
            <w:pPr>
              <w:pStyle w:val="TableCopy"/>
              <w:rPr>
                <w:lang w:val="en-GB"/>
              </w:rPr>
            </w:pPr>
            <w:r w:rsidRPr="00913454">
              <w:rPr>
                <w:lang w:val="en-GB"/>
              </w:rPr>
              <w:t xml:space="preserve">In my opinion the financial report presents fairly, in all material respects, the financial position of the Commission as at 30 June 2017 and its financial performance and cash flows for the year then ended in accordance with the financial reporting requirements of the </w:t>
            </w:r>
            <w:r w:rsidRPr="00913454">
              <w:rPr>
                <w:i/>
                <w:iCs/>
                <w:lang w:val="en-GB"/>
              </w:rPr>
              <w:t xml:space="preserve">Financial Management Act 1994 </w:t>
            </w:r>
            <w:r w:rsidRPr="00913454">
              <w:rPr>
                <w:lang w:val="en-GB"/>
              </w:rPr>
              <w:t>and applicable Australian Accounting Standards. </w:t>
            </w:r>
          </w:p>
        </w:tc>
      </w:tr>
      <w:tr w:rsidR="00913454" w:rsidRPr="00913454" w14:paraId="45844BB9" w14:textId="77777777" w:rsidTr="000F4801">
        <w:trPr>
          <w:cantSplit/>
        </w:trPr>
        <w:tc>
          <w:tcPr>
            <w:tcW w:w="0" w:type="auto"/>
            <w:hideMark/>
          </w:tcPr>
          <w:p w14:paraId="6A09B32F" w14:textId="77777777" w:rsidR="00913454" w:rsidRPr="00913454" w:rsidRDefault="00913454" w:rsidP="00913454">
            <w:pPr>
              <w:pStyle w:val="TableHeading"/>
              <w:rPr>
                <w:lang w:val="en-GB"/>
              </w:rPr>
            </w:pPr>
            <w:r w:rsidRPr="00913454">
              <w:rPr>
                <w:lang w:val="en-GB"/>
              </w:rPr>
              <w:t>Basis for Opinion </w:t>
            </w:r>
          </w:p>
        </w:tc>
        <w:tc>
          <w:tcPr>
            <w:tcW w:w="0" w:type="auto"/>
            <w:hideMark/>
          </w:tcPr>
          <w:p w14:paraId="112C0B29" w14:textId="77777777" w:rsidR="00913454" w:rsidRPr="00913454" w:rsidRDefault="00913454" w:rsidP="00913454">
            <w:pPr>
              <w:pStyle w:val="TableCopy"/>
              <w:rPr>
                <w:lang w:val="en-GB"/>
              </w:rPr>
            </w:pPr>
            <w:r w:rsidRPr="00913454">
              <w:rPr>
                <w:lang w:val="en-GB"/>
              </w:rPr>
              <w:t xml:space="preserve">I have conducted my audit in accordance with the </w:t>
            </w:r>
            <w:r w:rsidRPr="00913454">
              <w:rPr>
                <w:i/>
                <w:iCs/>
                <w:lang w:val="en-GB"/>
              </w:rPr>
              <w:t xml:space="preserve">Audit Act 1994 </w:t>
            </w:r>
            <w:r w:rsidRPr="00913454">
              <w:rPr>
                <w:lang w:val="en-GB"/>
              </w:rPr>
              <w:t xml:space="preserve">which incorporates the Australian Auditing Standards. My responsibilities under the Act are further described in the </w:t>
            </w:r>
            <w:r w:rsidRPr="00913454">
              <w:rPr>
                <w:i/>
                <w:iCs/>
                <w:lang w:val="en-GB"/>
              </w:rPr>
              <w:t xml:space="preserve">Auditor’s responsibilities for the audit of the financial report </w:t>
            </w:r>
            <w:r w:rsidRPr="00913454">
              <w:rPr>
                <w:lang w:val="en-GB"/>
              </w:rPr>
              <w:t>section of my report. </w:t>
            </w:r>
          </w:p>
          <w:p w14:paraId="61B4EBC0" w14:textId="260D4AD9" w:rsidR="00913454" w:rsidRPr="00913454" w:rsidRDefault="00913454" w:rsidP="00913454">
            <w:pPr>
              <w:pStyle w:val="TableCopy"/>
              <w:rPr>
                <w:lang w:val="en-GB"/>
              </w:rPr>
            </w:pPr>
            <w:r w:rsidRPr="00913454">
              <w:rPr>
                <w:lang w:val="en-GB"/>
              </w:rPr>
              <w:t xml:space="preserve">My independence is established by the </w:t>
            </w:r>
            <w:r w:rsidRPr="00913454">
              <w:rPr>
                <w:i/>
                <w:iCs/>
                <w:lang w:val="en-GB"/>
              </w:rPr>
              <w:t xml:space="preserve">Constitution Act 1975. </w:t>
            </w:r>
            <w:r w:rsidRPr="00913454">
              <w:rPr>
                <w:lang w:val="en-GB"/>
              </w:rPr>
              <w:t>My staff a</w:t>
            </w:r>
            <w:r>
              <w:rPr>
                <w:lang w:val="en-GB"/>
              </w:rPr>
              <w:t xml:space="preserve">nd I are </w:t>
            </w:r>
            <w:r w:rsidRPr="00913454">
              <w:rPr>
                <w:lang w:val="en-GB"/>
              </w:rPr>
              <w:t xml:space="preserve">independent of the Commission in accordance with the ethical requirements of the Accounting Professional and Ethical Standards Board’s APES 110 </w:t>
            </w:r>
            <w:r w:rsidRPr="00913454">
              <w:rPr>
                <w:i/>
                <w:iCs/>
                <w:lang w:val="en-GB"/>
              </w:rPr>
              <w:t xml:space="preserve">Code of Ethics for Professional Accountants </w:t>
            </w:r>
            <w:r w:rsidRPr="00913454">
              <w:rPr>
                <w:lang w:val="en-GB"/>
              </w:rPr>
              <w:t>(the Code) that are relevant to my audit of the financial report in Australia. My staff and I have also fulfilled our other ethical responsibilities in accordance with the Code. </w:t>
            </w:r>
          </w:p>
          <w:p w14:paraId="74C50601" w14:textId="77777777" w:rsidR="00913454" w:rsidRPr="00913454" w:rsidRDefault="00913454" w:rsidP="00913454">
            <w:pPr>
              <w:pStyle w:val="TableCopy"/>
              <w:rPr>
                <w:lang w:val="en-GB"/>
              </w:rPr>
            </w:pPr>
            <w:r w:rsidRPr="00913454">
              <w:rPr>
                <w:lang w:val="en-GB"/>
              </w:rPr>
              <w:t>I believe that the audit evidence I have obtained is sufficient and appropriate to provide a basis for my opinion. </w:t>
            </w:r>
          </w:p>
        </w:tc>
      </w:tr>
      <w:tr w:rsidR="00913454" w:rsidRPr="00913454" w14:paraId="072CBABE" w14:textId="77777777" w:rsidTr="000F4801">
        <w:trPr>
          <w:cantSplit/>
        </w:trPr>
        <w:tc>
          <w:tcPr>
            <w:tcW w:w="0" w:type="auto"/>
            <w:hideMark/>
          </w:tcPr>
          <w:p w14:paraId="7F59DFAE" w14:textId="77777777" w:rsidR="00913454" w:rsidRPr="00913454" w:rsidRDefault="00913454" w:rsidP="00913454">
            <w:pPr>
              <w:pStyle w:val="TableHeading"/>
              <w:rPr>
                <w:lang w:val="en-GB"/>
              </w:rPr>
            </w:pPr>
            <w:r w:rsidRPr="00913454">
              <w:rPr>
                <w:lang w:val="en-GB"/>
              </w:rPr>
              <w:t>Commissioner’s responsibilities for the financial report </w:t>
            </w:r>
          </w:p>
        </w:tc>
        <w:tc>
          <w:tcPr>
            <w:tcW w:w="0" w:type="auto"/>
            <w:hideMark/>
          </w:tcPr>
          <w:p w14:paraId="35E7107F" w14:textId="77777777" w:rsidR="00913454" w:rsidRPr="00913454" w:rsidRDefault="00913454" w:rsidP="00913454">
            <w:pPr>
              <w:pStyle w:val="TableCopy"/>
              <w:rPr>
                <w:lang w:val="en-GB"/>
              </w:rPr>
            </w:pPr>
            <w:r w:rsidRPr="00913454">
              <w:rPr>
                <w:lang w:val="en-GB"/>
              </w:rPr>
              <w:t xml:space="preserve">The Commissioner is responsible for the preparation and fair presentation of the financial report in accordance with Australian Accounting Standards and the </w:t>
            </w:r>
            <w:r w:rsidRPr="00913454">
              <w:rPr>
                <w:i/>
                <w:iCs/>
                <w:lang w:val="en-GB"/>
              </w:rPr>
              <w:t>Financial Management Act 1994</w:t>
            </w:r>
            <w:r w:rsidRPr="00913454">
              <w:rPr>
                <w:lang w:val="en-GB"/>
              </w:rPr>
              <w:t>, and for such internal control as the Commissioner determines is necessary to enable the preparation and fair presentation of a financial report that is free from material misstatement, whether due to fraud or error. </w:t>
            </w:r>
          </w:p>
          <w:p w14:paraId="7C709C65" w14:textId="7EF2136A" w:rsidR="00913454" w:rsidRPr="00913454" w:rsidRDefault="00913454" w:rsidP="00913454">
            <w:pPr>
              <w:pStyle w:val="TableCopy"/>
              <w:rPr>
                <w:lang w:val="en-GB"/>
              </w:rPr>
            </w:pPr>
            <w:r w:rsidRPr="00913454">
              <w:rPr>
                <w:lang w:val="en-GB"/>
              </w:rPr>
              <w:t>In preparing the financial report, the Commissioner is responsible for assessing the Commission’s ability to continue as a going concern, and using the going concern basis of accounting unless it is inappropriate to do so. </w:t>
            </w:r>
          </w:p>
        </w:tc>
      </w:tr>
      <w:tr w:rsidR="002B7343" w:rsidRPr="002B7343" w14:paraId="6A8445E5" w14:textId="77777777" w:rsidTr="000F4801">
        <w:trPr>
          <w:cantSplit/>
        </w:trPr>
        <w:tc>
          <w:tcPr>
            <w:tcW w:w="0" w:type="auto"/>
            <w:hideMark/>
          </w:tcPr>
          <w:p w14:paraId="6468A5D4" w14:textId="77777777" w:rsidR="002B7343" w:rsidRPr="002B7343" w:rsidRDefault="002B7343" w:rsidP="002C6976">
            <w:pPr>
              <w:pStyle w:val="TableHeading"/>
              <w:rPr>
                <w:lang w:val="en-GB"/>
              </w:rPr>
            </w:pPr>
            <w:r w:rsidRPr="002B7343">
              <w:rPr>
                <w:lang w:val="en-GB"/>
              </w:rPr>
              <w:lastRenderedPageBreak/>
              <w:t>Auditor’s responsibilities for the audit of the financial report </w:t>
            </w:r>
          </w:p>
        </w:tc>
        <w:tc>
          <w:tcPr>
            <w:tcW w:w="0" w:type="auto"/>
            <w:hideMark/>
          </w:tcPr>
          <w:p w14:paraId="1DAEA297" w14:textId="77777777" w:rsidR="002B7343" w:rsidRPr="002B7343" w:rsidRDefault="002B7343" w:rsidP="002B7343">
            <w:pPr>
              <w:pStyle w:val="TableCopy"/>
              <w:rPr>
                <w:lang w:val="en-GB"/>
              </w:rPr>
            </w:pPr>
            <w:r w:rsidRPr="002B7343">
              <w:rPr>
                <w:lang w:val="en-GB"/>
              </w:rPr>
              <w:t xml:space="preserve">As required by the </w:t>
            </w:r>
            <w:r w:rsidRPr="002B7343">
              <w:rPr>
                <w:i/>
                <w:iCs/>
                <w:lang w:val="en-GB"/>
              </w:rPr>
              <w:t xml:space="preserve">Audit Act 1994, </w:t>
            </w:r>
            <w:r w:rsidRPr="002B7343">
              <w:rPr>
                <w:lang w:val="en-GB"/>
              </w:rPr>
              <w:t>my responsibility is to express an opinion on the financial report based on the audit. My objectives for the audit are to obtain reasonable assurance about whether the financial report as a whole is free from material misstatement, whether due to fraud or error, and to issue an auditor’s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aggregate, they could reasonably be expected to influence the economic decisions of users taken on the basis of the financial report. </w:t>
            </w:r>
          </w:p>
          <w:p w14:paraId="4FA035E6" w14:textId="77777777" w:rsidR="002B7343" w:rsidRPr="002B7343" w:rsidRDefault="002B7343" w:rsidP="002B7343">
            <w:pPr>
              <w:pStyle w:val="TableCopy"/>
              <w:rPr>
                <w:lang w:val="en-GB"/>
              </w:rPr>
            </w:pPr>
            <w:r w:rsidRPr="002B7343">
              <w:rPr>
                <w:lang w:val="en-GB"/>
              </w:rPr>
              <w:t>As part of an audit in accordance with the Australian Auditing Standards, I exercise professional judgement and maintain professional scepticism throughout the audit. I also: </w:t>
            </w:r>
          </w:p>
          <w:p w14:paraId="5040977D" w14:textId="5E40E45E" w:rsidR="002B7343" w:rsidRPr="002B7343" w:rsidRDefault="002B7343" w:rsidP="002B7343">
            <w:pPr>
              <w:pStyle w:val="TableBullet"/>
              <w:rPr>
                <w:lang w:val="en-GB"/>
              </w:rPr>
            </w:pPr>
            <w:r w:rsidRPr="002B7343">
              <w:rPr>
                <w:lang w:val="en-GB"/>
              </w:rPr>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59007591" w14:textId="7AD8FA44" w:rsidR="002B7343" w:rsidRPr="002B7343" w:rsidRDefault="002B7343" w:rsidP="002B7343">
            <w:pPr>
              <w:pStyle w:val="TableBullet"/>
              <w:rPr>
                <w:lang w:val="en-GB"/>
              </w:rPr>
            </w:pPr>
            <w:r w:rsidRPr="002B7343">
              <w:rPr>
                <w:lang w:val="en-GB"/>
              </w:rPr>
              <w:t>obtain an understanding of internal control relevant to the audit in order to design audit procedures that are appropriate in the circumstances, but not for the purpose of expressing an opinion on the effectiveness of the Commission’s internal control. </w:t>
            </w:r>
          </w:p>
          <w:p w14:paraId="01AB2FBE" w14:textId="0D7F5D7B" w:rsidR="002B7343" w:rsidRPr="002B7343" w:rsidRDefault="002B7343" w:rsidP="002B7343">
            <w:pPr>
              <w:pStyle w:val="TableBullet"/>
              <w:rPr>
                <w:lang w:val="en-GB"/>
              </w:rPr>
            </w:pPr>
            <w:r w:rsidRPr="002B7343">
              <w:rPr>
                <w:lang w:val="en-GB"/>
              </w:rPr>
              <w:t>evaluate the appropriateness of accounting policies used and the reasonableness of accounting estimates and related disclosures made by the Commissioner. </w:t>
            </w:r>
          </w:p>
          <w:p w14:paraId="1F534D5D" w14:textId="1A113ECF" w:rsidR="002B7343" w:rsidRPr="002B7343" w:rsidRDefault="002B7343" w:rsidP="002B7343">
            <w:pPr>
              <w:pStyle w:val="TableBullet"/>
              <w:rPr>
                <w:lang w:val="en-GB"/>
              </w:rPr>
            </w:pPr>
            <w:r w:rsidRPr="002B7343">
              <w:rPr>
                <w:lang w:val="en-GB"/>
              </w:rPr>
              <w:t>conclude on the appropriateness of the Commissioner’s use of the going concern basis of accounting and, based on the audit evidence obtained, whether a material uncertainty exists related to events or conditions that may cast significant doubt on the Commission’s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Commission to cease to continue as a going concern. </w:t>
            </w:r>
          </w:p>
          <w:p w14:paraId="59CBAB3F" w14:textId="6C20FF16" w:rsidR="002B7343" w:rsidRPr="002B7343" w:rsidRDefault="002B7343" w:rsidP="002B7343">
            <w:pPr>
              <w:pStyle w:val="TableBullet"/>
              <w:rPr>
                <w:lang w:val="en-GB"/>
              </w:rPr>
            </w:pPr>
            <w:r w:rsidRPr="002B7343">
              <w:rPr>
                <w:lang w:val="en-GB"/>
              </w:rPr>
              <w:t>evaluate the overall presentation, structure and content of the financial report, including the disclosures, and whether the financial report represents the underlying transactions and events in a manner that achieves fair presentation. </w:t>
            </w:r>
          </w:p>
          <w:p w14:paraId="3881E6E9" w14:textId="77777777" w:rsidR="002B7343" w:rsidRPr="002B7343" w:rsidRDefault="002B7343" w:rsidP="002B7343">
            <w:pPr>
              <w:pStyle w:val="TableCopy"/>
              <w:rPr>
                <w:lang w:val="en-GB"/>
              </w:rPr>
            </w:pPr>
            <w:r w:rsidRPr="002B7343">
              <w:rPr>
                <w:lang w:val="en-GB"/>
              </w:rPr>
              <w:t>I communicate with the Commissioner regarding, among other matters, the planned scope and timing of the audit and significant audit findings, including any significant deficiencies in internal control that I identify during my audit. </w:t>
            </w:r>
          </w:p>
        </w:tc>
      </w:tr>
    </w:tbl>
    <w:p w14:paraId="6F9F0B42" w14:textId="77777777" w:rsidR="00E474A6" w:rsidRDefault="00E474A6"/>
    <w:p w14:paraId="0DE432F2" w14:textId="77777777" w:rsidR="00E474A6" w:rsidRPr="00E474A6" w:rsidRDefault="00E474A6" w:rsidP="00E474A6">
      <w:r w:rsidRPr="00E474A6">
        <w:t>Timothy Maxfield </w:t>
      </w:r>
    </w:p>
    <w:p w14:paraId="0683213E" w14:textId="77777777" w:rsidR="00E474A6" w:rsidRDefault="00E474A6" w:rsidP="00E474A6">
      <w:r w:rsidRPr="00E474A6">
        <w:t>as delegate for the Auditor-General of Victoria </w:t>
      </w:r>
    </w:p>
    <w:p w14:paraId="24B932AA" w14:textId="77777777" w:rsidR="00E474A6" w:rsidRDefault="00E474A6" w:rsidP="00E474A6">
      <w:pPr>
        <w:rPr>
          <w:rFonts w:ascii="Calibri" w:hAnsi="Calibri" w:cs="Times New Roman"/>
          <w:spacing w:val="0"/>
          <w:szCs w:val="16"/>
          <w:lang w:val="en-GB" w:eastAsia="en-GB"/>
        </w:rPr>
      </w:pPr>
      <w:r>
        <w:t>MELBOURNE </w:t>
      </w:r>
    </w:p>
    <w:p w14:paraId="6FD95AE7" w14:textId="77777777" w:rsidR="00E474A6" w:rsidRDefault="00E474A6" w:rsidP="00E474A6">
      <w:r>
        <w:t>11 September 2017 </w:t>
      </w:r>
    </w:p>
    <w:p w14:paraId="6512FE78" w14:textId="7A1F9BB3" w:rsidR="00E474A6" w:rsidRDefault="00E474A6" w:rsidP="00E474A6">
      <w:r>
        <w:t>Level 31 / 35 Collins Street, Melbourne Vic 3000</w:t>
      </w:r>
    </w:p>
    <w:p w14:paraId="00814423" w14:textId="3B6D5931" w:rsidR="00E474A6" w:rsidRDefault="00E474A6" w:rsidP="00E474A6">
      <w:r>
        <w:t>T 03 8601 7000</w:t>
      </w:r>
    </w:p>
    <w:p w14:paraId="3958888F" w14:textId="1F5F0406" w:rsidR="001E1B9E" w:rsidRDefault="007A404A" w:rsidP="00E474A6">
      <w:hyperlink r:id="rId13" w:history="1">
        <w:r w:rsidR="001E1B9E" w:rsidRPr="00C07116">
          <w:rPr>
            <w:rStyle w:val="Hyperlink"/>
          </w:rPr>
          <w:t>enquiries@audit.vic.gov.au</w:t>
        </w:r>
      </w:hyperlink>
      <w:bookmarkStart w:id="102" w:name="_GoBack"/>
      <w:bookmarkEnd w:id="102"/>
    </w:p>
    <w:p w14:paraId="573E3886" w14:textId="14A5C1DD" w:rsidR="00913454" w:rsidRPr="007B4A92" w:rsidRDefault="007A404A" w:rsidP="00913454">
      <w:hyperlink r:id="rId14" w:history="1">
        <w:r w:rsidR="001E1B9E" w:rsidRPr="00C07116">
          <w:rPr>
            <w:rStyle w:val="Hyperlink"/>
          </w:rPr>
          <w:t>www.audit.vic.gov.au</w:t>
        </w:r>
      </w:hyperlink>
    </w:p>
    <w:sectPr w:rsidR="00913454" w:rsidRPr="007B4A92" w:rsidSect="002F01A7">
      <w:footerReference w:type="even" r:id="rId15"/>
      <w:footerReference w:type="default" r:id="rId1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9D73F" w14:textId="77777777" w:rsidR="007A404A" w:rsidRDefault="007A404A" w:rsidP="00E56313">
      <w:r>
        <w:separator/>
      </w:r>
    </w:p>
    <w:p w14:paraId="0E535CBD" w14:textId="77777777" w:rsidR="007A404A" w:rsidRDefault="007A404A" w:rsidP="00E56313"/>
    <w:p w14:paraId="2F1971C3" w14:textId="77777777" w:rsidR="007A404A" w:rsidRDefault="007A404A" w:rsidP="00E56313"/>
  </w:endnote>
  <w:endnote w:type="continuationSeparator" w:id="0">
    <w:p w14:paraId="49CFEFE7" w14:textId="77777777" w:rsidR="007A404A" w:rsidRDefault="007A404A" w:rsidP="00E56313">
      <w:r>
        <w:continuationSeparator/>
      </w:r>
    </w:p>
    <w:p w14:paraId="49333D45" w14:textId="77777777" w:rsidR="007A404A" w:rsidRDefault="007A404A" w:rsidP="00E56313"/>
    <w:p w14:paraId="4DC25D6D" w14:textId="77777777" w:rsidR="007A404A" w:rsidRDefault="007A404A"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4F610" w14:textId="77777777" w:rsidR="00D3696B" w:rsidRDefault="00D3696B"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D3696B" w:rsidRDefault="00D3696B" w:rsidP="00E56313">
    <w:pPr>
      <w:rPr>
        <w:rStyle w:val="PageNumber"/>
      </w:rPr>
    </w:pPr>
  </w:p>
  <w:p w14:paraId="601AFC20" w14:textId="77777777" w:rsidR="00D3696B" w:rsidRDefault="00D3696B" w:rsidP="00E56313"/>
  <w:p w14:paraId="064740C1" w14:textId="77777777" w:rsidR="00D3696B" w:rsidRDefault="00D3696B" w:rsidP="00E56313"/>
  <w:p w14:paraId="768BD984" w14:textId="77777777" w:rsidR="00D3696B" w:rsidRDefault="00D3696B" w:rsidP="00E56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145E" w14:textId="77777777" w:rsidR="00D3696B" w:rsidRPr="00290BF9" w:rsidRDefault="00D3696B" w:rsidP="00290BF9">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sidR="001D535E">
      <w:rPr>
        <w:rStyle w:val="Strong"/>
        <w:noProof/>
      </w:rPr>
      <w:t>48</w:t>
    </w:r>
    <w:r w:rsidRPr="00290BF9">
      <w:rPr>
        <w:rStyle w:val="Strong"/>
      </w:rPr>
      <w:fldChar w:fldCharType="end"/>
    </w:r>
  </w:p>
  <w:p w14:paraId="3FE91112" w14:textId="393B7AF2" w:rsidR="00D3696B" w:rsidRPr="006E3F10" w:rsidRDefault="00D3696B" w:rsidP="00E56313">
    <w:pPr>
      <w:rPr>
        <w:rStyle w:val="IntenseEmphasis"/>
        <w:b/>
        <w:color w:val="auto"/>
        <w:lang w:val="en-GB"/>
      </w:rPr>
    </w:pPr>
    <w:r w:rsidRPr="006E3F10">
      <w:rPr>
        <w:i/>
        <w:iCs/>
        <w:lang w:val="en-GB"/>
      </w:rPr>
      <w:t>Victorian Public Sector Commissioner</w:t>
    </w:r>
    <w:r w:rsidRPr="006E3F10">
      <w:rPr>
        <w:rStyle w:val="IntenseEmphasis"/>
      </w:rPr>
      <w:br/>
    </w:r>
    <w:r w:rsidRPr="006E3F10">
      <w:rPr>
        <w:i/>
        <w:iCs/>
        <w:color w:val="5B9BD5"/>
      </w:rPr>
      <w:t>Annual Report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0C048" w14:textId="77777777" w:rsidR="007A404A" w:rsidRDefault="007A404A" w:rsidP="00E56313">
      <w:r>
        <w:separator/>
      </w:r>
    </w:p>
    <w:p w14:paraId="341D5F33" w14:textId="77777777" w:rsidR="007A404A" w:rsidRDefault="007A404A" w:rsidP="00E56313"/>
    <w:p w14:paraId="65DA0795" w14:textId="77777777" w:rsidR="007A404A" w:rsidRDefault="007A404A" w:rsidP="00E56313"/>
  </w:footnote>
  <w:footnote w:type="continuationSeparator" w:id="0">
    <w:p w14:paraId="5CF85A9A" w14:textId="77777777" w:rsidR="007A404A" w:rsidRDefault="007A404A" w:rsidP="00E56313">
      <w:r>
        <w:continuationSeparator/>
      </w:r>
    </w:p>
    <w:p w14:paraId="3EB8B344" w14:textId="77777777" w:rsidR="007A404A" w:rsidRDefault="007A404A" w:rsidP="00E56313"/>
    <w:p w14:paraId="4EC21211" w14:textId="77777777" w:rsidR="007A404A" w:rsidRDefault="007A404A" w:rsidP="00E563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A09B8C"/>
    <w:lvl w:ilvl="0">
      <w:start w:val="1"/>
      <w:numFmt w:val="decimal"/>
      <w:lvlText w:val="%1."/>
      <w:lvlJc w:val="left"/>
      <w:pPr>
        <w:tabs>
          <w:tab w:val="num" w:pos="1492"/>
        </w:tabs>
        <w:ind w:left="1492" w:hanging="360"/>
      </w:pPr>
    </w:lvl>
  </w:abstractNum>
  <w:abstractNum w:abstractNumId="2">
    <w:nsid w:val="FFFFFF7D"/>
    <w:multiLevelType w:val="singleLevel"/>
    <w:tmpl w:val="E49E1FA8"/>
    <w:lvl w:ilvl="0">
      <w:start w:val="1"/>
      <w:numFmt w:val="decimal"/>
      <w:lvlText w:val="%1."/>
      <w:lvlJc w:val="left"/>
      <w:pPr>
        <w:tabs>
          <w:tab w:val="num" w:pos="1209"/>
        </w:tabs>
        <w:ind w:left="1209" w:hanging="360"/>
      </w:pPr>
    </w:lvl>
  </w:abstractNum>
  <w:abstractNum w:abstractNumId="3">
    <w:nsid w:val="FFFFFF7E"/>
    <w:multiLevelType w:val="singleLevel"/>
    <w:tmpl w:val="A08CBDAE"/>
    <w:lvl w:ilvl="0">
      <w:start w:val="1"/>
      <w:numFmt w:val="decimal"/>
      <w:lvlText w:val="%1."/>
      <w:lvlJc w:val="left"/>
      <w:pPr>
        <w:tabs>
          <w:tab w:val="num" w:pos="926"/>
        </w:tabs>
        <w:ind w:left="926" w:hanging="360"/>
      </w:pPr>
    </w:lvl>
  </w:abstractNum>
  <w:abstractNum w:abstractNumId="4">
    <w:nsid w:val="FFFFFF7F"/>
    <w:multiLevelType w:val="singleLevel"/>
    <w:tmpl w:val="9BEE97E0"/>
    <w:lvl w:ilvl="0">
      <w:start w:val="1"/>
      <w:numFmt w:val="decimal"/>
      <w:lvlText w:val="%1."/>
      <w:lvlJc w:val="left"/>
      <w:pPr>
        <w:tabs>
          <w:tab w:val="num" w:pos="643"/>
        </w:tabs>
        <w:ind w:left="643" w:hanging="360"/>
      </w:pPr>
    </w:lvl>
  </w:abstractNum>
  <w:abstractNum w:abstractNumId="5">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25845E8"/>
    <w:lvl w:ilvl="0">
      <w:start w:val="1"/>
      <w:numFmt w:val="decimal"/>
      <w:lvlText w:val="%1."/>
      <w:lvlJc w:val="left"/>
      <w:pPr>
        <w:tabs>
          <w:tab w:val="num" w:pos="360"/>
        </w:tabs>
        <w:ind w:left="360" w:hanging="360"/>
      </w:pPr>
    </w:lvl>
  </w:abstractNum>
  <w:abstractNum w:abstractNumId="1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nsid w:val="1AF67992"/>
    <w:multiLevelType w:val="hybridMultilevel"/>
    <w:tmpl w:val="EE640256"/>
    <w:lvl w:ilvl="0" w:tplc="657E32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9">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585653"/>
    <w:multiLevelType w:val="hybridMultilevel"/>
    <w:tmpl w:val="09D0CBA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4">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7">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0">
    <w:nsid w:val="791A2CC7"/>
    <w:multiLevelType w:val="hybridMultilevel"/>
    <w:tmpl w:val="D798A1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9"/>
  </w:num>
  <w:num w:numId="16">
    <w:abstractNumId w:val="36"/>
  </w:num>
  <w:num w:numId="17">
    <w:abstractNumId w:val="25"/>
  </w:num>
  <w:num w:numId="18">
    <w:abstractNumId w:val="16"/>
  </w:num>
  <w:num w:numId="19">
    <w:abstractNumId w:val="22"/>
  </w:num>
  <w:num w:numId="20">
    <w:abstractNumId w:val="14"/>
  </w:num>
  <w:num w:numId="21">
    <w:abstractNumId w:val="21"/>
  </w:num>
  <w:num w:numId="22">
    <w:abstractNumId w:val="28"/>
  </w:num>
  <w:num w:numId="23">
    <w:abstractNumId w:val="24"/>
  </w:num>
  <w:num w:numId="24">
    <w:abstractNumId w:val="33"/>
  </w:num>
  <w:num w:numId="25">
    <w:abstractNumId w:val="23"/>
  </w:num>
  <w:num w:numId="26">
    <w:abstractNumId w:val="32"/>
  </w:num>
  <w:num w:numId="27">
    <w:abstractNumId w:val="37"/>
  </w:num>
  <w:num w:numId="28">
    <w:abstractNumId w:val="11"/>
  </w:num>
  <w:num w:numId="29">
    <w:abstractNumId w:val="29"/>
  </w:num>
  <w:num w:numId="30">
    <w:abstractNumId w:val="38"/>
  </w:num>
  <w:num w:numId="31">
    <w:abstractNumId w:val="34"/>
  </w:num>
  <w:num w:numId="32">
    <w:abstractNumId w:val="18"/>
  </w:num>
  <w:num w:numId="33">
    <w:abstractNumId w:val="30"/>
  </w:num>
  <w:num w:numId="34">
    <w:abstractNumId w:val="41"/>
  </w:num>
  <w:num w:numId="35">
    <w:abstractNumId w:val="39"/>
  </w:num>
  <w:num w:numId="36">
    <w:abstractNumId w:val="15"/>
  </w:num>
  <w:num w:numId="37">
    <w:abstractNumId w:val="27"/>
  </w:num>
  <w:num w:numId="38">
    <w:abstractNumId w:val="13"/>
  </w:num>
  <w:num w:numId="39">
    <w:abstractNumId w:val="12"/>
  </w:num>
  <w:num w:numId="40">
    <w:abstractNumId w:val="31"/>
  </w:num>
  <w:num w:numId="41">
    <w:abstractNumId w:val="40"/>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activeWritingStyle w:appName="MSWord" w:lang="en-US" w:vendorID="64" w:dllVersion="0" w:nlCheck="1" w:checkStyle="0"/>
  <w:activeWritingStyle w:appName="MSWord" w:lang="en-GB"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C7"/>
    <w:rsid w:val="00001EF4"/>
    <w:rsid w:val="00002A39"/>
    <w:rsid w:val="000036CE"/>
    <w:rsid w:val="00013889"/>
    <w:rsid w:val="0001726D"/>
    <w:rsid w:val="00017775"/>
    <w:rsid w:val="00020553"/>
    <w:rsid w:val="00030496"/>
    <w:rsid w:val="000357B3"/>
    <w:rsid w:val="000419C6"/>
    <w:rsid w:val="00046858"/>
    <w:rsid w:val="00053101"/>
    <w:rsid w:val="000536A2"/>
    <w:rsid w:val="00087128"/>
    <w:rsid w:val="00092400"/>
    <w:rsid w:val="0009513B"/>
    <w:rsid w:val="00095313"/>
    <w:rsid w:val="00095A8B"/>
    <w:rsid w:val="000A1660"/>
    <w:rsid w:val="000B3D0A"/>
    <w:rsid w:val="000B47BF"/>
    <w:rsid w:val="000B5F85"/>
    <w:rsid w:val="000C2CBC"/>
    <w:rsid w:val="000C6595"/>
    <w:rsid w:val="000C72E5"/>
    <w:rsid w:val="000D2DBA"/>
    <w:rsid w:val="000D799A"/>
    <w:rsid w:val="000F0B80"/>
    <w:rsid w:val="000F4801"/>
    <w:rsid w:val="000F4CD4"/>
    <w:rsid w:val="000F52DD"/>
    <w:rsid w:val="00100DAC"/>
    <w:rsid w:val="00111623"/>
    <w:rsid w:val="001319F4"/>
    <w:rsid w:val="00131EF4"/>
    <w:rsid w:val="001745B8"/>
    <w:rsid w:val="001748EF"/>
    <w:rsid w:val="00177249"/>
    <w:rsid w:val="00180D7E"/>
    <w:rsid w:val="001854A1"/>
    <w:rsid w:val="001920F5"/>
    <w:rsid w:val="001932DB"/>
    <w:rsid w:val="00194343"/>
    <w:rsid w:val="001961F6"/>
    <w:rsid w:val="00196BA3"/>
    <w:rsid w:val="001A64B6"/>
    <w:rsid w:val="001A7455"/>
    <w:rsid w:val="001C05FF"/>
    <w:rsid w:val="001C2B9A"/>
    <w:rsid w:val="001C600B"/>
    <w:rsid w:val="001D2A18"/>
    <w:rsid w:val="001D37F7"/>
    <w:rsid w:val="001D535E"/>
    <w:rsid w:val="001D7E82"/>
    <w:rsid w:val="001E021C"/>
    <w:rsid w:val="001E1B9E"/>
    <w:rsid w:val="001E3C3C"/>
    <w:rsid w:val="001F7B00"/>
    <w:rsid w:val="00203883"/>
    <w:rsid w:val="00210DDC"/>
    <w:rsid w:val="002275CB"/>
    <w:rsid w:val="002563DF"/>
    <w:rsid w:val="00262DAB"/>
    <w:rsid w:val="00284955"/>
    <w:rsid w:val="00285ABB"/>
    <w:rsid w:val="00290BF9"/>
    <w:rsid w:val="00294AA3"/>
    <w:rsid w:val="002962D1"/>
    <w:rsid w:val="002A6DB1"/>
    <w:rsid w:val="002B6E14"/>
    <w:rsid w:val="002B7343"/>
    <w:rsid w:val="002B7736"/>
    <w:rsid w:val="002B7DAA"/>
    <w:rsid w:val="002C3408"/>
    <w:rsid w:val="002C6976"/>
    <w:rsid w:val="002D016F"/>
    <w:rsid w:val="002D2C24"/>
    <w:rsid w:val="002D2EC0"/>
    <w:rsid w:val="002D3810"/>
    <w:rsid w:val="002E6FCD"/>
    <w:rsid w:val="002F01A7"/>
    <w:rsid w:val="002F138B"/>
    <w:rsid w:val="00303B5B"/>
    <w:rsid w:val="00304223"/>
    <w:rsid w:val="003046E4"/>
    <w:rsid w:val="0031065A"/>
    <w:rsid w:val="003108A8"/>
    <w:rsid w:val="00316384"/>
    <w:rsid w:val="00323905"/>
    <w:rsid w:val="00324BAD"/>
    <w:rsid w:val="0034186D"/>
    <w:rsid w:val="0034323F"/>
    <w:rsid w:val="00343AFC"/>
    <w:rsid w:val="00344A82"/>
    <w:rsid w:val="00347035"/>
    <w:rsid w:val="00352B64"/>
    <w:rsid w:val="0035735A"/>
    <w:rsid w:val="00362FBA"/>
    <w:rsid w:val="0037064F"/>
    <w:rsid w:val="003738E7"/>
    <w:rsid w:val="00381368"/>
    <w:rsid w:val="003817C2"/>
    <w:rsid w:val="00385B49"/>
    <w:rsid w:val="00395308"/>
    <w:rsid w:val="003A1138"/>
    <w:rsid w:val="003B13DF"/>
    <w:rsid w:val="003B2C7C"/>
    <w:rsid w:val="003B71AD"/>
    <w:rsid w:val="003C2762"/>
    <w:rsid w:val="003C3766"/>
    <w:rsid w:val="003D48C0"/>
    <w:rsid w:val="003D5040"/>
    <w:rsid w:val="003D687F"/>
    <w:rsid w:val="003D7499"/>
    <w:rsid w:val="003D79F6"/>
    <w:rsid w:val="003E2740"/>
    <w:rsid w:val="003E321E"/>
    <w:rsid w:val="003E5FEE"/>
    <w:rsid w:val="003E7F9F"/>
    <w:rsid w:val="003F26CB"/>
    <w:rsid w:val="003F4C53"/>
    <w:rsid w:val="00402D63"/>
    <w:rsid w:val="0040660D"/>
    <w:rsid w:val="00411B45"/>
    <w:rsid w:val="0041542D"/>
    <w:rsid w:val="00420469"/>
    <w:rsid w:val="00422620"/>
    <w:rsid w:val="00424007"/>
    <w:rsid w:val="0042767C"/>
    <w:rsid w:val="00431CE0"/>
    <w:rsid w:val="0043557A"/>
    <w:rsid w:val="00451405"/>
    <w:rsid w:val="00460AE7"/>
    <w:rsid w:val="0046127B"/>
    <w:rsid w:val="00464890"/>
    <w:rsid w:val="00473AB1"/>
    <w:rsid w:val="00483BD2"/>
    <w:rsid w:val="00486CE2"/>
    <w:rsid w:val="004A0AF1"/>
    <w:rsid w:val="004A15DF"/>
    <w:rsid w:val="004A7315"/>
    <w:rsid w:val="004B3217"/>
    <w:rsid w:val="004C3DA6"/>
    <w:rsid w:val="004D0B04"/>
    <w:rsid w:val="004D15EC"/>
    <w:rsid w:val="004D1CF4"/>
    <w:rsid w:val="004D273C"/>
    <w:rsid w:val="004F2112"/>
    <w:rsid w:val="004F3EDC"/>
    <w:rsid w:val="005025FE"/>
    <w:rsid w:val="00506C69"/>
    <w:rsid w:val="0050795F"/>
    <w:rsid w:val="005111E4"/>
    <w:rsid w:val="0051277C"/>
    <w:rsid w:val="00517406"/>
    <w:rsid w:val="00524B98"/>
    <w:rsid w:val="00534FA1"/>
    <w:rsid w:val="00535881"/>
    <w:rsid w:val="005369B2"/>
    <w:rsid w:val="0054729F"/>
    <w:rsid w:val="00561580"/>
    <w:rsid w:val="00566E97"/>
    <w:rsid w:val="00584DEE"/>
    <w:rsid w:val="0058543D"/>
    <w:rsid w:val="005A544E"/>
    <w:rsid w:val="005B67B8"/>
    <w:rsid w:val="005D20B1"/>
    <w:rsid w:val="005E1987"/>
    <w:rsid w:val="005E5064"/>
    <w:rsid w:val="005F5C06"/>
    <w:rsid w:val="006024E2"/>
    <w:rsid w:val="0060353F"/>
    <w:rsid w:val="00604343"/>
    <w:rsid w:val="0061599A"/>
    <w:rsid w:val="0062611D"/>
    <w:rsid w:val="0063431F"/>
    <w:rsid w:val="00635700"/>
    <w:rsid w:val="00637E2C"/>
    <w:rsid w:val="00643AC2"/>
    <w:rsid w:val="00647C19"/>
    <w:rsid w:val="0065327B"/>
    <w:rsid w:val="00656157"/>
    <w:rsid w:val="0066012B"/>
    <w:rsid w:val="00660A85"/>
    <w:rsid w:val="00665417"/>
    <w:rsid w:val="00671B15"/>
    <w:rsid w:val="00681D94"/>
    <w:rsid w:val="00682047"/>
    <w:rsid w:val="00684298"/>
    <w:rsid w:val="006928E0"/>
    <w:rsid w:val="00697076"/>
    <w:rsid w:val="006A3D64"/>
    <w:rsid w:val="006B34CD"/>
    <w:rsid w:val="006B61E2"/>
    <w:rsid w:val="006D1C1A"/>
    <w:rsid w:val="006D4609"/>
    <w:rsid w:val="006D4894"/>
    <w:rsid w:val="006E3F10"/>
    <w:rsid w:val="006F595D"/>
    <w:rsid w:val="00701AC3"/>
    <w:rsid w:val="00702D78"/>
    <w:rsid w:val="00706E1B"/>
    <w:rsid w:val="00713CBF"/>
    <w:rsid w:val="00715D87"/>
    <w:rsid w:val="00716BD5"/>
    <w:rsid w:val="0072215C"/>
    <w:rsid w:val="0073019A"/>
    <w:rsid w:val="007421EA"/>
    <w:rsid w:val="00743523"/>
    <w:rsid w:val="00755495"/>
    <w:rsid w:val="00763A9B"/>
    <w:rsid w:val="00773275"/>
    <w:rsid w:val="00781087"/>
    <w:rsid w:val="00783316"/>
    <w:rsid w:val="00794FFD"/>
    <w:rsid w:val="007A404A"/>
    <w:rsid w:val="007A7F68"/>
    <w:rsid w:val="007B4A92"/>
    <w:rsid w:val="007C02A2"/>
    <w:rsid w:val="007D0491"/>
    <w:rsid w:val="007D0A40"/>
    <w:rsid w:val="007E1B64"/>
    <w:rsid w:val="007E4F37"/>
    <w:rsid w:val="007F66CB"/>
    <w:rsid w:val="007F7797"/>
    <w:rsid w:val="007F7849"/>
    <w:rsid w:val="00800403"/>
    <w:rsid w:val="008017B4"/>
    <w:rsid w:val="00803AD5"/>
    <w:rsid w:val="00803C19"/>
    <w:rsid w:val="00804FD5"/>
    <w:rsid w:val="00816155"/>
    <w:rsid w:val="00817D32"/>
    <w:rsid w:val="008204D6"/>
    <w:rsid w:val="0082630D"/>
    <w:rsid w:val="00826FB4"/>
    <w:rsid w:val="00830BB2"/>
    <w:rsid w:val="0083577A"/>
    <w:rsid w:val="00840514"/>
    <w:rsid w:val="00843667"/>
    <w:rsid w:val="008457D8"/>
    <w:rsid w:val="00845921"/>
    <w:rsid w:val="008700F9"/>
    <w:rsid w:val="00870866"/>
    <w:rsid w:val="0087734C"/>
    <w:rsid w:val="00877D12"/>
    <w:rsid w:val="00890E6E"/>
    <w:rsid w:val="00892109"/>
    <w:rsid w:val="008B2DC9"/>
    <w:rsid w:val="008C0B07"/>
    <w:rsid w:val="008C29C3"/>
    <w:rsid w:val="008C7567"/>
    <w:rsid w:val="008D4664"/>
    <w:rsid w:val="008D63F5"/>
    <w:rsid w:val="008D7144"/>
    <w:rsid w:val="008E1BD0"/>
    <w:rsid w:val="008E37CC"/>
    <w:rsid w:val="008E5231"/>
    <w:rsid w:val="008F1D9B"/>
    <w:rsid w:val="008F568D"/>
    <w:rsid w:val="00901E7D"/>
    <w:rsid w:val="00913454"/>
    <w:rsid w:val="00916CAD"/>
    <w:rsid w:val="00927BC4"/>
    <w:rsid w:val="009324DF"/>
    <w:rsid w:val="009339B7"/>
    <w:rsid w:val="00941066"/>
    <w:rsid w:val="00947441"/>
    <w:rsid w:val="00953ED1"/>
    <w:rsid w:val="00956F76"/>
    <w:rsid w:val="009644BA"/>
    <w:rsid w:val="00964996"/>
    <w:rsid w:val="00983D55"/>
    <w:rsid w:val="009840A4"/>
    <w:rsid w:val="00986D96"/>
    <w:rsid w:val="00995F69"/>
    <w:rsid w:val="009A169C"/>
    <w:rsid w:val="009A40FF"/>
    <w:rsid w:val="009A4671"/>
    <w:rsid w:val="009A4B3D"/>
    <w:rsid w:val="009B221C"/>
    <w:rsid w:val="009B24F4"/>
    <w:rsid w:val="009B29FE"/>
    <w:rsid w:val="009B6B0F"/>
    <w:rsid w:val="009D18EF"/>
    <w:rsid w:val="009D23D2"/>
    <w:rsid w:val="009D5C0B"/>
    <w:rsid w:val="009D7457"/>
    <w:rsid w:val="009D76C8"/>
    <w:rsid w:val="009D7B94"/>
    <w:rsid w:val="009E2779"/>
    <w:rsid w:val="009F1546"/>
    <w:rsid w:val="00A0004C"/>
    <w:rsid w:val="00A005EC"/>
    <w:rsid w:val="00A05DF5"/>
    <w:rsid w:val="00A10F3F"/>
    <w:rsid w:val="00A2008A"/>
    <w:rsid w:val="00A212E5"/>
    <w:rsid w:val="00A2469C"/>
    <w:rsid w:val="00A27738"/>
    <w:rsid w:val="00A37580"/>
    <w:rsid w:val="00A43AEA"/>
    <w:rsid w:val="00A472B0"/>
    <w:rsid w:val="00A56D7C"/>
    <w:rsid w:val="00A6580C"/>
    <w:rsid w:val="00A70196"/>
    <w:rsid w:val="00A80AAE"/>
    <w:rsid w:val="00A822BD"/>
    <w:rsid w:val="00A84713"/>
    <w:rsid w:val="00A93265"/>
    <w:rsid w:val="00AA463D"/>
    <w:rsid w:val="00AB2405"/>
    <w:rsid w:val="00AC4E82"/>
    <w:rsid w:val="00AD6370"/>
    <w:rsid w:val="00AF334F"/>
    <w:rsid w:val="00AF6A7A"/>
    <w:rsid w:val="00B04D80"/>
    <w:rsid w:val="00B04EF6"/>
    <w:rsid w:val="00B07BC6"/>
    <w:rsid w:val="00B13EDC"/>
    <w:rsid w:val="00B20244"/>
    <w:rsid w:val="00B2145F"/>
    <w:rsid w:val="00B21D6F"/>
    <w:rsid w:val="00B22E53"/>
    <w:rsid w:val="00B25B0C"/>
    <w:rsid w:val="00B25D23"/>
    <w:rsid w:val="00B30DB4"/>
    <w:rsid w:val="00B336E7"/>
    <w:rsid w:val="00B34481"/>
    <w:rsid w:val="00B37A2C"/>
    <w:rsid w:val="00B46E0D"/>
    <w:rsid w:val="00B46E66"/>
    <w:rsid w:val="00B5062F"/>
    <w:rsid w:val="00B53648"/>
    <w:rsid w:val="00B546CC"/>
    <w:rsid w:val="00B65B0E"/>
    <w:rsid w:val="00B66288"/>
    <w:rsid w:val="00B721AA"/>
    <w:rsid w:val="00B722AF"/>
    <w:rsid w:val="00B75814"/>
    <w:rsid w:val="00B767D8"/>
    <w:rsid w:val="00B8695F"/>
    <w:rsid w:val="00B926F8"/>
    <w:rsid w:val="00BA0839"/>
    <w:rsid w:val="00BA2D59"/>
    <w:rsid w:val="00BA6C69"/>
    <w:rsid w:val="00BB20A0"/>
    <w:rsid w:val="00BB376F"/>
    <w:rsid w:val="00BB7A08"/>
    <w:rsid w:val="00BC1556"/>
    <w:rsid w:val="00BC7431"/>
    <w:rsid w:val="00BD44A3"/>
    <w:rsid w:val="00BF2C1C"/>
    <w:rsid w:val="00BF324B"/>
    <w:rsid w:val="00C06465"/>
    <w:rsid w:val="00C11A03"/>
    <w:rsid w:val="00C1235C"/>
    <w:rsid w:val="00C14CC7"/>
    <w:rsid w:val="00C23D6E"/>
    <w:rsid w:val="00C27B8C"/>
    <w:rsid w:val="00C37927"/>
    <w:rsid w:val="00C43612"/>
    <w:rsid w:val="00C50A27"/>
    <w:rsid w:val="00C55E13"/>
    <w:rsid w:val="00C56103"/>
    <w:rsid w:val="00C62F48"/>
    <w:rsid w:val="00C63D51"/>
    <w:rsid w:val="00C65B44"/>
    <w:rsid w:val="00C66C72"/>
    <w:rsid w:val="00C67000"/>
    <w:rsid w:val="00C836B8"/>
    <w:rsid w:val="00C86C09"/>
    <w:rsid w:val="00C87715"/>
    <w:rsid w:val="00C97A00"/>
    <w:rsid w:val="00CA041B"/>
    <w:rsid w:val="00CA75AA"/>
    <w:rsid w:val="00CA7CCD"/>
    <w:rsid w:val="00CB1EF3"/>
    <w:rsid w:val="00CB2B79"/>
    <w:rsid w:val="00CB6899"/>
    <w:rsid w:val="00CB7135"/>
    <w:rsid w:val="00CC13B6"/>
    <w:rsid w:val="00CC165B"/>
    <w:rsid w:val="00CC4624"/>
    <w:rsid w:val="00CC627D"/>
    <w:rsid w:val="00CC6D84"/>
    <w:rsid w:val="00CD0624"/>
    <w:rsid w:val="00CD0867"/>
    <w:rsid w:val="00CD55A8"/>
    <w:rsid w:val="00CE5AA8"/>
    <w:rsid w:val="00CE5D1F"/>
    <w:rsid w:val="00CE6B5A"/>
    <w:rsid w:val="00CE6FC1"/>
    <w:rsid w:val="00CE776B"/>
    <w:rsid w:val="00D0339A"/>
    <w:rsid w:val="00D036E4"/>
    <w:rsid w:val="00D22BD4"/>
    <w:rsid w:val="00D35458"/>
    <w:rsid w:val="00D3696B"/>
    <w:rsid w:val="00D36BD7"/>
    <w:rsid w:val="00D406AA"/>
    <w:rsid w:val="00D43C32"/>
    <w:rsid w:val="00D50179"/>
    <w:rsid w:val="00D53BB5"/>
    <w:rsid w:val="00D55884"/>
    <w:rsid w:val="00D55F9F"/>
    <w:rsid w:val="00D56122"/>
    <w:rsid w:val="00D67679"/>
    <w:rsid w:val="00D81EEB"/>
    <w:rsid w:val="00D84537"/>
    <w:rsid w:val="00D90745"/>
    <w:rsid w:val="00D93A0B"/>
    <w:rsid w:val="00D93C2B"/>
    <w:rsid w:val="00D94A1A"/>
    <w:rsid w:val="00DA2E90"/>
    <w:rsid w:val="00DB10D3"/>
    <w:rsid w:val="00DB4923"/>
    <w:rsid w:val="00DC647F"/>
    <w:rsid w:val="00DD435A"/>
    <w:rsid w:val="00DD5E27"/>
    <w:rsid w:val="00DD77E3"/>
    <w:rsid w:val="00DE055F"/>
    <w:rsid w:val="00DE2D68"/>
    <w:rsid w:val="00DE42B2"/>
    <w:rsid w:val="00DE4C7C"/>
    <w:rsid w:val="00DE4F66"/>
    <w:rsid w:val="00DE6609"/>
    <w:rsid w:val="00DE76AA"/>
    <w:rsid w:val="00E1256D"/>
    <w:rsid w:val="00E13CDB"/>
    <w:rsid w:val="00E21B2C"/>
    <w:rsid w:val="00E22732"/>
    <w:rsid w:val="00E3107F"/>
    <w:rsid w:val="00E32A20"/>
    <w:rsid w:val="00E332C1"/>
    <w:rsid w:val="00E371A1"/>
    <w:rsid w:val="00E474A6"/>
    <w:rsid w:val="00E47681"/>
    <w:rsid w:val="00E547D5"/>
    <w:rsid w:val="00E56313"/>
    <w:rsid w:val="00E60936"/>
    <w:rsid w:val="00E65A50"/>
    <w:rsid w:val="00E67B6B"/>
    <w:rsid w:val="00E720F4"/>
    <w:rsid w:val="00E74EFE"/>
    <w:rsid w:val="00E76D87"/>
    <w:rsid w:val="00E92FBA"/>
    <w:rsid w:val="00EA23BE"/>
    <w:rsid w:val="00EA4AE9"/>
    <w:rsid w:val="00EA52AE"/>
    <w:rsid w:val="00EA55F0"/>
    <w:rsid w:val="00EA6C1D"/>
    <w:rsid w:val="00EB6047"/>
    <w:rsid w:val="00EC7FF6"/>
    <w:rsid w:val="00EF06A1"/>
    <w:rsid w:val="00EF099B"/>
    <w:rsid w:val="00EF4FCB"/>
    <w:rsid w:val="00F06168"/>
    <w:rsid w:val="00F1148D"/>
    <w:rsid w:val="00F1799D"/>
    <w:rsid w:val="00F32D47"/>
    <w:rsid w:val="00F358B2"/>
    <w:rsid w:val="00F4118B"/>
    <w:rsid w:val="00F44619"/>
    <w:rsid w:val="00F45551"/>
    <w:rsid w:val="00F602A5"/>
    <w:rsid w:val="00F67077"/>
    <w:rsid w:val="00F8396A"/>
    <w:rsid w:val="00F94FB7"/>
    <w:rsid w:val="00F96D44"/>
    <w:rsid w:val="00FB6376"/>
    <w:rsid w:val="00FC0F01"/>
    <w:rsid w:val="00FC1D6D"/>
    <w:rsid w:val="00FC5F0D"/>
    <w:rsid w:val="00FD5EFD"/>
    <w:rsid w:val="00FE0625"/>
    <w:rsid w:val="00FE6C70"/>
    <w:rsid w:val="00FF074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apple-converted-space">
    <w:name w:val="apple-converted-space"/>
    <w:basedOn w:val="DefaultParagraphFont"/>
    <w:rsid w:val="002B7343"/>
  </w:style>
  <w:style w:type="paragraph" w:customStyle="1" w:styleId="p1">
    <w:name w:val="p1"/>
    <w:basedOn w:val="Normal"/>
    <w:rsid w:val="002B7343"/>
    <w:pPr>
      <w:spacing w:after="0"/>
    </w:pPr>
    <w:rPr>
      <w:rFonts w:ascii="Calibri" w:hAnsi="Calibri" w:cs="Times New Roman"/>
      <w:spacing w:val="0"/>
      <w:sz w:val="16"/>
      <w:szCs w:val="16"/>
      <w:lang w:val="en-GB" w:eastAsia="en-GB"/>
    </w:rPr>
  </w:style>
  <w:style w:type="paragraph" w:customStyle="1" w:styleId="p2">
    <w:name w:val="p2"/>
    <w:basedOn w:val="Normal"/>
    <w:rsid w:val="002B7343"/>
    <w:pPr>
      <w:spacing w:after="0"/>
    </w:pPr>
    <w:rPr>
      <w:rFonts w:ascii="Calibri" w:hAnsi="Calibri" w:cs="Times New Roman"/>
      <w:spacing w:val="0"/>
      <w:sz w:val="16"/>
      <w:szCs w:val="16"/>
      <w:lang w:val="en-GB" w:eastAsia="en-GB"/>
    </w:rPr>
  </w:style>
  <w:style w:type="character" w:customStyle="1" w:styleId="s1">
    <w:name w:val="s1"/>
    <w:basedOn w:val="DefaultParagraphFont"/>
    <w:rsid w:val="002B7343"/>
    <w:rPr>
      <w:rFonts w:ascii="Arial" w:hAnsi="Arial" w:cs="Arial" w:hint="default"/>
      <w:sz w:val="15"/>
      <w:szCs w:val="15"/>
    </w:rPr>
  </w:style>
  <w:style w:type="paragraph" w:styleId="ListParagraph">
    <w:name w:val="List Paragraph"/>
    <w:basedOn w:val="Normal"/>
    <w:uiPriority w:val="34"/>
    <w:qFormat/>
    <w:rsid w:val="00D93C2B"/>
    <w:pPr>
      <w:ind w:left="720"/>
      <w:contextualSpacing/>
    </w:pPr>
  </w:style>
  <w:style w:type="paragraph" w:styleId="TOC3">
    <w:name w:val="toc 3"/>
    <w:basedOn w:val="Normal"/>
    <w:next w:val="Normal"/>
    <w:autoRedefine/>
    <w:uiPriority w:val="39"/>
    <w:unhideWhenUsed/>
    <w:rsid w:val="004B3217"/>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apple-converted-space">
    <w:name w:val="apple-converted-space"/>
    <w:basedOn w:val="DefaultParagraphFont"/>
    <w:rsid w:val="002B7343"/>
  </w:style>
  <w:style w:type="paragraph" w:customStyle="1" w:styleId="p1">
    <w:name w:val="p1"/>
    <w:basedOn w:val="Normal"/>
    <w:rsid w:val="002B7343"/>
    <w:pPr>
      <w:spacing w:after="0"/>
    </w:pPr>
    <w:rPr>
      <w:rFonts w:ascii="Calibri" w:hAnsi="Calibri" w:cs="Times New Roman"/>
      <w:spacing w:val="0"/>
      <w:sz w:val="16"/>
      <w:szCs w:val="16"/>
      <w:lang w:val="en-GB" w:eastAsia="en-GB"/>
    </w:rPr>
  </w:style>
  <w:style w:type="paragraph" w:customStyle="1" w:styleId="p2">
    <w:name w:val="p2"/>
    <w:basedOn w:val="Normal"/>
    <w:rsid w:val="002B7343"/>
    <w:pPr>
      <w:spacing w:after="0"/>
    </w:pPr>
    <w:rPr>
      <w:rFonts w:ascii="Calibri" w:hAnsi="Calibri" w:cs="Times New Roman"/>
      <w:spacing w:val="0"/>
      <w:sz w:val="16"/>
      <w:szCs w:val="16"/>
      <w:lang w:val="en-GB" w:eastAsia="en-GB"/>
    </w:rPr>
  </w:style>
  <w:style w:type="character" w:customStyle="1" w:styleId="s1">
    <w:name w:val="s1"/>
    <w:basedOn w:val="DefaultParagraphFont"/>
    <w:rsid w:val="002B7343"/>
    <w:rPr>
      <w:rFonts w:ascii="Arial" w:hAnsi="Arial" w:cs="Arial" w:hint="default"/>
      <w:sz w:val="15"/>
      <w:szCs w:val="15"/>
    </w:rPr>
  </w:style>
  <w:style w:type="paragraph" w:styleId="ListParagraph">
    <w:name w:val="List Paragraph"/>
    <w:basedOn w:val="Normal"/>
    <w:uiPriority w:val="34"/>
    <w:qFormat/>
    <w:rsid w:val="00D93C2B"/>
    <w:pPr>
      <w:ind w:left="720"/>
      <w:contextualSpacing/>
    </w:pPr>
  </w:style>
  <w:style w:type="paragraph" w:styleId="TOC3">
    <w:name w:val="toc 3"/>
    <w:basedOn w:val="Normal"/>
    <w:next w:val="Normal"/>
    <w:autoRedefine/>
    <w:uiPriority w:val="39"/>
    <w:unhideWhenUsed/>
    <w:rsid w:val="004B3217"/>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532">
      <w:bodyDiv w:val="1"/>
      <w:marLeft w:val="0"/>
      <w:marRight w:val="0"/>
      <w:marTop w:val="0"/>
      <w:marBottom w:val="0"/>
      <w:divBdr>
        <w:top w:val="none" w:sz="0" w:space="0" w:color="auto"/>
        <w:left w:val="none" w:sz="0" w:space="0" w:color="auto"/>
        <w:bottom w:val="none" w:sz="0" w:space="0" w:color="auto"/>
        <w:right w:val="none" w:sz="0" w:space="0" w:color="auto"/>
      </w:divBdr>
    </w:div>
    <w:div w:id="43065008">
      <w:bodyDiv w:val="1"/>
      <w:marLeft w:val="0"/>
      <w:marRight w:val="0"/>
      <w:marTop w:val="0"/>
      <w:marBottom w:val="0"/>
      <w:divBdr>
        <w:top w:val="none" w:sz="0" w:space="0" w:color="auto"/>
        <w:left w:val="none" w:sz="0" w:space="0" w:color="auto"/>
        <w:bottom w:val="none" w:sz="0" w:space="0" w:color="auto"/>
        <w:right w:val="none" w:sz="0" w:space="0" w:color="auto"/>
      </w:divBdr>
    </w:div>
    <w:div w:id="69086433">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124276336">
      <w:bodyDiv w:val="1"/>
      <w:marLeft w:val="0"/>
      <w:marRight w:val="0"/>
      <w:marTop w:val="0"/>
      <w:marBottom w:val="0"/>
      <w:divBdr>
        <w:top w:val="none" w:sz="0" w:space="0" w:color="auto"/>
        <w:left w:val="none" w:sz="0" w:space="0" w:color="auto"/>
        <w:bottom w:val="none" w:sz="0" w:space="0" w:color="auto"/>
        <w:right w:val="none" w:sz="0" w:space="0" w:color="auto"/>
      </w:divBdr>
    </w:div>
    <w:div w:id="126632715">
      <w:bodyDiv w:val="1"/>
      <w:marLeft w:val="0"/>
      <w:marRight w:val="0"/>
      <w:marTop w:val="0"/>
      <w:marBottom w:val="0"/>
      <w:divBdr>
        <w:top w:val="none" w:sz="0" w:space="0" w:color="auto"/>
        <w:left w:val="none" w:sz="0" w:space="0" w:color="auto"/>
        <w:bottom w:val="none" w:sz="0" w:space="0" w:color="auto"/>
        <w:right w:val="none" w:sz="0" w:space="0" w:color="auto"/>
      </w:divBdr>
    </w:div>
    <w:div w:id="145707839">
      <w:bodyDiv w:val="1"/>
      <w:marLeft w:val="0"/>
      <w:marRight w:val="0"/>
      <w:marTop w:val="0"/>
      <w:marBottom w:val="0"/>
      <w:divBdr>
        <w:top w:val="none" w:sz="0" w:space="0" w:color="auto"/>
        <w:left w:val="none" w:sz="0" w:space="0" w:color="auto"/>
        <w:bottom w:val="none" w:sz="0" w:space="0" w:color="auto"/>
        <w:right w:val="none" w:sz="0" w:space="0" w:color="auto"/>
      </w:divBdr>
    </w:div>
    <w:div w:id="171842379">
      <w:bodyDiv w:val="1"/>
      <w:marLeft w:val="0"/>
      <w:marRight w:val="0"/>
      <w:marTop w:val="0"/>
      <w:marBottom w:val="0"/>
      <w:divBdr>
        <w:top w:val="none" w:sz="0" w:space="0" w:color="auto"/>
        <w:left w:val="none" w:sz="0" w:space="0" w:color="auto"/>
        <w:bottom w:val="none" w:sz="0" w:space="0" w:color="auto"/>
        <w:right w:val="none" w:sz="0" w:space="0" w:color="auto"/>
      </w:divBdr>
    </w:div>
    <w:div w:id="209266194">
      <w:bodyDiv w:val="1"/>
      <w:marLeft w:val="0"/>
      <w:marRight w:val="0"/>
      <w:marTop w:val="0"/>
      <w:marBottom w:val="0"/>
      <w:divBdr>
        <w:top w:val="none" w:sz="0" w:space="0" w:color="auto"/>
        <w:left w:val="none" w:sz="0" w:space="0" w:color="auto"/>
        <w:bottom w:val="none" w:sz="0" w:space="0" w:color="auto"/>
        <w:right w:val="none" w:sz="0" w:space="0" w:color="auto"/>
      </w:divBdr>
    </w:div>
    <w:div w:id="214318050">
      <w:bodyDiv w:val="1"/>
      <w:marLeft w:val="0"/>
      <w:marRight w:val="0"/>
      <w:marTop w:val="0"/>
      <w:marBottom w:val="0"/>
      <w:divBdr>
        <w:top w:val="none" w:sz="0" w:space="0" w:color="auto"/>
        <w:left w:val="none" w:sz="0" w:space="0" w:color="auto"/>
        <w:bottom w:val="none" w:sz="0" w:space="0" w:color="auto"/>
        <w:right w:val="none" w:sz="0" w:space="0" w:color="auto"/>
      </w:divBdr>
    </w:div>
    <w:div w:id="222644219">
      <w:bodyDiv w:val="1"/>
      <w:marLeft w:val="0"/>
      <w:marRight w:val="0"/>
      <w:marTop w:val="0"/>
      <w:marBottom w:val="0"/>
      <w:divBdr>
        <w:top w:val="none" w:sz="0" w:space="0" w:color="auto"/>
        <w:left w:val="none" w:sz="0" w:space="0" w:color="auto"/>
        <w:bottom w:val="none" w:sz="0" w:space="0" w:color="auto"/>
        <w:right w:val="none" w:sz="0" w:space="0" w:color="auto"/>
      </w:divBdr>
    </w:div>
    <w:div w:id="274992586">
      <w:bodyDiv w:val="1"/>
      <w:marLeft w:val="0"/>
      <w:marRight w:val="0"/>
      <w:marTop w:val="0"/>
      <w:marBottom w:val="0"/>
      <w:divBdr>
        <w:top w:val="none" w:sz="0" w:space="0" w:color="auto"/>
        <w:left w:val="none" w:sz="0" w:space="0" w:color="auto"/>
        <w:bottom w:val="none" w:sz="0" w:space="0" w:color="auto"/>
        <w:right w:val="none" w:sz="0" w:space="0" w:color="auto"/>
      </w:divBdr>
    </w:div>
    <w:div w:id="346446036">
      <w:bodyDiv w:val="1"/>
      <w:marLeft w:val="0"/>
      <w:marRight w:val="0"/>
      <w:marTop w:val="0"/>
      <w:marBottom w:val="0"/>
      <w:divBdr>
        <w:top w:val="none" w:sz="0" w:space="0" w:color="auto"/>
        <w:left w:val="none" w:sz="0" w:space="0" w:color="auto"/>
        <w:bottom w:val="none" w:sz="0" w:space="0" w:color="auto"/>
        <w:right w:val="none" w:sz="0" w:space="0" w:color="auto"/>
      </w:divBdr>
    </w:div>
    <w:div w:id="376249130">
      <w:bodyDiv w:val="1"/>
      <w:marLeft w:val="0"/>
      <w:marRight w:val="0"/>
      <w:marTop w:val="0"/>
      <w:marBottom w:val="0"/>
      <w:divBdr>
        <w:top w:val="none" w:sz="0" w:space="0" w:color="auto"/>
        <w:left w:val="none" w:sz="0" w:space="0" w:color="auto"/>
        <w:bottom w:val="none" w:sz="0" w:space="0" w:color="auto"/>
        <w:right w:val="none" w:sz="0" w:space="0" w:color="auto"/>
      </w:divBdr>
    </w:div>
    <w:div w:id="380791296">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26338044">
      <w:bodyDiv w:val="1"/>
      <w:marLeft w:val="0"/>
      <w:marRight w:val="0"/>
      <w:marTop w:val="0"/>
      <w:marBottom w:val="0"/>
      <w:divBdr>
        <w:top w:val="none" w:sz="0" w:space="0" w:color="auto"/>
        <w:left w:val="none" w:sz="0" w:space="0" w:color="auto"/>
        <w:bottom w:val="none" w:sz="0" w:space="0" w:color="auto"/>
        <w:right w:val="none" w:sz="0" w:space="0" w:color="auto"/>
      </w:divBdr>
    </w:div>
    <w:div w:id="533545549">
      <w:bodyDiv w:val="1"/>
      <w:marLeft w:val="0"/>
      <w:marRight w:val="0"/>
      <w:marTop w:val="0"/>
      <w:marBottom w:val="0"/>
      <w:divBdr>
        <w:top w:val="none" w:sz="0" w:space="0" w:color="auto"/>
        <w:left w:val="none" w:sz="0" w:space="0" w:color="auto"/>
        <w:bottom w:val="none" w:sz="0" w:space="0" w:color="auto"/>
        <w:right w:val="none" w:sz="0" w:space="0" w:color="auto"/>
      </w:divBdr>
    </w:div>
    <w:div w:id="547374795">
      <w:bodyDiv w:val="1"/>
      <w:marLeft w:val="0"/>
      <w:marRight w:val="0"/>
      <w:marTop w:val="0"/>
      <w:marBottom w:val="0"/>
      <w:divBdr>
        <w:top w:val="none" w:sz="0" w:space="0" w:color="auto"/>
        <w:left w:val="none" w:sz="0" w:space="0" w:color="auto"/>
        <w:bottom w:val="none" w:sz="0" w:space="0" w:color="auto"/>
        <w:right w:val="none" w:sz="0" w:space="0" w:color="auto"/>
      </w:divBdr>
    </w:div>
    <w:div w:id="615480710">
      <w:bodyDiv w:val="1"/>
      <w:marLeft w:val="0"/>
      <w:marRight w:val="0"/>
      <w:marTop w:val="0"/>
      <w:marBottom w:val="0"/>
      <w:divBdr>
        <w:top w:val="none" w:sz="0" w:space="0" w:color="auto"/>
        <w:left w:val="none" w:sz="0" w:space="0" w:color="auto"/>
        <w:bottom w:val="none" w:sz="0" w:space="0" w:color="auto"/>
        <w:right w:val="none" w:sz="0" w:space="0" w:color="auto"/>
      </w:divBdr>
    </w:div>
    <w:div w:id="731201582">
      <w:bodyDiv w:val="1"/>
      <w:marLeft w:val="0"/>
      <w:marRight w:val="0"/>
      <w:marTop w:val="0"/>
      <w:marBottom w:val="0"/>
      <w:divBdr>
        <w:top w:val="none" w:sz="0" w:space="0" w:color="auto"/>
        <w:left w:val="none" w:sz="0" w:space="0" w:color="auto"/>
        <w:bottom w:val="none" w:sz="0" w:space="0" w:color="auto"/>
        <w:right w:val="none" w:sz="0" w:space="0" w:color="auto"/>
      </w:divBdr>
    </w:div>
    <w:div w:id="790785239">
      <w:bodyDiv w:val="1"/>
      <w:marLeft w:val="0"/>
      <w:marRight w:val="0"/>
      <w:marTop w:val="0"/>
      <w:marBottom w:val="0"/>
      <w:divBdr>
        <w:top w:val="none" w:sz="0" w:space="0" w:color="auto"/>
        <w:left w:val="none" w:sz="0" w:space="0" w:color="auto"/>
        <w:bottom w:val="none" w:sz="0" w:space="0" w:color="auto"/>
        <w:right w:val="none" w:sz="0" w:space="0" w:color="auto"/>
      </w:divBdr>
    </w:div>
    <w:div w:id="800540118">
      <w:bodyDiv w:val="1"/>
      <w:marLeft w:val="0"/>
      <w:marRight w:val="0"/>
      <w:marTop w:val="0"/>
      <w:marBottom w:val="0"/>
      <w:divBdr>
        <w:top w:val="none" w:sz="0" w:space="0" w:color="auto"/>
        <w:left w:val="none" w:sz="0" w:space="0" w:color="auto"/>
        <w:bottom w:val="none" w:sz="0" w:space="0" w:color="auto"/>
        <w:right w:val="none" w:sz="0" w:space="0" w:color="auto"/>
      </w:divBdr>
    </w:div>
    <w:div w:id="894588500">
      <w:bodyDiv w:val="1"/>
      <w:marLeft w:val="0"/>
      <w:marRight w:val="0"/>
      <w:marTop w:val="0"/>
      <w:marBottom w:val="0"/>
      <w:divBdr>
        <w:top w:val="none" w:sz="0" w:space="0" w:color="auto"/>
        <w:left w:val="none" w:sz="0" w:space="0" w:color="auto"/>
        <w:bottom w:val="none" w:sz="0" w:space="0" w:color="auto"/>
        <w:right w:val="none" w:sz="0" w:space="0" w:color="auto"/>
      </w:divBdr>
    </w:div>
    <w:div w:id="952250370">
      <w:bodyDiv w:val="1"/>
      <w:marLeft w:val="0"/>
      <w:marRight w:val="0"/>
      <w:marTop w:val="0"/>
      <w:marBottom w:val="0"/>
      <w:divBdr>
        <w:top w:val="none" w:sz="0" w:space="0" w:color="auto"/>
        <w:left w:val="none" w:sz="0" w:space="0" w:color="auto"/>
        <w:bottom w:val="none" w:sz="0" w:space="0" w:color="auto"/>
        <w:right w:val="none" w:sz="0" w:space="0" w:color="auto"/>
      </w:divBdr>
    </w:div>
    <w:div w:id="958099238">
      <w:bodyDiv w:val="1"/>
      <w:marLeft w:val="0"/>
      <w:marRight w:val="0"/>
      <w:marTop w:val="0"/>
      <w:marBottom w:val="0"/>
      <w:divBdr>
        <w:top w:val="none" w:sz="0" w:space="0" w:color="auto"/>
        <w:left w:val="none" w:sz="0" w:space="0" w:color="auto"/>
        <w:bottom w:val="none" w:sz="0" w:space="0" w:color="auto"/>
        <w:right w:val="none" w:sz="0" w:space="0" w:color="auto"/>
      </w:divBdr>
    </w:div>
    <w:div w:id="965963935">
      <w:bodyDiv w:val="1"/>
      <w:marLeft w:val="0"/>
      <w:marRight w:val="0"/>
      <w:marTop w:val="0"/>
      <w:marBottom w:val="0"/>
      <w:divBdr>
        <w:top w:val="none" w:sz="0" w:space="0" w:color="auto"/>
        <w:left w:val="none" w:sz="0" w:space="0" w:color="auto"/>
        <w:bottom w:val="none" w:sz="0" w:space="0" w:color="auto"/>
        <w:right w:val="none" w:sz="0" w:space="0" w:color="auto"/>
      </w:divBdr>
    </w:div>
    <w:div w:id="967128838">
      <w:bodyDiv w:val="1"/>
      <w:marLeft w:val="0"/>
      <w:marRight w:val="0"/>
      <w:marTop w:val="0"/>
      <w:marBottom w:val="0"/>
      <w:divBdr>
        <w:top w:val="none" w:sz="0" w:space="0" w:color="auto"/>
        <w:left w:val="none" w:sz="0" w:space="0" w:color="auto"/>
        <w:bottom w:val="none" w:sz="0" w:space="0" w:color="auto"/>
        <w:right w:val="none" w:sz="0" w:space="0" w:color="auto"/>
      </w:divBdr>
    </w:div>
    <w:div w:id="982389863">
      <w:bodyDiv w:val="1"/>
      <w:marLeft w:val="0"/>
      <w:marRight w:val="0"/>
      <w:marTop w:val="0"/>
      <w:marBottom w:val="0"/>
      <w:divBdr>
        <w:top w:val="none" w:sz="0" w:space="0" w:color="auto"/>
        <w:left w:val="none" w:sz="0" w:space="0" w:color="auto"/>
        <w:bottom w:val="none" w:sz="0" w:space="0" w:color="auto"/>
        <w:right w:val="none" w:sz="0" w:space="0" w:color="auto"/>
      </w:divBdr>
    </w:div>
    <w:div w:id="1021316674">
      <w:bodyDiv w:val="1"/>
      <w:marLeft w:val="0"/>
      <w:marRight w:val="0"/>
      <w:marTop w:val="0"/>
      <w:marBottom w:val="0"/>
      <w:divBdr>
        <w:top w:val="none" w:sz="0" w:space="0" w:color="auto"/>
        <w:left w:val="none" w:sz="0" w:space="0" w:color="auto"/>
        <w:bottom w:val="none" w:sz="0" w:space="0" w:color="auto"/>
        <w:right w:val="none" w:sz="0" w:space="0" w:color="auto"/>
      </w:divBdr>
    </w:div>
    <w:div w:id="1105920939">
      <w:bodyDiv w:val="1"/>
      <w:marLeft w:val="0"/>
      <w:marRight w:val="0"/>
      <w:marTop w:val="0"/>
      <w:marBottom w:val="0"/>
      <w:divBdr>
        <w:top w:val="none" w:sz="0" w:space="0" w:color="auto"/>
        <w:left w:val="none" w:sz="0" w:space="0" w:color="auto"/>
        <w:bottom w:val="none" w:sz="0" w:space="0" w:color="auto"/>
        <w:right w:val="none" w:sz="0" w:space="0" w:color="auto"/>
      </w:divBdr>
    </w:div>
    <w:div w:id="1120760900">
      <w:bodyDiv w:val="1"/>
      <w:marLeft w:val="0"/>
      <w:marRight w:val="0"/>
      <w:marTop w:val="0"/>
      <w:marBottom w:val="0"/>
      <w:divBdr>
        <w:top w:val="none" w:sz="0" w:space="0" w:color="auto"/>
        <w:left w:val="none" w:sz="0" w:space="0" w:color="auto"/>
        <w:bottom w:val="none" w:sz="0" w:space="0" w:color="auto"/>
        <w:right w:val="none" w:sz="0" w:space="0" w:color="auto"/>
      </w:divBdr>
    </w:div>
    <w:div w:id="1122189428">
      <w:bodyDiv w:val="1"/>
      <w:marLeft w:val="0"/>
      <w:marRight w:val="0"/>
      <w:marTop w:val="0"/>
      <w:marBottom w:val="0"/>
      <w:divBdr>
        <w:top w:val="none" w:sz="0" w:space="0" w:color="auto"/>
        <w:left w:val="none" w:sz="0" w:space="0" w:color="auto"/>
        <w:bottom w:val="none" w:sz="0" w:space="0" w:color="auto"/>
        <w:right w:val="none" w:sz="0" w:space="0" w:color="auto"/>
      </w:divBdr>
    </w:div>
    <w:div w:id="1134523068">
      <w:bodyDiv w:val="1"/>
      <w:marLeft w:val="0"/>
      <w:marRight w:val="0"/>
      <w:marTop w:val="0"/>
      <w:marBottom w:val="0"/>
      <w:divBdr>
        <w:top w:val="none" w:sz="0" w:space="0" w:color="auto"/>
        <w:left w:val="none" w:sz="0" w:space="0" w:color="auto"/>
        <w:bottom w:val="none" w:sz="0" w:space="0" w:color="auto"/>
        <w:right w:val="none" w:sz="0" w:space="0" w:color="auto"/>
      </w:divBdr>
    </w:div>
    <w:div w:id="1166824363">
      <w:bodyDiv w:val="1"/>
      <w:marLeft w:val="0"/>
      <w:marRight w:val="0"/>
      <w:marTop w:val="0"/>
      <w:marBottom w:val="0"/>
      <w:divBdr>
        <w:top w:val="none" w:sz="0" w:space="0" w:color="auto"/>
        <w:left w:val="none" w:sz="0" w:space="0" w:color="auto"/>
        <w:bottom w:val="none" w:sz="0" w:space="0" w:color="auto"/>
        <w:right w:val="none" w:sz="0" w:space="0" w:color="auto"/>
      </w:divBdr>
    </w:div>
    <w:div w:id="1257978394">
      <w:bodyDiv w:val="1"/>
      <w:marLeft w:val="0"/>
      <w:marRight w:val="0"/>
      <w:marTop w:val="0"/>
      <w:marBottom w:val="0"/>
      <w:divBdr>
        <w:top w:val="none" w:sz="0" w:space="0" w:color="auto"/>
        <w:left w:val="none" w:sz="0" w:space="0" w:color="auto"/>
        <w:bottom w:val="none" w:sz="0" w:space="0" w:color="auto"/>
        <w:right w:val="none" w:sz="0" w:space="0" w:color="auto"/>
      </w:divBdr>
    </w:div>
    <w:div w:id="1304194541">
      <w:bodyDiv w:val="1"/>
      <w:marLeft w:val="0"/>
      <w:marRight w:val="0"/>
      <w:marTop w:val="0"/>
      <w:marBottom w:val="0"/>
      <w:divBdr>
        <w:top w:val="none" w:sz="0" w:space="0" w:color="auto"/>
        <w:left w:val="none" w:sz="0" w:space="0" w:color="auto"/>
        <w:bottom w:val="none" w:sz="0" w:space="0" w:color="auto"/>
        <w:right w:val="none" w:sz="0" w:space="0" w:color="auto"/>
      </w:divBdr>
    </w:div>
    <w:div w:id="1310401769">
      <w:bodyDiv w:val="1"/>
      <w:marLeft w:val="0"/>
      <w:marRight w:val="0"/>
      <w:marTop w:val="0"/>
      <w:marBottom w:val="0"/>
      <w:divBdr>
        <w:top w:val="none" w:sz="0" w:space="0" w:color="auto"/>
        <w:left w:val="none" w:sz="0" w:space="0" w:color="auto"/>
        <w:bottom w:val="none" w:sz="0" w:space="0" w:color="auto"/>
        <w:right w:val="none" w:sz="0" w:space="0" w:color="auto"/>
      </w:divBdr>
    </w:div>
    <w:div w:id="1333870444">
      <w:bodyDiv w:val="1"/>
      <w:marLeft w:val="0"/>
      <w:marRight w:val="0"/>
      <w:marTop w:val="0"/>
      <w:marBottom w:val="0"/>
      <w:divBdr>
        <w:top w:val="none" w:sz="0" w:space="0" w:color="auto"/>
        <w:left w:val="none" w:sz="0" w:space="0" w:color="auto"/>
        <w:bottom w:val="none" w:sz="0" w:space="0" w:color="auto"/>
        <w:right w:val="none" w:sz="0" w:space="0" w:color="auto"/>
      </w:divBdr>
    </w:div>
    <w:div w:id="1339892512">
      <w:bodyDiv w:val="1"/>
      <w:marLeft w:val="0"/>
      <w:marRight w:val="0"/>
      <w:marTop w:val="0"/>
      <w:marBottom w:val="0"/>
      <w:divBdr>
        <w:top w:val="none" w:sz="0" w:space="0" w:color="auto"/>
        <w:left w:val="none" w:sz="0" w:space="0" w:color="auto"/>
        <w:bottom w:val="none" w:sz="0" w:space="0" w:color="auto"/>
        <w:right w:val="none" w:sz="0" w:space="0" w:color="auto"/>
      </w:divBdr>
    </w:div>
    <w:div w:id="1342930770">
      <w:bodyDiv w:val="1"/>
      <w:marLeft w:val="0"/>
      <w:marRight w:val="0"/>
      <w:marTop w:val="0"/>
      <w:marBottom w:val="0"/>
      <w:divBdr>
        <w:top w:val="none" w:sz="0" w:space="0" w:color="auto"/>
        <w:left w:val="none" w:sz="0" w:space="0" w:color="auto"/>
        <w:bottom w:val="none" w:sz="0" w:space="0" w:color="auto"/>
        <w:right w:val="none" w:sz="0" w:space="0" w:color="auto"/>
      </w:divBdr>
    </w:div>
    <w:div w:id="1390301994">
      <w:bodyDiv w:val="1"/>
      <w:marLeft w:val="0"/>
      <w:marRight w:val="0"/>
      <w:marTop w:val="0"/>
      <w:marBottom w:val="0"/>
      <w:divBdr>
        <w:top w:val="none" w:sz="0" w:space="0" w:color="auto"/>
        <w:left w:val="none" w:sz="0" w:space="0" w:color="auto"/>
        <w:bottom w:val="none" w:sz="0" w:space="0" w:color="auto"/>
        <w:right w:val="none" w:sz="0" w:space="0" w:color="auto"/>
      </w:divBdr>
    </w:div>
    <w:div w:id="1403260504">
      <w:bodyDiv w:val="1"/>
      <w:marLeft w:val="0"/>
      <w:marRight w:val="0"/>
      <w:marTop w:val="0"/>
      <w:marBottom w:val="0"/>
      <w:divBdr>
        <w:top w:val="none" w:sz="0" w:space="0" w:color="auto"/>
        <w:left w:val="none" w:sz="0" w:space="0" w:color="auto"/>
        <w:bottom w:val="none" w:sz="0" w:space="0" w:color="auto"/>
        <w:right w:val="none" w:sz="0" w:space="0" w:color="auto"/>
      </w:divBdr>
    </w:div>
    <w:div w:id="1415393256">
      <w:bodyDiv w:val="1"/>
      <w:marLeft w:val="0"/>
      <w:marRight w:val="0"/>
      <w:marTop w:val="0"/>
      <w:marBottom w:val="0"/>
      <w:divBdr>
        <w:top w:val="none" w:sz="0" w:space="0" w:color="auto"/>
        <w:left w:val="none" w:sz="0" w:space="0" w:color="auto"/>
        <w:bottom w:val="none" w:sz="0" w:space="0" w:color="auto"/>
        <w:right w:val="none" w:sz="0" w:space="0" w:color="auto"/>
      </w:divBdr>
    </w:div>
    <w:div w:id="1416786282">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488090983">
      <w:bodyDiv w:val="1"/>
      <w:marLeft w:val="0"/>
      <w:marRight w:val="0"/>
      <w:marTop w:val="0"/>
      <w:marBottom w:val="0"/>
      <w:divBdr>
        <w:top w:val="none" w:sz="0" w:space="0" w:color="auto"/>
        <w:left w:val="none" w:sz="0" w:space="0" w:color="auto"/>
        <w:bottom w:val="none" w:sz="0" w:space="0" w:color="auto"/>
        <w:right w:val="none" w:sz="0" w:space="0" w:color="auto"/>
      </w:divBdr>
    </w:div>
    <w:div w:id="1489177180">
      <w:bodyDiv w:val="1"/>
      <w:marLeft w:val="0"/>
      <w:marRight w:val="0"/>
      <w:marTop w:val="0"/>
      <w:marBottom w:val="0"/>
      <w:divBdr>
        <w:top w:val="none" w:sz="0" w:space="0" w:color="auto"/>
        <w:left w:val="none" w:sz="0" w:space="0" w:color="auto"/>
        <w:bottom w:val="none" w:sz="0" w:space="0" w:color="auto"/>
        <w:right w:val="none" w:sz="0" w:space="0" w:color="auto"/>
      </w:divBdr>
    </w:div>
    <w:div w:id="1492022870">
      <w:bodyDiv w:val="1"/>
      <w:marLeft w:val="0"/>
      <w:marRight w:val="0"/>
      <w:marTop w:val="0"/>
      <w:marBottom w:val="0"/>
      <w:divBdr>
        <w:top w:val="none" w:sz="0" w:space="0" w:color="auto"/>
        <w:left w:val="none" w:sz="0" w:space="0" w:color="auto"/>
        <w:bottom w:val="none" w:sz="0" w:space="0" w:color="auto"/>
        <w:right w:val="none" w:sz="0" w:space="0" w:color="auto"/>
      </w:divBdr>
    </w:div>
    <w:div w:id="1514418088">
      <w:bodyDiv w:val="1"/>
      <w:marLeft w:val="0"/>
      <w:marRight w:val="0"/>
      <w:marTop w:val="0"/>
      <w:marBottom w:val="0"/>
      <w:divBdr>
        <w:top w:val="none" w:sz="0" w:space="0" w:color="auto"/>
        <w:left w:val="none" w:sz="0" w:space="0" w:color="auto"/>
        <w:bottom w:val="none" w:sz="0" w:space="0" w:color="auto"/>
        <w:right w:val="none" w:sz="0" w:space="0" w:color="auto"/>
      </w:divBdr>
    </w:div>
    <w:div w:id="1518344414">
      <w:bodyDiv w:val="1"/>
      <w:marLeft w:val="0"/>
      <w:marRight w:val="0"/>
      <w:marTop w:val="0"/>
      <w:marBottom w:val="0"/>
      <w:divBdr>
        <w:top w:val="none" w:sz="0" w:space="0" w:color="auto"/>
        <w:left w:val="none" w:sz="0" w:space="0" w:color="auto"/>
        <w:bottom w:val="none" w:sz="0" w:space="0" w:color="auto"/>
        <w:right w:val="none" w:sz="0" w:space="0" w:color="auto"/>
      </w:divBdr>
    </w:div>
    <w:div w:id="1530680278">
      <w:bodyDiv w:val="1"/>
      <w:marLeft w:val="0"/>
      <w:marRight w:val="0"/>
      <w:marTop w:val="0"/>
      <w:marBottom w:val="0"/>
      <w:divBdr>
        <w:top w:val="none" w:sz="0" w:space="0" w:color="auto"/>
        <w:left w:val="none" w:sz="0" w:space="0" w:color="auto"/>
        <w:bottom w:val="none" w:sz="0" w:space="0" w:color="auto"/>
        <w:right w:val="none" w:sz="0" w:space="0" w:color="auto"/>
      </w:divBdr>
    </w:div>
    <w:div w:id="1535003230">
      <w:bodyDiv w:val="1"/>
      <w:marLeft w:val="0"/>
      <w:marRight w:val="0"/>
      <w:marTop w:val="0"/>
      <w:marBottom w:val="0"/>
      <w:divBdr>
        <w:top w:val="none" w:sz="0" w:space="0" w:color="auto"/>
        <w:left w:val="none" w:sz="0" w:space="0" w:color="auto"/>
        <w:bottom w:val="none" w:sz="0" w:space="0" w:color="auto"/>
        <w:right w:val="none" w:sz="0" w:space="0" w:color="auto"/>
      </w:divBdr>
    </w:div>
    <w:div w:id="1540623479">
      <w:bodyDiv w:val="1"/>
      <w:marLeft w:val="0"/>
      <w:marRight w:val="0"/>
      <w:marTop w:val="0"/>
      <w:marBottom w:val="0"/>
      <w:divBdr>
        <w:top w:val="none" w:sz="0" w:space="0" w:color="auto"/>
        <w:left w:val="none" w:sz="0" w:space="0" w:color="auto"/>
        <w:bottom w:val="none" w:sz="0" w:space="0" w:color="auto"/>
        <w:right w:val="none" w:sz="0" w:space="0" w:color="auto"/>
      </w:divBdr>
    </w:div>
    <w:div w:id="1570185556">
      <w:bodyDiv w:val="1"/>
      <w:marLeft w:val="0"/>
      <w:marRight w:val="0"/>
      <w:marTop w:val="0"/>
      <w:marBottom w:val="0"/>
      <w:divBdr>
        <w:top w:val="none" w:sz="0" w:space="0" w:color="auto"/>
        <w:left w:val="none" w:sz="0" w:space="0" w:color="auto"/>
        <w:bottom w:val="none" w:sz="0" w:space="0" w:color="auto"/>
        <w:right w:val="none" w:sz="0" w:space="0" w:color="auto"/>
      </w:divBdr>
    </w:div>
    <w:div w:id="1617367216">
      <w:bodyDiv w:val="1"/>
      <w:marLeft w:val="0"/>
      <w:marRight w:val="0"/>
      <w:marTop w:val="0"/>
      <w:marBottom w:val="0"/>
      <w:divBdr>
        <w:top w:val="none" w:sz="0" w:space="0" w:color="auto"/>
        <w:left w:val="none" w:sz="0" w:space="0" w:color="auto"/>
        <w:bottom w:val="none" w:sz="0" w:space="0" w:color="auto"/>
        <w:right w:val="none" w:sz="0" w:space="0" w:color="auto"/>
      </w:divBdr>
    </w:div>
    <w:div w:id="1664895229">
      <w:bodyDiv w:val="1"/>
      <w:marLeft w:val="0"/>
      <w:marRight w:val="0"/>
      <w:marTop w:val="0"/>
      <w:marBottom w:val="0"/>
      <w:divBdr>
        <w:top w:val="none" w:sz="0" w:space="0" w:color="auto"/>
        <w:left w:val="none" w:sz="0" w:space="0" w:color="auto"/>
        <w:bottom w:val="none" w:sz="0" w:space="0" w:color="auto"/>
        <w:right w:val="none" w:sz="0" w:space="0" w:color="auto"/>
      </w:divBdr>
    </w:div>
    <w:div w:id="1667780630">
      <w:bodyDiv w:val="1"/>
      <w:marLeft w:val="0"/>
      <w:marRight w:val="0"/>
      <w:marTop w:val="0"/>
      <w:marBottom w:val="0"/>
      <w:divBdr>
        <w:top w:val="none" w:sz="0" w:space="0" w:color="auto"/>
        <w:left w:val="none" w:sz="0" w:space="0" w:color="auto"/>
        <w:bottom w:val="none" w:sz="0" w:space="0" w:color="auto"/>
        <w:right w:val="none" w:sz="0" w:space="0" w:color="auto"/>
      </w:divBdr>
    </w:div>
    <w:div w:id="1759054807">
      <w:bodyDiv w:val="1"/>
      <w:marLeft w:val="0"/>
      <w:marRight w:val="0"/>
      <w:marTop w:val="0"/>
      <w:marBottom w:val="0"/>
      <w:divBdr>
        <w:top w:val="none" w:sz="0" w:space="0" w:color="auto"/>
        <w:left w:val="none" w:sz="0" w:space="0" w:color="auto"/>
        <w:bottom w:val="none" w:sz="0" w:space="0" w:color="auto"/>
        <w:right w:val="none" w:sz="0" w:space="0" w:color="auto"/>
      </w:divBdr>
    </w:div>
    <w:div w:id="1789156288">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87522763">
      <w:bodyDiv w:val="1"/>
      <w:marLeft w:val="0"/>
      <w:marRight w:val="0"/>
      <w:marTop w:val="0"/>
      <w:marBottom w:val="0"/>
      <w:divBdr>
        <w:top w:val="none" w:sz="0" w:space="0" w:color="auto"/>
        <w:left w:val="none" w:sz="0" w:space="0" w:color="auto"/>
        <w:bottom w:val="none" w:sz="0" w:space="0" w:color="auto"/>
        <w:right w:val="none" w:sz="0" w:space="0" w:color="auto"/>
      </w:divBdr>
    </w:div>
    <w:div w:id="1932203947">
      <w:bodyDiv w:val="1"/>
      <w:marLeft w:val="0"/>
      <w:marRight w:val="0"/>
      <w:marTop w:val="0"/>
      <w:marBottom w:val="0"/>
      <w:divBdr>
        <w:top w:val="none" w:sz="0" w:space="0" w:color="auto"/>
        <w:left w:val="none" w:sz="0" w:space="0" w:color="auto"/>
        <w:bottom w:val="none" w:sz="0" w:space="0" w:color="auto"/>
        <w:right w:val="none" w:sz="0" w:space="0" w:color="auto"/>
      </w:divBdr>
    </w:div>
    <w:div w:id="1975255198">
      <w:bodyDiv w:val="1"/>
      <w:marLeft w:val="0"/>
      <w:marRight w:val="0"/>
      <w:marTop w:val="0"/>
      <w:marBottom w:val="0"/>
      <w:divBdr>
        <w:top w:val="none" w:sz="0" w:space="0" w:color="auto"/>
        <w:left w:val="none" w:sz="0" w:space="0" w:color="auto"/>
        <w:bottom w:val="none" w:sz="0" w:space="0" w:color="auto"/>
        <w:right w:val="none" w:sz="0" w:space="0" w:color="auto"/>
      </w:divBdr>
    </w:div>
    <w:div w:id="2006131391">
      <w:bodyDiv w:val="1"/>
      <w:marLeft w:val="0"/>
      <w:marRight w:val="0"/>
      <w:marTop w:val="0"/>
      <w:marBottom w:val="0"/>
      <w:divBdr>
        <w:top w:val="none" w:sz="0" w:space="0" w:color="auto"/>
        <w:left w:val="none" w:sz="0" w:space="0" w:color="auto"/>
        <w:bottom w:val="none" w:sz="0" w:space="0" w:color="auto"/>
        <w:right w:val="none" w:sz="0" w:space="0" w:color="auto"/>
      </w:divBdr>
    </w:div>
    <w:div w:id="2141804946">
      <w:bodyDiv w:val="1"/>
      <w:marLeft w:val="0"/>
      <w:marRight w:val="0"/>
      <w:marTop w:val="0"/>
      <w:marBottom w:val="0"/>
      <w:divBdr>
        <w:top w:val="none" w:sz="0" w:space="0" w:color="auto"/>
        <w:left w:val="none" w:sz="0" w:space="0" w:color="auto"/>
        <w:bottom w:val="none" w:sz="0" w:space="0" w:color="auto"/>
        <w:right w:val="none" w:sz="0" w:space="0" w:color="auto"/>
      </w:divBdr>
    </w:div>
    <w:div w:id="2142336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quiries@audit.vic.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bac.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vpsc.vic.gov.au" TargetMode="External"/><Relationship Id="rId4" Type="http://schemas.microsoft.com/office/2007/relationships/stylesWithEffects" Target="stylesWithEffects.xml"/><Relationship Id="rId9" Type="http://schemas.openxmlformats.org/officeDocument/2006/relationships/hyperlink" Target="http://www.vpsc.vic.gov.au" TargetMode="External"/><Relationship Id="rId14" Type="http://schemas.openxmlformats.org/officeDocument/2006/relationships/hyperlink" Target="http://www.audi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679A-F12B-41E3-922F-19819D6B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16993</Words>
  <Characters>96865</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Cugley</dc:creator>
  <cp:lastModifiedBy>Julie Sincock</cp:lastModifiedBy>
  <cp:revision>2</cp:revision>
  <dcterms:created xsi:type="dcterms:W3CDTF">2017-09-26T00:28:00Z</dcterms:created>
  <dcterms:modified xsi:type="dcterms:W3CDTF">2017-09-26T00:28:00Z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d411d8cb-3c8b-4be6-a551-9f30dca14006</vt:lpwstr>
  </property>
  <property fmtid="{D5CDD505-2E9C-101B-9397-08002B2CF9AE}" pid="3" name="PSPFClassification">
    <vt:lpwstr>Do Not Mark</vt:lpwstr>
  </property>
</Properties>
</file>