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18F" w:rsidRDefault="000D226D">
      <w:pPr>
        <w:spacing w:before="53"/>
        <w:ind w:left="720"/>
        <w:rPr>
          <w:b/>
          <w:sz w:val="52"/>
        </w:rPr>
      </w:pPr>
      <w:r>
        <w:rPr>
          <w:b/>
          <w:color w:val="231F20"/>
          <w:sz w:val="52"/>
        </w:rPr>
        <w:t>Victorian Public Sector Commissioner</w:t>
      </w:r>
    </w:p>
    <w:p w:rsidR="00973D48" w:rsidRDefault="00554FE9" w:rsidP="00973D48">
      <w:pPr>
        <w:spacing w:before="154"/>
        <w:ind w:left="720"/>
        <w:rPr>
          <w:b/>
          <w:color w:val="231F20"/>
          <w:sz w:val="36"/>
        </w:rPr>
      </w:pPr>
      <w:r>
        <w:rPr>
          <w:b/>
          <w:color w:val="231F20"/>
          <w:sz w:val="36"/>
        </w:rPr>
        <w:t>Annual Report 2018–19</w:t>
      </w: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973D48" w:rsidRDefault="00973D48" w:rsidP="00973D48">
      <w:pPr>
        <w:spacing w:before="154"/>
        <w:ind w:left="720"/>
        <w:rPr>
          <w:b/>
          <w:color w:val="231F20"/>
          <w:sz w:val="36"/>
        </w:rPr>
      </w:pPr>
    </w:p>
    <w:p w:rsidR="004F657C" w:rsidRDefault="00554FE9" w:rsidP="003A789F">
      <w:pPr>
        <w:pStyle w:val="Heading1"/>
      </w:pPr>
      <w:r>
        <w:t>Contents</w:t>
      </w:r>
    </w:p>
    <w:sdt>
      <w:sdtPr>
        <w:id w:val="283004685"/>
        <w:docPartObj>
          <w:docPartGallery w:val="Table of Contents"/>
          <w:docPartUnique/>
        </w:docPartObj>
      </w:sdtPr>
      <w:sdtEndPr>
        <w:rPr>
          <w:rFonts w:asciiTheme="minorHAnsi" w:hAnsiTheme="minorHAnsi" w:cstheme="minorHAnsi"/>
          <w:i/>
          <w:iCs/>
          <w:sz w:val="20"/>
          <w:szCs w:val="20"/>
        </w:rPr>
      </w:sdtEndPr>
      <w:sdtContent>
        <w:p w:rsidR="004F657C" w:rsidRDefault="004F657C" w:rsidP="004F657C">
          <w:pPr>
            <w:spacing w:before="154"/>
            <w:ind w:left="720"/>
          </w:pPr>
          <w:r>
            <w:fldChar w:fldCharType="begin"/>
          </w:r>
          <w:r>
            <w:instrText xml:space="preserve"> HYPERLINK \l "_bookmark6" </w:instrText>
          </w:r>
          <w:r>
            <w:fldChar w:fldCharType="separate"/>
          </w:r>
          <w:r>
            <w:rPr>
              <w:color w:val="231F20"/>
            </w:rPr>
            <w:fldChar w:fldCharType="begin"/>
          </w:r>
          <w:r>
            <w:rPr>
              <w:color w:val="231F20"/>
            </w:rPr>
            <w:instrText xml:space="preserve"> TOC \o "1-2" \h \z \u </w:instrText>
          </w:r>
          <w:r>
            <w:rPr>
              <w:color w:val="231F20"/>
            </w:rPr>
            <w:fldChar w:fldCharType="separate"/>
          </w:r>
        </w:p>
        <w:p w:rsidR="004F657C" w:rsidRDefault="004F657C" w:rsidP="004F657C">
          <w:pPr>
            <w:pStyle w:val="TOC1"/>
            <w:tabs>
              <w:tab w:val="right" w:pos="10773"/>
            </w:tabs>
            <w:rPr>
              <w:rFonts w:eastAsiaTheme="minorEastAsia" w:cstheme="minorBidi"/>
              <w:b w:val="0"/>
              <w:bCs w:val="0"/>
              <w:noProof/>
              <w:sz w:val="24"/>
              <w:szCs w:val="24"/>
              <w:lang w:val="en-AU" w:bidi="ar-SA"/>
            </w:rPr>
          </w:pPr>
          <w:hyperlink w:anchor="_Toc23329711" w:history="1">
            <w:r w:rsidRPr="003A382C">
              <w:rPr>
                <w:rStyle w:val="Hyperlink"/>
                <w:noProof/>
              </w:rPr>
              <w:t>Section 1 – Year in Review</w:t>
            </w:r>
            <w:r>
              <w:rPr>
                <w:noProof/>
                <w:webHidden/>
              </w:rPr>
              <w:tab/>
            </w:r>
            <w:r>
              <w:rPr>
                <w:noProof/>
                <w:webHidden/>
              </w:rPr>
              <w:fldChar w:fldCharType="begin"/>
            </w:r>
            <w:r>
              <w:rPr>
                <w:noProof/>
                <w:webHidden/>
              </w:rPr>
              <w:instrText xml:space="preserve"> PAGEREF _Toc23329711 \h </w:instrText>
            </w:r>
            <w:r>
              <w:rPr>
                <w:noProof/>
                <w:webHidden/>
              </w:rPr>
            </w:r>
            <w:r>
              <w:rPr>
                <w:noProof/>
                <w:webHidden/>
              </w:rPr>
              <w:fldChar w:fldCharType="separate"/>
            </w:r>
            <w:r>
              <w:rPr>
                <w:noProof/>
                <w:webHidden/>
              </w:rPr>
              <w:t>5</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12" w:history="1">
            <w:r w:rsidRPr="003A382C">
              <w:rPr>
                <w:rStyle w:val="Hyperlink"/>
                <w:noProof/>
              </w:rPr>
              <w:t>From The Victorian Public Sector Commissioner</w:t>
            </w:r>
            <w:r>
              <w:rPr>
                <w:noProof/>
                <w:webHidden/>
              </w:rPr>
              <w:tab/>
            </w:r>
            <w:r>
              <w:rPr>
                <w:noProof/>
                <w:webHidden/>
              </w:rPr>
              <w:fldChar w:fldCharType="begin"/>
            </w:r>
            <w:r>
              <w:rPr>
                <w:noProof/>
                <w:webHidden/>
              </w:rPr>
              <w:instrText xml:space="preserve"> PAGEREF _Toc23329712 \h </w:instrText>
            </w:r>
            <w:r>
              <w:rPr>
                <w:noProof/>
                <w:webHidden/>
              </w:rPr>
            </w:r>
            <w:r>
              <w:rPr>
                <w:noProof/>
                <w:webHidden/>
              </w:rPr>
              <w:fldChar w:fldCharType="separate"/>
            </w:r>
            <w:r>
              <w:rPr>
                <w:noProof/>
                <w:webHidden/>
              </w:rPr>
              <w:t>5</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13" w:history="1">
            <w:r w:rsidRPr="003A382C">
              <w:rPr>
                <w:rStyle w:val="Hyperlink"/>
                <w:noProof/>
              </w:rPr>
              <w:t>About The Victorian Public Sector Commission</w:t>
            </w:r>
            <w:r>
              <w:rPr>
                <w:noProof/>
                <w:webHidden/>
              </w:rPr>
              <w:tab/>
            </w:r>
            <w:r>
              <w:rPr>
                <w:noProof/>
                <w:webHidden/>
              </w:rPr>
              <w:fldChar w:fldCharType="begin"/>
            </w:r>
            <w:r>
              <w:rPr>
                <w:noProof/>
                <w:webHidden/>
              </w:rPr>
              <w:instrText xml:space="preserve"> PAGEREF _Toc23329713 \h </w:instrText>
            </w:r>
            <w:r>
              <w:rPr>
                <w:noProof/>
                <w:webHidden/>
              </w:rPr>
            </w:r>
            <w:r>
              <w:rPr>
                <w:noProof/>
                <w:webHidden/>
              </w:rPr>
              <w:fldChar w:fldCharType="separate"/>
            </w:r>
            <w:r>
              <w:rPr>
                <w:noProof/>
                <w:webHidden/>
              </w:rPr>
              <w:t>7</w:t>
            </w:r>
            <w:r>
              <w:rPr>
                <w:noProof/>
                <w:webHidden/>
              </w:rPr>
              <w:fldChar w:fldCharType="end"/>
            </w:r>
          </w:hyperlink>
        </w:p>
        <w:p w:rsidR="004F657C" w:rsidRDefault="004F657C" w:rsidP="004F657C">
          <w:pPr>
            <w:pStyle w:val="TOC1"/>
            <w:tabs>
              <w:tab w:val="right" w:pos="10773"/>
            </w:tabs>
            <w:rPr>
              <w:rFonts w:eastAsiaTheme="minorEastAsia" w:cstheme="minorBidi"/>
              <w:b w:val="0"/>
              <w:bCs w:val="0"/>
              <w:noProof/>
              <w:sz w:val="24"/>
              <w:szCs w:val="24"/>
              <w:lang w:val="en-AU" w:bidi="ar-SA"/>
            </w:rPr>
          </w:pPr>
          <w:hyperlink w:anchor="_Toc23329714" w:history="1">
            <w:r w:rsidRPr="003A382C">
              <w:rPr>
                <w:rStyle w:val="Hyperlink"/>
                <w:noProof/>
              </w:rPr>
              <w:t>Performance Reporting – non-financial</w:t>
            </w:r>
            <w:r>
              <w:rPr>
                <w:noProof/>
                <w:webHidden/>
              </w:rPr>
              <w:tab/>
            </w:r>
            <w:r>
              <w:rPr>
                <w:noProof/>
                <w:webHidden/>
              </w:rPr>
              <w:fldChar w:fldCharType="begin"/>
            </w:r>
            <w:r>
              <w:rPr>
                <w:noProof/>
                <w:webHidden/>
              </w:rPr>
              <w:instrText xml:space="preserve"> PAGEREF _Toc23329714 \h </w:instrText>
            </w:r>
            <w:r>
              <w:rPr>
                <w:noProof/>
                <w:webHidden/>
              </w:rPr>
            </w:r>
            <w:r>
              <w:rPr>
                <w:noProof/>
                <w:webHidden/>
              </w:rPr>
              <w:fldChar w:fldCharType="separate"/>
            </w:r>
            <w:r>
              <w:rPr>
                <w:noProof/>
                <w:webHidden/>
              </w:rPr>
              <w:t>9</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15" w:history="1">
            <w:r w:rsidRPr="003A382C">
              <w:rPr>
                <w:rStyle w:val="Hyperlink"/>
                <w:noProof/>
                <w:lang w:eastAsia="en-US"/>
              </w:rPr>
              <w:t>Strengthen the efficiency, effectiveness and capability of the public sector</w:t>
            </w:r>
            <w:r>
              <w:rPr>
                <w:noProof/>
                <w:webHidden/>
              </w:rPr>
              <w:tab/>
            </w:r>
            <w:r>
              <w:rPr>
                <w:noProof/>
                <w:webHidden/>
              </w:rPr>
              <w:fldChar w:fldCharType="begin"/>
            </w:r>
            <w:r>
              <w:rPr>
                <w:noProof/>
                <w:webHidden/>
              </w:rPr>
              <w:instrText xml:space="preserve"> PAGEREF _Toc23329715 \h </w:instrText>
            </w:r>
            <w:r>
              <w:rPr>
                <w:noProof/>
                <w:webHidden/>
              </w:rPr>
            </w:r>
            <w:r>
              <w:rPr>
                <w:noProof/>
                <w:webHidden/>
              </w:rPr>
              <w:fldChar w:fldCharType="separate"/>
            </w:r>
            <w:r>
              <w:rPr>
                <w:noProof/>
                <w:webHidden/>
              </w:rPr>
              <w:t>9</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16" w:history="1">
            <w:r w:rsidRPr="003A382C">
              <w:rPr>
                <w:rStyle w:val="Hyperlink"/>
                <w:noProof/>
                <w:lang w:eastAsia="en-US"/>
              </w:rPr>
              <w:t>Maintain and advocate for public sector professionalism  and integrity</w:t>
            </w:r>
            <w:r>
              <w:rPr>
                <w:noProof/>
                <w:webHidden/>
              </w:rPr>
              <w:tab/>
            </w:r>
            <w:r>
              <w:rPr>
                <w:noProof/>
                <w:webHidden/>
              </w:rPr>
              <w:fldChar w:fldCharType="begin"/>
            </w:r>
            <w:r>
              <w:rPr>
                <w:noProof/>
                <w:webHidden/>
              </w:rPr>
              <w:instrText xml:space="preserve"> PAGEREF _Toc23329716 \h </w:instrText>
            </w:r>
            <w:r>
              <w:rPr>
                <w:noProof/>
                <w:webHidden/>
              </w:rPr>
            </w:r>
            <w:r>
              <w:rPr>
                <w:noProof/>
                <w:webHidden/>
              </w:rPr>
              <w:fldChar w:fldCharType="separate"/>
            </w:r>
            <w:r>
              <w:rPr>
                <w:noProof/>
                <w:webHidden/>
              </w:rPr>
              <w:t>14</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17" w:history="1">
            <w:r w:rsidRPr="003A382C">
              <w:rPr>
                <w:rStyle w:val="Hyperlink"/>
                <w:noProof/>
              </w:rPr>
              <w:t>Performance Reporting – Financial</w:t>
            </w:r>
            <w:r>
              <w:rPr>
                <w:noProof/>
                <w:webHidden/>
              </w:rPr>
              <w:tab/>
            </w:r>
            <w:r>
              <w:rPr>
                <w:noProof/>
                <w:webHidden/>
              </w:rPr>
              <w:fldChar w:fldCharType="begin"/>
            </w:r>
            <w:r>
              <w:rPr>
                <w:noProof/>
                <w:webHidden/>
              </w:rPr>
              <w:instrText xml:space="preserve"> PAGEREF _Toc23329717 \h </w:instrText>
            </w:r>
            <w:r>
              <w:rPr>
                <w:noProof/>
                <w:webHidden/>
              </w:rPr>
            </w:r>
            <w:r>
              <w:rPr>
                <w:noProof/>
                <w:webHidden/>
              </w:rPr>
              <w:fldChar w:fldCharType="separate"/>
            </w:r>
            <w:r>
              <w:rPr>
                <w:noProof/>
                <w:webHidden/>
              </w:rPr>
              <w:t>17</w:t>
            </w:r>
            <w:r>
              <w:rPr>
                <w:noProof/>
                <w:webHidden/>
              </w:rPr>
              <w:fldChar w:fldCharType="end"/>
            </w:r>
          </w:hyperlink>
        </w:p>
        <w:p w:rsidR="004F657C" w:rsidRDefault="004F657C" w:rsidP="004F657C">
          <w:pPr>
            <w:pStyle w:val="TOC1"/>
            <w:tabs>
              <w:tab w:val="right" w:pos="10773"/>
            </w:tabs>
            <w:rPr>
              <w:rFonts w:eastAsiaTheme="minorEastAsia" w:cstheme="minorBidi"/>
              <w:b w:val="0"/>
              <w:bCs w:val="0"/>
              <w:noProof/>
              <w:sz w:val="24"/>
              <w:szCs w:val="24"/>
              <w:lang w:val="en-AU" w:bidi="ar-SA"/>
            </w:rPr>
          </w:pPr>
          <w:hyperlink w:anchor="_Toc23329718" w:history="1">
            <w:r w:rsidRPr="003A382C">
              <w:rPr>
                <w:rStyle w:val="Hyperlink"/>
                <w:noProof/>
              </w:rPr>
              <w:t>Section 2 – Governance and Organisational Structure</w:t>
            </w:r>
            <w:r>
              <w:rPr>
                <w:noProof/>
                <w:webHidden/>
              </w:rPr>
              <w:tab/>
            </w:r>
            <w:r>
              <w:rPr>
                <w:noProof/>
                <w:webHidden/>
              </w:rPr>
              <w:fldChar w:fldCharType="begin"/>
            </w:r>
            <w:r>
              <w:rPr>
                <w:noProof/>
                <w:webHidden/>
              </w:rPr>
              <w:instrText xml:space="preserve"> PAGEREF _Toc23329718 \h </w:instrText>
            </w:r>
            <w:r>
              <w:rPr>
                <w:noProof/>
                <w:webHidden/>
              </w:rPr>
            </w:r>
            <w:r>
              <w:rPr>
                <w:noProof/>
                <w:webHidden/>
              </w:rPr>
              <w:fldChar w:fldCharType="separate"/>
            </w:r>
            <w:r>
              <w:rPr>
                <w:noProof/>
                <w:webHidden/>
              </w:rPr>
              <w:t>18</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19" w:history="1">
            <w:r w:rsidRPr="003A382C">
              <w:rPr>
                <w:rStyle w:val="Hyperlink"/>
                <w:noProof/>
              </w:rPr>
              <w:t>Ministers</w:t>
            </w:r>
            <w:r>
              <w:rPr>
                <w:noProof/>
                <w:webHidden/>
              </w:rPr>
              <w:tab/>
            </w:r>
            <w:r>
              <w:rPr>
                <w:noProof/>
                <w:webHidden/>
              </w:rPr>
              <w:fldChar w:fldCharType="begin"/>
            </w:r>
            <w:r>
              <w:rPr>
                <w:noProof/>
                <w:webHidden/>
              </w:rPr>
              <w:instrText xml:space="preserve"> PAGEREF _Toc23329719 \h </w:instrText>
            </w:r>
            <w:r>
              <w:rPr>
                <w:noProof/>
                <w:webHidden/>
              </w:rPr>
            </w:r>
            <w:r>
              <w:rPr>
                <w:noProof/>
                <w:webHidden/>
              </w:rPr>
              <w:fldChar w:fldCharType="separate"/>
            </w:r>
            <w:r>
              <w:rPr>
                <w:noProof/>
                <w:webHidden/>
              </w:rPr>
              <w:t>18</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20" w:history="1">
            <w:r w:rsidRPr="003A382C">
              <w:rPr>
                <w:rStyle w:val="Hyperlink"/>
                <w:noProof/>
              </w:rPr>
              <w:t>Organisational Structure</w:t>
            </w:r>
            <w:r>
              <w:rPr>
                <w:noProof/>
                <w:webHidden/>
              </w:rPr>
              <w:tab/>
            </w:r>
            <w:r>
              <w:rPr>
                <w:noProof/>
                <w:webHidden/>
              </w:rPr>
              <w:fldChar w:fldCharType="begin"/>
            </w:r>
            <w:r>
              <w:rPr>
                <w:noProof/>
                <w:webHidden/>
              </w:rPr>
              <w:instrText xml:space="preserve"> PAGEREF _Toc23329720 \h </w:instrText>
            </w:r>
            <w:r>
              <w:rPr>
                <w:noProof/>
                <w:webHidden/>
              </w:rPr>
            </w:r>
            <w:r>
              <w:rPr>
                <w:noProof/>
                <w:webHidden/>
              </w:rPr>
              <w:fldChar w:fldCharType="separate"/>
            </w:r>
            <w:r>
              <w:rPr>
                <w:noProof/>
                <w:webHidden/>
              </w:rPr>
              <w:t>18</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21" w:history="1">
            <w:r w:rsidRPr="003A382C">
              <w:rPr>
                <w:rStyle w:val="Hyperlink"/>
                <w:noProof/>
                <w:lang w:eastAsia="en-US"/>
              </w:rPr>
              <w:t>2018–19 Governance</w:t>
            </w:r>
            <w:r>
              <w:rPr>
                <w:noProof/>
                <w:webHidden/>
              </w:rPr>
              <w:tab/>
            </w:r>
            <w:r>
              <w:rPr>
                <w:noProof/>
                <w:webHidden/>
              </w:rPr>
              <w:fldChar w:fldCharType="begin"/>
            </w:r>
            <w:r>
              <w:rPr>
                <w:noProof/>
                <w:webHidden/>
              </w:rPr>
              <w:instrText xml:space="preserve"> PAGEREF _Toc23329721 \h </w:instrText>
            </w:r>
            <w:r>
              <w:rPr>
                <w:noProof/>
                <w:webHidden/>
              </w:rPr>
            </w:r>
            <w:r>
              <w:rPr>
                <w:noProof/>
                <w:webHidden/>
              </w:rPr>
              <w:fldChar w:fldCharType="separate"/>
            </w:r>
            <w:r>
              <w:rPr>
                <w:noProof/>
                <w:webHidden/>
              </w:rPr>
              <w:t>20</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22" w:history="1">
            <w:r w:rsidRPr="003A382C">
              <w:rPr>
                <w:rStyle w:val="Hyperlink"/>
                <w:noProof/>
                <w:lang w:eastAsia="en-US"/>
              </w:rPr>
              <w:t>VPSC People Strategy to June 2020</w:t>
            </w:r>
            <w:r>
              <w:rPr>
                <w:noProof/>
                <w:webHidden/>
              </w:rPr>
              <w:tab/>
            </w:r>
            <w:r>
              <w:rPr>
                <w:noProof/>
                <w:webHidden/>
              </w:rPr>
              <w:fldChar w:fldCharType="begin"/>
            </w:r>
            <w:r>
              <w:rPr>
                <w:noProof/>
                <w:webHidden/>
              </w:rPr>
              <w:instrText xml:space="preserve"> PAGEREF _Toc23329722 \h </w:instrText>
            </w:r>
            <w:r>
              <w:rPr>
                <w:noProof/>
                <w:webHidden/>
              </w:rPr>
            </w:r>
            <w:r>
              <w:rPr>
                <w:noProof/>
                <w:webHidden/>
              </w:rPr>
              <w:fldChar w:fldCharType="separate"/>
            </w:r>
            <w:r>
              <w:rPr>
                <w:noProof/>
                <w:webHidden/>
              </w:rPr>
              <w:t>21</w:t>
            </w:r>
            <w:r>
              <w:rPr>
                <w:noProof/>
                <w:webHidden/>
              </w:rPr>
              <w:fldChar w:fldCharType="end"/>
            </w:r>
          </w:hyperlink>
        </w:p>
        <w:p w:rsidR="004F657C" w:rsidRDefault="004F657C" w:rsidP="004F657C">
          <w:pPr>
            <w:pStyle w:val="TOC1"/>
            <w:tabs>
              <w:tab w:val="right" w:pos="10773"/>
            </w:tabs>
            <w:rPr>
              <w:rFonts w:eastAsiaTheme="minorEastAsia" w:cstheme="minorBidi"/>
              <w:b w:val="0"/>
              <w:bCs w:val="0"/>
              <w:noProof/>
              <w:sz w:val="24"/>
              <w:szCs w:val="24"/>
              <w:lang w:val="en-AU" w:bidi="ar-SA"/>
            </w:rPr>
          </w:pPr>
          <w:hyperlink w:anchor="_Toc23329723" w:history="1">
            <w:r w:rsidRPr="003A382C">
              <w:rPr>
                <w:rStyle w:val="Hyperlink"/>
                <w:noProof/>
              </w:rPr>
              <w:t>Section 3 – Workforce Data</w:t>
            </w:r>
            <w:r>
              <w:rPr>
                <w:noProof/>
                <w:webHidden/>
              </w:rPr>
              <w:tab/>
            </w:r>
            <w:r>
              <w:rPr>
                <w:noProof/>
                <w:webHidden/>
              </w:rPr>
              <w:fldChar w:fldCharType="begin"/>
            </w:r>
            <w:r>
              <w:rPr>
                <w:noProof/>
                <w:webHidden/>
              </w:rPr>
              <w:instrText xml:space="preserve"> PAGEREF _Toc23329723 \h </w:instrText>
            </w:r>
            <w:r>
              <w:rPr>
                <w:noProof/>
                <w:webHidden/>
              </w:rPr>
            </w:r>
            <w:r>
              <w:rPr>
                <w:noProof/>
                <w:webHidden/>
              </w:rPr>
              <w:fldChar w:fldCharType="separate"/>
            </w:r>
            <w:r>
              <w:rPr>
                <w:noProof/>
                <w:webHidden/>
              </w:rPr>
              <w:t>22</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24" w:history="1">
            <w:r w:rsidRPr="003A382C">
              <w:rPr>
                <w:rStyle w:val="Hyperlink"/>
                <w:noProof/>
                <w:lang w:eastAsia="en-US"/>
              </w:rPr>
              <w:t>Public Administration Values and Employment Principles</w:t>
            </w:r>
            <w:r>
              <w:rPr>
                <w:noProof/>
                <w:webHidden/>
              </w:rPr>
              <w:tab/>
            </w:r>
            <w:r>
              <w:rPr>
                <w:noProof/>
                <w:webHidden/>
              </w:rPr>
              <w:fldChar w:fldCharType="begin"/>
            </w:r>
            <w:r>
              <w:rPr>
                <w:noProof/>
                <w:webHidden/>
              </w:rPr>
              <w:instrText xml:space="preserve"> PAGEREF _Toc23329724 \h </w:instrText>
            </w:r>
            <w:r>
              <w:rPr>
                <w:noProof/>
                <w:webHidden/>
              </w:rPr>
            </w:r>
            <w:r>
              <w:rPr>
                <w:noProof/>
                <w:webHidden/>
              </w:rPr>
              <w:fldChar w:fldCharType="separate"/>
            </w:r>
            <w:r>
              <w:rPr>
                <w:noProof/>
                <w:webHidden/>
              </w:rPr>
              <w:t>22</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25" w:history="1">
            <w:r w:rsidRPr="003A382C">
              <w:rPr>
                <w:rStyle w:val="Hyperlink"/>
                <w:noProof/>
                <w:lang w:eastAsia="en-US"/>
              </w:rPr>
              <w:t>Comparative Workforce Data</w:t>
            </w:r>
            <w:r>
              <w:rPr>
                <w:noProof/>
                <w:webHidden/>
              </w:rPr>
              <w:tab/>
            </w:r>
            <w:r>
              <w:rPr>
                <w:noProof/>
                <w:webHidden/>
              </w:rPr>
              <w:fldChar w:fldCharType="begin"/>
            </w:r>
            <w:r>
              <w:rPr>
                <w:noProof/>
                <w:webHidden/>
              </w:rPr>
              <w:instrText xml:space="preserve"> PAGEREF _Toc23329725 \h </w:instrText>
            </w:r>
            <w:r>
              <w:rPr>
                <w:noProof/>
                <w:webHidden/>
              </w:rPr>
            </w:r>
            <w:r>
              <w:rPr>
                <w:noProof/>
                <w:webHidden/>
              </w:rPr>
              <w:fldChar w:fldCharType="separate"/>
            </w:r>
            <w:r>
              <w:rPr>
                <w:noProof/>
                <w:webHidden/>
              </w:rPr>
              <w:t>22</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26" w:history="1">
            <w:r w:rsidRPr="003A382C">
              <w:rPr>
                <w:rStyle w:val="Hyperlink"/>
                <w:noProof/>
              </w:rPr>
              <w:t>Workforce Inclusion Policy</w:t>
            </w:r>
            <w:r>
              <w:rPr>
                <w:noProof/>
                <w:webHidden/>
              </w:rPr>
              <w:tab/>
            </w:r>
            <w:r>
              <w:rPr>
                <w:noProof/>
                <w:webHidden/>
              </w:rPr>
              <w:fldChar w:fldCharType="begin"/>
            </w:r>
            <w:r>
              <w:rPr>
                <w:noProof/>
                <w:webHidden/>
              </w:rPr>
              <w:instrText xml:space="preserve"> PAGEREF _Toc23329726 \h </w:instrText>
            </w:r>
            <w:r>
              <w:rPr>
                <w:noProof/>
                <w:webHidden/>
              </w:rPr>
            </w:r>
            <w:r>
              <w:rPr>
                <w:noProof/>
                <w:webHidden/>
              </w:rPr>
              <w:fldChar w:fldCharType="separate"/>
            </w:r>
            <w:r>
              <w:rPr>
                <w:noProof/>
                <w:webHidden/>
              </w:rPr>
              <w:t>24</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27" w:history="1">
            <w:r w:rsidRPr="003A382C">
              <w:rPr>
                <w:rStyle w:val="Hyperlink"/>
                <w:noProof/>
                <w:lang w:eastAsia="en-US"/>
              </w:rPr>
              <w:t>Executive Officer Data</w:t>
            </w:r>
            <w:r>
              <w:rPr>
                <w:noProof/>
                <w:webHidden/>
              </w:rPr>
              <w:tab/>
            </w:r>
            <w:r>
              <w:rPr>
                <w:noProof/>
                <w:webHidden/>
              </w:rPr>
              <w:fldChar w:fldCharType="begin"/>
            </w:r>
            <w:r>
              <w:rPr>
                <w:noProof/>
                <w:webHidden/>
              </w:rPr>
              <w:instrText xml:space="preserve"> PAGEREF _Toc23329727 \h </w:instrText>
            </w:r>
            <w:r>
              <w:rPr>
                <w:noProof/>
                <w:webHidden/>
              </w:rPr>
            </w:r>
            <w:r>
              <w:rPr>
                <w:noProof/>
                <w:webHidden/>
              </w:rPr>
              <w:fldChar w:fldCharType="separate"/>
            </w:r>
            <w:r>
              <w:rPr>
                <w:noProof/>
                <w:webHidden/>
              </w:rPr>
              <w:t>24</w:t>
            </w:r>
            <w:r>
              <w:rPr>
                <w:noProof/>
                <w:webHidden/>
              </w:rPr>
              <w:fldChar w:fldCharType="end"/>
            </w:r>
          </w:hyperlink>
        </w:p>
        <w:p w:rsidR="004F657C" w:rsidRDefault="004F657C" w:rsidP="004F657C">
          <w:pPr>
            <w:pStyle w:val="TOC1"/>
            <w:tabs>
              <w:tab w:val="right" w:pos="10773"/>
            </w:tabs>
            <w:rPr>
              <w:rFonts w:eastAsiaTheme="minorEastAsia" w:cstheme="minorBidi"/>
              <w:b w:val="0"/>
              <w:bCs w:val="0"/>
              <w:noProof/>
              <w:sz w:val="24"/>
              <w:szCs w:val="24"/>
              <w:lang w:val="en-AU" w:bidi="ar-SA"/>
            </w:rPr>
          </w:pPr>
          <w:hyperlink w:anchor="_Toc23329728" w:history="1">
            <w:r w:rsidRPr="003A382C">
              <w:rPr>
                <w:rStyle w:val="Hyperlink"/>
                <w:noProof/>
              </w:rPr>
              <w:t>Section 4 – Other Disclosures</w:t>
            </w:r>
            <w:r>
              <w:rPr>
                <w:noProof/>
                <w:webHidden/>
              </w:rPr>
              <w:tab/>
            </w:r>
            <w:r>
              <w:rPr>
                <w:noProof/>
                <w:webHidden/>
              </w:rPr>
              <w:fldChar w:fldCharType="begin"/>
            </w:r>
            <w:r>
              <w:rPr>
                <w:noProof/>
                <w:webHidden/>
              </w:rPr>
              <w:instrText xml:space="preserve"> PAGEREF _Toc23329728 \h </w:instrText>
            </w:r>
            <w:r>
              <w:rPr>
                <w:noProof/>
                <w:webHidden/>
              </w:rPr>
            </w:r>
            <w:r>
              <w:rPr>
                <w:noProof/>
                <w:webHidden/>
              </w:rPr>
              <w:fldChar w:fldCharType="separate"/>
            </w:r>
            <w:r>
              <w:rPr>
                <w:noProof/>
                <w:webHidden/>
              </w:rPr>
              <w:t>25</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29" w:history="1">
            <w:r w:rsidRPr="003A382C">
              <w:rPr>
                <w:rStyle w:val="Hyperlink"/>
                <w:noProof/>
                <w:lang w:eastAsia="en-US"/>
              </w:rPr>
              <w:t>Local Jobs First</w:t>
            </w:r>
            <w:r>
              <w:rPr>
                <w:noProof/>
                <w:webHidden/>
              </w:rPr>
              <w:tab/>
            </w:r>
            <w:r>
              <w:rPr>
                <w:noProof/>
                <w:webHidden/>
              </w:rPr>
              <w:fldChar w:fldCharType="begin"/>
            </w:r>
            <w:r>
              <w:rPr>
                <w:noProof/>
                <w:webHidden/>
              </w:rPr>
              <w:instrText xml:space="preserve"> PAGEREF _Toc23329729 \h </w:instrText>
            </w:r>
            <w:r>
              <w:rPr>
                <w:noProof/>
                <w:webHidden/>
              </w:rPr>
            </w:r>
            <w:r>
              <w:rPr>
                <w:noProof/>
                <w:webHidden/>
              </w:rPr>
              <w:fldChar w:fldCharType="separate"/>
            </w:r>
            <w:r>
              <w:rPr>
                <w:noProof/>
                <w:webHidden/>
              </w:rPr>
              <w:t>25</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30" w:history="1">
            <w:r w:rsidRPr="003A382C">
              <w:rPr>
                <w:rStyle w:val="Hyperlink"/>
                <w:noProof/>
                <w:lang w:eastAsia="en-US"/>
              </w:rPr>
              <w:t>Changes in Financial Position</w:t>
            </w:r>
            <w:r>
              <w:rPr>
                <w:noProof/>
                <w:webHidden/>
              </w:rPr>
              <w:tab/>
            </w:r>
            <w:r>
              <w:rPr>
                <w:noProof/>
                <w:webHidden/>
              </w:rPr>
              <w:fldChar w:fldCharType="begin"/>
            </w:r>
            <w:r>
              <w:rPr>
                <w:noProof/>
                <w:webHidden/>
              </w:rPr>
              <w:instrText xml:space="preserve"> PAGEREF _Toc23329730 \h </w:instrText>
            </w:r>
            <w:r>
              <w:rPr>
                <w:noProof/>
                <w:webHidden/>
              </w:rPr>
            </w:r>
            <w:r>
              <w:rPr>
                <w:noProof/>
                <w:webHidden/>
              </w:rPr>
              <w:fldChar w:fldCharType="separate"/>
            </w:r>
            <w:r>
              <w:rPr>
                <w:noProof/>
                <w:webHidden/>
              </w:rPr>
              <w:t>25</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31" w:history="1">
            <w:r w:rsidRPr="003A382C">
              <w:rPr>
                <w:rStyle w:val="Hyperlink"/>
                <w:noProof/>
                <w:lang w:eastAsia="en-US"/>
              </w:rPr>
              <w:t>Environmental Reporting</w:t>
            </w:r>
            <w:r>
              <w:rPr>
                <w:noProof/>
                <w:webHidden/>
              </w:rPr>
              <w:tab/>
            </w:r>
            <w:r>
              <w:rPr>
                <w:noProof/>
                <w:webHidden/>
              </w:rPr>
              <w:fldChar w:fldCharType="begin"/>
            </w:r>
            <w:r>
              <w:rPr>
                <w:noProof/>
                <w:webHidden/>
              </w:rPr>
              <w:instrText xml:space="preserve"> PAGEREF _Toc23329731 \h </w:instrText>
            </w:r>
            <w:r>
              <w:rPr>
                <w:noProof/>
                <w:webHidden/>
              </w:rPr>
            </w:r>
            <w:r>
              <w:rPr>
                <w:noProof/>
                <w:webHidden/>
              </w:rPr>
              <w:fldChar w:fldCharType="separate"/>
            </w:r>
            <w:r>
              <w:rPr>
                <w:noProof/>
                <w:webHidden/>
              </w:rPr>
              <w:t>27</w:t>
            </w:r>
            <w:r>
              <w:rPr>
                <w:noProof/>
                <w:webHidden/>
              </w:rPr>
              <w:fldChar w:fldCharType="end"/>
            </w:r>
          </w:hyperlink>
        </w:p>
        <w:p w:rsidR="004F657C" w:rsidRDefault="004F657C" w:rsidP="004F657C">
          <w:pPr>
            <w:pStyle w:val="TOC2"/>
            <w:tabs>
              <w:tab w:val="right" w:pos="10773"/>
            </w:tabs>
            <w:rPr>
              <w:rFonts w:eastAsiaTheme="minorEastAsia" w:cstheme="minorBidi"/>
              <w:i w:val="0"/>
              <w:iCs w:val="0"/>
              <w:noProof/>
              <w:sz w:val="24"/>
              <w:szCs w:val="24"/>
              <w:lang w:val="en-AU" w:bidi="ar-SA"/>
            </w:rPr>
          </w:pPr>
          <w:hyperlink w:anchor="_Toc23329732" w:history="1">
            <w:r w:rsidRPr="003A382C">
              <w:rPr>
                <w:rStyle w:val="Hyperlink"/>
                <w:noProof/>
                <w:lang w:eastAsia="en-US"/>
              </w:rPr>
              <w:t>Compliance</w:t>
            </w:r>
            <w:r>
              <w:rPr>
                <w:noProof/>
                <w:webHidden/>
              </w:rPr>
              <w:tab/>
            </w:r>
            <w:r>
              <w:rPr>
                <w:noProof/>
                <w:webHidden/>
              </w:rPr>
              <w:fldChar w:fldCharType="begin"/>
            </w:r>
            <w:r>
              <w:rPr>
                <w:noProof/>
                <w:webHidden/>
              </w:rPr>
              <w:instrText xml:space="preserve"> PAGEREF _Toc23329732 \h </w:instrText>
            </w:r>
            <w:r>
              <w:rPr>
                <w:noProof/>
                <w:webHidden/>
              </w:rPr>
            </w:r>
            <w:r>
              <w:rPr>
                <w:noProof/>
                <w:webHidden/>
              </w:rPr>
              <w:fldChar w:fldCharType="separate"/>
            </w:r>
            <w:r>
              <w:rPr>
                <w:noProof/>
                <w:webHidden/>
              </w:rPr>
              <w:t>29</w:t>
            </w:r>
            <w:r>
              <w:rPr>
                <w:noProof/>
                <w:webHidden/>
              </w:rPr>
              <w:fldChar w:fldCharType="end"/>
            </w:r>
          </w:hyperlink>
        </w:p>
        <w:p w:rsidR="0051318F" w:rsidRDefault="004F657C" w:rsidP="004F657C">
          <w:pPr>
            <w:pStyle w:val="TOC2"/>
            <w:tabs>
              <w:tab w:val="right" w:pos="10773"/>
            </w:tabs>
          </w:pPr>
          <w:hyperlink w:anchor="_Toc23329733" w:history="1">
            <w:r w:rsidRPr="003A382C">
              <w:rPr>
                <w:rStyle w:val="Hyperlink"/>
                <w:noProof/>
                <w:lang w:eastAsia="en-US"/>
              </w:rPr>
              <w:t>Disclosure Index</w:t>
            </w:r>
            <w:r>
              <w:rPr>
                <w:noProof/>
                <w:webHidden/>
              </w:rPr>
              <w:tab/>
            </w:r>
            <w:r>
              <w:rPr>
                <w:noProof/>
                <w:webHidden/>
              </w:rPr>
              <w:fldChar w:fldCharType="begin"/>
            </w:r>
            <w:r>
              <w:rPr>
                <w:noProof/>
                <w:webHidden/>
              </w:rPr>
              <w:instrText xml:space="preserve"> PAGEREF _Toc23329733 \h </w:instrText>
            </w:r>
            <w:r>
              <w:rPr>
                <w:noProof/>
                <w:webHidden/>
              </w:rPr>
            </w:r>
            <w:r>
              <w:rPr>
                <w:noProof/>
                <w:webHidden/>
              </w:rPr>
              <w:fldChar w:fldCharType="separate"/>
            </w:r>
            <w:r>
              <w:rPr>
                <w:noProof/>
                <w:webHidden/>
              </w:rPr>
              <w:t>33</w:t>
            </w:r>
            <w:r>
              <w:rPr>
                <w:noProof/>
                <w:webHidden/>
              </w:rPr>
              <w:fldChar w:fldCharType="end"/>
            </w:r>
          </w:hyperlink>
          <w:r>
            <w:rPr>
              <w:color w:val="231F20"/>
            </w:rPr>
            <w:fldChar w:fldCharType="end"/>
          </w:r>
          <w:r>
            <w:rPr>
              <w:color w:val="231F20"/>
              <w:spacing w:val="-8"/>
            </w:rPr>
            <w:fldChar w:fldCharType="end"/>
          </w:r>
        </w:p>
      </w:sdtContent>
    </w:sdt>
    <w:p w:rsidR="0051318F" w:rsidRDefault="0051318F">
      <w:pPr>
        <w:sectPr w:rsidR="0051318F">
          <w:footerReference w:type="even" r:id="rId8"/>
          <w:footerReference w:type="default" r:id="rId9"/>
          <w:pgSz w:w="11910" w:h="16840"/>
          <w:pgMar w:top="560" w:right="0" w:bottom="680" w:left="0" w:header="0" w:footer="491" w:gutter="0"/>
          <w:pgNumType w:start="1"/>
          <w:cols w:space="720"/>
        </w:sectPr>
      </w:pPr>
    </w:p>
    <w:p w:rsidR="00775ED1" w:rsidRPr="00775ED1" w:rsidRDefault="00775ED1" w:rsidP="00775ED1">
      <w:pPr>
        <w:pStyle w:val="Heading1"/>
      </w:pPr>
      <w:bookmarkStart w:id="0" w:name="_bookmark0"/>
      <w:bookmarkStart w:id="1" w:name="_Toc23329711"/>
      <w:bookmarkEnd w:id="0"/>
      <w:r w:rsidRPr="00775ED1">
        <w:lastRenderedPageBreak/>
        <w:t>Section 1 – Year in Review</w:t>
      </w:r>
      <w:bookmarkEnd w:id="1"/>
    </w:p>
    <w:p w:rsidR="00775ED1" w:rsidRPr="00775ED1" w:rsidRDefault="00775ED1" w:rsidP="00775ED1">
      <w:pPr>
        <w:pStyle w:val="Heading2"/>
        <w:spacing w:before="253"/>
        <w:rPr>
          <w:color w:val="231F20"/>
        </w:rPr>
      </w:pPr>
      <w:bookmarkStart w:id="2" w:name="_Toc23329712"/>
      <w:r>
        <w:t xml:space="preserve">From </w:t>
      </w:r>
      <w:proofErr w:type="gramStart"/>
      <w:r>
        <w:t>The</w:t>
      </w:r>
      <w:proofErr w:type="gramEnd"/>
      <w:r>
        <w:t xml:space="preserve"> Victorian Public Sector Commissioner</w:t>
      </w:r>
      <w:bookmarkEnd w:id="2"/>
    </w:p>
    <w:p w:rsidR="00775ED1" w:rsidRDefault="00775ED1" w:rsidP="00775ED1">
      <w:pPr>
        <w:ind w:left="709" w:right="1278"/>
        <w:rPr>
          <w:color w:val="231F20"/>
          <w:sz w:val="20"/>
        </w:rPr>
      </w:pPr>
    </w:p>
    <w:p w:rsidR="00775ED1" w:rsidRDefault="00775ED1" w:rsidP="00775ED1">
      <w:pPr>
        <w:ind w:left="709" w:right="1278"/>
        <w:rPr>
          <w:sz w:val="20"/>
          <w:szCs w:val="20"/>
        </w:rPr>
      </w:pPr>
      <w:r w:rsidRPr="00775ED1">
        <w:rPr>
          <w:sz w:val="20"/>
          <w:szCs w:val="20"/>
        </w:rPr>
        <w:t>The Victorian Public Sector Commission’s work in 2018–19 was guided by the statutory framework established under the Public Administration Act 2004. This framework requires the VPSC to focus on two broad objectives: to strengthen the efficiency, effectiveness and capability of the public sector; and to maintain, and advocate for, public sector professionalism and integrity. As a relatively small specialist agency, the VPSC must consider how it best gives effect to these objectives within its available resources.</w:t>
      </w:r>
    </w:p>
    <w:p w:rsidR="00775ED1" w:rsidRPr="00775ED1" w:rsidRDefault="00775ED1" w:rsidP="00775ED1">
      <w:pPr>
        <w:ind w:left="709" w:right="1278"/>
        <w:rPr>
          <w:sz w:val="20"/>
          <w:szCs w:val="20"/>
        </w:rPr>
      </w:pPr>
    </w:p>
    <w:p w:rsidR="00775ED1" w:rsidRDefault="00775ED1" w:rsidP="00775ED1">
      <w:pPr>
        <w:ind w:left="709" w:right="1278"/>
        <w:rPr>
          <w:sz w:val="20"/>
          <w:szCs w:val="20"/>
        </w:rPr>
      </w:pPr>
      <w:r w:rsidRPr="00775ED1">
        <w:rPr>
          <w:sz w:val="20"/>
          <w:szCs w:val="20"/>
        </w:rPr>
        <w:t>We commenced 2018–19 with a significant work program to strengthen the foundations of the VPSC’s capabilities and programs and establish a platform to best position the VPSC in supporting Victorian public sector departments and agencies to deliver the high-quality public services and functions Victorians expect.</w:t>
      </w:r>
    </w:p>
    <w:p w:rsidR="006A7827" w:rsidRPr="00775ED1" w:rsidRDefault="006A7827" w:rsidP="00775ED1">
      <w:pPr>
        <w:ind w:left="709" w:right="1278"/>
        <w:rPr>
          <w:sz w:val="20"/>
          <w:szCs w:val="20"/>
        </w:rPr>
      </w:pPr>
    </w:p>
    <w:p w:rsidR="00775ED1" w:rsidRDefault="00775ED1" w:rsidP="00775ED1">
      <w:pPr>
        <w:ind w:left="709" w:right="1278"/>
        <w:rPr>
          <w:sz w:val="20"/>
          <w:szCs w:val="20"/>
        </w:rPr>
      </w:pPr>
      <w:r w:rsidRPr="00775ED1">
        <w:rPr>
          <w:sz w:val="20"/>
          <w:szCs w:val="20"/>
        </w:rPr>
        <w:t xml:space="preserve">I am pleased to report that the VPSC successively achieved many key milestones in 2018–19 and made substantial progress in addressing those areas for improvement identified in the Auditor General’s report </w:t>
      </w:r>
      <w:r w:rsidRPr="00775ED1">
        <w:rPr>
          <w:sz w:val="20"/>
          <w:szCs w:val="20"/>
        </w:rPr>
        <w:br/>
        <w:t>on the effectiveness of the VPSC in 2017.</w:t>
      </w:r>
    </w:p>
    <w:p w:rsidR="006A7827" w:rsidRPr="00775ED1" w:rsidRDefault="006A7827" w:rsidP="00775ED1">
      <w:pPr>
        <w:ind w:left="709" w:right="1278"/>
        <w:rPr>
          <w:sz w:val="20"/>
          <w:szCs w:val="20"/>
        </w:rPr>
      </w:pPr>
    </w:p>
    <w:p w:rsidR="00775ED1" w:rsidRPr="00775ED1" w:rsidRDefault="00775ED1" w:rsidP="00775ED1">
      <w:pPr>
        <w:ind w:left="709" w:right="1278"/>
        <w:rPr>
          <w:sz w:val="20"/>
          <w:szCs w:val="20"/>
        </w:rPr>
      </w:pPr>
      <w:r w:rsidRPr="00775ED1">
        <w:rPr>
          <w:sz w:val="20"/>
          <w:szCs w:val="20"/>
        </w:rPr>
        <w:t>One of the most powerful mechanisms the VPSC has for meeting its statutory objectives is the collection, analysis and transparent public reporting of data on the workforce performance of Victorian public sector agencies. This includes workforce data providing insights into how effectively public sector agencies</w:t>
      </w:r>
      <w:r w:rsidRPr="00775ED1">
        <w:rPr>
          <w:sz w:val="20"/>
          <w:szCs w:val="20"/>
        </w:rPr>
        <w:br/>
        <w:t>are living the public sector values and how effectively public sector workplaces are led and managed.</w:t>
      </w:r>
    </w:p>
    <w:p w:rsidR="00775ED1" w:rsidRPr="00775ED1" w:rsidRDefault="00775ED1" w:rsidP="00775ED1">
      <w:pPr>
        <w:ind w:left="709" w:right="1278"/>
        <w:rPr>
          <w:sz w:val="20"/>
          <w:szCs w:val="20"/>
        </w:rPr>
      </w:pPr>
      <w:r w:rsidRPr="00775ED1">
        <w:rPr>
          <w:sz w:val="20"/>
          <w:szCs w:val="20"/>
        </w:rPr>
        <w:t>In 2018–19, we overhauled our data collection and analysis systems to substantially lift the scope</w:t>
      </w:r>
      <w:r w:rsidRPr="00775ED1">
        <w:rPr>
          <w:sz w:val="20"/>
          <w:szCs w:val="20"/>
        </w:rPr>
        <w:br/>
        <w:t>and depth of our reporting on public sector workplaces and to ensure that performance is reported</w:t>
      </w:r>
      <w:r w:rsidRPr="00775ED1">
        <w:rPr>
          <w:sz w:val="20"/>
          <w:szCs w:val="20"/>
        </w:rPr>
        <w:br/>
        <w:t xml:space="preserve">transparently in the State of the Public Sector in Victoria report. We improved the report to provide </w:t>
      </w:r>
      <w:r w:rsidRPr="00775ED1">
        <w:rPr>
          <w:sz w:val="20"/>
          <w:szCs w:val="20"/>
        </w:rPr>
        <w:br/>
        <w:t xml:space="preserve">richer insights about key workforce issues such as leadership, diversity, professional development, </w:t>
      </w:r>
      <w:r w:rsidRPr="00775ED1">
        <w:rPr>
          <w:sz w:val="20"/>
          <w:szCs w:val="20"/>
        </w:rPr>
        <w:br/>
        <w:t>bullying and sexual harassment.</w:t>
      </w:r>
    </w:p>
    <w:p w:rsidR="006A7827" w:rsidRDefault="006A7827" w:rsidP="00775ED1">
      <w:pPr>
        <w:ind w:left="709" w:right="1278"/>
        <w:rPr>
          <w:sz w:val="20"/>
          <w:szCs w:val="20"/>
        </w:rPr>
      </w:pPr>
    </w:p>
    <w:p w:rsidR="00775ED1" w:rsidRPr="00775ED1" w:rsidRDefault="00775ED1" w:rsidP="00775ED1">
      <w:pPr>
        <w:ind w:left="709" w:right="1278"/>
        <w:rPr>
          <w:sz w:val="20"/>
          <w:szCs w:val="20"/>
        </w:rPr>
      </w:pPr>
      <w:r w:rsidRPr="00775ED1">
        <w:rPr>
          <w:sz w:val="20"/>
          <w:szCs w:val="20"/>
        </w:rPr>
        <w:t>The VPSC has a central role to play in promoting integrity and impartiality across the Victorian Public Sector. Public servants have an obligation to conduct their work in a nonpartisan and impartial fashion while serving the government of the day in executing its policy and program decisions. Consistent with the public sector values enshrined in the Public Administration Act 2004, Victorian Public Sector leaders must promote respectful and professional workplaces.</w:t>
      </w:r>
    </w:p>
    <w:p w:rsidR="006A7827" w:rsidRDefault="006A7827" w:rsidP="00775ED1">
      <w:pPr>
        <w:ind w:left="709" w:right="1278"/>
        <w:rPr>
          <w:sz w:val="20"/>
          <w:szCs w:val="20"/>
        </w:rPr>
      </w:pPr>
    </w:p>
    <w:p w:rsidR="00775ED1" w:rsidRPr="00775ED1" w:rsidRDefault="00775ED1" w:rsidP="00775ED1">
      <w:pPr>
        <w:ind w:left="709" w:right="1278"/>
        <w:rPr>
          <w:sz w:val="20"/>
          <w:szCs w:val="20"/>
        </w:rPr>
      </w:pPr>
      <w:r w:rsidRPr="00775ED1">
        <w:rPr>
          <w:sz w:val="20"/>
          <w:szCs w:val="20"/>
        </w:rPr>
        <w:t>An important priority for the VPSC in 2018–19 was supporting the Victorian Secretaries Board in its efforts</w:t>
      </w:r>
      <w:r w:rsidRPr="00775ED1">
        <w:rPr>
          <w:sz w:val="20"/>
          <w:szCs w:val="20"/>
        </w:rPr>
        <w:br/>
        <w:t>to address and combat sexual harassment in Victorian public sector workplaces. In particular, the VPSC</w:t>
      </w:r>
      <w:r w:rsidRPr="00775ED1">
        <w:rPr>
          <w:sz w:val="20"/>
          <w:szCs w:val="20"/>
        </w:rPr>
        <w:br/>
        <w:t>led whole of government collaboration to develop preventative approaches and best practice responses</w:t>
      </w:r>
      <w:r w:rsidRPr="00775ED1">
        <w:rPr>
          <w:sz w:val="20"/>
          <w:szCs w:val="20"/>
        </w:rPr>
        <w:br/>
        <w:t>to sexual harassment. We published a model policy, guidance material and model action plan committing each department to report on their progress.</w:t>
      </w:r>
    </w:p>
    <w:p w:rsidR="006A7827" w:rsidRDefault="006A7827" w:rsidP="00775ED1">
      <w:pPr>
        <w:ind w:left="709" w:right="1278"/>
        <w:rPr>
          <w:sz w:val="20"/>
          <w:szCs w:val="20"/>
        </w:rPr>
      </w:pPr>
    </w:p>
    <w:p w:rsidR="00775ED1" w:rsidRPr="00775ED1" w:rsidRDefault="00775ED1" w:rsidP="00775ED1">
      <w:pPr>
        <w:ind w:left="709" w:right="1278"/>
        <w:rPr>
          <w:sz w:val="20"/>
          <w:szCs w:val="20"/>
        </w:rPr>
      </w:pPr>
      <w:r w:rsidRPr="00775ED1">
        <w:rPr>
          <w:sz w:val="20"/>
          <w:szCs w:val="20"/>
        </w:rPr>
        <w:t>The VPSC also progressed a number of key initiatives to promote workforce diversity, develop senior leaders and attract talented people to work in the Victorian public sector.</w:t>
      </w:r>
    </w:p>
    <w:p w:rsidR="00775ED1" w:rsidRPr="00775ED1" w:rsidRDefault="00775ED1" w:rsidP="00775ED1">
      <w:pPr>
        <w:ind w:left="709" w:right="1278"/>
        <w:rPr>
          <w:sz w:val="20"/>
          <w:szCs w:val="20"/>
        </w:rPr>
      </w:pPr>
      <w:r w:rsidRPr="00775ED1">
        <w:rPr>
          <w:sz w:val="20"/>
          <w:szCs w:val="20"/>
        </w:rPr>
        <w:t>In October 2018 we launched Getting to Work, the Victorian public sector’s first disability employment action plan. It outlines 21 actions employers can take to improve employment opportunities and provide inclusive work experiences for people with disability.</w:t>
      </w:r>
    </w:p>
    <w:p w:rsidR="006A7827" w:rsidRDefault="006A7827" w:rsidP="00775ED1">
      <w:pPr>
        <w:ind w:left="709" w:right="1278"/>
        <w:rPr>
          <w:sz w:val="20"/>
          <w:szCs w:val="20"/>
        </w:rPr>
      </w:pPr>
    </w:p>
    <w:p w:rsidR="00775ED1" w:rsidRPr="00775ED1" w:rsidRDefault="00775ED1" w:rsidP="00775ED1">
      <w:pPr>
        <w:ind w:left="709" w:right="1278"/>
        <w:rPr>
          <w:sz w:val="20"/>
          <w:szCs w:val="20"/>
        </w:rPr>
      </w:pPr>
      <w:r w:rsidRPr="00775ED1">
        <w:rPr>
          <w:sz w:val="20"/>
          <w:szCs w:val="20"/>
        </w:rPr>
        <w:t xml:space="preserve">We continued the implementation of the Aboriginal employment strategy for the Victorian Public Service, Barring </w:t>
      </w:r>
      <w:proofErr w:type="spellStart"/>
      <w:r w:rsidRPr="00775ED1">
        <w:rPr>
          <w:sz w:val="20"/>
          <w:szCs w:val="20"/>
        </w:rPr>
        <w:t>Djinang</w:t>
      </w:r>
      <w:proofErr w:type="spellEnd"/>
      <w:r w:rsidRPr="00775ED1">
        <w:rPr>
          <w:sz w:val="20"/>
          <w:szCs w:val="20"/>
        </w:rPr>
        <w:t xml:space="preserve">. Eleven out of 15 Barring </w:t>
      </w:r>
      <w:proofErr w:type="spellStart"/>
      <w:r w:rsidRPr="00775ED1">
        <w:rPr>
          <w:sz w:val="20"/>
          <w:szCs w:val="20"/>
        </w:rPr>
        <w:t>Djinang</w:t>
      </w:r>
      <w:proofErr w:type="spellEnd"/>
      <w:r w:rsidRPr="00775ED1">
        <w:rPr>
          <w:sz w:val="20"/>
          <w:szCs w:val="20"/>
        </w:rPr>
        <w:t xml:space="preserve"> initiatives are now in operation, with focus on attraction, career progression, cultural safety and support. Particular highlights in 2018–19 were the establishment of regional Aboriginal staff networks across Victoria, and the successful piloting of a new intensive leadership development program for future and emerging Aboriginal leaders.</w:t>
      </w:r>
    </w:p>
    <w:p w:rsidR="006A7827" w:rsidRDefault="006A7827" w:rsidP="00775ED1">
      <w:pPr>
        <w:ind w:left="709" w:right="1278"/>
        <w:rPr>
          <w:sz w:val="20"/>
          <w:szCs w:val="20"/>
        </w:rPr>
      </w:pPr>
    </w:p>
    <w:p w:rsidR="00775ED1" w:rsidRPr="00775ED1" w:rsidRDefault="00775ED1" w:rsidP="00775ED1">
      <w:pPr>
        <w:ind w:left="709" w:right="1278"/>
        <w:rPr>
          <w:sz w:val="20"/>
          <w:szCs w:val="20"/>
        </w:rPr>
      </w:pPr>
      <w:r w:rsidRPr="00775ED1">
        <w:rPr>
          <w:sz w:val="20"/>
          <w:szCs w:val="20"/>
        </w:rPr>
        <w:t>We also revitalised the Victorian Government graduate program by restructuring the learning and development journey, streamlining the recruitment process and modernising the attraction strategy. A stronger brand,</w:t>
      </w:r>
      <w:r w:rsidRPr="00775ED1">
        <w:rPr>
          <w:sz w:val="20"/>
          <w:szCs w:val="20"/>
        </w:rPr>
        <w:br/>
        <w:t>an easy-to-use website, and creative marketing campaign saw applications double in 2018–19.</w:t>
      </w:r>
    </w:p>
    <w:p w:rsidR="007B7542" w:rsidRDefault="007B7542" w:rsidP="00775ED1">
      <w:pPr>
        <w:ind w:left="709" w:right="1278"/>
        <w:rPr>
          <w:sz w:val="20"/>
          <w:szCs w:val="20"/>
        </w:rPr>
      </w:pPr>
    </w:p>
    <w:p w:rsidR="00775ED1" w:rsidRPr="00775ED1" w:rsidRDefault="00775ED1" w:rsidP="00775ED1">
      <w:pPr>
        <w:ind w:left="709" w:right="1278"/>
        <w:rPr>
          <w:sz w:val="20"/>
          <w:szCs w:val="20"/>
        </w:rPr>
      </w:pPr>
      <w:r w:rsidRPr="00775ED1">
        <w:rPr>
          <w:sz w:val="20"/>
          <w:szCs w:val="20"/>
        </w:rPr>
        <w:t xml:space="preserve">The central job portal administered by the VPSC on behalf of departments and public sector agencies, </w:t>
      </w:r>
      <w:proofErr w:type="spellStart"/>
      <w:r w:rsidRPr="00775ED1">
        <w:rPr>
          <w:sz w:val="20"/>
          <w:szCs w:val="20"/>
        </w:rPr>
        <w:t>Careers.Vic</w:t>
      </w:r>
      <w:proofErr w:type="spellEnd"/>
      <w:r w:rsidRPr="00775ED1">
        <w:rPr>
          <w:sz w:val="20"/>
          <w:szCs w:val="20"/>
        </w:rPr>
        <w:t>, is now used by all departments and 90 public sector agencies. It showcases the Victorian public sector as an employer of choice and now attracts nearly 45,000 job seekers each week.</w:t>
      </w:r>
    </w:p>
    <w:p w:rsidR="00775ED1" w:rsidRPr="00775ED1" w:rsidRDefault="00775ED1" w:rsidP="00775ED1">
      <w:pPr>
        <w:ind w:left="709" w:right="1278"/>
        <w:rPr>
          <w:sz w:val="20"/>
          <w:szCs w:val="20"/>
        </w:rPr>
      </w:pPr>
    </w:p>
    <w:p w:rsidR="00775ED1" w:rsidRPr="00775ED1" w:rsidRDefault="00775ED1" w:rsidP="00775ED1">
      <w:pPr>
        <w:ind w:left="709" w:right="1278"/>
        <w:rPr>
          <w:sz w:val="20"/>
          <w:szCs w:val="20"/>
        </w:rPr>
      </w:pPr>
      <w:r w:rsidRPr="00775ED1">
        <w:rPr>
          <w:sz w:val="20"/>
          <w:szCs w:val="20"/>
        </w:rPr>
        <w:t>In 2018–19, we took an entirely new approach to the Victorian Leadership Academy’s executive development programs and established a new twelve-month transformational leadership program for director level executives – 176 directors commenced the new program this year.</w:t>
      </w:r>
    </w:p>
    <w:p w:rsidR="007B7542" w:rsidRDefault="007B7542" w:rsidP="00775ED1">
      <w:pPr>
        <w:ind w:left="709" w:right="1278"/>
        <w:rPr>
          <w:sz w:val="20"/>
          <w:szCs w:val="20"/>
        </w:rPr>
      </w:pPr>
    </w:p>
    <w:p w:rsidR="00775ED1" w:rsidRPr="00775ED1" w:rsidRDefault="00775ED1" w:rsidP="00775ED1">
      <w:pPr>
        <w:ind w:left="709" w:right="1278"/>
        <w:rPr>
          <w:sz w:val="20"/>
          <w:szCs w:val="20"/>
        </w:rPr>
      </w:pPr>
      <w:r w:rsidRPr="00775ED1">
        <w:rPr>
          <w:sz w:val="20"/>
          <w:szCs w:val="20"/>
        </w:rPr>
        <w:t xml:space="preserve">Following a comprehensive review of executive officer employment arrangements, the VPSC supported </w:t>
      </w:r>
      <w:r w:rsidRPr="00775ED1">
        <w:rPr>
          <w:sz w:val="20"/>
          <w:szCs w:val="20"/>
        </w:rPr>
        <w:lastRenderedPageBreak/>
        <w:t xml:space="preserve">departments and administrative offices in the implementation of a wide ranging Senior Executive Reform Program for the Victorian Public Service. The reforms — including the application of consistent classification structures aligned with clear remuneration bands established by the Victorian Independent Remuneration Tribunal, and stronger performance management arrangements — are now substantially </w:t>
      </w:r>
      <w:proofErr w:type="gramStart"/>
      <w:r w:rsidRPr="00775ED1">
        <w:rPr>
          <w:sz w:val="20"/>
          <w:szCs w:val="20"/>
        </w:rPr>
        <w:t>progressed, and</w:t>
      </w:r>
      <w:proofErr w:type="gramEnd"/>
      <w:r w:rsidRPr="00775ED1">
        <w:rPr>
          <w:sz w:val="20"/>
          <w:szCs w:val="20"/>
        </w:rPr>
        <w:t xml:space="preserve"> are scheduled to be fully implemented in 2020. The VPSC also developed an executive pre-employment screening policy for the Victorian Public Service that commenced in October 2018.</w:t>
      </w:r>
    </w:p>
    <w:p w:rsidR="007B7542" w:rsidRDefault="007B7542" w:rsidP="00775ED1">
      <w:pPr>
        <w:ind w:left="709" w:right="1278"/>
        <w:rPr>
          <w:sz w:val="20"/>
          <w:szCs w:val="20"/>
        </w:rPr>
      </w:pPr>
    </w:p>
    <w:p w:rsidR="007B7542" w:rsidRDefault="00775ED1" w:rsidP="007B7542">
      <w:pPr>
        <w:ind w:left="709" w:right="1278"/>
        <w:rPr>
          <w:sz w:val="20"/>
          <w:szCs w:val="20"/>
        </w:rPr>
      </w:pPr>
      <w:r w:rsidRPr="00775ED1">
        <w:rPr>
          <w:sz w:val="20"/>
          <w:szCs w:val="20"/>
        </w:rPr>
        <w:t xml:space="preserve">Looking back on a year of many achievements, I would like to thank the dedicated staff of the VPSC </w:t>
      </w:r>
      <w:r w:rsidRPr="00775ED1">
        <w:rPr>
          <w:sz w:val="20"/>
          <w:szCs w:val="20"/>
        </w:rPr>
        <w:br/>
        <w:t>for their professionalism, hard work and commitment to public service throughout 2018–19.</w:t>
      </w:r>
      <w:r w:rsidR="007B7542">
        <w:rPr>
          <w:sz w:val="20"/>
          <w:szCs w:val="20"/>
        </w:rPr>
        <w:t xml:space="preserve"> </w:t>
      </w:r>
    </w:p>
    <w:p w:rsidR="007B7542" w:rsidRDefault="007B7542" w:rsidP="007B7542">
      <w:pPr>
        <w:ind w:left="709" w:right="1278"/>
        <w:rPr>
          <w:sz w:val="20"/>
          <w:szCs w:val="20"/>
        </w:rPr>
      </w:pPr>
    </w:p>
    <w:p w:rsidR="007B7542" w:rsidRPr="007B7542" w:rsidRDefault="007B7542" w:rsidP="007B7542">
      <w:pPr>
        <w:ind w:left="709"/>
        <w:rPr>
          <w:sz w:val="20"/>
          <w:szCs w:val="20"/>
        </w:rPr>
      </w:pPr>
      <w:r w:rsidRPr="007B7542">
        <w:rPr>
          <w:sz w:val="20"/>
          <w:szCs w:val="20"/>
        </w:rPr>
        <w:t>Dr Paul Grimes</w:t>
      </w:r>
    </w:p>
    <w:p w:rsidR="007B7542" w:rsidRPr="007B7542" w:rsidRDefault="007B7542" w:rsidP="007B7542">
      <w:pPr>
        <w:ind w:left="709"/>
        <w:rPr>
          <w:sz w:val="20"/>
          <w:szCs w:val="20"/>
        </w:rPr>
      </w:pPr>
      <w:r w:rsidRPr="007B7542">
        <w:rPr>
          <w:sz w:val="20"/>
          <w:szCs w:val="20"/>
        </w:rPr>
        <w:t xml:space="preserve">Commissioner </w:t>
      </w:r>
    </w:p>
    <w:p w:rsidR="007B7542" w:rsidRPr="007B7542" w:rsidRDefault="007B7542" w:rsidP="007B7542">
      <w:pPr>
        <w:ind w:left="709"/>
        <w:rPr>
          <w:sz w:val="20"/>
          <w:szCs w:val="20"/>
        </w:rPr>
      </w:pPr>
      <w:r w:rsidRPr="007B7542">
        <w:rPr>
          <w:sz w:val="20"/>
          <w:szCs w:val="20"/>
        </w:rPr>
        <w:t>23 September 2019</w:t>
      </w:r>
    </w:p>
    <w:p w:rsidR="007B7542" w:rsidRDefault="007B7542">
      <w:pPr>
        <w:spacing w:line="249" w:lineRule="auto"/>
        <w:sectPr w:rsidR="007B7542">
          <w:pgSz w:w="11910" w:h="16840"/>
          <w:pgMar w:top="520" w:right="0" w:bottom="680" w:left="0" w:header="0" w:footer="491" w:gutter="0"/>
          <w:cols w:space="720"/>
        </w:sectPr>
      </w:pPr>
    </w:p>
    <w:p w:rsidR="007B7542" w:rsidRPr="007B7542" w:rsidRDefault="007B7542" w:rsidP="007B7542">
      <w:pPr>
        <w:pStyle w:val="Heading2"/>
        <w:rPr>
          <w:color w:val="231F20"/>
        </w:rPr>
      </w:pPr>
      <w:bookmarkStart w:id="3" w:name="_bookmark1"/>
      <w:bookmarkStart w:id="4" w:name="_Toc23329713"/>
      <w:bookmarkEnd w:id="3"/>
      <w:r>
        <w:lastRenderedPageBreak/>
        <w:t xml:space="preserve">About </w:t>
      </w:r>
      <w:proofErr w:type="gramStart"/>
      <w:r>
        <w:t>The</w:t>
      </w:r>
      <w:proofErr w:type="gramEnd"/>
      <w:r>
        <w:t xml:space="preserve"> Victorian Public Sector Commission</w:t>
      </w:r>
      <w:bookmarkEnd w:id="4"/>
    </w:p>
    <w:p w:rsidR="0051318F" w:rsidRDefault="0051318F">
      <w:pPr>
        <w:pStyle w:val="BodyText"/>
        <w:spacing w:before="316" w:line="249" w:lineRule="auto"/>
        <w:ind w:left="720" w:right="940"/>
        <w:rPr>
          <w:color w:val="231F20"/>
        </w:rPr>
      </w:pPr>
    </w:p>
    <w:p w:rsidR="007B7542" w:rsidRDefault="007B7542" w:rsidP="007B7542">
      <w:pPr>
        <w:pStyle w:val="BodyText"/>
        <w:spacing w:line="276" w:lineRule="auto"/>
        <w:ind w:left="709" w:right="1137"/>
        <w:rPr>
          <w:lang w:eastAsia="en-US" w:bidi="ar-SA"/>
        </w:rPr>
      </w:pPr>
      <w:r w:rsidRPr="007B7542">
        <w:rPr>
          <w:lang w:eastAsia="en-US" w:bidi="ar-SA"/>
        </w:rPr>
        <w:t xml:space="preserve">The VPSC was established on 1 April 2014 to achieve objectives set out in the </w:t>
      </w:r>
      <w:r w:rsidRPr="007B7542">
        <w:rPr>
          <w:i/>
          <w:iCs/>
          <w:lang w:eastAsia="en-US" w:bidi="ar-SA"/>
        </w:rPr>
        <w:t>Public Administration</w:t>
      </w:r>
      <w:r w:rsidRPr="007B7542">
        <w:rPr>
          <w:i/>
          <w:iCs/>
          <w:lang w:eastAsia="en-US" w:bidi="ar-SA"/>
        </w:rPr>
        <w:br/>
        <w:t>Act 2004</w:t>
      </w:r>
      <w:r w:rsidRPr="007B7542">
        <w:rPr>
          <w:lang w:eastAsia="en-US" w:bidi="ar-SA"/>
        </w:rPr>
        <w:t xml:space="preserve"> (the Act). These are to:</w:t>
      </w:r>
    </w:p>
    <w:p w:rsidR="007B7542" w:rsidRPr="007B7542" w:rsidRDefault="007B7542" w:rsidP="007B7542">
      <w:pPr>
        <w:pStyle w:val="BodyText"/>
        <w:spacing w:line="276" w:lineRule="auto"/>
        <w:ind w:left="709" w:right="1137"/>
        <w:rPr>
          <w:lang w:eastAsia="en-US" w:bidi="ar-SA"/>
        </w:rPr>
      </w:pPr>
    </w:p>
    <w:p w:rsidR="007B7542" w:rsidRPr="007B7542" w:rsidRDefault="007B7542" w:rsidP="00943EBA">
      <w:pPr>
        <w:pStyle w:val="ListParagraph"/>
        <w:numPr>
          <w:ilvl w:val="0"/>
          <w:numId w:val="3"/>
        </w:numPr>
        <w:spacing w:line="276" w:lineRule="auto"/>
        <w:rPr>
          <w:sz w:val="20"/>
          <w:szCs w:val="20"/>
          <w:lang w:bidi="ar-SA"/>
        </w:rPr>
      </w:pPr>
      <w:r w:rsidRPr="007B7542">
        <w:rPr>
          <w:sz w:val="20"/>
          <w:szCs w:val="20"/>
          <w:lang w:bidi="ar-SA"/>
        </w:rPr>
        <w:t>Strengthen the efficiency, effectiveness and capability of the public sector in order to meet existing</w:t>
      </w:r>
      <w:r w:rsidRPr="007B7542">
        <w:rPr>
          <w:sz w:val="20"/>
          <w:szCs w:val="20"/>
          <w:lang w:bidi="ar-SA"/>
        </w:rPr>
        <w:br/>
        <w:t>and emerging needs and deliver high quality services.</w:t>
      </w:r>
    </w:p>
    <w:p w:rsidR="007B7542" w:rsidRDefault="007B7542" w:rsidP="00943EBA">
      <w:pPr>
        <w:pStyle w:val="ListParagraph"/>
        <w:numPr>
          <w:ilvl w:val="0"/>
          <w:numId w:val="3"/>
        </w:numPr>
        <w:spacing w:line="276" w:lineRule="auto"/>
        <w:rPr>
          <w:sz w:val="20"/>
          <w:szCs w:val="20"/>
          <w:lang w:bidi="ar-SA"/>
        </w:rPr>
      </w:pPr>
      <w:r w:rsidRPr="007B7542">
        <w:rPr>
          <w:sz w:val="20"/>
          <w:szCs w:val="20"/>
          <w:lang w:bidi="ar-SA"/>
        </w:rPr>
        <w:t>Maintain, and advocate for, public sector professionalism and integrity.</w:t>
      </w:r>
    </w:p>
    <w:p w:rsidR="007B7542" w:rsidRPr="007B7542" w:rsidRDefault="007B7542" w:rsidP="007B7542">
      <w:pPr>
        <w:pStyle w:val="ListParagraph"/>
        <w:spacing w:line="276" w:lineRule="auto"/>
        <w:ind w:left="1440" w:firstLine="0"/>
        <w:rPr>
          <w:sz w:val="20"/>
          <w:szCs w:val="20"/>
          <w:lang w:bidi="ar-SA"/>
        </w:rPr>
      </w:pPr>
    </w:p>
    <w:p w:rsidR="007B7542" w:rsidRPr="007B7542" w:rsidRDefault="007B7542" w:rsidP="007B7542">
      <w:pPr>
        <w:pStyle w:val="BodyText"/>
        <w:spacing w:line="276" w:lineRule="auto"/>
        <w:ind w:left="720" w:right="1137"/>
        <w:rPr>
          <w:lang w:eastAsia="en-US" w:bidi="ar-SA"/>
        </w:rPr>
      </w:pPr>
      <w:r w:rsidRPr="007B7542">
        <w:rPr>
          <w:lang w:eastAsia="en-US" w:bidi="ar-SA"/>
        </w:rPr>
        <w:t>The VPSC helps strengthen public sector efficiency, effectiveness and capability by:</w:t>
      </w:r>
      <w:r>
        <w:rPr>
          <w:lang w:eastAsia="en-US" w:bidi="ar-SA"/>
        </w:rPr>
        <w:br/>
      </w:r>
    </w:p>
    <w:p w:rsidR="007B7542" w:rsidRPr="007B7542" w:rsidRDefault="007B7542" w:rsidP="00943EBA">
      <w:pPr>
        <w:pStyle w:val="BodyText"/>
        <w:numPr>
          <w:ilvl w:val="0"/>
          <w:numId w:val="3"/>
        </w:numPr>
        <w:spacing w:line="276" w:lineRule="auto"/>
        <w:ind w:right="1137"/>
        <w:rPr>
          <w:lang w:eastAsia="en-US" w:bidi="ar-SA"/>
        </w:rPr>
      </w:pPr>
      <w:r w:rsidRPr="007B7542">
        <w:rPr>
          <w:lang w:eastAsia="en-US" w:bidi="ar-SA"/>
        </w:rPr>
        <w:t>Assessing, researching and providing advice and support on issues relevant to public sector administration, governance, service delivery and workforce management and development.</w:t>
      </w:r>
    </w:p>
    <w:p w:rsidR="007B7542" w:rsidRPr="007B7542" w:rsidRDefault="007B7542" w:rsidP="00943EBA">
      <w:pPr>
        <w:pStyle w:val="BodyText"/>
        <w:numPr>
          <w:ilvl w:val="0"/>
          <w:numId w:val="3"/>
        </w:numPr>
        <w:spacing w:line="276" w:lineRule="auto"/>
        <w:ind w:right="1137"/>
        <w:rPr>
          <w:lang w:eastAsia="en-US" w:bidi="ar-SA"/>
        </w:rPr>
      </w:pPr>
      <w:r w:rsidRPr="007B7542">
        <w:rPr>
          <w:lang w:eastAsia="en-US" w:bidi="ar-SA"/>
        </w:rPr>
        <w:t>Collecting and reporting on whole of government data.</w:t>
      </w:r>
    </w:p>
    <w:p w:rsidR="007B7542" w:rsidRDefault="007B7542" w:rsidP="00943EBA">
      <w:pPr>
        <w:pStyle w:val="BodyText"/>
        <w:numPr>
          <w:ilvl w:val="0"/>
          <w:numId w:val="3"/>
        </w:numPr>
        <w:spacing w:line="276" w:lineRule="auto"/>
        <w:ind w:right="1137"/>
        <w:rPr>
          <w:lang w:eastAsia="en-US" w:bidi="ar-SA"/>
        </w:rPr>
      </w:pPr>
      <w:r w:rsidRPr="007B7542">
        <w:rPr>
          <w:lang w:eastAsia="en-US" w:bidi="ar-SA"/>
        </w:rPr>
        <w:t>Conducting enquiries as directed under the Act by the Premier.</w:t>
      </w:r>
    </w:p>
    <w:p w:rsidR="007B7542" w:rsidRDefault="007B7542" w:rsidP="007B7542">
      <w:pPr>
        <w:pStyle w:val="BodyText"/>
        <w:spacing w:line="276" w:lineRule="auto"/>
        <w:ind w:left="720" w:right="1137"/>
        <w:rPr>
          <w:lang w:eastAsia="en-US" w:bidi="ar-SA"/>
        </w:rPr>
      </w:pPr>
    </w:p>
    <w:p w:rsidR="007B7542" w:rsidRDefault="007B7542" w:rsidP="007B7542">
      <w:pPr>
        <w:pStyle w:val="BodyText"/>
        <w:spacing w:line="276" w:lineRule="auto"/>
        <w:ind w:left="720" w:right="1137"/>
        <w:rPr>
          <w:lang w:eastAsia="en-US" w:bidi="ar-SA"/>
        </w:rPr>
      </w:pPr>
      <w:r w:rsidRPr="007B7542">
        <w:rPr>
          <w:lang w:eastAsia="en-US" w:bidi="ar-SA"/>
        </w:rPr>
        <w:t>The VPSC supports public sector integrity by:</w:t>
      </w:r>
    </w:p>
    <w:p w:rsidR="007B7542" w:rsidRPr="007B7542" w:rsidRDefault="007B7542" w:rsidP="007B7542">
      <w:pPr>
        <w:pStyle w:val="BodyText"/>
        <w:spacing w:line="276" w:lineRule="auto"/>
        <w:ind w:left="720" w:right="1137"/>
        <w:rPr>
          <w:lang w:eastAsia="en-US" w:bidi="ar-SA"/>
        </w:rPr>
      </w:pPr>
    </w:p>
    <w:p w:rsidR="007B7542" w:rsidRPr="007B7542" w:rsidRDefault="007B7542" w:rsidP="00943EBA">
      <w:pPr>
        <w:pStyle w:val="BodyText"/>
        <w:numPr>
          <w:ilvl w:val="0"/>
          <w:numId w:val="3"/>
        </w:numPr>
        <w:spacing w:line="276" w:lineRule="auto"/>
        <w:ind w:right="1137"/>
        <w:rPr>
          <w:lang w:eastAsia="en-US" w:bidi="ar-SA"/>
        </w:rPr>
      </w:pPr>
      <w:r w:rsidRPr="007B7542">
        <w:rPr>
          <w:lang w:eastAsia="en-US" w:bidi="ar-SA"/>
        </w:rPr>
        <w:t>Advocating for an apolitical and professional public sector.</w:t>
      </w:r>
    </w:p>
    <w:p w:rsidR="007B7542" w:rsidRPr="007B7542" w:rsidRDefault="007B7542" w:rsidP="00943EBA">
      <w:pPr>
        <w:pStyle w:val="BodyText"/>
        <w:numPr>
          <w:ilvl w:val="0"/>
          <w:numId w:val="3"/>
        </w:numPr>
        <w:spacing w:line="276" w:lineRule="auto"/>
        <w:ind w:right="1137"/>
        <w:rPr>
          <w:lang w:eastAsia="en-US" w:bidi="ar-SA"/>
        </w:rPr>
      </w:pPr>
      <w:r w:rsidRPr="007B7542">
        <w:rPr>
          <w:lang w:eastAsia="en-US" w:bidi="ar-SA"/>
        </w:rPr>
        <w:t>Issuing and applying codes of conduct and standards.</w:t>
      </w:r>
    </w:p>
    <w:p w:rsidR="007B7542" w:rsidRPr="007B7542" w:rsidRDefault="007B7542" w:rsidP="00943EBA">
      <w:pPr>
        <w:pStyle w:val="BodyText"/>
        <w:numPr>
          <w:ilvl w:val="0"/>
          <w:numId w:val="3"/>
        </w:numPr>
        <w:spacing w:line="276" w:lineRule="auto"/>
        <w:ind w:right="1137"/>
        <w:rPr>
          <w:lang w:eastAsia="en-US" w:bidi="ar-SA"/>
        </w:rPr>
      </w:pPr>
      <w:r w:rsidRPr="007B7542">
        <w:rPr>
          <w:lang w:eastAsia="en-US" w:bidi="ar-SA"/>
        </w:rPr>
        <w:t>Monitoring and reporting to public sector body heads on compliance with the public sector values,</w:t>
      </w:r>
      <w:r w:rsidRPr="007B7542">
        <w:rPr>
          <w:lang w:eastAsia="en-US" w:bidi="ar-SA"/>
        </w:rPr>
        <w:br/>
        <w:t>codes of conduct, employment principles and standards.</w:t>
      </w:r>
    </w:p>
    <w:p w:rsidR="007B7542" w:rsidRPr="007B7542" w:rsidRDefault="007B7542" w:rsidP="00943EBA">
      <w:pPr>
        <w:pStyle w:val="BodyText"/>
        <w:numPr>
          <w:ilvl w:val="0"/>
          <w:numId w:val="3"/>
        </w:numPr>
        <w:spacing w:line="276" w:lineRule="auto"/>
        <w:ind w:right="1137"/>
        <w:rPr>
          <w:lang w:eastAsia="en-US" w:bidi="ar-SA"/>
        </w:rPr>
      </w:pPr>
      <w:r w:rsidRPr="007B7542">
        <w:rPr>
          <w:lang w:eastAsia="en-US" w:bidi="ar-SA"/>
        </w:rPr>
        <w:t>Reviewing employment related actions and making relevant recommendations.</w:t>
      </w:r>
    </w:p>
    <w:p w:rsidR="007B7542" w:rsidRDefault="007B7542" w:rsidP="00943EBA">
      <w:pPr>
        <w:pStyle w:val="BodyText"/>
        <w:numPr>
          <w:ilvl w:val="0"/>
          <w:numId w:val="3"/>
        </w:numPr>
        <w:spacing w:line="276" w:lineRule="auto"/>
        <w:ind w:right="1137"/>
        <w:rPr>
          <w:lang w:eastAsia="en-US" w:bidi="ar-SA"/>
        </w:rPr>
      </w:pPr>
      <w:r w:rsidRPr="007B7542">
        <w:rPr>
          <w:lang w:eastAsia="en-US" w:bidi="ar-SA"/>
        </w:rPr>
        <w:t>Maintaining a register of lobbyists.</w:t>
      </w:r>
    </w:p>
    <w:p w:rsidR="006564C0" w:rsidRPr="007B7542" w:rsidRDefault="006564C0" w:rsidP="006564C0">
      <w:pPr>
        <w:pStyle w:val="BodyText"/>
        <w:spacing w:line="276" w:lineRule="auto"/>
        <w:ind w:left="1440" w:right="1137"/>
        <w:rPr>
          <w:lang w:eastAsia="en-US" w:bidi="ar-SA"/>
        </w:rPr>
      </w:pPr>
    </w:p>
    <w:p w:rsidR="007B7542" w:rsidRDefault="007B7542" w:rsidP="006564C0">
      <w:pPr>
        <w:pStyle w:val="BodyText"/>
        <w:spacing w:line="276" w:lineRule="auto"/>
        <w:ind w:left="709" w:right="1137"/>
        <w:rPr>
          <w:lang w:eastAsia="en-US" w:bidi="ar-SA"/>
        </w:rPr>
      </w:pPr>
      <w:r w:rsidRPr="007B7542">
        <w:rPr>
          <w:lang w:eastAsia="en-US" w:bidi="ar-SA"/>
        </w:rPr>
        <w:t>In 2018–19 a number of programs were administered by the VPSC on behalf of, and for, public sector bodies. These included:</w:t>
      </w:r>
    </w:p>
    <w:p w:rsidR="006564C0" w:rsidRPr="007B7542" w:rsidRDefault="006564C0" w:rsidP="006564C0">
      <w:pPr>
        <w:pStyle w:val="BodyText"/>
        <w:spacing w:line="276" w:lineRule="auto"/>
        <w:ind w:left="709" w:right="1137"/>
        <w:rPr>
          <w:lang w:eastAsia="en-US" w:bidi="ar-SA"/>
        </w:rPr>
      </w:pPr>
    </w:p>
    <w:p w:rsidR="007B7542" w:rsidRPr="007B7542" w:rsidRDefault="007B7542" w:rsidP="00943EBA">
      <w:pPr>
        <w:pStyle w:val="BodyText"/>
        <w:numPr>
          <w:ilvl w:val="0"/>
          <w:numId w:val="3"/>
        </w:numPr>
        <w:spacing w:line="276" w:lineRule="auto"/>
        <w:ind w:right="1137"/>
        <w:rPr>
          <w:lang w:eastAsia="en-US" w:bidi="ar-SA"/>
        </w:rPr>
      </w:pPr>
      <w:r w:rsidRPr="007B7542">
        <w:rPr>
          <w:lang w:eastAsia="en-US" w:bidi="ar-SA"/>
        </w:rPr>
        <w:t>The Government Sector Executive Remuneration Panel (GSERP)</w:t>
      </w:r>
      <w:r w:rsidRPr="007B7542">
        <w:rPr>
          <w:vertAlign w:val="superscript"/>
          <w:lang w:eastAsia="en-US" w:bidi="ar-SA"/>
        </w:rPr>
        <w:t>1</w:t>
      </w:r>
      <w:r w:rsidRPr="007B7542">
        <w:rPr>
          <w:lang w:eastAsia="en-US" w:bidi="ar-SA"/>
        </w:rPr>
        <w:t xml:space="preserve"> </w:t>
      </w:r>
    </w:p>
    <w:p w:rsidR="007B7542" w:rsidRPr="007B7542" w:rsidRDefault="007B7542" w:rsidP="00943EBA">
      <w:pPr>
        <w:pStyle w:val="BodyText"/>
        <w:numPr>
          <w:ilvl w:val="0"/>
          <w:numId w:val="3"/>
        </w:numPr>
        <w:spacing w:line="276" w:lineRule="auto"/>
        <w:ind w:right="1137"/>
        <w:rPr>
          <w:lang w:eastAsia="en-US" w:bidi="ar-SA"/>
        </w:rPr>
      </w:pPr>
      <w:r w:rsidRPr="007B7542">
        <w:rPr>
          <w:lang w:eastAsia="en-US" w:bidi="ar-SA"/>
        </w:rPr>
        <w:t xml:space="preserve">Recruitment experience and </w:t>
      </w:r>
      <w:proofErr w:type="spellStart"/>
      <w:r w:rsidRPr="007B7542">
        <w:rPr>
          <w:lang w:eastAsia="en-US" w:bidi="ar-SA"/>
        </w:rPr>
        <w:t>Careers.Vic</w:t>
      </w:r>
      <w:proofErr w:type="spellEnd"/>
    </w:p>
    <w:p w:rsidR="007B7542" w:rsidRPr="007B7542" w:rsidRDefault="007B7542" w:rsidP="00943EBA">
      <w:pPr>
        <w:pStyle w:val="BodyText"/>
        <w:numPr>
          <w:ilvl w:val="0"/>
          <w:numId w:val="3"/>
        </w:numPr>
        <w:spacing w:line="276" w:lineRule="auto"/>
        <w:ind w:right="1137"/>
        <w:rPr>
          <w:lang w:eastAsia="en-US" w:bidi="ar-SA"/>
        </w:rPr>
      </w:pPr>
      <w:r w:rsidRPr="007B7542">
        <w:rPr>
          <w:lang w:eastAsia="en-US" w:bidi="ar-SA"/>
        </w:rPr>
        <w:t>The Government Appointments and Public Entities Database (GAPED)</w:t>
      </w:r>
    </w:p>
    <w:p w:rsidR="007B7542" w:rsidRPr="007B7542" w:rsidRDefault="007B7542" w:rsidP="00943EBA">
      <w:pPr>
        <w:pStyle w:val="BodyText"/>
        <w:numPr>
          <w:ilvl w:val="0"/>
          <w:numId w:val="3"/>
        </w:numPr>
        <w:spacing w:line="276" w:lineRule="auto"/>
        <w:ind w:right="1137"/>
        <w:rPr>
          <w:lang w:eastAsia="en-US" w:bidi="ar-SA"/>
        </w:rPr>
      </w:pPr>
      <w:r w:rsidRPr="007B7542">
        <w:rPr>
          <w:lang w:eastAsia="en-US" w:bidi="ar-SA"/>
        </w:rPr>
        <w:t>The Graduate Recruitment and Development Scheme (GRADS)</w:t>
      </w:r>
    </w:p>
    <w:p w:rsidR="007B7542" w:rsidRPr="007B7542" w:rsidRDefault="007B7542" w:rsidP="00943EBA">
      <w:pPr>
        <w:pStyle w:val="BodyText"/>
        <w:numPr>
          <w:ilvl w:val="0"/>
          <w:numId w:val="3"/>
        </w:numPr>
        <w:spacing w:line="276" w:lineRule="auto"/>
        <w:ind w:right="1137"/>
        <w:rPr>
          <w:lang w:eastAsia="en-US" w:bidi="ar-SA"/>
        </w:rPr>
      </w:pPr>
      <w:r w:rsidRPr="007B7542">
        <w:rPr>
          <w:lang w:eastAsia="en-US" w:bidi="ar-SA"/>
        </w:rPr>
        <w:t>The Victorian Leadership Academy (VLA)</w:t>
      </w:r>
    </w:p>
    <w:p w:rsidR="007B7542" w:rsidRPr="007B7542" w:rsidRDefault="007B7542" w:rsidP="00943EBA">
      <w:pPr>
        <w:pStyle w:val="BodyText"/>
        <w:numPr>
          <w:ilvl w:val="0"/>
          <w:numId w:val="3"/>
        </w:numPr>
        <w:spacing w:line="276" w:lineRule="auto"/>
        <w:ind w:right="1137"/>
        <w:rPr>
          <w:lang w:eastAsia="en-US" w:bidi="ar-SA"/>
        </w:rPr>
      </w:pPr>
      <w:r w:rsidRPr="007B7542">
        <w:rPr>
          <w:i/>
          <w:iCs/>
          <w:lang w:eastAsia="en-US" w:bidi="ar-SA"/>
        </w:rPr>
        <w:t xml:space="preserve">Barring </w:t>
      </w:r>
      <w:proofErr w:type="spellStart"/>
      <w:r w:rsidRPr="007B7542">
        <w:rPr>
          <w:i/>
          <w:iCs/>
          <w:lang w:eastAsia="en-US" w:bidi="ar-SA"/>
        </w:rPr>
        <w:t>Djinang</w:t>
      </w:r>
      <w:proofErr w:type="spellEnd"/>
      <w:r w:rsidRPr="007B7542">
        <w:rPr>
          <w:i/>
          <w:iCs/>
          <w:lang w:eastAsia="en-US" w:bidi="ar-SA"/>
        </w:rPr>
        <w:t>: Aboriginal Employment Strategy</w:t>
      </w:r>
    </w:p>
    <w:p w:rsidR="007B7542" w:rsidRPr="007B7542" w:rsidRDefault="007B7542" w:rsidP="00943EBA">
      <w:pPr>
        <w:pStyle w:val="BodyText"/>
        <w:numPr>
          <w:ilvl w:val="0"/>
          <w:numId w:val="3"/>
        </w:numPr>
        <w:spacing w:line="276" w:lineRule="auto"/>
        <w:ind w:right="1137"/>
        <w:rPr>
          <w:lang w:eastAsia="en-US" w:bidi="ar-SA"/>
        </w:rPr>
      </w:pPr>
      <w:r w:rsidRPr="007B7542">
        <w:rPr>
          <w:i/>
          <w:iCs/>
          <w:lang w:eastAsia="en-US" w:bidi="ar-SA"/>
        </w:rPr>
        <w:t>Getting to Work: Disability Employment Action Plan (DEAP)</w:t>
      </w:r>
      <w:r w:rsidRPr="007B7542">
        <w:rPr>
          <w:lang w:eastAsia="en-US" w:bidi="ar-SA"/>
        </w:rPr>
        <w:t xml:space="preserve"> </w:t>
      </w:r>
    </w:p>
    <w:p w:rsidR="007B7542" w:rsidRPr="007B7542" w:rsidRDefault="007B7542" w:rsidP="00943EBA">
      <w:pPr>
        <w:pStyle w:val="BodyText"/>
        <w:numPr>
          <w:ilvl w:val="0"/>
          <w:numId w:val="3"/>
        </w:numPr>
        <w:spacing w:line="276" w:lineRule="auto"/>
        <w:ind w:right="1137"/>
        <w:rPr>
          <w:lang w:eastAsia="en-US" w:bidi="ar-SA"/>
        </w:rPr>
      </w:pPr>
      <w:r w:rsidRPr="007B7542">
        <w:rPr>
          <w:lang w:eastAsia="en-US" w:bidi="ar-SA"/>
        </w:rPr>
        <w:t>The People Matter Survey</w:t>
      </w:r>
      <w:r w:rsidR="006564C0">
        <w:rPr>
          <w:lang w:eastAsia="en-US" w:bidi="ar-SA"/>
        </w:rPr>
        <w:br/>
      </w:r>
    </w:p>
    <w:p w:rsidR="007B7542" w:rsidRPr="007B7542" w:rsidRDefault="007B7542" w:rsidP="006564C0">
      <w:pPr>
        <w:pStyle w:val="BodyText"/>
        <w:spacing w:line="276" w:lineRule="auto"/>
        <w:ind w:left="720" w:right="1137"/>
        <w:rPr>
          <w:lang w:eastAsia="en-US" w:bidi="ar-SA"/>
        </w:rPr>
      </w:pPr>
      <w:r w:rsidRPr="007B7542">
        <w:rPr>
          <w:lang w:eastAsia="en-US" w:bidi="ar-SA"/>
        </w:rPr>
        <w:t>The VPSC also maintains a register of instruments made under the Act, which is published</w:t>
      </w:r>
      <w:r w:rsidRPr="007B7542">
        <w:rPr>
          <w:lang w:eastAsia="en-US" w:bidi="ar-SA"/>
        </w:rPr>
        <w:br/>
        <w:t>on the VPSC website.</w:t>
      </w:r>
    </w:p>
    <w:p w:rsidR="0051318F" w:rsidRDefault="0051318F"/>
    <w:p w:rsidR="006564C0" w:rsidRDefault="006564C0"/>
    <w:p w:rsidR="006564C0" w:rsidRDefault="006564C0"/>
    <w:p w:rsidR="006564C0" w:rsidRDefault="006564C0"/>
    <w:p w:rsidR="006564C0" w:rsidRDefault="006564C0"/>
    <w:p w:rsidR="006564C0" w:rsidRDefault="006564C0"/>
    <w:p w:rsidR="006564C0" w:rsidRDefault="006564C0"/>
    <w:p w:rsidR="006564C0" w:rsidRPr="00A31CF1" w:rsidRDefault="006564C0" w:rsidP="006564C0">
      <w:pPr>
        <w:ind w:left="709" w:right="1137"/>
        <w:rPr>
          <w:sz w:val="20"/>
          <w:szCs w:val="20"/>
        </w:rPr>
      </w:pPr>
    </w:p>
    <w:p w:rsidR="006564C0" w:rsidRPr="00A31CF1" w:rsidRDefault="006564C0" w:rsidP="006564C0">
      <w:pPr>
        <w:ind w:left="709" w:right="1137"/>
        <w:rPr>
          <w:sz w:val="20"/>
          <w:szCs w:val="20"/>
        </w:rPr>
      </w:pPr>
    </w:p>
    <w:p w:rsidR="006564C0" w:rsidRPr="00A31CF1" w:rsidRDefault="006564C0" w:rsidP="006564C0">
      <w:pPr>
        <w:pStyle w:val="FOOTNOTE"/>
        <w:ind w:left="709" w:right="1137"/>
        <w:rPr>
          <w:rFonts w:ascii="Arial" w:hAnsi="Arial" w:cs="Arial"/>
          <w:sz w:val="20"/>
          <w:szCs w:val="20"/>
        </w:rPr>
      </w:pPr>
      <w:r w:rsidRPr="00A31CF1">
        <w:rPr>
          <w:rFonts w:ascii="Arial" w:hAnsi="Arial" w:cs="Arial"/>
          <w:sz w:val="20"/>
          <w:szCs w:val="20"/>
        </w:rPr>
        <w:t>1</w:t>
      </w:r>
      <w:r w:rsidRPr="00A31CF1">
        <w:rPr>
          <w:rFonts w:ascii="Arial" w:hAnsi="Arial" w:cs="Arial"/>
          <w:sz w:val="20"/>
          <w:szCs w:val="20"/>
        </w:rPr>
        <w:t> </w:t>
      </w:r>
      <w:r w:rsidRPr="00A31CF1">
        <w:rPr>
          <w:rFonts w:ascii="Arial" w:hAnsi="Arial" w:cs="Arial"/>
          <w:sz w:val="20"/>
          <w:szCs w:val="20"/>
        </w:rPr>
        <w:br/>
        <w:t>The GSERP and policy were replaced by the Victorian Government Public Entity Executive Remuneration Policy in November 2018, which is administered</w:t>
      </w:r>
      <w:r w:rsidR="00A31CF1">
        <w:rPr>
          <w:rFonts w:ascii="Arial" w:hAnsi="Arial" w:cs="Arial"/>
          <w:sz w:val="20"/>
          <w:szCs w:val="20"/>
        </w:rPr>
        <w:t xml:space="preserve"> </w:t>
      </w:r>
      <w:r w:rsidRPr="00A31CF1">
        <w:rPr>
          <w:rFonts w:ascii="Arial" w:hAnsi="Arial" w:cs="Arial"/>
          <w:sz w:val="20"/>
          <w:szCs w:val="20"/>
        </w:rPr>
        <w:t>by the Victorian Independent Remuneration Tribunal (VIRT), supported by the Department of Premier and Cabinet (DPC).</w:t>
      </w:r>
    </w:p>
    <w:p w:rsidR="006564C0" w:rsidRDefault="006564C0" w:rsidP="006564C0">
      <w:pPr>
        <w:ind w:left="709" w:right="995"/>
      </w:pPr>
      <w:r>
        <w:rPr>
          <w:noProof/>
        </w:rPr>
        <w:lastRenderedPageBreak/>
        <w:drawing>
          <wp:inline distT="0" distB="0" distL="0" distR="0">
            <wp:extent cx="6248400" cy="4420572"/>
            <wp:effectExtent l="0" t="0" r="0" b="0"/>
            <wp:docPr id="406" name="Picture 4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VPSC Strategic Plan to 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7884" cy="4455581"/>
                    </a:xfrm>
                    <a:prstGeom prst="rect">
                      <a:avLst/>
                    </a:prstGeom>
                  </pic:spPr>
                </pic:pic>
              </a:graphicData>
            </a:graphic>
          </wp:inline>
        </w:drawing>
      </w:r>
    </w:p>
    <w:p w:rsidR="006564C0" w:rsidRDefault="006564C0" w:rsidP="006564C0">
      <w:pPr>
        <w:ind w:left="709" w:right="995"/>
      </w:pPr>
    </w:p>
    <w:p w:rsidR="006564C0" w:rsidRDefault="006564C0" w:rsidP="006564C0">
      <w:pPr>
        <w:ind w:left="709" w:right="995"/>
        <w:sectPr w:rsidR="006564C0">
          <w:pgSz w:w="11910" w:h="16840"/>
          <w:pgMar w:top="580" w:right="0" w:bottom="680" w:left="0" w:header="0" w:footer="491" w:gutter="0"/>
          <w:cols w:space="720"/>
        </w:sectPr>
      </w:pPr>
    </w:p>
    <w:p w:rsidR="006564C0" w:rsidRPr="006564C0" w:rsidRDefault="006564C0" w:rsidP="005A1AD3">
      <w:pPr>
        <w:pStyle w:val="Heading1"/>
      </w:pPr>
      <w:bookmarkStart w:id="5" w:name="_Toc23329714"/>
      <w:r w:rsidRPr="006564C0">
        <w:lastRenderedPageBreak/>
        <w:t>Performance Reporting – non-financial</w:t>
      </w:r>
      <w:bookmarkEnd w:id="5"/>
    </w:p>
    <w:p w:rsidR="0051318F" w:rsidRDefault="0051318F">
      <w:pPr>
        <w:pStyle w:val="BodyText"/>
        <w:rPr>
          <w:b/>
        </w:rPr>
      </w:pPr>
    </w:p>
    <w:p w:rsidR="006564C0" w:rsidRDefault="006564C0" w:rsidP="005A1AD3">
      <w:pPr>
        <w:pStyle w:val="Heading2"/>
        <w:rPr>
          <w:lang w:eastAsia="en-US" w:bidi="ar-SA"/>
        </w:rPr>
      </w:pPr>
      <w:bookmarkStart w:id="6" w:name="_Toc23329715"/>
      <w:r w:rsidRPr="006564C0">
        <w:rPr>
          <w:lang w:eastAsia="en-US" w:bidi="ar-SA"/>
        </w:rPr>
        <w:t>Strengthen the efficiency, effectiveness and capability</w:t>
      </w:r>
      <w:r w:rsidRPr="006564C0">
        <w:rPr>
          <w:lang w:eastAsia="en-US" w:bidi="ar-SA"/>
        </w:rPr>
        <w:br/>
        <w:t>of the public sector</w:t>
      </w:r>
      <w:bookmarkEnd w:id="6"/>
    </w:p>
    <w:p w:rsidR="006564C0" w:rsidRDefault="006564C0" w:rsidP="006564C0">
      <w:pPr>
        <w:pStyle w:val="Heading3"/>
        <w:rPr>
          <w:rFonts w:ascii="Melbourne" w:eastAsiaTheme="minorHAnsi" w:hAnsi="Melbourne" w:cs="Melbourne"/>
          <w:color w:val="000000"/>
          <w:lang w:eastAsia="en-US" w:bidi="ar-SA"/>
        </w:rPr>
      </w:pPr>
    </w:p>
    <w:p w:rsidR="006564C0" w:rsidRPr="006564C0" w:rsidRDefault="006564C0" w:rsidP="005A1AD3">
      <w:pPr>
        <w:pStyle w:val="Heading3"/>
        <w:rPr>
          <w:lang w:eastAsia="en-US" w:bidi="ar-SA"/>
        </w:rPr>
      </w:pPr>
      <w:r w:rsidRPr="006564C0">
        <w:rPr>
          <w:lang w:eastAsia="en-US" w:bidi="ar-SA"/>
        </w:rPr>
        <w:t xml:space="preserve">Victorian Leadership Academy </w:t>
      </w:r>
    </w:p>
    <w:p w:rsidR="006564C0" w:rsidRDefault="006564C0" w:rsidP="006564C0">
      <w:pPr>
        <w:widowControl/>
        <w:suppressAutoHyphens/>
        <w:adjustRightInd w:val="0"/>
        <w:spacing w:after="113" w:line="220" w:lineRule="atLeast"/>
        <w:ind w:right="1137"/>
        <w:textAlignment w:val="center"/>
        <w:rPr>
          <w:rFonts w:ascii="HelveticaNeueLT Std Lt" w:eastAsiaTheme="minorHAnsi" w:hAnsi="HelveticaNeueLT Std Lt" w:cs="HelveticaNeueLT Std Lt"/>
          <w:color w:val="000000"/>
          <w:sz w:val="18"/>
          <w:szCs w:val="18"/>
          <w:lang w:eastAsia="en-US" w:bidi="ar-SA"/>
        </w:rPr>
      </w:pP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The VLA equips senior executives of the Victorian Public Service (VPS) with increased capability in the areas of leader mindsets, stewardship, people and performance.</w:t>
      </w: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Participating executives are provided with insights and frameworks to support them in leading future reforms while building a collaborative and service-oriented culture that benefits Victorians.</w:t>
      </w: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Following the launch of a new comprehensive 12-month leadership development program for directors</w:t>
      </w:r>
      <w:r w:rsidRPr="006564C0">
        <w:rPr>
          <w:rFonts w:eastAsiaTheme="minorHAnsi"/>
          <w:color w:val="000000"/>
          <w:sz w:val="20"/>
          <w:szCs w:val="20"/>
          <w:lang w:eastAsia="en-US" w:bidi="ar-SA"/>
        </w:rPr>
        <w:br/>
        <w:t>in September 2018, the VLA has commenced designing programs for executives at the deputy secretary and executive director levels.</w:t>
      </w: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The design of these programs has been informed by a comprehensive consultation process with 96 executives, including members of the Victorian Secretaries Board (VSB), to ensure the VLA delivers real</w:t>
      </w:r>
      <w:r w:rsidRPr="006564C0">
        <w:rPr>
          <w:rFonts w:eastAsiaTheme="minorHAnsi"/>
          <w:color w:val="000000"/>
          <w:sz w:val="20"/>
          <w:szCs w:val="20"/>
          <w:lang w:eastAsia="en-US" w:bidi="ar-SA"/>
        </w:rPr>
        <w:br/>
        <w:t>and actionable outcomes.</w:t>
      </w: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In 2018–19, the VLA:</w:t>
      </w:r>
    </w:p>
    <w:p w:rsidR="006564C0" w:rsidRPr="006564C0" w:rsidRDefault="006564C0" w:rsidP="00943EBA">
      <w:pPr>
        <w:pStyle w:val="ListParagraph"/>
        <w:numPr>
          <w:ilvl w:val="0"/>
          <w:numId w:val="4"/>
        </w:numPr>
        <w:ind w:right="1137"/>
        <w:rPr>
          <w:sz w:val="20"/>
          <w:szCs w:val="20"/>
          <w:lang w:eastAsia="en-US" w:bidi="ar-SA"/>
        </w:rPr>
      </w:pPr>
      <w:r w:rsidRPr="006564C0">
        <w:rPr>
          <w:sz w:val="20"/>
          <w:szCs w:val="20"/>
          <w:lang w:eastAsia="en-US" w:bidi="ar-SA"/>
        </w:rPr>
        <w:t>completed its leadership development program for 234 executives who participated in the VLA’s previous development program – focusing on fostering talent and building capability</w:t>
      </w:r>
    </w:p>
    <w:p w:rsidR="006564C0" w:rsidRPr="006564C0" w:rsidRDefault="006564C0" w:rsidP="00943EBA">
      <w:pPr>
        <w:pStyle w:val="ListParagraph"/>
        <w:numPr>
          <w:ilvl w:val="0"/>
          <w:numId w:val="4"/>
        </w:numPr>
        <w:ind w:right="1137"/>
        <w:rPr>
          <w:sz w:val="20"/>
          <w:szCs w:val="20"/>
          <w:lang w:eastAsia="en-US" w:bidi="ar-SA"/>
        </w:rPr>
      </w:pPr>
      <w:r w:rsidRPr="006564C0">
        <w:rPr>
          <w:sz w:val="20"/>
          <w:szCs w:val="20"/>
          <w:lang w:eastAsia="en-US" w:bidi="ar-SA"/>
        </w:rPr>
        <w:t>delivered foundational leadership capability uplift for 176 executives at director level (reaching 83 per cent of its target)</w:t>
      </w:r>
    </w:p>
    <w:p w:rsidR="006564C0" w:rsidRPr="006564C0" w:rsidRDefault="006564C0" w:rsidP="00943EBA">
      <w:pPr>
        <w:pStyle w:val="ListParagraph"/>
        <w:numPr>
          <w:ilvl w:val="0"/>
          <w:numId w:val="4"/>
        </w:numPr>
        <w:ind w:right="1137"/>
        <w:rPr>
          <w:sz w:val="20"/>
          <w:szCs w:val="20"/>
          <w:lang w:eastAsia="en-US" w:bidi="ar-SA"/>
        </w:rPr>
      </w:pPr>
      <w:r w:rsidRPr="006564C0">
        <w:rPr>
          <w:sz w:val="20"/>
          <w:szCs w:val="20"/>
          <w:lang w:eastAsia="en-US" w:bidi="ar-SA"/>
        </w:rPr>
        <w:t>facilitated coaching and mentoring workshops for 111 senior executives who manage executives participating in the leadership capability uplift program.</w:t>
      </w:r>
    </w:p>
    <w:p w:rsidR="006564C0" w:rsidRDefault="006564C0" w:rsidP="006564C0">
      <w:pPr>
        <w:widowControl/>
        <w:suppressAutoHyphens/>
        <w:adjustRightInd w:val="0"/>
        <w:spacing w:after="113" w:line="220" w:lineRule="atLeast"/>
        <w:ind w:right="1137"/>
        <w:textAlignment w:val="center"/>
        <w:rPr>
          <w:rFonts w:eastAsiaTheme="minorHAnsi"/>
          <w:color w:val="000000"/>
          <w:sz w:val="20"/>
          <w:szCs w:val="20"/>
          <w:lang w:eastAsia="en-US" w:bidi="ar-SA"/>
        </w:rPr>
      </w:pPr>
    </w:p>
    <w:p w:rsid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To track the effectiveness of its programs, the VLA is implementing a rigorous evaluation system.</w:t>
      </w:r>
      <w:r w:rsidRPr="006564C0">
        <w:rPr>
          <w:rFonts w:eastAsiaTheme="minorHAnsi"/>
          <w:color w:val="000000"/>
          <w:sz w:val="20"/>
          <w:szCs w:val="20"/>
          <w:lang w:eastAsia="en-US" w:bidi="ar-SA"/>
        </w:rPr>
        <w:br/>
        <w:t>The cutting-edge approach to evaluation that is being adopted, blends the discipline of social impact</w:t>
      </w:r>
      <w:r w:rsidRPr="006564C0">
        <w:rPr>
          <w:rFonts w:eastAsiaTheme="minorHAnsi"/>
          <w:color w:val="000000"/>
          <w:sz w:val="20"/>
          <w:szCs w:val="20"/>
          <w:lang w:eastAsia="en-US" w:bidi="ar-SA"/>
        </w:rPr>
        <w:br/>
        <w:t>with the science of implementation.</w:t>
      </w:r>
    </w:p>
    <w:p w:rsidR="006564C0" w:rsidRDefault="006564C0" w:rsidP="006564C0">
      <w:pPr>
        <w:widowControl/>
        <w:suppressAutoHyphens/>
        <w:adjustRightInd w:val="0"/>
        <w:spacing w:after="113" w:line="220" w:lineRule="atLeast"/>
        <w:ind w:left="709" w:right="1137"/>
        <w:textAlignment w:val="center"/>
        <w:rPr>
          <w:lang w:eastAsia="en-US" w:bidi="ar-SA"/>
        </w:rPr>
      </w:pPr>
    </w:p>
    <w:p w:rsidR="006564C0" w:rsidRDefault="006564C0" w:rsidP="005A1AD3">
      <w:pPr>
        <w:pStyle w:val="Heading3"/>
        <w:rPr>
          <w:lang w:eastAsia="en-US" w:bidi="ar-SA"/>
        </w:rPr>
      </w:pPr>
      <w:r w:rsidRPr="006564C0">
        <w:rPr>
          <w:lang w:eastAsia="en-US" w:bidi="ar-SA"/>
        </w:rPr>
        <w:t>Senior Executive Service Reform</w:t>
      </w:r>
    </w:p>
    <w:p w:rsidR="006564C0" w:rsidRPr="006564C0" w:rsidRDefault="006564C0" w:rsidP="006564C0">
      <w:pPr>
        <w:pStyle w:val="Heading4"/>
        <w:ind w:left="709"/>
        <w:rPr>
          <w:lang w:eastAsia="en-US" w:bidi="ar-SA"/>
        </w:rPr>
      </w:pP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To function effectively the Victorian Public Sector requires a Senior Executive Service (SES) workforce</w:t>
      </w:r>
      <w:r w:rsidRPr="006564C0">
        <w:rPr>
          <w:rFonts w:eastAsiaTheme="minorHAnsi"/>
          <w:color w:val="000000"/>
          <w:sz w:val="20"/>
          <w:szCs w:val="20"/>
          <w:lang w:eastAsia="en-US" w:bidi="ar-SA"/>
        </w:rPr>
        <w:br/>
        <w:t>that is capable, mobile, efficient and talented. The VPSC is progressing a range of programs to position</w:t>
      </w:r>
      <w:r w:rsidRPr="006564C0">
        <w:rPr>
          <w:rFonts w:eastAsiaTheme="minorHAnsi"/>
          <w:color w:val="000000"/>
          <w:sz w:val="20"/>
          <w:szCs w:val="20"/>
          <w:lang w:eastAsia="en-US" w:bidi="ar-SA"/>
        </w:rPr>
        <w:br/>
        <w:t>the VPS and Public Entity executive workforce for the future.</w:t>
      </w: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Since November 2018, the VPSC has had responsibility for public sector executive employment policy</w:t>
      </w:r>
      <w:r w:rsidRPr="006564C0">
        <w:rPr>
          <w:rFonts w:eastAsiaTheme="minorHAnsi"/>
          <w:color w:val="000000"/>
          <w:sz w:val="20"/>
          <w:szCs w:val="20"/>
          <w:lang w:eastAsia="en-US" w:bidi="ar-SA"/>
        </w:rPr>
        <w:br/>
        <w:t>and advisory services. The VPSC works closely with the new Victorian Independent Remuneration Tribunal (VIRT), which has responsibility for determining the executive remuneration bands.</w:t>
      </w: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In 2018–19, the VPSC led the development of a reform program for the VPS. The program aims to:</w:t>
      </w:r>
    </w:p>
    <w:p w:rsidR="006564C0" w:rsidRPr="005A1AD3" w:rsidRDefault="006564C0" w:rsidP="00943EBA">
      <w:pPr>
        <w:pStyle w:val="ListParagraph"/>
        <w:widowControl/>
        <w:numPr>
          <w:ilvl w:val="0"/>
          <w:numId w:val="5"/>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 xml:space="preserve">support the attraction, retention and mobility of highly capable senior executives across the VPS </w:t>
      </w:r>
    </w:p>
    <w:p w:rsidR="006564C0" w:rsidRPr="005A1AD3" w:rsidRDefault="006564C0" w:rsidP="00943EBA">
      <w:pPr>
        <w:pStyle w:val="ListParagraph"/>
        <w:widowControl/>
        <w:numPr>
          <w:ilvl w:val="0"/>
          <w:numId w:val="5"/>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clarify accountabilities and work value standards</w:t>
      </w:r>
    </w:p>
    <w:p w:rsidR="006564C0" w:rsidRPr="005A1AD3" w:rsidRDefault="006564C0" w:rsidP="00943EBA">
      <w:pPr>
        <w:pStyle w:val="ListParagraph"/>
        <w:widowControl/>
        <w:numPr>
          <w:ilvl w:val="0"/>
          <w:numId w:val="5"/>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ensure competitive and fair remuneration</w:t>
      </w:r>
    </w:p>
    <w:p w:rsidR="006564C0" w:rsidRPr="005A1AD3" w:rsidRDefault="006564C0" w:rsidP="00943EBA">
      <w:pPr>
        <w:pStyle w:val="ListParagraph"/>
        <w:widowControl/>
        <w:numPr>
          <w:ilvl w:val="0"/>
          <w:numId w:val="5"/>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promote transparent and rigorous decision making.</w:t>
      </w:r>
    </w:p>
    <w:p w:rsid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The foundations of a dynamic and renewed SES for Victoria were approved by the VSB in late 2018,</w:t>
      </w:r>
      <w:r w:rsidRPr="006564C0">
        <w:rPr>
          <w:rFonts w:eastAsiaTheme="minorHAnsi"/>
          <w:color w:val="000000"/>
          <w:sz w:val="20"/>
          <w:szCs w:val="20"/>
          <w:lang w:eastAsia="en-US" w:bidi="ar-SA"/>
        </w:rPr>
        <w:br/>
        <w:t>with the endorsement of frameworks for executive classification and performance management.</w:t>
      </w:r>
    </w:p>
    <w:p w:rsidR="005A1AD3" w:rsidRPr="006564C0" w:rsidRDefault="005A1AD3"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6564C0" w:rsidRPr="006564C0" w:rsidRDefault="006564C0" w:rsidP="005A1AD3">
      <w:pPr>
        <w:pStyle w:val="Heading3"/>
        <w:rPr>
          <w:lang w:eastAsia="en-US" w:bidi="ar-SA"/>
        </w:rPr>
      </w:pPr>
      <w:r w:rsidRPr="006564C0">
        <w:rPr>
          <w:lang w:eastAsia="en-US" w:bidi="ar-SA"/>
        </w:rPr>
        <w:t>VPS Executive Classification Framework</w:t>
      </w:r>
    </w:p>
    <w:p w:rsidR="005A1AD3" w:rsidRDefault="005A1AD3"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The VPSC supported departments and their agencies to commence implementation of a new executive classification framework, which was endorsed by the VSB in September 2018. The new classification framework promotes consistency, fairness and objectivity in the classification of executive roles. It drives high performance, supports career development and helps foster a positive workplace culture.</w:t>
      </w: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pacing w:val="-2"/>
          <w:sz w:val="20"/>
          <w:szCs w:val="20"/>
          <w:lang w:eastAsia="en-US" w:bidi="ar-SA"/>
        </w:rPr>
        <w:lastRenderedPageBreak/>
        <w:t xml:space="preserve">The framework provides clarity on the expectations of the work that executives at different levels will undertake </w:t>
      </w:r>
      <w:r w:rsidRPr="006564C0">
        <w:rPr>
          <w:rFonts w:eastAsiaTheme="minorHAnsi"/>
          <w:color w:val="000000"/>
          <w:sz w:val="20"/>
          <w:szCs w:val="20"/>
          <w:lang w:eastAsia="en-US" w:bidi="ar-SA"/>
        </w:rPr>
        <w:t>and classifies executive positions into one of three bands. It includes the introduction of a standard position titles model, with deputy secretaries being classified as SES band 3, executive directors as SES band 2</w:t>
      </w:r>
      <w:r w:rsidR="003A789F">
        <w:rPr>
          <w:rFonts w:eastAsiaTheme="minorHAnsi"/>
          <w:color w:val="000000"/>
          <w:sz w:val="20"/>
          <w:szCs w:val="20"/>
          <w:lang w:eastAsia="en-US" w:bidi="ar-SA"/>
        </w:rPr>
        <w:t xml:space="preserve"> </w:t>
      </w:r>
      <w:r w:rsidRPr="006564C0">
        <w:rPr>
          <w:rFonts w:eastAsiaTheme="minorHAnsi"/>
          <w:color w:val="000000"/>
          <w:sz w:val="20"/>
          <w:szCs w:val="20"/>
          <w:lang w:eastAsia="en-US" w:bidi="ar-SA"/>
        </w:rPr>
        <w:t>and directors as SES band 1.</w:t>
      </w: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To support the implementation of this framework, the VPSC:</w:t>
      </w:r>
    </w:p>
    <w:p w:rsidR="006564C0" w:rsidRPr="005A1AD3" w:rsidRDefault="006564C0" w:rsidP="00943EBA">
      <w:pPr>
        <w:pStyle w:val="ListParagraph"/>
        <w:widowControl/>
        <w:numPr>
          <w:ilvl w:val="0"/>
          <w:numId w:val="6"/>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 xml:space="preserve">has published the framework and associated resources on the VPSC website </w:t>
      </w:r>
    </w:p>
    <w:p w:rsidR="006564C0" w:rsidRPr="005A1AD3" w:rsidRDefault="006564C0" w:rsidP="00943EBA">
      <w:pPr>
        <w:pStyle w:val="ListParagraph"/>
        <w:widowControl/>
        <w:numPr>
          <w:ilvl w:val="0"/>
          <w:numId w:val="6"/>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is providing executive classification assessment services for VPS organisations through</w:t>
      </w:r>
      <w:r w:rsidRPr="005A1AD3">
        <w:rPr>
          <w:rFonts w:eastAsiaTheme="minorHAnsi"/>
          <w:color w:val="000000"/>
          <w:sz w:val="20"/>
          <w:szCs w:val="20"/>
          <w:lang w:eastAsia="en-US" w:bidi="ar-SA"/>
        </w:rPr>
        <w:br/>
        <w:t xml:space="preserve">a fee for service model </w:t>
      </w:r>
    </w:p>
    <w:p w:rsidR="006564C0" w:rsidRPr="005A1AD3" w:rsidRDefault="006564C0" w:rsidP="00943EBA">
      <w:pPr>
        <w:pStyle w:val="ListParagraph"/>
        <w:widowControl/>
        <w:numPr>
          <w:ilvl w:val="0"/>
          <w:numId w:val="6"/>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is uplifting VPS HR capability to complete assessments in the long term.</w:t>
      </w:r>
    </w:p>
    <w:p w:rsid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The framework is expected to be fully implemented in the VPS by December 2020.</w:t>
      </w:r>
    </w:p>
    <w:p w:rsidR="005A1AD3" w:rsidRPr="006564C0" w:rsidRDefault="005A1AD3"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6564C0" w:rsidRPr="006564C0" w:rsidRDefault="006564C0" w:rsidP="005A1AD3">
      <w:pPr>
        <w:pStyle w:val="Heading3"/>
        <w:rPr>
          <w:lang w:eastAsia="en-US" w:bidi="ar-SA"/>
        </w:rPr>
      </w:pPr>
      <w:r w:rsidRPr="006564C0">
        <w:rPr>
          <w:lang w:eastAsia="en-US" w:bidi="ar-SA"/>
        </w:rPr>
        <w:t>VPS Executive Performance Management Framework</w:t>
      </w:r>
    </w:p>
    <w:p w:rsidR="005A1AD3" w:rsidRDefault="005A1AD3"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A new performance management framework for executives in the VPS was endorsed by the VSB</w:t>
      </w:r>
      <w:r w:rsidR="003A789F">
        <w:rPr>
          <w:rFonts w:eastAsiaTheme="minorHAnsi"/>
          <w:color w:val="000000"/>
          <w:sz w:val="20"/>
          <w:szCs w:val="20"/>
          <w:lang w:eastAsia="en-US" w:bidi="ar-SA"/>
        </w:rPr>
        <w:t xml:space="preserve"> </w:t>
      </w:r>
      <w:r w:rsidRPr="006564C0">
        <w:rPr>
          <w:rFonts w:eastAsiaTheme="minorHAnsi"/>
          <w:color w:val="000000"/>
          <w:sz w:val="20"/>
          <w:szCs w:val="20"/>
          <w:lang w:eastAsia="en-US" w:bidi="ar-SA"/>
        </w:rPr>
        <w:t>in September 2018. The framework outlines foundational principles to drive high performance</w:t>
      </w:r>
      <w:r w:rsidR="003A789F">
        <w:rPr>
          <w:rFonts w:eastAsiaTheme="minorHAnsi"/>
          <w:color w:val="000000"/>
          <w:sz w:val="20"/>
          <w:szCs w:val="20"/>
          <w:lang w:eastAsia="en-US" w:bidi="ar-SA"/>
        </w:rPr>
        <w:t xml:space="preserve"> </w:t>
      </w:r>
      <w:r w:rsidRPr="006564C0">
        <w:rPr>
          <w:rFonts w:eastAsiaTheme="minorHAnsi"/>
          <w:color w:val="000000"/>
          <w:sz w:val="20"/>
          <w:szCs w:val="20"/>
          <w:lang w:eastAsia="en-US" w:bidi="ar-SA"/>
        </w:rPr>
        <w:t>and support career development, where outcomes and expectations align with organisational</w:t>
      </w:r>
      <w:r w:rsidR="003A789F">
        <w:rPr>
          <w:rFonts w:eastAsiaTheme="minorHAnsi"/>
          <w:color w:val="000000"/>
          <w:sz w:val="20"/>
          <w:szCs w:val="20"/>
          <w:lang w:eastAsia="en-US" w:bidi="ar-SA"/>
        </w:rPr>
        <w:t xml:space="preserve"> </w:t>
      </w:r>
      <w:r w:rsidRPr="006564C0">
        <w:rPr>
          <w:rFonts w:eastAsiaTheme="minorHAnsi"/>
          <w:color w:val="000000"/>
          <w:sz w:val="20"/>
          <w:szCs w:val="20"/>
          <w:lang w:eastAsia="en-US" w:bidi="ar-SA"/>
        </w:rPr>
        <w:t>and government priorities, public sector values and leadership capabilities.</w:t>
      </w:r>
    </w:p>
    <w:p w:rsid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To support the implementation of this framework, the VPSC has published the framework and resources</w:t>
      </w:r>
      <w:r w:rsidR="003A789F">
        <w:rPr>
          <w:rFonts w:eastAsiaTheme="minorHAnsi"/>
          <w:color w:val="000000"/>
          <w:sz w:val="20"/>
          <w:szCs w:val="20"/>
          <w:lang w:eastAsia="en-US" w:bidi="ar-SA"/>
        </w:rPr>
        <w:t xml:space="preserve"> </w:t>
      </w:r>
      <w:r w:rsidRPr="006564C0">
        <w:rPr>
          <w:rFonts w:eastAsiaTheme="minorHAnsi"/>
          <w:color w:val="000000"/>
          <w:sz w:val="20"/>
          <w:szCs w:val="20"/>
          <w:lang w:eastAsia="en-US" w:bidi="ar-SA"/>
        </w:rPr>
        <w:t>on the VPSC website.</w:t>
      </w:r>
    </w:p>
    <w:p w:rsidR="005A1AD3" w:rsidRPr="006564C0" w:rsidRDefault="005A1AD3" w:rsidP="00250CD3">
      <w:pPr>
        <w:rPr>
          <w:lang w:eastAsia="en-US" w:bidi="ar-SA"/>
        </w:rPr>
      </w:pPr>
    </w:p>
    <w:p w:rsidR="006564C0" w:rsidRPr="006564C0" w:rsidRDefault="006564C0" w:rsidP="005A1AD3">
      <w:pPr>
        <w:pStyle w:val="Heading3"/>
        <w:rPr>
          <w:lang w:eastAsia="en-US" w:bidi="ar-SA"/>
        </w:rPr>
      </w:pPr>
      <w:r w:rsidRPr="006564C0">
        <w:rPr>
          <w:lang w:eastAsia="en-US" w:bidi="ar-SA"/>
        </w:rPr>
        <w:t>Public Entity Senior Executive Service Workforce Reform</w:t>
      </w:r>
    </w:p>
    <w:p w:rsidR="005A1AD3" w:rsidRDefault="005A1AD3" w:rsidP="00250CD3">
      <w:pPr>
        <w:rPr>
          <w:lang w:eastAsia="en-US" w:bidi="ar-SA"/>
        </w:rPr>
      </w:pP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In October 2018 the VPSC accepted a recommendation from the Victorian Ombudsman to develop</w:t>
      </w:r>
      <w:r w:rsidR="003A789F">
        <w:rPr>
          <w:rFonts w:eastAsiaTheme="minorHAnsi"/>
          <w:color w:val="000000"/>
          <w:sz w:val="20"/>
          <w:szCs w:val="20"/>
          <w:lang w:eastAsia="en-US" w:bidi="ar-SA"/>
        </w:rPr>
        <w:t xml:space="preserve"> </w:t>
      </w:r>
      <w:r w:rsidRPr="006564C0">
        <w:rPr>
          <w:rFonts w:eastAsiaTheme="minorHAnsi"/>
          <w:color w:val="000000"/>
          <w:sz w:val="20"/>
          <w:szCs w:val="20"/>
          <w:lang w:eastAsia="en-US" w:bidi="ar-SA"/>
        </w:rPr>
        <w:t>an executive employment handbook for public sector executives, drawing on the approach adopted</w:t>
      </w:r>
      <w:r w:rsidR="003A789F">
        <w:rPr>
          <w:rFonts w:eastAsiaTheme="minorHAnsi"/>
          <w:color w:val="000000"/>
          <w:sz w:val="20"/>
          <w:szCs w:val="20"/>
          <w:lang w:eastAsia="en-US" w:bidi="ar-SA"/>
        </w:rPr>
        <w:t xml:space="preserve"> </w:t>
      </w:r>
      <w:r w:rsidRPr="006564C0">
        <w:rPr>
          <w:rFonts w:eastAsiaTheme="minorHAnsi"/>
          <w:color w:val="000000"/>
          <w:sz w:val="20"/>
          <w:szCs w:val="20"/>
          <w:lang w:eastAsia="en-US" w:bidi="ar-SA"/>
        </w:rPr>
        <w:t xml:space="preserve">in the existing </w:t>
      </w:r>
      <w:r w:rsidRPr="006564C0">
        <w:rPr>
          <w:rFonts w:eastAsiaTheme="minorHAnsi"/>
          <w:i/>
          <w:iCs/>
          <w:color w:val="000000"/>
          <w:sz w:val="20"/>
          <w:szCs w:val="20"/>
          <w:lang w:eastAsia="en-US" w:bidi="ar-SA"/>
        </w:rPr>
        <w:t>Victorian Public Service Executive Employment Handbook</w:t>
      </w:r>
      <w:r w:rsidRPr="006564C0">
        <w:rPr>
          <w:rFonts w:eastAsiaTheme="minorHAnsi"/>
          <w:color w:val="000000"/>
          <w:sz w:val="20"/>
          <w:szCs w:val="20"/>
          <w:lang w:eastAsia="en-US" w:bidi="ar-SA"/>
        </w:rPr>
        <w:t>.</w:t>
      </w: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In early 2019, the VPSC undertook a program of consultation and developed a new public entity executive employment handbook that was published in July 2019.</w:t>
      </w:r>
    </w:p>
    <w:p w:rsidR="006564C0" w:rsidRPr="006564C0" w:rsidRDefault="006564C0" w:rsidP="006564C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564C0">
        <w:rPr>
          <w:rFonts w:eastAsiaTheme="minorHAnsi"/>
          <w:color w:val="000000"/>
          <w:sz w:val="20"/>
          <w:szCs w:val="20"/>
          <w:lang w:eastAsia="en-US" w:bidi="ar-SA"/>
        </w:rPr>
        <w:t>The handbook promotes executive employment arrangements across the public sector that are consistent and transparent, to ensure appropriate use of public funds and the minimisation of integrity risks. It also assists public entities to manage employment contracts, remuneration and employment matters relating</w:t>
      </w:r>
      <w:r w:rsidR="003A789F">
        <w:rPr>
          <w:rFonts w:eastAsiaTheme="minorHAnsi"/>
          <w:color w:val="000000"/>
          <w:sz w:val="20"/>
          <w:szCs w:val="20"/>
          <w:lang w:eastAsia="en-US" w:bidi="ar-SA"/>
        </w:rPr>
        <w:t xml:space="preserve"> </w:t>
      </w:r>
      <w:r w:rsidRPr="006564C0">
        <w:rPr>
          <w:rFonts w:eastAsiaTheme="minorHAnsi"/>
          <w:color w:val="000000"/>
          <w:sz w:val="20"/>
          <w:szCs w:val="20"/>
          <w:lang w:eastAsia="en-US" w:bidi="ar-SA"/>
        </w:rPr>
        <w:t>to executives.</w:t>
      </w:r>
    </w:p>
    <w:p w:rsidR="00250CD3" w:rsidRDefault="00250CD3" w:rsidP="00250CD3">
      <w:pPr>
        <w:rPr>
          <w:lang w:eastAsia="en-US" w:bidi="ar-SA"/>
        </w:rPr>
      </w:pPr>
      <w:bookmarkStart w:id="7" w:name="_bookmark2"/>
      <w:bookmarkEnd w:id="7"/>
    </w:p>
    <w:p w:rsidR="005A1AD3" w:rsidRDefault="005A1AD3" w:rsidP="005A1AD3">
      <w:pPr>
        <w:pStyle w:val="Heading3"/>
        <w:rPr>
          <w:lang w:eastAsia="en-US" w:bidi="ar-SA"/>
        </w:rPr>
      </w:pPr>
      <w:r w:rsidRPr="005A1AD3">
        <w:rPr>
          <w:lang w:eastAsia="en-US" w:bidi="ar-SA"/>
        </w:rPr>
        <w:t>Workforce Data Collection</w:t>
      </w:r>
    </w:p>
    <w:p w:rsidR="005A1AD3" w:rsidRPr="005A1AD3" w:rsidRDefault="005A1AD3" w:rsidP="005A1AD3"/>
    <w:p w:rsidR="005A1AD3" w:rsidRDefault="005A1AD3" w:rsidP="005A1AD3">
      <w:pPr>
        <w:pStyle w:val="Heading4"/>
        <w:rPr>
          <w:lang w:bidi="ar-SA"/>
        </w:rPr>
      </w:pPr>
      <w:r w:rsidRPr="005A1AD3">
        <w:rPr>
          <w:lang w:bidi="ar-SA"/>
        </w:rPr>
        <w:t>Implementation of a New Workforce Data Collection Framework</w:t>
      </w:r>
    </w:p>
    <w:p w:rsidR="005A1AD3" w:rsidRPr="005A1AD3" w:rsidRDefault="005A1AD3" w:rsidP="005A1AD3">
      <w:pPr>
        <w:rPr>
          <w:lang w:bidi="ar-SA"/>
        </w:rPr>
      </w:pPr>
    </w:p>
    <w:p w:rsidR="005A1AD3" w:rsidRPr="005A1AD3" w:rsidRDefault="005A1AD3" w:rsidP="005A1AD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In 2018–19 the VPSC implemented a new data collection and validation tool. This represents a significant technological improvement to the VPSC’s foundation systems for the efficient gathering of quality data</w:t>
      </w:r>
      <w:r w:rsidR="003A789F">
        <w:rPr>
          <w:rFonts w:eastAsiaTheme="minorHAnsi"/>
          <w:color w:val="000000"/>
          <w:sz w:val="20"/>
          <w:szCs w:val="20"/>
          <w:lang w:eastAsia="en-US" w:bidi="ar-SA"/>
        </w:rPr>
        <w:t xml:space="preserve"> </w:t>
      </w:r>
      <w:r w:rsidRPr="005A1AD3">
        <w:rPr>
          <w:rFonts w:eastAsiaTheme="minorHAnsi"/>
          <w:color w:val="000000"/>
          <w:sz w:val="20"/>
          <w:szCs w:val="20"/>
          <w:lang w:eastAsia="en-US" w:bidi="ar-SA"/>
        </w:rPr>
        <w:t xml:space="preserve">from public sector employers. The new tool provides greater flexibility, capacity for improved data validation and better communication with agencies in the collection of: </w:t>
      </w:r>
    </w:p>
    <w:p w:rsidR="005A1AD3" w:rsidRPr="00700FE9" w:rsidRDefault="005A1AD3" w:rsidP="00943EBA">
      <w:pPr>
        <w:pStyle w:val="ListParagraph"/>
        <w:widowControl/>
        <w:numPr>
          <w:ilvl w:val="0"/>
          <w:numId w:val="7"/>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 xml:space="preserve">the VPSCs annual Workforce Data Collection </w:t>
      </w:r>
    </w:p>
    <w:p w:rsidR="005A1AD3" w:rsidRPr="00700FE9" w:rsidRDefault="005A1AD3" w:rsidP="00943EBA">
      <w:pPr>
        <w:pStyle w:val="ListParagraph"/>
        <w:widowControl/>
        <w:numPr>
          <w:ilvl w:val="0"/>
          <w:numId w:val="7"/>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 xml:space="preserve">the Public Entity Executive Renumeration Survey (PEERS), formerly the GSERP collection </w:t>
      </w:r>
    </w:p>
    <w:p w:rsidR="005A1AD3" w:rsidRPr="00700FE9" w:rsidRDefault="005A1AD3" w:rsidP="00943EBA">
      <w:pPr>
        <w:pStyle w:val="ListParagraph"/>
        <w:widowControl/>
        <w:numPr>
          <w:ilvl w:val="0"/>
          <w:numId w:val="7"/>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executive data</w:t>
      </w:r>
    </w:p>
    <w:p w:rsidR="005A1AD3" w:rsidRPr="00700FE9" w:rsidRDefault="005A1AD3" w:rsidP="00943EBA">
      <w:pPr>
        <w:pStyle w:val="ListParagraph"/>
        <w:widowControl/>
        <w:numPr>
          <w:ilvl w:val="0"/>
          <w:numId w:val="7"/>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progression data.</w:t>
      </w:r>
    </w:p>
    <w:p w:rsidR="00250CD3" w:rsidRPr="005A1AD3" w:rsidRDefault="00250CD3" w:rsidP="00250CD3">
      <w:pPr>
        <w:rPr>
          <w:lang w:eastAsia="en-US" w:bidi="ar-SA"/>
        </w:rPr>
      </w:pPr>
    </w:p>
    <w:p w:rsidR="005A1AD3" w:rsidRDefault="005A1AD3" w:rsidP="005A1AD3">
      <w:pPr>
        <w:pStyle w:val="Heading4"/>
        <w:rPr>
          <w:lang w:eastAsia="en-US" w:bidi="ar-SA"/>
        </w:rPr>
      </w:pPr>
      <w:r w:rsidRPr="005A1AD3">
        <w:rPr>
          <w:lang w:eastAsia="en-US" w:bidi="ar-SA"/>
        </w:rPr>
        <w:t xml:space="preserve">Workforce Collection and Reporting </w:t>
      </w:r>
    </w:p>
    <w:p w:rsidR="005A1AD3" w:rsidRPr="005A1AD3" w:rsidRDefault="005A1AD3" w:rsidP="005A1AD3">
      <w:pPr>
        <w:ind w:right="995"/>
        <w:rPr>
          <w:lang w:eastAsia="en-US" w:bidi="ar-SA"/>
        </w:rPr>
      </w:pPr>
    </w:p>
    <w:p w:rsidR="005A1AD3" w:rsidRPr="005A1AD3" w:rsidRDefault="005A1A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The Workforce Collection is an annual census that collects employment and demographic information on all employees in the Victorian public sector. This information is used to report on the profile of the workforce and to inform workforce planning and management.</w:t>
      </w:r>
    </w:p>
    <w:p w:rsidR="005A1AD3" w:rsidRPr="00700FE9" w:rsidRDefault="005A1A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In 2018, data was collected on over 347,000 employees from 1,815 separate employers, including schools and health services. Based on the data, the VPSC produced over 200 reports for employer agencies</w:t>
      </w:r>
      <w:r w:rsidRPr="00700FE9">
        <w:rPr>
          <w:rFonts w:eastAsiaTheme="minorHAnsi"/>
          <w:color w:val="000000"/>
          <w:sz w:val="20"/>
          <w:szCs w:val="20"/>
          <w:lang w:eastAsia="en-US" w:bidi="ar-SA"/>
        </w:rPr>
        <w:t xml:space="preserve"> </w:t>
      </w:r>
      <w:r w:rsidRPr="005A1AD3">
        <w:rPr>
          <w:rFonts w:eastAsiaTheme="minorHAnsi"/>
          <w:color w:val="000000"/>
          <w:sz w:val="20"/>
          <w:szCs w:val="20"/>
          <w:lang w:eastAsia="en-US" w:bidi="ar-SA"/>
        </w:rPr>
        <w:t xml:space="preserve">that provided individualised comparative data on the composition and characteristics of their workforces. The data was also used to inform the </w:t>
      </w:r>
      <w:r w:rsidRPr="005A1AD3">
        <w:rPr>
          <w:rFonts w:eastAsiaTheme="minorHAnsi"/>
          <w:i/>
          <w:iCs/>
          <w:color w:val="000000"/>
          <w:sz w:val="20"/>
          <w:szCs w:val="20"/>
          <w:lang w:eastAsia="en-US" w:bidi="ar-SA"/>
        </w:rPr>
        <w:t>State of the Public Sector in Victoria Report</w:t>
      </w:r>
      <w:r w:rsidRPr="005A1AD3">
        <w:rPr>
          <w:rFonts w:eastAsiaTheme="minorHAnsi"/>
          <w:color w:val="000000"/>
          <w:sz w:val="20"/>
          <w:szCs w:val="20"/>
          <w:lang w:eastAsia="en-US" w:bidi="ar-SA"/>
        </w:rPr>
        <w:t>.</w:t>
      </w:r>
    </w:p>
    <w:p w:rsidR="005A1AD3" w:rsidRPr="005A1AD3" w:rsidRDefault="005A1AD3" w:rsidP="005A1AD3">
      <w:pPr>
        <w:rPr>
          <w:lang w:eastAsia="en-US" w:bidi="ar-SA"/>
        </w:rPr>
      </w:pPr>
    </w:p>
    <w:p w:rsidR="005A1AD3" w:rsidRDefault="005A1AD3" w:rsidP="005A1AD3">
      <w:pPr>
        <w:pStyle w:val="Heading3"/>
        <w:rPr>
          <w:lang w:eastAsia="en-US" w:bidi="ar-SA"/>
        </w:rPr>
      </w:pPr>
      <w:r w:rsidRPr="005A1AD3">
        <w:rPr>
          <w:lang w:eastAsia="en-US" w:bidi="ar-SA"/>
        </w:rPr>
        <w:lastRenderedPageBreak/>
        <w:t>The State of the Public Sector in Victoria Report</w:t>
      </w:r>
    </w:p>
    <w:p w:rsidR="005A1AD3" w:rsidRPr="005A1AD3" w:rsidRDefault="005A1AD3" w:rsidP="005A1AD3">
      <w:pPr>
        <w:rPr>
          <w:lang w:eastAsia="en-US" w:bidi="ar-SA"/>
        </w:rPr>
      </w:pPr>
    </w:p>
    <w:p w:rsidR="005A1AD3" w:rsidRPr="005A1AD3" w:rsidRDefault="005A1A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 xml:space="preserve">The VPSC published the </w:t>
      </w:r>
      <w:r w:rsidRPr="005A1AD3">
        <w:rPr>
          <w:rFonts w:eastAsiaTheme="minorHAnsi"/>
          <w:i/>
          <w:iCs/>
          <w:color w:val="000000"/>
          <w:sz w:val="20"/>
          <w:szCs w:val="20"/>
          <w:lang w:eastAsia="en-US" w:bidi="ar-SA"/>
        </w:rPr>
        <w:t>State of the Public Sector in Victoria Report 2017–18</w:t>
      </w:r>
      <w:r w:rsidRPr="005A1AD3">
        <w:rPr>
          <w:rFonts w:eastAsiaTheme="minorHAnsi"/>
          <w:color w:val="000000"/>
          <w:sz w:val="20"/>
          <w:szCs w:val="20"/>
          <w:lang w:eastAsia="en-US" w:bidi="ar-SA"/>
        </w:rPr>
        <w:t xml:space="preserve"> in March 2019. The 2017–18 report was significantly expanded on previous years and provided greater information about key workforce issues, to both inform and encourage continuous improvement in the performance of public sector workplaces. Its key focus areas included: </w:t>
      </w:r>
    </w:p>
    <w:p w:rsidR="005A1AD3" w:rsidRPr="00700FE9" w:rsidRDefault="005A1AD3" w:rsidP="00943EBA">
      <w:pPr>
        <w:pStyle w:val="ListParagraph"/>
        <w:widowControl/>
        <w:numPr>
          <w:ilvl w:val="0"/>
          <w:numId w:val="8"/>
        </w:numPr>
        <w:tabs>
          <w:tab w:val="left" w:pos="227"/>
          <w:tab w:val="left" w:pos="283"/>
        </w:tabs>
        <w:suppressAutoHyphens/>
        <w:adjustRightInd w:val="0"/>
        <w:spacing w:after="113" w:line="220" w:lineRule="atLeast"/>
        <w:ind w:right="995"/>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Strengthening organisational leadership.</w:t>
      </w:r>
    </w:p>
    <w:p w:rsidR="005A1AD3" w:rsidRPr="00700FE9" w:rsidRDefault="005A1AD3" w:rsidP="00943EBA">
      <w:pPr>
        <w:pStyle w:val="ListParagraph"/>
        <w:widowControl/>
        <w:numPr>
          <w:ilvl w:val="0"/>
          <w:numId w:val="8"/>
        </w:numPr>
        <w:tabs>
          <w:tab w:val="left" w:pos="227"/>
          <w:tab w:val="left" w:pos="283"/>
        </w:tabs>
        <w:suppressAutoHyphens/>
        <w:adjustRightInd w:val="0"/>
        <w:spacing w:after="113" w:line="220" w:lineRule="atLeast"/>
        <w:ind w:right="995"/>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Increasing the diversity of the public sector workforce (including the participation of Aboriginal people</w:t>
      </w:r>
      <w:r w:rsidRPr="00700FE9">
        <w:rPr>
          <w:rFonts w:eastAsiaTheme="minorHAnsi"/>
          <w:color w:val="000000"/>
          <w:sz w:val="20"/>
          <w:szCs w:val="20"/>
          <w:lang w:eastAsia="en-US" w:bidi="ar-SA"/>
        </w:rPr>
        <w:br/>
        <w:t>and people with disability).</w:t>
      </w:r>
    </w:p>
    <w:p w:rsidR="005A1AD3" w:rsidRPr="00700FE9" w:rsidRDefault="005A1AD3" w:rsidP="00943EBA">
      <w:pPr>
        <w:pStyle w:val="ListParagraph"/>
        <w:widowControl/>
        <w:numPr>
          <w:ilvl w:val="0"/>
          <w:numId w:val="8"/>
        </w:numPr>
        <w:tabs>
          <w:tab w:val="left" w:pos="227"/>
          <w:tab w:val="left" w:pos="283"/>
        </w:tabs>
        <w:suppressAutoHyphens/>
        <w:adjustRightInd w:val="0"/>
        <w:spacing w:after="113" w:line="220" w:lineRule="atLeast"/>
        <w:ind w:right="995"/>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Strengthening the professional development of people working across the Victorian public sector.</w:t>
      </w:r>
    </w:p>
    <w:p w:rsidR="005A1AD3" w:rsidRPr="00700FE9" w:rsidRDefault="005A1AD3" w:rsidP="003A789F">
      <w:pPr>
        <w:pStyle w:val="ListParagraph"/>
        <w:widowControl/>
        <w:numPr>
          <w:ilvl w:val="0"/>
          <w:numId w:val="8"/>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Combating workplace bullying, harassment and sexual harassment.</w:t>
      </w:r>
    </w:p>
    <w:p w:rsidR="005A1AD3" w:rsidRPr="00700FE9" w:rsidRDefault="005A1A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For the first time the report incorporated data derived from the VPSC’s annual People Matter Survey.</w:t>
      </w:r>
      <w:r w:rsidRPr="005A1AD3">
        <w:rPr>
          <w:rFonts w:eastAsiaTheme="minorHAnsi"/>
          <w:color w:val="000000"/>
          <w:sz w:val="20"/>
          <w:szCs w:val="20"/>
          <w:lang w:eastAsia="en-US" w:bidi="ar-SA"/>
        </w:rPr>
        <w:br/>
        <w:t>This added data on employee perceptions and experiences to the public sector workforce profile,</w:t>
      </w:r>
      <w:r w:rsidRPr="005A1AD3">
        <w:rPr>
          <w:rFonts w:eastAsiaTheme="minorHAnsi"/>
          <w:color w:val="000000"/>
          <w:sz w:val="20"/>
          <w:szCs w:val="20"/>
          <w:lang w:eastAsia="en-US" w:bidi="ar-SA"/>
        </w:rPr>
        <w:br/>
        <w:t>providing greater insight into the nature and characteristics of employment. The improvements introduced</w:t>
      </w:r>
      <w:r w:rsidRPr="005A1AD3">
        <w:rPr>
          <w:rFonts w:eastAsiaTheme="minorHAnsi"/>
          <w:color w:val="000000"/>
          <w:sz w:val="20"/>
          <w:szCs w:val="20"/>
          <w:lang w:eastAsia="en-US" w:bidi="ar-SA"/>
        </w:rPr>
        <w:br/>
        <w:t>in 2018–19 represent an initial step in the further development of public sector workforce reporting</w:t>
      </w:r>
      <w:r w:rsidRPr="005A1AD3">
        <w:rPr>
          <w:rFonts w:eastAsiaTheme="minorHAnsi"/>
          <w:color w:val="000000"/>
          <w:sz w:val="20"/>
          <w:szCs w:val="20"/>
          <w:lang w:eastAsia="en-US" w:bidi="ar-SA"/>
        </w:rPr>
        <w:br/>
        <w:t>by the VPSC.</w:t>
      </w:r>
    </w:p>
    <w:p w:rsidR="005A1AD3" w:rsidRPr="005A1AD3" w:rsidRDefault="005A1AD3" w:rsidP="003A789F">
      <w:pPr>
        <w:ind w:right="1137"/>
        <w:rPr>
          <w:lang w:eastAsia="en-US" w:bidi="ar-SA"/>
        </w:rPr>
      </w:pPr>
    </w:p>
    <w:p w:rsidR="005A1AD3" w:rsidRDefault="005A1AD3" w:rsidP="003A789F">
      <w:pPr>
        <w:pStyle w:val="Heading3"/>
        <w:ind w:right="1137"/>
        <w:rPr>
          <w:lang w:eastAsia="en-US" w:bidi="ar-SA"/>
        </w:rPr>
      </w:pPr>
      <w:r w:rsidRPr="005A1AD3">
        <w:rPr>
          <w:lang w:eastAsia="en-US" w:bidi="ar-SA"/>
        </w:rPr>
        <w:t>Government Sector Executive Remuneration Panel</w:t>
      </w:r>
    </w:p>
    <w:p w:rsidR="005A1AD3" w:rsidRPr="005A1AD3" w:rsidRDefault="005A1AD3" w:rsidP="003A789F">
      <w:pPr>
        <w:ind w:right="1137"/>
        <w:rPr>
          <w:lang w:eastAsia="en-US" w:bidi="ar-SA"/>
        </w:rPr>
      </w:pPr>
    </w:p>
    <w:p w:rsidR="005A1AD3" w:rsidRPr="005A1AD3" w:rsidRDefault="005A1A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In November 2018, the GSERP and associated policy administered by the VPSC were superseded</w:t>
      </w:r>
      <w:r w:rsidRPr="00700FE9">
        <w:rPr>
          <w:rFonts w:eastAsiaTheme="minorHAnsi"/>
          <w:color w:val="000000"/>
          <w:sz w:val="20"/>
          <w:szCs w:val="20"/>
          <w:lang w:eastAsia="en-US" w:bidi="ar-SA"/>
        </w:rPr>
        <w:t xml:space="preserve"> </w:t>
      </w:r>
      <w:r w:rsidRPr="005A1AD3">
        <w:rPr>
          <w:rFonts w:eastAsiaTheme="minorHAnsi"/>
          <w:color w:val="000000"/>
          <w:sz w:val="20"/>
          <w:szCs w:val="20"/>
          <w:lang w:eastAsia="en-US" w:bidi="ar-SA"/>
        </w:rPr>
        <w:t xml:space="preserve">by the Victorian government </w:t>
      </w:r>
      <w:r w:rsidRPr="005A1AD3">
        <w:rPr>
          <w:rFonts w:eastAsiaTheme="minorHAnsi"/>
          <w:i/>
          <w:iCs/>
          <w:color w:val="000000"/>
          <w:sz w:val="20"/>
          <w:szCs w:val="20"/>
          <w:lang w:eastAsia="en-US" w:bidi="ar-SA"/>
        </w:rPr>
        <w:t>Public Entity Executive Remuneration Policy</w:t>
      </w:r>
      <w:r w:rsidRPr="005A1AD3">
        <w:rPr>
          <w:rFonts w:eastAsiaTheme="minorHAnsi"/>
          <w:color w:val="000000"/>
          <w:sz w:val="20"/>
          <w:szCs w:val="20"/>
          <w:lang w:eastAsia="en-US" w:bidi="ar-SA"/>
        </w:rPr>
        <w:t>, administered by the Office</w:t>
      </w:r>
      <w:r w:rsidRPr="00700FE9">
        <w:rPr>
          <w:rFonts w:eastAsiaTheme="minorHAnsi"/>
          <w:color w:val="000000"/>
          <w:sz w:val="20"/>
          <w:szCs w:val="20"/>
          <w:lang w:eastAsia="en-US" w:bidi="ar-SA"/>
        </w:rPr>
        <w:t xml:space="preserve"> </w:t>
      </w:r>
      <w:r w:rsidRPr="005A1AD3">
        <w:rPr>
          <w:rFonts w:eastAsiaTheme="minorHAnsi"/>
          <w:color w:val="000000"/>
          <w:sz w:val="20"/>
          <w:szCs w:val="20"/>
          <w:lang w:eastAsia="en-US" w:bidi="ar-SA"/>
        </w:rPr>
        <w:t>of Public Sector Remuneration (OPSER) within DPC.</w:t>
      </w:r>
    </w:p>
    <w:p w:rsidR="005A1AD3" w:rsidRPr="005A1AD3" w:rsidRDefault="005A1A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 xml:space="preserve">In March 2019, the Victorian Independent Remuneration Tribunal (VIRT) was established by the </w:t>
      </w:r>
      <w:r w:rsidRPr="005A1AD3">
        <w:rPr>
          <w:rFonts w:eastAsiaTheme="minorHAnsi"/>
          <w:i/>
          <w:iCs/>
          <w:color w:val="000000"/>
          <w:sz w:val="20"/>
          <w:szCs w:val="20"/>
          <w:lang w:eastAsia="en-US" w:bidi="ar-SA"/>
        </w:rPr>
        <w:t>Victorian Independent Remuneration Tribunal and Improving Parliamentary Standards Act 2019</w:t>
      </w:r>
      <w:r w:rsidRPr="005A1AD3">
        <w:rPr>
          <w:rFonts w:eastAsiaTheme="minorHAnsi"/>
          <w:color w:val="000000"/>
          <w:sz w:val="20"/>
          <w:szCs w:val="20"/>
          <w:lang w:eastAsia="en-US" w:bidi="ar-SA"/>
        </w:rPr>
        <w:t>. The VIRT has responsibility for determining the remuneration bands for both VPS and public entity executives.</w:t>
      </w:r>
    </w:p>
    <w:p w:rsidR="005A1AD3" w:rsidRPr="00700FE9" w:rsidRDefault="005A1AD3" w:rsidP="003A789F">
      <w:pPr>
        <w:widowControl/>
        <w:suppressAutoHyphens/>
        <w:adjustRightInd w:val="0"/>
        <w:spacing w:after="113" w:line="220" w:lineRule="atLeast"/>
        <w:ind w:left="709" w:right="1137"/>
        <w:textAlignment w:val="center"/>
        <w:rPr>
          <w:rFonts w:eastAsiaTheme="minorHAnsi"/>
          <w:color w:val="000000"/>
          <w:spacing w:val="-2"/>
          <w:sz w:val="20"/>
          <w:szCs w:val="20"/>
          <w:lang w:eastAsia="en-US" w:bidi="ar-SA"/>
        </w:rPr>
      </w:pPr>
      <w:r w:rsidRPr="005A1AD3">
        <w:rPr>
          <w:rFonts w:eastAsiaTheme="minorHAnsi"/>
          <w:color w:val="000000"/>
          <w:spacing w:val="-2"/>
          <w:sz w:val="20"/>
          <w:szCs w:val="20"/>
          <w:lang w:eastAsia="en-US" w:bidi="ar-SA"/>
        </w:rPr>
        <w:t>In the VPSC’s former role supporting the GSERP, the VPSC answered 173 enquiries and finalised 26 submissions up to 7 November 2018 and transferred one submission to OPSER. The largest number of submissions came from Department of Health and Human Services portfolio entities. The most common enquiries related to remuneration policy and the determination of individual total remuneration packages (TRP).</w:t>
      </w:r>
    </w:p>
    <w:p w:rsidR="005A1AD3" w:rsidRPr="005A1AD3" w:rsidRDefault="005A1AD3" w:rsidP="003A789F">
      <w:pPr>
        <w:ind w:right="1137"/>
        <w:rPr>
          <w:lang w:eastAsia="en-US" w:bidi="ar-SA"/>
        </w:rPr>
      </w:pPr>
    </w:p>
    <w:p w:rsidR="005A1AD3" w:rsidRDefault="005A1AD3" w:rsidP="003A789F">
      <w:pPr>
        <w:pStyle w:val="Heading3"/>
        <w:ind w:right="1137"/>
        <w:rPr>
          <w:lang w:bidi="ar-SA"/>
        </w:rPr>
      </w:pPr>
      <w:r w:rsidRPr="005A1AD3">
        <w:rPr>
          <w:lang w:bidi="ar-SA"/>
        </w:rPr>
        <w:t xml:space="preserve">Barring </w:t>
      </w:r>
      <w:proofErr w:type="spellStart"/>
      <w:r w:rsidRPr="005A1AD3">
        <w:rPr>
          <w:lang w:bidi="ar-SA"/>
        </w:rPr>
        <w:t>Djinang</w:t>
      </w:r>
      <w:proofErr w:type="spellEnd"/>
      <w:r w:rsidRPr="005A1AD3">
        <w:rPr>
          <w:lang w:bidi="ar-SA"/>
        </w:rPr>
        <w:t>: Aboriginal Employment Strategy</w:t>
      </w:r>
    </w:p>
    <w:p w:rsidR="005A1AD3" w:rsidRPr="00700FE9" w:rsidRDefault="005A1AD3" w:rsidP="003A789F">
      <w:pPr>
        <w:ind w:right="1137"/>
        <w:rPr>
          <w:sz w:val="20"/>
          <w:szCs w:val="20"/>
          <w:lang w:bidi="ar-SA"/>
        </w:rPr>
      </w:pPr>
    </w:p>
    <w:p w:rsidR="005A1AD3" w:rsidRPr="005A1AD3" w:rsidRDefault="005A1A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 xml:space="preserve">The VPSC completed its second year of delivering </w:t>
      </w:r>
      <w:r w:rsidRPr="005A1AD3">
        <w:rPr>
          <w:rFonts w:eastAsiaTheme="minorHAnsi"/>
          <w:i/>
          <w:iCs/>
          <w:color w:val="000000"/>
          <w:sz w:val="20"/>
          <w:szCs w:val="20"/>
          <w:lang w:eastAsia="en-US" w:bidi="ar-SA"/>
        </w:rPr>
        <w:t xml:space="preserve">Barring </w:t>
      </w:r>
      <w:proofErr w:type="spellStart"/>
      <w:r w:rsidRPr="005A1AD3">
        <w:rPr>
          <w:rFonts w:eastAsiaTheme="minorHAnsi"/>
          <w:i/>
          <w:iCs/>
          <w:color w:val="000000"/>
          <w:sz w:val="20"/>
          <w:szCs w:val="20"/>
          <w:lang w:eastAsia="en-US" w:bidi="ar-SA"/>
        </w:rPr>
        <w:t>Djinang</w:t>
      </w:r>
      <w:proofErr w:type="spellEnd"/>
      <w:r w:rsidRPr="005A1AD3">
        <w:rPr>
          <w:rFonts w:eastAsiaTheme="minorHAnsi"/>
          <w:color w:val="000000"/>
          <w:sz w:val="20"/>
          <w:szCs w:val="20"/>
          <w:lang w:eastAsia="en-US" w:bidi="ar-SA"/>
        </w:rPr>
        <w:t>, the Victorian public sector Aboriginal Employment Strategy for 2017–2022.</w:t>
      </w:r>
    </w:p>
    <w:p w:rsidR="005A1AD3" w:rsidRPr="005A1AD3" w:rsidRDefault="005A1A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A1AD3">
        <w:rPr>
          <w:rFonts w:eastAsiaTheme="minorHAnsi"/>
          <w:i/>
          <w:iCs/>
          <w:color w:val="000000"/>
          <w:sz w:val="20"/>
          <w:szCs w:val="20"/>
          <w:lang w:eastAsia="en-US" w:bidi="ar-SA"/>
        </w:rPr>
        <w:t xml:space="preserve">Barring </w:t>
      </w:r>
      <w:proofErr w:type="spellStart"/>
      <w:r w:rsidRPr="005A1AD3">
        <w:rPr>
          <w:rFonts w:eastAsiaTheme="minorHAnsi"/>
          <w:i/>
          <w:iCs/>
          <w:color w:val="000000"/>
          <w:sz w:val="20"/>
          <w:szCs w:val="20"/>
          <w:lang w:eastAsia="en-US" w:bidi="ar-SA"/>
        </w:rPr>
        <w:t>Djinang</w:t>
      </w:r>
      <w:proofErr w:type="spellEnd"/>
      <w:r w:rsidRPr="005A1AD3">
        <w:rPr>
          <w:rFonts w:eastAsiaTheme="minorHAnsi"/>
          <w:color w:val="000000"/>
          <w:sz w:val="20"/>
          <w:szCs w:val="20"/>
          <w:lang w:eastAsia="en-US" w:bidi="ar-SA"/>
        </w:rPr>
        <w:t xml:space="preserve"> identifies five focus areas, supported by 15 initiatives operating with a strong focus</w:t>
      </w:r>
      <w:r w:rsidR="00250CD3" w:rsidRPr="00700FE9">
        <w:rPr>
          <w:rFonts w:eastAsiaTheme="minorHAnsi"/>
          <w:color w:val="000000"/>
          <w:sz w:val="20"/>
          <w:szCs w:val="20"/>
          <w:lang w:eastAsia="en-US" w:bidi="ar-SA"/>
        </w:rPr>
        <w:t xml:space="preserve"> </w:t>
      </w:r>
      <w:r w:rsidRPr="005A1AD3">
        <w:rPr>
          <w:rFonts w:eastAsiaTheme="minorHAnsi"/>
          <w:color w:val="000000"/>
          <w:sz w:val="20"/>
          <w:szCs w:val="20"/>
          <w:lang w:eastAsia="en-US" w:bidi="ar-SA"/>
        </w:rPr>
        <w:t>on enhancing the careers and experiences of Aboriginal staff. The initiatives include programs,</w:t>
      </w:r>
      <w:r w:rsidR="00250CD3" w:rsidRPr="00700FE9">
        <w:rPr>
          <w:rFonts w:eastAsiaTheme="minorHAnsi"/>
          <w:color w:val="000000"/>
          <w:sz w:val="20"/>
          <w:szCs w:val="20"/>
          <w:lang w:eastAsia="en-US" w:bidi="ar-SA"/>
        </w:rPr>
        <w:t xml:space="preserve"> </w:t>
      </w:r>
      <w:r w:rsidRPr="005A1AD3">
        <w:rPr>
          <w:rFonts w:eastAsiaTheme="minorHAnsi"/>
          <w:color w:val="000000"/>
          <w:sz w:val="20"/>
          <w:szCs w:val="20"/>
          <w:lang w:eastAsia="en-US" w:bidi="ar-SA"/>
        </w:rPr>
        <w:t>coordination and performance monitoring.</w:t>
      </w:r>
    </w:p>
    <w:p w:rsidR="005A1AD3" w:rsidRPr="005A1AD3" w:rsidRDefault="005A1A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The five focus areas are to:</w:t>
      </w:r>
    </w:p>
    <w:p w:rsidR="005A1AD3" w:rsidRPr="00700FE9" w:rsidRDefault="005A1AD3" w:rsidP="003A789F">
      <w:pPr>
        <w:pStyle w:val="ListParagraph"/>
        <w:widowControl/>
        <w:numPr>
          <w:ilvl w:val="0"/>
          <w:numId w:val="9"/>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Improve attraction and retention.</w:t>
      </w:r>
    </w:p>
    <w:p w:rsidR="005A1AD3" w:rsidRPr="00700FE9" w:rsidRDefault="005A1AD3" w:rsidP="003A789F">
      <w:pPr>
        <w:pStyle w:val="ListParagraph"/>
        <w:widowControl/>
        <w:numPr>
          <w:ilvl w:val="0"/>
          <w:numId w:val="9"/>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Create progressive career experiences.</w:t>
      </w:r>
    </w:p>
    <w:p w:rsidR="005A1AD3" w:rsidRPr="00700FE9" w:rsidRDefault="005A1AD3" w:rsidP="003A789F">
      <w:pPr>
        <w:pStyle w:val="ListParagraph"/>
        <w:widowControl/>
        <w:numPr>
          <w:ilvl w:val="0"/>
          <w:numId w:val="9"/>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Create culturally safe workplaces.</w:t>
      </w:r>
    </w:p>
    <w:p w:rsidR="005A1AD3" w:rsidRPr="00700FE9" w:rsidRDefault="005A1AD3" w:rsidP="003A789F">
      <w:pPr>
        <w:pStyle w:val="ListParagraph"/>
        <w:widowControl/>
        <w:numPr>
          <w:ilvl w:val="0"/>
          <w:numId w:val="9"/>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Enhance supports for Aboriginal staff.</w:t>
      </w:r>
    </w:p>
    <w:p w:rsidR="005A1AD3" w:rsidRPr="00700FE9" w:rsidRDefault="005A1AD3" w:rsidP="003A789F">
      <w:pPr>
        <w:pStyle w:val="ListParagraph"/>
        <w:widowControl/>
        <w:numPr>
          <w:ilvl w:val="0"/>
          <w:numId w:val="9"/>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Provide central oversight and strong governance.</w:t>
      </w:r>
    </w:p>
    <w:p w:rsidR="005A1AD3" w:rsidRPr="005A1AD3" w:rsidRDefault="005A1A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Of the 15 initiatives, 11 are fully operational or completed. Three are currently in progress, with one initiative, the Career Pathways Framework, yet to commence.</w:t>
      </w:r>
    </w:p>
    <w:p w:rsidR="005A1AD3" w:rsidRPr="005A1AD3" w:rsidRDefault="005A1A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A1AD3">
        <w:rPr>
          <w:rFonts w:eastAsiaTheme="minorHAnsi"/>
          <w:color w:val="000000"/>
          <w:sz w:val="20"/>
          <w:szCs w:val="20"/>
          <w:lang w:eastAsia="en-US" w:bidi="ar-SA"/>
        </w:rPr>
        <w:t xml:space="preserve">In 2018–19 </w:t>
      </w:r>
      <w:r w:rsidRPr="005A1AD3">
        <w:rPr>
          <w:rFonts w:eastAsiaTheme="minorHAnsi"/>
          <w:i/>
          <w:iCs/>
          <w:color w:val="000000"/>
          <w:sz w:val="20"/>
          <w:szCs w:val="20"/>
          <w:lang w:eastAsia="en-US" w:bidi="ar-SA"/>
        </w:rPr>
        <w:t xml:space="preserve">Barring </w:t>
      </w:r>
      <w:proofErr w:type="spellStart"/>
      <w:r w:rsidRPr="005A1AD3">
        <w:rPr>
          <w:rFonts w:eastAsiaTheme="minorHAnsi"/>
          <w:i/>
          <w:iCs/>
          <w:color w:val="000000"/>
          <w:sz w:val="20"/>
          <w:szCs w:val="20"/>
          <w:lang w:eastAsia="en-US" w:bidi="ar-SA"/>
        </w:rPr>
        <w:t>Djinang</w:t>
      </w:r>
      <w:proofErr w:type="spellEnd"/>
      <w:r w:rsidRPr="005A1AD3">
        <w:rPr>
          <w:rFonts w:eastAsiaTheme="minorHAnsi"/>
          <w:color w:val="000000"/>
          <w:sz w:val="20"/>
          <w:szCs w:val="20"/>
          <w:lang w:eastAsia="en-US" w:bidi="ar-SA"/>
        </w:rPr>
        <w:t xml:space="preserve"> achieved: </w:t>
      </w:r>
    </w:p>
    <w:p w:rsidR="005A1AD3" w:rsidRPr="00700FE9" w:rsidRDefault="005A1AD3" w:rsidP="003A789F">
      <w:pPr>
        <w:pStyle w:val="ListParagraph"/>
        <w:widowControl/>
        <w:numPr>
          <w:ilvl w:val="0"/>
          <w:numId w:val="10"/>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A record number of applicants (14) to the Aboriginal Pathway to the Victorian Government</w:t>
      </w:r>
      <w:r w:rsidR="00250CD3" w:rsidRPr="00700FE9">
        <w:rPr>
          <w:rFonts w:eastAsiaTheme="minorHAnsi"/>
          <w:color w:val="000000"/>
          <w:sz w:val="20"/>
          <w:szCs w:val="20"/>
          <w:lang w:eastAsia="en-US" w:bidi="ar-SA"/>
        </w:rPr>
        <w:t xml:space="preserve"> </w:t>
      </w:r>
      <w:r w:rsidRPr="00700FE9">
        <w:rPr>
          <w:rFonts w:eastAsiaTheme="minorHAnsi"/>
          <w:color w:val="000000"/>
          <w:sz w:val="20"/>
          <w:szCs w:val="20"/>
          <w:lang w:eastAsia="en-US" w:bidi="ar-SA"/>
        </w:rPr>
        <w:t>graduate program.</w:t>
      </w:r>
    </w:p>
    <w:p w:rsidR="005A1AD3" w:rsidRPr="00700FE9" w:rsidRDefault="005A1AD3" w:rsidP="003A789F">
      <w:pPr>
        <w:pStyle w:val="ListParagraph"/>
        <w:widowControl/>
        <w:numPr>
          <w:ilvl w:val="0"/>
          <w:numId w:val="10"/>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The establishment of Regional Staff Networks, with 150 Aboriginal public sector employees attending meetings held across Victoria.</w:t>
      </w:r>
    </w:p>
    <w:p w:rsidR="005A1AD3" w:rsidRPr="00700FE9" w:rsidRDefault="005A1AD3" w:rsidP="003A789F">
      <w:pPr>
        <w:pStyle w:val="ListParagraph"/>
        <w:widowControl/>
        <w:numPr>
          <w:ilvl w:val="0"/>
          <w:numId w:val="10"/>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The publication of the Cultural Capability Toolkit, an online resource for public sector employers</w:t>
      </w:r>
      <w:r w:rsidR="00250CD3" w:rsidRPr="00700FE9">
        <w:rPr>
          <w:rFonts w:eastAsiaTheme="minorHAnsi"/>
          <w:color w:val="000000"/>
          <w:sz w:val="20"/>
          <w:szCs w:val="20"/>
          <w:lang w:eastAsia="en-US" w:bidi="ar-SA"/>
        </w:rPr>
        <w:t xml:space="preserve"> </w:t>
      </w:r>
      <w:r w:rsidRPr="00700FE9">
        <w:rPr>
          <w:rFonts w:eastAsiaTheme="minorHAnsi"/>
          <w:color w:val="000000"/>
          <w:sz w:val="20"/>
          <w:szCs w:val="20"/>
          <w:lang w:eastAsia="en-US" w:bidi="ar-SA"/>
        </w:rPr>
        <w:t>and employees to help guide and build their cultural capability.</w:t>
      </w:r>
    </w:p>
    <w:p w:rsidR="005A1AD3" w:rsidRPr="00700FE9" w:rsidRDefault="005A1AD3" w:rsidP="003A789F">
      <w:pPr>
        <w:pStyle w:val="ListParagraph"/>
        <w:widowControl/>
        <w:numPr>
          <w:ilvl w:val="0"/>
          <w:numId w:val="10"/>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 xml:space="preserve">The publication of the </w:t>
      </w:r>
      <w:r w:rsidRPr="00700FE9">
        <w:rPr>
          <w:rFonts w:eastAsiaTheme="minorHAnsi"/>
          <w:i/>
          <w:iCs/>
          <w:color w:val="000000"/>
          <w:sz w:val="20"/>
          <w:szCs w:val="20"/>
          <w:lang w:eastAsia="en-US" w:bidi="ar-SA"/>
        </w:rPr>
        <w:t>Guide for Offering Inclusive Employee Assistance Programs</w:t>
      </w:r>
      <w:r w:rsidRPr="00700FE9">
        <w:rPr>
          <w:rFonts w:eastAsiaTheme="minorHAnsi"/>
          <w:color w:val="000000"/>
          <w:sz w:val="20"/>
          <w:szCs w:val="20"/>
          <w:lang w:eastAsia="en-US" w:bidi="ar-SA"/>
        </w:rPr>
        <w:t>, which has inclusive contract terms and standards for employee assistance programs providers.</w:t>
      </w:r>
    </w:p>
    <w:p w:rsidR="005A1AD3" w:rsidRPr="00700FE9" w:rsidRDefault="005A1AD3" w:rsidP="00943EBA">
      <w:pPr>
        <w:pStyle w:val="ListParagraph"/>
        <w:widowControl/>
        <w:numPr>
          <w:ilvl w:val="0"/>
          <w:numId w:val="10"/>
        </w:numPr>
        <w:tabs>
          <w:tab w:val="left" w:pos="227"/>
          <w:tab w:val="left" w:pos="283"/>
        </w:tabs>
        <w:suppressAutoHyphens/>
        <w:adjustRightInd w:val="0"/>
        <w:spacing w:after="170" w:line="220" w:lineRule="atLeast"/>
        <w:ind w:right="995"/>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lastRenderedPageBreak/>
        <w:t xml:space="preserve">The successful completion of the Aboriginal Future Leaders Pilot. The pilot informed the development of the Barring </w:t>
      </w:r>
      <w:proofErr w:type="spellStart"/>
      <w:r w:rsidRPr="00700FE9">
        <w:rPr>
          <w:rFonts w:eastAsiaTheme="minorHAnsi"/>
          <w:color w:val="000000"/>
          <w:sz w:val="20"/>
          <w:szCs w:val="20"/>
          <w:lang w:eastAsia="en-US" w:bidi="ar-SA"/>
        </w:rPr>
        <w:t>Djinang</w:t>
      </w:r>
      <w:proofErr w:type="spellEnd"/>
      <w:r w:rsidRPr="00700FE9">
        <w:rPr>
          <w:rFonts w:eastAsiaTheme="minorHAnsi"/>
          <w:color w:val="000000"/>
          <w:sz w:val="20"/>
          <w:szCs w:val="20"/>
          <w:lang w:eastAsia="en-US" w:bidi="ar-SA"/>
        </w:rPr>
        <w:t xml:space="preserve"> Leadership Program, a program that also includes eligible staff from Aboriginal Community Controlled Organisations.</w:t>
      </w:r>
    </w:p>
    <w:p w:rsidR="0051318F" w:rsidRDefault="0051318F" w:rsidP="003A789F"/>
    <w:p w:rsidR="00250CD3" w:rsidRDefault="00250CD3" w:rsidP="003A789F">
      <w:pPr>
        <w:pStyle w:val="Heading3"/>
        <w:ind w:right="1137"/>
        <w:rPr>
          <w:lang w:eastAsia="en-US" w:bidi="ar-SA"/>
        </w:rPr>
      </w:pPr>
      <w:r>
        <w:rPr>
          <w:lang w:eastAsia="en-US" w:bidi="ar-SA"/>
        </w:rPr>
        <w:t>R</w:t>
      </w:r>
      <w:r w:rsidRPr="00250CD3">
        <w:rPr>
          <w:lang w:eastAsia="en-US" w:bidi="ar-SA"/>
        </w:rPr>
        <w:t xml:space="preserve">ecruitment Experience and </w:t>
      </w:r>
      <w:proofErr w:type="spellStart"/>
      <w:r w:rsidRPr="00250CD3">
        <w:rPr>
          <w:lang w:eastAsia="en-US" w:bidi="ar-SA"/>
        </w:rPr>
        <w:t>Careers.Vic</w:t>
      </w:r>
      <w:proofErr w:type="spellEnd"/>
    </w:p>
    <w:p w:rsidR="00250CD3" w:rsidRPr="00250CD3" w:rsidRDefault="00250CD3" w:rsidP="003A789F">
      <w:pPr>
        <w:ind w:right="1137"/>
        <w:rPr>
          <w:lang w:eastAsia="en-US" w:bidi="ar-SA"/>
        </w:rPr>
      </w:pP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pacing w:val="-1"/>
          <w:sz w:val="20"/>
          <w:szCs w:val="20"/>
          <w:lang w:eastAsia="en-US" w:bidi="ar-SA"/>
        </w:rPr>
        <w:t xml:space="preserve">In 2018–19 the VPSC played a key role in enabling Victorian public sector entities to attract and recruit high-quality candidates, through its management of the </w:t>
      </w:r>
      <w:proofErr w:type="spellStart"/>
      <w:r w:rsidRPr="00250CD3">
        <w:rPr>
          <w:rFonts w:eastAsiaTheme="minorHAnsi"/>
          <w:color w:val="000000"/>
          <w:spacing w:val="-1"/>
          <w:sz w:val="20"/>
          <w:szCs w:val="20"/>
          <w:lang w:eastAsia="en-US" w:bidi="ar-SA"/>
        </w:rPr>
        <w:t>Careers.Vic</w:t>
      </w:r>
      <w:proofErr w:type="spellEnd"/>
      <w:r w:rsidRPr="00250CD3">
        <w:rPr>
          <w:rFonts w:eastAsiaTheme="minorHAnsi"/>
          <w:color w:val="000000"/>
          <w:spacing w:val="-1"/>
          <w:sz w:val="20"/>
          <w:szCs w:val="20"/>
          <w:lang w:eastAsia="en-US" w:bidi="ar-SA"/>
        </w:rPr>
        <w:t xml:space="preserve"> website, the whole of Victorian government contract for the Springboard Applicant Tracking System, and the management of a senior recruiter’s network.</w:t>
      </w:r>
    </w:p>
    <w:p w:rsidR="00250CD3" w:rsidRPr="00700FE9"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 xml:space="preserve">The </w:t>
      </w:r>
      <w:proofErr w:type="spellStart"/>
      <w:r w:rsidRPr="00250CD3">
        <w:rPr>
          <w:rFonts w:eastAsiaTheme="minorHAnsi"/>
          <w:color w:val="000000"/>
          <w:sz w:val="20"/>
          <w:szCs w:val="20"/>
          <w:lang w:eastAsia="en-US" w:bidi="ar-SA"/>
        </w:rPr>
        <w:t>Careers.Vic</w:t>
      </w:r>
      <w:proofErr w:type="spellEnd"/>
      <w:r w:rsidRPr="00250CD3">
        <w:rPr>
          <w:rFonts w:eastAsiaTheme="minorHAnsi"/>
          <w:color w:val="000000"/>
          <w:sz w:val="20"/>
          <w:szCs w:val="20"/>
          <w:lang w:eastAsia="en-US" w:bidi="ar-SA"/>
        </w:rPr>
        <w:t xml:space="preserve"> website is the front door to employment opportunities within the Victorian public sector, attracting almost 45,000 job seekers each week. It showcases the Victorian public sector as an employer</w:t>
      </w:r>
      <w:r w:rsidR="00700FE9">
        <w:rPr>
          <w:rFonts w:eastAsiaTheme="minorHAnsi"/>
          <w:color w:val="000000"/>
          <w:sz w:val="20"/>
          <w:szCs w:val="20"/>
          <w:lang w:eastAsia="en-US" w:bidi="ar-SA"/>
        </w:rPr>
        <w:t xml:space="preserve"> </w:t>
      </w:r>
      <w:r w:rsidRPr="00250CD3">
        <w:rPr>
          <w:rFonts w:eastAsiaTheme="minorHAnsi"/>
          <w:color w:val="000000"/>
          <w:sz w:val="20"/>
          <w:szCs w:val="20"/>
          <w:lang w:eastAsia="en-US" w:bidi="ar-SA"/>
        </w:rPr>
        <w:t>of choice, promotes diversity and showcases the many pathways into the sector.</w:t>
      </w:r>
    </w:p>
    <w:p w:rsidR="00250CD3" w:rsidRPr="00250CD3" w:rsidRDefault="00250CD3" w:rsidP="003A789F">
      <w:pPr>
        <w:ind w:right="1137"/>
        <w:rPr>
          <w:lang w:eastAsia="en-US" w:bidi="ar-SA"/>
        </w:rPr>
      </w:pPr>
    </w:p>
    <w:p w:rsidR="00250CD3" w:rsidRDefault="00250CD3" w:rsidP="003A789F">
      <w:pPr>
        <w:pStyle w:val="Heading3"/>
        <w:ind w:right="1137"/>
        <w:rPr>
          <w:lang w:eastAsia="en-US" w:bidi="ar-SA"/>
        </w:rPr>
      </w:pPr>
      <w:r w:rsidRPr="00250CD3">
        <w:rPr>
          <w:lang w:eastAsia="en-US" w:bidi="ar-SA"/>
        </w:rPr>
        <w:t xml:space="preserve">Springboard </w:t>
      </w:r>
      <w:proofErr w:type="spellStart"/>
      <w:r w:rsidRPr="00250CD3">
        <w:rPr>
          <w:lang w:eastAsia="en-US" w:bidi="ar-SA"/>
        </w:rPr>
        <w:t>eRecruitment</w:t>
      </w:r>
      <w:proofErr w:type="spellEnd"/>
      <w:r w:rsidRPr="00250CD3">
        <w:rPr>
          <w:lang w:eastAsia="en-US" w:bidi="ar-SA"/>
        </w:rPr>
        <w:t xml:space="preserve"> network</w:t>
      </w:r>
    </w:p>
    <w:p w:rsidR="00250CD3" w:rsidRPr="00250CD3" w:rsidRDefault="00250CD3" w:rsidP="003A789F">
      <w:pPr>
        <w:ind w:right="1137"/>
        <w:rPr>
          <w:lang w:eastAsia="en-US" w:bidi="ar-SA"/>
        </w:rPr>
      </w:pP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 xml:space="preserve">The VPSC is responsible for the contract management and coordination of the Springboard </w:t>
      </w:r>
      <w:proofErr w:type="spellStart"/>
      <w:r w:rsidRPr="00250CD3">
        <w:rPr>
          <w:rFonts w:eastAsiaTheme="minorHAnsi"/>
          <w:color w:val="000000"/>
          <w:sz w:val="20"/>
          <w:szCs w:val="20"/>
          <w:lang w:eastAsia="en-US" w:bidi="ar-SA"/>
        </w:rPr>
        <w:t>eRecruitment</w:t>
      </w:r>
      <w:proofErr w:type="spellEnd"/>
      <w:r w:rsidRPr="00250CD3">
        <w:rPr>
          <w:rFonts w:eastAsiaTheme="minorHAnsi"/>
          <w:color w:val="000000"/>
          <w:sz w:val="20"/>
          <w:szCs w:val="20"/>
          <w:lang w:eastAsia="en-US" w:bidi="ar-SA"/>
        </w:rPr>
        <w:t xml:space="preserve"> system. Springboard is used by all departments, Victoria Police and over 80 entities across the public sector, providing an end-to-end pathway from planning through to evaluation.</w:t>
      </w: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In 2018–19, the VPSC worked with departments and sector partners to identify opportunities to broaden</w:t>
      </w:r>
      <w:r w:rsidRPr="00250CD3">
        <w:rPr>
          <w:rFonts w:eastAsiaTheme="minorHAnsi"/>
          <w:color w:val="000000"/>
          <w:sz w:val="20"/>
          <w:szCs w:val="20"/>
          <w:lang w:eastAsia="en-US" w:bidi="ar-SA"/>
        </w:rPr>
        <w:br/>
        <w:t xml:space="preserve">the functionality of </w:t>
      </w:r>
      <w:proofErr w:type="spellStart"/>
      <w:r w:rsidRPr="00250CD3">
        <w:rPr>
          <w:rFonts w:eastAsiaTheme="minorHAnsi"/>
          <w:color w:val="000000"/>
          <w:sz w:val="20"/>
          <w:szCs w:val="20"/>
          <w:lang w:eastAsia="en-US" w:bidi="ar-SA"/>
        </w:rPr>
        <w:t>Careers.Vic</w:t>
      </w:r>
      <w:proofErr w:type="spellEnd"/>
      <w:r w:rsidRPr="00250CD3">
        <w:rPr>
          <w:rFonts w:eastAsiaTheme="minorHAnsi"/>
          <w:color w:val="000000"/>
          <w:sz w:val="20"/>
          <w:szCs w:val="20"/>
          <w:lang w:eastAsia="en-US" w:bidi="ar-SA"/>
        </w:rPr>
        <w:t xml:space="preserve"> and to meet emerging whole of Victorian government workforce capability and mobility demands.</w:t>
      </w: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Throughout May and June 2019, the VPSC worked closely with DPC to implement a Jobs &amp; Skills</w:t>
      </w:r>
      <w:r w:rsidR="00700FE9">
        <w:rPr>
          <w:rFonts w:eastAsiaTheme="minorHAnsi"/>
          <w:color w:val="000000"/>
          <w:sz w:val="20"/>
          <w:szCs w:val="20"/>
          <w:lang w:eastAsia="en-US" w:bidi="ar-SA"/>
        </w:rPr>
        <w:t xml:space="preserve"> </w:t>
      </w:r>
      <w:r w:rsidRPr="00250CD3">
        <w:rPr>
          <w:rFonts w:eastAsiaTheme="minorHAnsi"/>
          <w:color w:val="000000"/>
          <w:sz w:val="20"/>
          <w:szCs w:val="20"/>
          <w:lang w:eastAsia="en-US" w:bidi="ar-SA"/>
        </w:rPr>
        <w:t xml:space="preserve">Exchange for the Victorian Government using the Springboard </w:t>
      </w:r>
      <w:proofErr w:type="spellStart"/>
      <w:r w:rsidRPr="00250CD3">
        <w:rPr>
          <w:rFonts w:eastAsiaTheme="minorHAnsi"/>
          <w:color w:val="000000"/>
          <w:sz w:val="20"/>
          <w:szCs w:val="20"/>
          <w:lang w:eastAsia="en-US" w:bidi="ar-SA"/>
        </w:rPr>
        <w:t>eRecruitment</w:t>
      </w:r>
      <w:proofErr w:type="spellEnd"/>
      <w:r w:rsidRPr="00250CD3">
        <w:rPr>
          <w:rFonts w:eastAsiaTheme="minorHAnsi"/>
          <w:color w:val="000000"/>
          <w:sz w:val="20"/>
          <w:szCs w:val="20"/>
          <w:lang w:eastAsia="en-US" w:bidi="ar-SA"/>
        </w:rPr>
        <w:t xml:space="preserve"> platform to support</w:t>
      </w:r>
      <w:r w:rsidR="00700FE9">
        <w:rPr>
          <w:rFonts w:eastAsiaTheme="minorHAnsi"/>
          <w:color w:val="000000"/>
          <w:sz w:val="20"/>
          <w:szCs w:val="20"/>
          <w:lang w:eastAsia="en-US" w:bidi="ar-SA"/>
        </w:rPr>
        <w:t xml:space="preserve"> </w:t>
      </w:r>
      <w:r w:rsidRPr="00250CD3">
        <w:rPr>
          <w:rFonts w:eastAsiaTheme="minorHAnsi"/>
          <w:color w:val="000000"/>
          <w:sz w:val="20"/>
          <w:szCs w:val="20"/>
          <w:lang w:eastAsia="en-US" w:bidi="ar-SA"/>
        </w:rPr>
        <w:t>its activities and service offerings. The successful delivery has established the stage one release</w:t>
      </w:r>
      <w:r w:rsidR="00700FE9">
        <w:rPr>
          <w:rFonts w:eastAsiaTheme="minorHAnsi"/>
          <w:color w:val="000000"/>
          <w:sz w:val="20"/>
          <w:szCs w:val="20"/>
          <w:lang w:eastAsia="en-US" w:bidi="ar-SA"/>
        </w:rPr>
        <w:t xml:space="preserve"> </w:t>
      </w:r>
      <w:r w:rsidRPr="00250CD3">
        <w:rPr>
          <w:rFonts w:eastAsiaTheme="minorHAnsi"/>
          <w:color w:val="000000"/>
          <w:sz w:val="20"/>
          <w:szCs w:val="20"/>
          <w:lang w:eastAsia="en-US" w:bidi="ar-SA"/>
        </w:rPr>
        <w:t>of the Jobs and Skills Exchange service.</w:t>
      </w:r>
    </w:p>
    <w:p w:rsidR="00250CD3" w:rsidRPr="00700FE9"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The team also worked closely with departments and other entities transition to other HCM systems</w:t>
      </w:r>
      <w:r w:rsidR="00700FE9">
        <w:rPr>
          <w:rFonts w:eastAsiaTheme="minorHAnsi"/>
          <w:color w:val="000000"/>
          <w:sz w:val="20"/>
          <w:szCs w:val="20"/>
          <w:lang w:eastAsia="en-US" w:bidi="ar-SA"/>
        </w:rPr>
        <w:t xml:space="preserve"> </w:t>
      </w:r>
      <w:r w:rsidRPr="00250CD3">
        <w:rPr>
          <w:rFonts w:eastAsiaTheme="minorHAnsi"/>
          <w:color w:val="000000"/>
          <w:sz w:val="20"/>
          <w:szCs w:val="20"/>
          <w:lang w:eastAsia="en-US" w:bidi="ar-SA"/>
        </w:rPr>
        <w:t>to support their recruitment.</w:t>
      </w:r>
    </w:p>
    <w:p w:rsidR="00250CD3" w:rsidRPr="00250CD3" w:rsidRDefault="00250CD3" w:rsidP="003A789F">
      <w:pPr>
        <w:ind w:right="1137"/>
        <w:rPr>
          <w:lang w:eastAsia="en-US" w:bidi="ar-SA"/>
        </w:rPr>
      </w:pPr>
    </w:p>
    <w:p w:rsidR="00250CD3" w:rsidRDefault="00250CD3" w:rsidP="003A789F">
      <w:pPr>
        <w:pStyle w:val="Heading3"/>
        <w:ind w:right="1137"/>
        <w:rPr>
          <w:lang w:eastAsia="en-US" w:bidi="ar-SA"/>
        </w:rPr>
      </w:pPr>
      <w:r w:rsidRPr="00250CD3">
        <w:rPr>
          <w:lang w:eastAsia="en-US" w:bidi="ar-SA"/>
        </w:rPr>
        <w:t>Government Appointments and Public Entities Database</w:t>
      </w:r>
    </w:p>
    <w:p w:rsidR="00250CD3" w:rsidRPr="00250CD3" w:rsidRDefault="00250CD3" w:rsidP="003A789F">
      <w:pPr>
        <w:ind w:right="1137"/>
        <w:rPr>
          <w:lang w:eastAsia="en-US" w:bidi="ar-SA"/>
        </w:rPr>
      </w:pP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The government appoints people to over 11,000 official positions in Victoria. The VPSC manages the GAPED to record and monitor these appointments and to assist the government to manage the appointments process. This includes monthly reporting against the government’s policy of women comprising 50 per cent of all appointments to major public boards.</w:t>
      </w: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 xml:space="preserve">In 2018–19 several enhancements were made to further improve the quality of GAPED data by: </w:t>
      </w:r>
    </w:p>
    <w:p w:rsidR="00250CD3" w:rsidRPr="00700FE9" w:rsidRDefault="00250CD3" w:rsidP="003A789F">
      <w:pPr>
        <w:pStyle w:val="ListParagraph"/>
        <w:widowControl/>
        <w:numPr>
          <w:ilvl w:val="0"/>
          <w:numId w:val="11"/>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mandating the use of all diversity fields</w:t>
      </w:r>
    </w:p>
    <w:p w:rsidR="00250CD3" w:rsidRPr="00700FE9" w:rsidRDefault="00250CD3" w:rsidP="003A789F">
      <w:pPr>
        <w:pStyle w:val="ListParagraph"/>
        <w:widowControl/>
        <w:numPr>
          <w:ilvl w:val="0"/>
          <w:numId w:val="11"/>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 xml:space="preserve">improving system notifications and increasing exception reporting for data quality monitoring </w:t>
      </w:r>
    </w:p>
    <w:p w:rsidR="00250CD3" w:rsidRPr="00700FE9" w:rsidRDefault="00250CD3" w:rsidP="003A789F">
      <w:pPr>
        <w:pStyle w:val="ListParagraph"/>
        <w:widowControl/>
        <w:numPr>
          <w:ilvl w:val="0"/>
          <w:numId w:val="11"/>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improving data flow between the Get on Board site, where people register interest, and apply for board positions, and GAPED to increase completeness and currency of data.</w:t>
      </w:r>
    </w:p>
    <w:p w:rsidR="00250CD3" w:rsidRDefault="00250CD3" w:rsidP="003A789F">
      <w:pPr>
        <w:ind w:right="1137"/>
        <w:rPr>
          <w:lang w:bidi="ar-SA"/>
        </w:rPr>
      </w:pPr>
    </w:p>
    <w:p w:rsidR="00250CD3" w:rsidRDefault="00250CD3" w:rsidP="003A789F">
      <w:pPr>
        <w:pStyle w:val="Heading3"/>
        <w:ind w:right="1137"/>
        <w:rPr>
          <w:lang w:bidi="ar-SA"/>
        </w:rPr>
      </w:pPr>
      <w:r w:rsidRPr="00250CD3">
        <w:rPr>
          <w:lang w:bidi="ar-SA"/>
        </w:rPr>
        <w:t>VPS Graduate Recruitment and Development Scheme</w:t>
      </w:r>
    </w:p>
    <w:p w:rsidR="00250CD3" w:rsidRPr="00250CD3" w:rsidRDefault="00250CD3" w:rsidP="003A789F">
      <w:pPr>
        <w:ind w:right="1137"/>
        <w:rPr>
          <w:lang w:bidi="ar-SA"/>
        </w:rPr>
      </w:pP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VPS GRADS is the flagship entry level pathway to a career in the VPS for tertiary graduates.</w:t>
      </w:r>
      <w:r w:rsidRPr="00700FE9">
        <w:rPr>
          <w:rFonts w:eastAsiaTheme="minorHAnsi"/>
          <w:color w:val="000000"/>
          <w:sz w:val="20"/>
          <w:szCs w:val="20"/>
          <w:lang w:eastAsia="en-US" w:bidi="ar-SA"/>
        </w:rPr>
        <w:t xml:space="preserve"> </w:t>
      </w:r>
      <w:r w:rsidRPr="00250CD3">
        <w:rPr>
          <w:rFonts w:eastAsiaTheme="minorHAnsi"/>
          <w:color w:val="000000"/>
          <w:sz w:val="20"/>
          <w:szCs w:val="20"/>
          <w:lang w:eastAsia="en-US" w:bidi="ar-SA"/>
        </w:rPr>
        <w:t>During the 12-month program, graduates rotate through three departments or agencies to learn</w:t>
      </w:r>
      <w:r w:rsidRPr="00700FE9">
        <w:rPr>
          <w:rFonts w:eastAsiaTheme="minorHAnsi"/>
          <w:color w:val="000000"/>
          <w:sz w:val="20"/>
          <w:szCs w:val="20"/>
          <w:lang w:eastAsia="en-US" w:bidi="ar-SA"/>
        </w:rPr>
        <w:t xml:space="preserve"> </w:t>
      </w:r>
      <w:r w:rsidRPr="00250CD3">
        <w:rPr>
          <w:rFonts w:eastAsiaTheme="minorHAnsi"/>
          <w:color w:val="000000"/>
          <w:sz w:val="20"/>
          <w:szCs w:val="20"/>
          <w:lang w:eastAsia="en-US" w:bidi="ar-SA"/>
        </w:rPr>
        <w:t>about working in the public service, lead projects and contribute to a variety of initiatives.</w:t>
      </w: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In October 2018 the VPSC, in collaboration with the Graduate Recruit Alumni Society, hosted an event</w:t>
      </w:r>
      <w:r w:rsidRPr="00700FE9">
        <w:rPr>
          <w:rFonts w:eastAsiaTheme="minorHAnsi"/>
          <w:color w:val="000000"/>
          <w:sz w:val="20"/>
          <w:szCs w:val="20"/>
          <w:lang w:eastAsia="en-US" w:bidi="ar-SA"/>
        </w:rPr>
        <w:t xml:space="preserve"> </w:t>
      </w:r>
      <w:r w:rsidRPr="00250CD3">
        <w:rPr>
          <w:rFonts w:eastAsiaTheme="minorHAnsi"/>
          <w:color w:val="000000"/>
          <w:sz w:val="20"/>
          <w:szCs w:val="20"/>
          <w:lang w:eastAsia="en-US" w:bidi="ar-SA"/>
        </w:rPr>
        <w:t>to commemorate 35 years of GRADS. The Special Minister of State was joined by 300 guests to celebrate the career success of over 2,000</w:t>
      </w:r>
      <w:r w:rsidRPr="00700FE9">
        <w:rPr>
          <w:rFonts w:eastAsiaTheme="minorHAnsi"/>
          <w:color w:val="000000"/>
          <w:sz w:val="20"/>
          <w:szCs w:val="20"/>
          <w:lang w:eastAsia="en-US" w:bidi="ar-SA"/>
        </w:rPr>
        <w:t xml:space="preserve"> </w:t>
      </w:r>
      <w:r w:rsidRPr="00250CD3">
        <w:rPr>
          <w:rFonts w:eastAsiaTheme="minorHAnsi"/>
          <w:color w:val="000000"/>
          <w:sz w:val="20"/>
          <w:szCs w:val="20"/>
          <w:lang w:eastAsia="en-US" w:bidi="ar-SA"/>
        </w:rPr>
        <w:t>individuals who have participated in the GRADS.</w:t>
      </w:r>
    </w:p>
    <w:p w:rsid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 xml:space="preserve">In 2018–19, the VPSC contributed to work with stakeholders to refresh GRADS, in response to the findings of the Victorian Auditor-General’s </w:t>
      </w:r>
      <w:r w:rsidRPr="00250CD3">
        <w:rPr>
          <w:rFonts w:eastAsiaTheme="minorHAnsi"/>
          <w:i/>
          <w:iCs/>
          <w:color w:val="000000"/>
          <w:sz w:val="20"/>
          <w:szCs w:val="20"/>
          <w:lang w:eastAsia="en-US" w:bidi="ar-SA"/>
        </w:rPr>
        <w:t>Audit of the Effectiveness of the Victorian Public Sector Commission</w:t>
      </w:r>
      <w:r w:rsidRPr="00250CD3">
        <w:rPr>
          <w:rFonts w:eastAsiaTheme="minorHAnsi"/>
          <w:color w:val="000000"/>
          <w:sz w:val="20"/>
          <w:szCs w:val="20"/>
          <w:lang w:eastAsia="en-US" w:bidi="ar-SA"/>
        </w:rPr>
        <w:t xml:space="preserve"> (2017). The GRADS refresh has focused on strengthening governance arrangements and new systems</w:t>
      </w:r>
      <w:r w:rsidRPr="00700FE9">
        <w:rPr>
          <w:rFonts w:eastAsiaTheme="minorHAnsi"/>
          <w:color w:val="000000"/>
          <w:sz w:val="20"/>
          <w:szCs w:val="20"/>
          <w:lang w:eastAsia="en-US" w:bidi="ar-SA"/>
        </w:rPr>
        <w:t xml:space="preserve"> </w:t>
      </w:r>
      <w:r w:rsidRPr="00250CD3">
        <w:rPr>
          <w:rFonts w:eastAsiaTheme="minorHAnsi"/>
          <w:color w:val="000000"/>
          <w:sz w:val="20"/>
          <w:szCs w:val="20"/>
          <w:lang w:eastAsia="en-US" w:bidi="ar-SA"/>
        </w:rPr>
        <w:t>and process for data collection and analytics, impact measurement and reporting, and a continuous</w:t>
      </w:r>
      <w:r w:rsidRPr="00700FE9">
        <w:rPr>
          <w:rFonts w:eastAsiaTheme="minorHAnsi"/>
          <w:color w:val="000000"/>
          <w:sz w:val="20"/>
          <w:szCs w:val="20"/>
          <w:lang w:eastAsia="en-US" w:bidi="ar-SA"/>
        </w:rPr>
        <w:t xml:space="preserve"> </w:t>
      </w:r>
      <w:r w:rsidRPr="00250CD3">
        <w:rPr>
          <w:rFonts w:eastAsiaTheme="minorHAnsi"/>
          <w:color w:val="000000"/>
          <w:sz w:val="20"/>
          <w:szCs w:val="20"/>
          <w:lang w:eastAsia="en-US" w:bidi="ar-SA"/>
        </w:rPr>
        <w:t>cycle of review.</w:t>
      </w:r>
    </w:p>
    <w:p w:rsidR="00700FE9" w:rsidRPr="00250CD3" w:rsidRDefault="00700FE9"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 xml:space="preserve">Several initiatives were successfully implemented in 2018–19, including a refreshed marketing and attraction campaign and a new website, featuring a contemporary visual identity for GRADS coupled with targeted digital advertising and strengthened engagement strategies. The new attraction campaign was associated with a 105 </w:t>
      </w:r>
      <w:r w:rsidRPr="00250CD3">
        <w:rPr>
          <w:rFonts w:eastAsiaTheme="minorHAnsi"/>
          <w:color w:val="000000"/>
          <w:sz w:val="20"/>
          <w:szCs w:val="20"/>
          <w:lang w:eastAsia="en-US" w:bidi="ar-SA"/>
        </w:rPr>
        <w:lastRenderedPageBreak/>
        <w:t>per cent increase in the number of applications received, a doubling of the application rate for candidates with disability and a quadrupling of the application rate for Aboriginal candidates.</w:t>
      </w: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 xml:space="preserve">The introduction of a more flexible, robust and inclusive recruitment and selection process in 2018–19 reduced recruitment time from 16 to 10 </w:t>
      </w:r>
      <w:proofErr w:type="gramStart"/>
      <w:r w:rsidRPr="00250CD3">
        <w:rPr>
          <w:rFonts w:eastAsiaTheme="minorHAnsi"/>
          <w:color w:val="000000"/>
          <w:sz w:val="20"/>
          <w:szCs w:val="20"/>
          <w:lang w:eastAsia="en-US" w:bidi="ar-SA"/>
        </w:rPr>
        <w:t>weeks, and</w:t>
      </w:r>
      <w:proofErr w:type="gramEnd"/>
      <w:r w:rsidRPr="00250CD3">
        <w:rPr>
          <w:rFonts w:eastAsiaTheme="minorHAnsi"/>
          <w:color w:val="000000"/>
          <w:sz w:val="20"/>
          <w:szCs w:val="20"/>
          <w:lang w:eastAsia="en-US" w:bidi="ar-SA"/>
        </w:rPr>
        <w:t xml:space="preserve"> provided a streamlined candidate journey. GRADS will now run two recruitment rounds in each calendar year, with two new streams being introduced in July 2019 – data analytics and project delivery.</w:t>
      </w: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 xml:space="preserve">Other achievements in 2018–19 include: </w:t>
      </w:r>
    </w:p>
    <w:p w:rsidR="00250CD3" w:rsidRPr="00700FE9" w:rsidRDefault="00250CD3" w:rsidP="003A789F">
      <w:pPr>
        <w:pStyle w:val="ListParagraph"/>
        <w:widowControl/>
        <w:numPr>
          <w:ilvl w:val="0"/>
          <w:numId w:val="12"/>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A refreshed learning and development program for the 2019 GRADS cohort to support their development as public servants.</w:t>
      </w:r>
    </w:p>
    <w:p w:rsidR="00250CD3" w:rsidRPr="00700FE9" w:rsidRDefault="00250CD3" w:rsidP="003A789F">
      <w:pPr>
        <w:pStyle w:val="ListParagraph"/>
        <w:widowControl/>
        <w:numPr>
          <w:ilvl w:val="0"/>
          <w:numId w:val="12"/>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The establishment of a buddy program, matching incoming graduates with graduates from the previous year.</w:t>
      </w:r>
    </w:p>
    <w:p w:rsidR="00250CD3" w:rsidRPr="00700FE9" w:rsidRDefault="00250CD3" w:rsidP="003A789F">
      <w:pPr>
        <w:pStyle w:val="ListParagraph"/>
        <w:widowControl/>
        <w:numPr>
          <w:ilvl w:val="0"/>
          <w:numId w:val="12"/>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The introduction of a one to one ratio for the Executive Mentoring program,</w:t>
      </w:r>
      <w:r w:rsidR="00700FE9" w:rsidRPr="00700FE9">
        <w:rPr>
          <w:rFonts w:eastAsiaTheme="minorHAnsi"/>
          <w:color w:val="000000"/>
          <w:sz w:val="20"/>
          <w:szCs w:val="20"/>
          <w:lang w:eastAsia="en-US" w:bidi="ar-SA"/>
        </w:rPr>
        <w:t xml:space="preserve"> </w:t>
      </w:r>
      <w:r w:rsidRPr="00700FE9">
        <w:rPr>
          <w:rFonts w:eastAsiaTheme="minorHAnsi"/>
          <w:color w:val="000000"/>
          <w:sz w:val="20"/>
          <w:szCs w:val="20"/>
          <w:lang w:eastAsia="en-US" w:bidi="ar-SA"/>
        </w:rPr>
        <w:t>with 88 VPS Executives participating.</w:t>
      </w:r>
    </w:p>
    <w:p w:rsidR="00700FE9" w:rsidRDefault="00700FE9" w:rsidP="003A789F">
      <w:pPr>
        <w:ind w:right="1137"/>
        <w:rPr>
          <w:lang w:eastAsia="en-US" w:bidi="ar-SA"/>
        </w:rPr>
      </w:pPr>
    </w:p>
    <w:p w:rsidR="00250CD3" w:rsidRPr="00250CD3" w:rsidRDefault="00250CD3" w:rsidP="003A789F">
      <w:pPr>
        <w:pStyle w:val="Heading3"/>
        <w:ind w:right="1137"/>
        <w:rPr>
          <w:lang w:eastAsia="en-US" w:bidi="ar-SA"/>
        </w:rPr>
      </w:pPr>
      <w:r w:rsidRPr="00250CD3">
        <w:rPr>
          <w:lang w:eastAsia="en-US" w:bidi="ar-SA"/>
        </w:rPr>
        <w:t>Getting to Work: Disability Employment Action Plan</w:t>
      </w:r>
    </w:p>
    <w:p w:rsidR="00700FE9" w:rsidRDefault="00700FE9" w:rsidP="003A789F">
      <w:pPr>
        <w:ind w:right="1137"/>
        <w:rPr>
          <w:lang w:eastAsia="en-US" w:bidi="ar-SA"/>
        </w:rPr>
      </w:pP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i/>
          <w:iCs/>
          <w:color w:val="000000"/>
          <w:sz w:val="20"/>
          <w:szCs w:val="20"/>
          <w:lang w:eastAsia="en-US" w:bidi="ar-SA"/>
        </w:rPr>
        <w:t>Getting to Work: Victorian public sector disability employment action plan 2018–2025</w:t>
      </w:r>
      <w:r w:rsidRPr="00250CD3">
        <w:rPr>
          <w:rFonts w:eastAsiaTheme="minorHAnsi"/>
          <w:color w:val="000000"/>
          <w:sz w:val="20"/>
          <w:szCs w:val="20"/>
          <w:lang w:eastAsia="en-US" w:bidi="ar-SA"/>
        </w:rPr>
        <w:t xml:space="preserve"> was launched by the Minister for Disability in October 2018. It is designed to lift the representation of people with disability across all levels of the public sector by tackling employment barriers, such as attitudes and behaviour, job design, inaccessible work environments and lack of ongoing workplace development and support. It also supports the development of a capable and diverse public sector that reflects the diversity of the Victorian community and benefits from the experience that people with disability bring to the workplace.</w:t>
      </w: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i/>
          <w:iCs/>
          <w:color w:val="000000"/>
          <w:sz w:val="20"/>
          <w:szCs w:val="20"/>
          <w:lang w:eastAsia="en-US" w:bidi="ar-SA"/>
        </w:rPr>
        <w:t>Getting to Work</w:t>
      </w:r>
      <w:r w:rsidRPr="00250CD3">
        <w:rPr>
          <w:rFonts w:eastAsiaTheme="minorHAnsi"/>
          <w:color w:val="000000"/>
          <w:sz w:val="20"/>
          <w:szCs w:val="20"/>
          <w:lang w:eastAsia="en-US" w:bidi="ar-SA"/>
        </w:rPr>
        <w:t xml:space="preserve"> includes 21 actions across the three focus areas of:</w:t>
      </w:r>
    </w:p>
    <w:p w:rsidR="00250CD3" w:rsidRPr="00700FE9" w:rsidRDefault="00250CD3" w:rsidP="003A789F">
      <w:pPr>
        <w:pStyle w:val="ListParagraph"/>
        <w:widowControl/>
        <w:numPr>
          <w:ilvl w:val="0"/>
          <w:numId w:val="13"/>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Building awareness through access to information.</w:t>
      </w:r>
    </w:p>
    <w:p w:rsidR="00250CD3" w:rsidRPr="00700FE9" w:rsidRDefault="00250CD3" w:rsidP="003A789F">
      <w:pPr>
        <w:pStyle w:val="ListParagraph"/>
        <w:widowControl/>
        <w:numPr>
          <w:ilvl w:val="0"/>
          <w:numId w:val="13"/>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Attracting and recruiting people with disability.</w:t>
      </w:r>
    </w:p>
    <w:p w:rsidR="00250CD3" w:rsidRPr="00700FE9" w:rsidRDefault="00250CD3" w:rsidP="003A789F">
      <w:pPr>
        <w:pStyle w:val="ListParagraph"/>
        <w:widowControl/>
        <w:numPr>
          <w:ilvl w:val="0"/>
          <w:numId w:val="13"/>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Supporting employees with disability.</w:t>
      </w: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 xml:space="preserve">The plan will assist the VPS to achieve the government’s disability employment targets of six per cent of the public service workforce by 2020, increasing to 12 per cent in 2025, committed to in </w:t>
      </w:r>
      <w:r w:rsidRPr="00250CD3">
        <w:rPr>
          <w:rFonts w:eastAsiaTheme="minorHAnsi"/>
          <w:i/>
          <w:iCs/>
          <w:color w:val="000000"/>
          <w:sz w:val="20"/>
          <w:szCs w:val="20"/>
          <w:lang w:eastAsia="en-US" w:bidi="ar-SA"/>
        </w:rPr>
        <w:t>Every opportunity: Victorian economic participation plan for people with disability 2018–20</w:t>
      </w:r>
      <w:r w:rsidRPr="00250CD3">
        <w:rPr>
          <w:rFonts w:eastAsiaTheme="minorHAnsi"/>
          <w:color w:val="000000"/>
          <w:sz w:val="20"/>
          <w:szCs w:val="20"/>
          <w:lang w:eastAsia="en-US" w:bidi="ar-SA"/>
        </w:rPr>
        <w:t>.</w:t>
      </w: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 xml:space="preserve">Highlights of the VPSC’s work to support </w:t>
      </w:r>
      <w:r w:rsidRPr="00250CD3">
        <w:rPr>
          <w:rFonts w:eastAsiaTheme="minorHAnsi"/>
          <w:i/>
          <w:iCs/>
          <w:color w:val="000000"/>
          <w:sz w:val="20"/>
          <w:szCs w:val="20"/>
          <w:lang w:eastAsia="en-US" w:bidi="ar-SA"/>
        </w:rPr>
        <w:t xml:space="preserve">Getting to Work </w:t>
      </w:r>
      <w:r w:rsidRPr="00250CD3">
        <w:rPr>
          <w:rFonts w:eastAsiaTheme="minorHAnsi"/>
          <w:color w:val="000000"/>
          <w:sz w:val="20"/>
          <w:szCs w:val="20"/>
          <w:lang w:eastAsia="en-US" w:bidi="ar-SA"/>
        </w:rPr>
        <w:t>in 2018–19 included:</w:t>
      </w:r>
    </w:p>
    <w:p w:rsidR="00250CD3" w:rsidRPr="00700FE9" w:rsidRDefault="00250CD3" w:rsidP="003A789F">
      <w:pPr>
        <w:pStyle w:val="ListParagraph"/>
        <w:widowControl/>
        <w:numPr>
          <w:ilvl w:val="0"/>
          <w:numId w:val="14"/>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Establishing a Disability Champion Round Table at deputy secretary level, and a Disability Employment Community of Practice, to help embed the collaborative approach required to deliver and drive progress for meeting disability employment targets.</w:t>
      </w:r>
    </w:p>
    <w:p w:rsidR="00250CD3" w:rsidRPr="00700FE9" w:rsidRDefault="00250CD3" w:rsidP="003A789F">
      <w:pPr>
        <w:pStyle w:val="ListParagraph"/>
        <w:widowControl/>
        <w:numPr>
          <w:ilvl w:val="0"/>
          <w:numId w:val="14"/>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Developing a Disability Employment Toolkit that provides online access to disability information</w:t>
      </w:r>
      <w:r w:rsidR="00700FE9" w:rsidRPr="00700FE9">
        <w:rPr>
          <w:rFonts w:eastAsiaTheme="minorHAnsi"/>
          <w:color w:val="000000"/>
          <w:sz w:val="20"/>
          <w:szCs w:val="20"/>
          <w:lang w:eastAsia="en-US" w:bidi="ar-SA"/>
        </w:rPr>
        <w:t xml:space="preserve"> </w:t>
      </w:r>
      <w:r w:rsidRPr="00700FE9">
        <w:rPr>
          <w:rFonts w:eastAsiaTheme="minorHAnsi"/>
          <w:color w:val="000000"/>
          <w:sz w:val="20"/>
          <w:szCs w:val="20"/>
          <w:lang w:eastAsia="en-US" w:bidi="ar-SA"/>
        </w:rPr>
        <w:t>and resources.</w:t>
      </w:r>
    </w:p>
    <w:p w:rsidR="00250CD3" w:rsidRPr="00700FE9" w:rsidRDefault="00250CD3" w:rsidP="003A789F">
      <w:pPr>
        <w:pStyle w:val="ListParagraph"/>
        <w:widowControl/>
        <w:numPr>
          <w:ilvl w:val="0"/>
          <w:numId w:val="14"/>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Introducing a disability pathway to the GRADS.</w:t>
      </w:r>
    </w:p>
    <w:p w:rsidR="00250CD3" w:rsidRPr="00700FE9" w:rsidRDefault="00250CD3" w:rsidP="003A789F">
      <w:pPr>
        <w:pStyle w:val="ListParagraph"/>
        <w:widowControl/>
        <w:numPr>
          <w:ilvl w:val="0"/>
          <w:numId w:val="14"/>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Developing a Workplace Adjustment Passport.</w:t>
      </w:r>
    </w:p>
    <w:p w:rsidR="00250CD3" w:rsidRPr="00700FE9" w:rsidRDefault="00250CD3" w:rsidP="003A789F">
      <w:pPr>
        <w:pStyle w:val="ListParagraph"/>
        <w:widowControl/>
        <w:numPr>
          <w:ilvl w:val="0"/>
          <w:numId w:val="14"/>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Publishing a disability confident EAP guideline.</w:t>
      </w:r>
    </w:p>
    <w:p w:rsidR="00250CD3" w:rsidRPr="00250CD3" w:rsidRDefault="00250CD3" w:rsidP="003A789F">
      <w:pPr>
        <w:ind w:right="1137"/>
        <w:rPr>
          <w:lang w:eastAsia="en-US" w:bidi="ar-SA"/>
        </w:rPr>
      </w:pPr>
    </w:p>
    <w:p w:rsidR="00250CD3" w:rsidRDefault="00250CD3" w:rsidP="003A789F">
      <w:pPr>
        <w:pStyle w:val="Heading3"/>
        <w:ind w:right="1137"/>
        <w:rPr>
          <w:lang w:eastAsia="en-US" w:bidi="ar-SA"/>
        </w:rPr>
      </w:pPr>
      <w:r w:rsidRPr="00250CD3">
        <w:rPr>
          <w:lang w:eastAsia="en-US" w:bidi="ar-SA"/>
        </w:rPr>
        <w:t>Reviews</w:t>
      </w:r>
    </w:p>
    <w:p w:rsidR="00700FE9" w:rsidRPr="00250CD3" w:rsidRDefault="00700FE9" w:rsidP="003A789F">
      <w:pPr>
        <w:ind w:right="1137"/>
        <w:rPr>
          <w:lang w:eastAsia="en-US" w:bidi="ar-SA"/>
        </w:rPr>
      </w:pPr>
    </w:p>
    <w:p w:rsidR="00250CD3" w:rsidRPr="00250CD3" w:rsidRDefault="00250CD3" w:rsidP="003A789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250CD3">
        <w:rPr>
          <w:rFonts w:eastAsiaTheme="minorHAnsi"/>
          <w:color w:val="000000"/>
          <w:sz w:val="20"/>
          <w:szCs w:val="20"/>
          <w:lang w:eastAsia="en-US" w:bidi="ar-SA"/>
        </w:rPr>
        <w:t>Over the course of the financial year, the VPSC conducted a number of reviews in line with its objective</w:t>
      </w:r>
      <w:r w:rsidR="00700FE9" w:rsidRPr="00700FE9">
        <w:rPr>
          <w:rFonts w:eastAsiaTheme="minorHAnsi"/>
          <w:color w:val="000000"/>
          <w:sz w:val="20"/>
          <w:szCs w:val="20"/>
          <w:lang w:eastAsia="en-US" w:bidi="ar-SA"/>
        </w:rPr>
        <w:t xml:space="preserve"> </w:t>
      </w:r>
      <w:r w:rsidRPr="00250CD3">
        <w:rPr>
          <w:rFonts w:eastAsiaTheme="minorHAnsi"/>
          <w:color w:val="000000"/>
          <w:sz w:val="20"/>
          <w:szCs w:val="20"/>
          <w:lang w:eastAsia="en-US" w:bidi="ar-SA"/>
        </w:rPr>
        <w:t>to strengthen the efficiency, effectiveness and capability of the public sector. These reviews include</w:t>
      </w:r>
      <w:r w:rsidR="00700FE9" w:rsidRPr="00700FE9">
        <w:rPr>
          <w:rFonts w:eastAsiaTheme="minorHAnsi"/>
          <w:color w:val="000000"/>
          <w:sz w:val="20"/>
          <w:szCs w:val="20"/>
          <w:lang w:eastAsia="en-US" w:bidi="ar-SA"/>
        </w:rPr>
        <w:t xml:space="preserve"> </w:t>
      </w:r>
      <w:r w:rsidRPr="00250CD3">
        <w:rPr>
          <w:rFonts w:eastAsiaTheme="minorHAnsi"/>
          <w:color w:val="000000"/>
          <w:sz w:val="20"/>
          <w:szCs w:val="20"/>
          <w:lang w:eastAsia="en-US" w:bidi="ar-SA"/>
        </w:rPr>
        <w:t>those conducted at the request of the Department of Premier and Cabinet, the Department of Education and Training and the Department of Environment, Land Water and Planning.</w:t>
      </w:r>
    </w:p>
    <w:p w:rsidR="0051318F" w:rsidRDefault="0051318F">
      <w:pPr>
        <w:spacing w:line="249" w:lineRule="auto"/>
        <w:sectPr w:rsidR="0051318F">
          <w:pgSz w:w="11910" w:h="16840"/>
          <w:pgMar w:top="560" w:right="0" w:bottom="680" w:left="0" w:header="0" w:footer="491" w:gutter="0"/>
          <w:cols w:space="720"/>
        </w:sectPr>
      </w:pPr>
    </w:p>
    <w:p w:rsidR="00700FE9" w:rsidRDefault="00700FE9" w:rsidP="00700FE9">
      <w:pPr>
        <w:pStyle w:val="Heading2"/>
        <w:rPr>
          <w:lang w:eastAsia="en-US" w:bidi="ar-SA"/>
        </w:rPr>
      </w:pPr>
      <w:bookmarkStart w:id="8" w:name="_bookmark3"/>
      <w:bookmarkStart w:id="9" w:name="_Toc23329716"/>
      <w:bookmarkEnd w:id="8"/>
      <w:r w:rsidRPr="00700FE9">
        <w:rPr>
          <w:lang w:eastAsia="en-US" w:bidi="ar-SA"/>
        </w:rPr>
        <w:lastRenderedPageBreak/>
        <w:t xml:space="preserve">Maintain and advocate for public sector professionalism </w:t>
      </w:r>
      <w:r w:rsidRPr="00700FE9">
        <w:rPr>
          <w:lang w:eastAsia="en-US" w:bidi="ar-SA"/>
        </w:rPr>
        <w:br/>
        <w:t>and integrity</w:t>
      </w:r>
      <w:bookmarkEnd w:id="9"/>
      <w:r w:rsidRPr="00700FE9">
        <w:rPr>
          <w:lang w:eastAsia="en-US" w:bidi="ar-SA"/>
        </w:rPr>
        <w:t xml:space="preserve"> </w:t>
      </w:r>
    </w:p>
    <w:p w:rsidR="00700FE9" w:rsidRPr="00700FE9" w:rsidRDefault="00700FE9" w:rsidP="00700FE9">
      <w:pPr>
        <w:rPr>
          <w:lang w:eastAsia="en-US" w:bidi="ar-SA"/>
        </w:rPr>
      </w:pPr>
    </w:p>
    <w:p w:rsidR="00700FE9" w:rsidRDefault="00700FE9" w:rsidP="00700FE9">
      <w:pPr>
        <w:pStyle w:val="Heading4"/>
        <w:rPr>
          <w:lang w:eastAsia="en-US" w:bidi="ar-SA"/>
        </w:rPr>
      </w:pPr>
      <w:r w:rsidRPr="00700FE9">
        <w:rPr>
          <w:lang w:eastAsia="en-US" w:bidi="ar-SA"/>
        </w:rPr>
        <w:t>Monitoring Integrity Standards</w:t>
      </w:r>
    </w:p>
    <w:p w:rsidR="00700FE9" w:rsidRPr="00700FE9" w:rsidRDefault="00700FE9" w:rsidP="00700FE9">
      <w:pPr>
        <w:rPr>
          <w:lang w:eastAsia="en-US" w:bidi="ar-SA"/>
        </w:rPr>
      </w:pP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The VPSC maintains and advocates for public sector professionalism and integrity. In doing so it monitors the application of the public sector values, codes of conduct, employment principles and standards. Anyone, including public sector</w:t>
      </w:r>
      <w:r w:rsidRPr="00D54A12">
        <w:rPr>
          <w:rFonts w:eastAsiaTheme="minorHAnsi"/>
          <w:color w:val="000000"/>
          <w:sz w:val="20"/>
          <w:szCs w:val="20"/>
          <w:lang w:eastAsia="en-US" w:bidi="ar-SA"/>
        </w:rPr>
        <w:t xml:space="preserve"> </w:t>
      </w:r>
      <w:r w:rsidRPr="00700FE9">
        <w:rPr>
          <w:rFonts w:eastAsiaTheme="minorHAnsi"/>
          <w:color w:val="000000"/>
          <w:sz w:val="20"/>
          <w:szCs w:val="20"/>
          <w:lang w:eastAsia="en-US" w:bidi="ar-SA"/>
        </w:rPr>
        <w:t>employees or members of the public, may raise concerns about these matters with the VPSC. The VPSC may request</w:t>
      </w:r>
      <w:r w:rsidRPr="00D54A12">
        <w:rPr>
          <w:rFonts w:eastAsiaTheme="minorHAnsi"/>
          <w:color w:val="000000"/>
          <w:sz w:val="20"/>
          <w:szCs w:val="20"/>
          <w:lang w:eastAsia="en-US" w:bidi="ar-SA"/>
        </w:rPr>
        <w:t xml:space="preserve"> </w:t>
      </w:r>
      <w:r w:rsidRPr="00700FE9">
        <w:rPr>
          <w:rFonts w:eastAsiaTheme="minorHAnsi"/>
          <w:color w:val="000000"/>
          <w:sz w:val="20"/>
          <w:szCs w:val="20"/>
          <w:lang w:eastAsia="en-US" w:bidi="ar-SA"/>
        </w:rPr>
        <w:t>information from public sector organisations and may</w:t>
      </w:r>
      <w:r w:rsidRPr="00D54A12">
        <w:rPr>
          <w:rFonts w:eastAsiaTheme="minorHAnsi"/>
          <w:color w:val="000000"/>
          <w:sz w:val="20"/>
          <w:szCs w:val="20"/>
          <w:lang w:eastAsia="en-US" w:bidi="ar-SA"/>
        </w:rPr>
        <w:t xml:space="preserve"> </w:t>
      </w:r>
      <w:r w:rsidRPr="00700FE9">
        <w:rPr>
          <w:rFonts w:eastAsiaTheme="minorHAnsi"/>
          <w:color w:val="000000"/>
          <w:sz w:val="20"/>
          <w:szCs w:val="20"/>
          <w:lang w:eastAsia="en-US" w:bidi="ar-SA"/>
        </w:rPr>
        <w:t>make recommendations to change or introduce new processes.</w:t>
      </w: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 xml:space="preserve">In 2018–19, the VPSC provided, in partnership with the Department of Premier and Cabinet, an education session to public sector staff on the topic of an apolitical and professional public sector, with a particular focus on the behaviour of public servants during the state election and the observance of caretaker conventions. The VPSC also published </w:t>
      </w:r>
      <w:r w:rsidRPr="00700FE9">
        <w:rPr>
          <w:rFonts w:eastAsiaTheme="minorHAnsi"/>
          <w:i/>
          <w:iCs/>
          <w:color w:val="000000"/>
          <w:sz w:val="20"/>
          <w:szCs w:val="20"/>
          <w:lang w:eastAsia="en-US" w:bidi="ar-SA"/>
        </w:rPr>
        <w:t>Guidance on</w:t>
      </w:r>
      <w:r w:rsidRPr="00700FE9">
        <w:rPr>
          <w:rFonts w:eastAsiaTheme="minorHAnsi"/>
          <w:color w:val="000000"/>
          <w:sz w:val="20"/>
          <w:szCs w:val="20"/>
          <w:lang w:eastAsia="en-US" w:bidi="ar-SA"/>
        </w:rPr>
        <w:t xml:space="preserve"> </w:t>
      </w:r>
      <w:r w:rsidRPr="00700FE9">
        <w:rPr>
          <w:rFonts w:eastAsiaTheme="minorHAnsi"/>
          <w:i/>
          <w:iCs/>
          <w:color w:val="000000"/>
          <w:sz w:val="20"/>
          <w:szCs w:val="20"/>
          <w:lang w:eastAsia="en-US" w:bidi="ar-SA"/>
        </w:rPr>
        <w:t>Observance of Caretaker Conventions</w:t>
      </w:r>
      <w:r w:rsidRPr="00700FE9">
        <w:rPr>
          <w:rFonts w:eastAsiaTheme="minorHAnsi"/>
          <w:color w:val="000000"/>
          <w:sz w:val="20"/>
          <w:szCs w:val="20"/>
          <w:lang w:eastAsia="en-US" w:bidi="ar-SA"/>
        </w:rPr>
        <w:t xml:space="preserve"> on its website prior to commencement of the caretaker period from 30 October 2018.</w:t>
      </w: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In relation to public sector employment standards, public sector employees may apply to the VPSC</w:t>
      </w:r>
      <w:r w:rsidRPr="00700FE9">
        <w:rPr>
          <w:rFonts w:eastAsiaTheme="minorHAnsi"/>
          <w:color w:val="000000"/>
          <w:sz w:val="20"/>
          <w:szCs w:val="20"/>
          <w:lang w:eastAsia="en-US" w:bidi="ar-SA"/>
        </w:rPr>
        <w:br/>
        <w:t>for review of an employment related action, such as discipline, in four circumstances:</w:t>
      </w:r>
    </w:p>
    <w:p w:rsidR="00700FE9" w:rsidRPr="00D54A12" w:rsidRDefault="00700FE9" w:rsidP="00943EBA">
      <w:pPr>
        <w:pStyle w:val="ListParagraph"/>
        <w:widowControl/>
        <w:numPr>
          <w:ilvl w:val="0"/>
          <w:numId w:val="15"/>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The employer did not conduct an initial review.</w:t>
      </w:r>
    </w:p>
    <w:p w:rsidR="00700FE9" w:rsidRPr="00D54A12" w:rsidRDefault="00700FE9" w:rsidP="00943EBA">
      <w:pPr>
        <w:pStyle w:val="ListParagraph"/>
        <w:widowControl/>
        <w:numPr>
          <w:ilvl w:val="0"/>
          <w:numId w:val="15"/>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The initial review process was unfair.</w:t>
      </w:r>
    </w:p>
    <w:p w:rsidR="00700FE9" w:rsidRPr="00D54A12" w:rsidRDefault="00700FE9" w:rsidP="00943EBA">
      <w:pPr>
        <w:pStyle w:val="ListParagraph"/>
        <w:widowControl/>
        <w:numPr>
          <w:ilvl w:val="0"/>
          <w:numId w:val="15"/>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The employer personally took the action or was the primary decision maker.</w:t>
      </w:r>
    </w:p>
    <w:p w:rsidR="00700FE9" w:rsidRPr="00D54A12" w:rsidRDefault="00700FE9" w:rsidP="00943EBA">
      <w:pPr>
        <w:pStyle w:val="ListParagraph"/>
        <w:widowControl/>
        <w:numPr>
          <w:ilvl w:val="0"/>
          <w:numId w:val="15"/>
        </w:numPr>
        <w:tabs>
          <w:tab w:val="left" w:pos="227"/>
          <w:tab w:val="left" w:pos="283"/>
        </w:tabs>
        <w:suppressAutoHyphens/>
        <w:adjustRightInd w:val="0"/>
        <w:spacing w:after="170"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The employee was victimised for previously applying to the VPSC for a review.</w:t>
      </w: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In 2018–19, the VPSC answered 350 enquiries and managed 22 reviews, including reviews of actions</w:t>
      </w:r>
      <w:r w:rsidR="003A789F">
        <w:rPr>
          <w:rFonts w:eastAsiaTheme="minorHAnsi"/>
          <w:color w:val="000000"/>
          <w:sz w:val="20"/>
          <w:szCs w:val="20"/>
          <w:lang w:eastAsia="en-US" w:bidi="ar-SA"/>
        </w:rPr>
        <w:t xml:space="preserve"> </w:t>
      </w:r>
      <w:r w:rsidRPr="00700FE9">
        <w:rPr>
          <w:rFonts w:eastAsiaTheme="minorHAnsi"/>
          <w:color w:val="000000"/>
          <w:sz w:val="20"/>
          <w:szCs w:val="20"/>
          <w:lang w:eastAsia="en-US" w:bidi="ar-SA"/>
        </w:rPr>
        <w:t>and complaints about organisations not complying with the values, codes, principles or standards.</w:t>
      </w:r>
      <w:r w:rsidRPr="00700FE9">
        <w:rPr>
          <w:rFonts w:eastAsiaTheme="minorHAnsi"/>
          <w:color w:val="000000"/>
          <w:sz w:val="20"/>
          <w:szCs w:val="20"/>
          <w:lang w:eastAsia="en-US" w:bidi="ar-SA"/>
        </w:rPr>
        <w:br/>
        <w:t xml:space="preserve">The most common enquiries related to: </w:t>
      </w:r>
    </w:p>
    <w:p w:rsidR="00700FE9" w:rsidRPr="00D54A12" w:rsidRDefault="00700FE9" w:rsidP="00943EBA">
      <w:pPr>
        <w:pStyle w:val="ListParagraph"/>
        <w:widowControl/>
        <w:numPr>
          <w:ilvl w:val="0"/>
          <w:numId w:val="16"/>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avenues of redress for employment related decisions</w:t>
      </w:r>
    </w:p>
    <w:p w:rsidR="00700FE9" w:rsidRPr="00D54A12" w:rsidRDefault="00700FE9" w:rsidP="00943EBA">
      <w:pPr>
        <w:pStyle w:val="ListParagraph"/>
        <w:widowControl/>
        <w:numPr>
          <w:ilvl w:val="0"/>
          <w:numId w:val="16"/>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conditions of employment</w:t>
      </w:r>
    </w:p>
    <w:p w:rsidR="00700FE9" w:rsidRPr="00D54A12" w:rsidRDefault="00700FE9" w:rsidP="00943EBA">
      <w:pPr>
        <w:pStyle w:val="ListParagraph"/>
        <w:widowControl/>
        <w:numPr>
          <w:ilvl w:val="0"/>
          <w:numId w:val="16"/>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conflict of interest</w:t>
      </w:r>
    </w:p>
    <w:p w:rsidR="00700FE9" w:rsidRPr="00D54A12" w:rsidRDefault="00700FE9" w:rsidP="00943EBA">
      <w:pPr>
        <w:pStyle w:val="ListParagraph"/>
        <w:widowControl/>
        <w:numPr>
          <w:ilvl w:val="0"/>
          <w:numId w:val="16"/>
        </w:numPr>
        <w:tabs>
          <w:tab w:val="left" w:pos="227"/>
          <w:tab w:val="left" w:pos="283"/>
        </w:tabs>
        <w:suppressAutoHyphens/>
        <w:adjustRightInd w:val="0"/>
        <w:spacing w:after="170"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managing and publicly recording offers of gifts, benefits and hospitality.</w:t>
      </w: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The reviews of action most commonly covered issues such as recruitment selection processes,</w:t>
      </w:r>
      <w:r w:rsidR="00D54A12">
        <w:rPr>
          <w:rFonts w:eastAsiaTheme="minorHAnsi"/>
          <w:color w:val="000000"/>
          <w:sz w:val="20"/>
          <w:szCs w:val="20"/>
          <w:lang w:eastAsia="en-US" w:bidi="ar-SA"/>
        </w:rPr>
        <w:t xml:space="preserve"> </w:t>
      </w:r>
      <w:r w:rsidRPr="00700FE9">
        <w:rPr>
          <w:rFonts w:eastAsiaTheme="minorHAnsi"/>
          <w:color w:val="000000"/>
          <w:sz w:val="20"/>
          <w:szCs w:val="20"/>
          <w:lang w:eastAsia="en-US" w:bidi="ar-SA"/>
        </w:rPr>
        <w:t>bullying, discrimination, performance management and termination of employment.</w:t>
      </w: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During 2018–19, the VPSC continued to deliver activities to support building the capability of public sector organisations to provide a reasonable avenue of redress, including:</w:t>
      </w:r>
    </w:p>
    <w:p w:rsidR="00700FE9" w:rsidRPr="00D54A12" w:rsidRDefault="00700FE9" w:rsidP="00943EBA">
      <w:pPr>
        <w:pStyle w:val="ListParagraph"/>
        <w:widowControl/>
        <w:numPr>
          <w:ilvl w:val="0"/>
          <w:numId w:val="17"/>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Maintaining a Register of Review Officers. There are currently 18 independent investigators and reviewers listed on the register, including two that joined this year. Employers may engage any of the investigators</w:t>
      </w:r>
      <w:r w:rsidRPr="00D54A12">
        <w:rPr>
          <w:rFonts w:eastAsiaTheme="minorHAnsi"/>
          <w:color w:val="000000"/>
          <w:sz w:val="20"/>
          <w:szCs w:val="20"/>
          <w:lang w:eastAsia="en-US" w:bidi="ar-SA"/>
        </w:rPr>
        <w:br/>
        <w:t>or reviewers through their normal procurement processes.</w:t>
      </w:r>
    </w:p>
    <w:p w:rsidR="00700FE9" w:rsidRPr="00D54A12" w:rsidRDefault="00700FE9" w:rsidP="00943EBA">
      <w:pPr>
        <w:pStyle w:val="ListParagraph"/>
        <w:widowControl/>
        <w:numPr>
          <w:ilvl w:val="0"/>
          <w:numId w:val="17"/>
        </w:numPr>
        <w:tabs>
          <w:tab w:val="left" w:pos="227"/>
          <w:tab w:val="left" w:pos="283"/>
        </w:tabs>
        <w:suppressAutoHyphens/>
        <w:adjustRightInd w:val="0"/>
        <w:spacing w:after="170"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Supporting the Review of Actions Registrars Network. The network met quarterly to share best practice in managing and resolving complaints.</w:t>
      </w:r>
    </w:p>
    <w:p w:rsidR="00700FE9" w:rsidRPr="00700FE9" w:rsidRDefault="00700FE9" w:rsidP="00D54A12">
      <w:pPr>
        <w:rPr>
          <w:lang w:eastAsia="en-US" w:bidi="ar-SA"/>
        </w:rPr>
      </w:pPr>
      <w:r w:rsidRPr="00700FE9">
        <w:rPr>
          <w:lang w:eastAsia="en-US" w:bidi="ar-SA"/>
        </w:rPr>
        <w:t> </w:t>
      </w:r>
    </w:p>
    <w:p w:rsidR="00700FE9" w:rsidRDefault="00700FE9" w:rsidP="00D54A12">
      <w:pPr>
        <w:pStyle w:val="Heading3"/>
        <w:rPr>
          <w:lang w:eastAsia="en-US" w:bidi="ar-SA"/>
        </w:rPr>
      </w:pPr>
      <w:r w:rsidRPr="00700FE9">
        <w:rPr>
          <w:lang w:eastAsia="en-US" w:bidi="ar-SA"/>
        </w:rPr>
        <w:t>Lobbyist Register</w:t>
      </w:r>
    </w:p>
    <w:p w:rsidR="00D54A12" w:rsidRPr="00700FE9" w:rsidRDefault="00D54A12" w:rsidP="00D54A12">
      <w:pPr>
        <w:rPr>
          <w:lang w:eastAsia="en-US" w:bidi="ar-SA"/>
        </w:rPr>
      </w:pP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 xml:space="preserve">The </w:t>
      </w:r>
      <w:r w:rsidRPr="00700FE9">
        <w:rPr>
          <w:rFonts w:eastAsiaTheme="minorHAnsi"/>
          <w:i/>
          <w:iCs/>
          <w:color w:val="000000"/>
          <w:sz w:val="20"/>
          <w:szCs w:val="20"/>
          <w:lang w:eastAsia="en-US" w:bidi="ar-SA"/>
        </w:rPr>
        <w:t xml:space="preserve">Public Administration Act 2004 </w:t>
      </w:r>
      <w:r w:rsidRPr="00700FE9">
        <w:rPr>
          <w:rFonts w:eastAsiaTheme="minorHAnsi"/>
          <w:color w:val="000000"/>
          <w:sz w:val="20"/>
          <w:szCs w:val="20"/>
          <w:lang w:eastAsia="en-US" w:bidi="ar-SA"/>
        </w:rPr>
        <w:t>and</w:t>
      </w:r>
      <w:r w:rsidRPr="00700FE9">
        <w:rPr>
          <w:rFonts w:eastAsiaTheme="minorHAnsi"/>
          <w:i/>
          <w:iCs/>
          <w:color w:val="000000"/>
          <w:sz w:val="20"/>
          <w:szCs w:val="20"/>
          <w:lang w:eastAsia="en-US" w:bidi="ar-SA"/>
        </w:rPr>
        <w:t xml:space="preserve"> The Victorian Government Professional Lobbyist Code of Conduct </w:t>
      </w:r>
      <w:r w:rsidRPr="00700FE9">
        <w:rPr>
          <w:rFonts w:eastAsiaTheme="minorHAnsi"/>
          <w:color w:val="000000"/>
          <w:sz w:val="20"/>
          <w:szCs w:val="20"/>
          <w:lang w:eastAsia="en-US" w:bidi="ar-SA"/>
        </w:rPr>
        <w:t>require the VPSC to maintain a Register of Lobbyists. The Code and the Register contribute to the objective that contact between government representatives and lobbyists is conducted in a manner consistent with public expectations of transparency, integrity and honesty.</w:t>
      </w: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In 2018–19, the Register listed the details of 130 lobbyist firms (sole traders, partnerships and corporations), 278 individual lobbyists and 53 Government Affairs Directors. The VPSC answered 422 enquiries with respect to lobbyists and processed 92 applications for registration during the year. Technical improvements planned for 2019–20 will reduce administrative enquiries about the Register, such as password enquiries</w:t>
      </w:r>
      <w:r w:rsidR="00D54A12">
        <w:rPr>
          <w:rFonts w:eastAsiaTheme="minorHAnsi"/>
          <w:color w:val="000000"/>
          <w:sz w:val="20"/>
          <w:szCs w:val="20"/>
          <w:lang w:eastAsia="en-US" w:bidi="ar-SA"/>
        </w:rPr>
        <w:t xml:space="preserve"> </w:t>
      </w:r>
      <w:r w:rsidRPr="00700FE9">
        <w:rPr>
          <w:rFonts w:eastAsiaTheme="minorHAnsi"/>
          <w:color w:val="000000"/>
          <w:sz w:val="20"/>
          <w:szCs w:val="20"/>
          <w:lang w:eastAsia="en-US" w:bidi="ar-SA"/>
        </w:rPr>
        <w:t>and changes of lobbyist details.</w:t>
      </w:r>
    </w:p>
    <w:p w:rsid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The VPSC received no complaints in 2018–19 regarding the activities of lobbyists.</w:t>
      </w:r>
    </w:p>
    <w:p w:rsidR="00D54A12" w:rsidRDefault="00D54A12"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p>
    <w:p w:rsidR="00D54A12" w:rsidRDefault="00D54A12"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p>
    <w:p w:rsidR="00D54A12" w:rsidRPr="00700FE9" w:rsidRDefault="00D54A12" w:rsidP="00D54A12">
      <w:pPr>
        <w:rPr>
          <w:lang w:eastAsia="en-US" w:bidi="ar-SA"/>
        </w:rPr>
      </w:pPr>
    </w:p>
    <w:p w:rsidR="00700FE9" w:rsidRDefault="00700FE9" w:rsidP="00D54A12">
      <w:pPr>
        <w:pStyle w:val="Heading3"/>
        <w:rPr>
          <w:lang w:eastAsia="en-US" w:bidi="ar-SA"/>
        </w:rPr>
      </w:pPr>
      <w:r w:rsidRPr="00700FE9">
        <w:rPr>
          <w:lang w:eastAsia="en-US" w:bidi="ar-SA"/>
        </w:rPr>
        <w:lastRenderedPageBreak/>
        <w:t xml:space="preserve">People Matter Survey 2019 </w:t>
      </w:r>
    </w:p>
    <w:p w:rsidR="00D54A12" w:rsidRPr="00700FE9" w:rsidRDefault="00D54A12" w:rsidP="00D54A12">
      <w:pPr>
        <w:rPr>
          <w:lang w:eastAsia="en-US" w:bidi="ar-SA"/>
        </w:rPr>
      </w:pP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 xml:space="preserve">The People Matter Survey is one of the Victorian government’s largest </w:t>
      </w:r>
      <w:proofErr w:type="gramStart"/>
      <w:r w:rsidRPr="00700FE9">
        <w:rPr>
          <w:rFonts w:eastAsiaTheme="minorHAnsi"/>
          <w:color w:val="000000"/>
          <w:sz w:val="20"/>
          <w:szCs w:val="20"/>
          <w:lang w:eastAsia="en-US" w:bidi="ar-SA"/>
        </w:rPr>
        <w:t>internally-facing</w:t>
      </w:r>
      <w:proofErr w:type="gramEnd"/>
      <w:r w:rsidRPr="00700FE9">
        <w:rPr>
          <w:rFonts w:eastAsiaTheme="minorHAnsi"/>
          <w:color w:val="000000"/>
          <w:sz w:val="20"/>
          <w:szCs w:val="20"/>
          <w:lang w:eastAsia="en-US" w:bidi="ar-SA"/>
        </w:rPr>
        <w:t xml:space="preserve"> programs, providing a rich source of data about workplace climate in the public sector and acting to fulfil the Commission’s legislative functions. In late 2018 the VPSC successfully completed an extensive review of the People Matter Survey, the Victorian public sector employee survey, and received support from the Victorian Secretaries Board for 13 reform recommendations.</w:t>
      </w: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The review engaged widely across departments and the sector, using new approaches to consultation,</w:t>
      </w:r>
      <w:r w:rsidRPr="00700FE9">
        <w:rPr>
          <w:rFonts w:eastAsiaTheme="minorHAnsi"/>
          <w:color w:val="000000"/>
          <w:sz w:val="20"/>
          <w:szCs w:val="20"/>
          <w:lang w:eastAsia="en-US" w:bidi="ar-SA"/>
        </w:rPr>
        <w:br/>
        <w:t>such as a well-received open forum to test emerging findings with senior people leaders from across all Victorian public service departments and major agencies.</w:t>
      </w: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The VPSC has now commenced implementation of the reforms to the People Matter Survey,</w:t>
      </w:r>
      <w:r w:rsidRPr="00700FE9">
        <w:rPr>
          <w:rFonts w:eastAsiaTheme="minorHAnsi"/>
          <w:color w:val="000000"/>
          <w:sz w:val="20"/>
          <w:szCs w:val="20"/>
          <w:lang w:eastAsia="en-US" w:bidi="ar-SA"/>
        </w:rPr>
        <w:br/>
        <w:t>focussed on providing:</w:t>
      </w:r>
    </w:p>
    <w:p w:rsidR="00700FE9" w:rsidRPr="00D54A12" w:rsidRDefault="00700FE9" w:rsidP="00943EBA">
      <w:pPr>
        <w:pStyle w:val="ListParagraph"/>
        <w:widowControl/>
        <w:numPr>
          <w:ilvl w:val="0"/>
          <w:numId w:val="18"/>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a refreshed purpose and content to give a clearer understanding of workplace climate</w:t>
      </w:r>
    </w:p>
    <w:p w:rsidR="00700FE9" w:rsidRPr="00D54A12" w:rsidRDefault="00700FE9" w:rsidP="00943EBA">
      <w:pPr>
        <w:pStyle w:val="ListParagraph"/>
        <w:widowControl/>
        <w:numPr>
          <w:ilvl w:val="0"/>
          <w:numId w:val="18"/>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improved reporting and analytical services to help organisations identify strengths and areas</w:t>
      </w:r>
      <w:r w:rsidRPr="00D54A12">
        <w:rPr>
          <w:rFonts w:eastAsiaTheme="minorHAnsi"/>
          <w:color w:val="000000"/>
          <w:sz w:val="20"/>
          <w:szCs w:val="20"/>
          <w:lang w:eastAsia="en-US" w:bidi="ar-SA"/>
        </w:rPr>
        <w:br/>
        <w:t>for improvement</w:t>
      </w:r>
    </w:p>
    <w:p w:rsidR="00700FE9" w:rsidRPr="00D54A12" w:rsidRDefault="00700FE9" w:rsidP="00943EBA">
      <w:pPr>
        <w:pStyle w:val="ListParagraph"/>
        <w:widowControl/>
        <w:numPr>
          <w:ilvl w:val="0"/>
          <w:numId w:val="18"/>
        </w:numPr>
        <w:tabs>
          <w:tab w:val="left" w:pos="227"/>
          <w:tab w:val="left" w:pos="283"/>
        </w:tabs>
        <w:suppressAutoHyphens/>
        <w:adjustRightInd w:val="0"/>
        <w:spacing w:after="170"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a new technology platform to provide a dynamic user interface and advanced analytics services.</w:t>
      </w: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A record number of 196 public sector organisations and 92,215 employees participated in the 2019 survey, representing a response rate of 46 per cent. The 2019 Survey introduced a series of improvements</w:t>
      </w:r>
      <w:r w:rsidRPr="00700FE9">
        <w:rPr>
          <w:rFonts w:eastAsiaTheme="minorHAnsi"/>
          <w:color w:val="000000"/>
          <w:sz w:val="20"/>
          <w:szCs w:val="20"/>
          <w:lang w:eastAsia="en-US" w:bidi="ar-SA"/>
        </w:rPr>
        <w:br/>
        <w:t>which included:</w:t>
      </w:r>
    </w:p>
    <w:p w:rsidR="00700FE9" w:rsidRPr="00D54A12" w:rsidRDefault="00700FE9" w:rsidP="00943EBA">
      <w:pPr>
        <w:pStyle w:val="ListParagraph"/>
        <w:widowControl/>
        <w:numPr>
          <w:ilvl w:val="0"/>
          <w:numId w:val="19"/>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The development of a new theoretical framework underpinning the survey.</w:t>
      </w:r>
    </w:p>
    <w:p w:rsidR="00700FE9" w:rsidRPr="00D54A12" w:rsidRDefault="00700FE9" w:rsidP="00943EBA">
      <w:pPr>
        <w:pStyle w:val="ListParagraph"/>
        <w:widowControl/>
        <w:numPr>
          <w:ilvl w:val="0"/>
          <w:numId w:val="19"/>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Improved survey questions that are shorter, use simpler English and are easier to understand.</w:t>
      </w:r>
    </w:p>
    <w:p w:rsidR="00700FE9" w:rsidRPr="00D54A12" w:rsidRDefault="00700FE9" w:rsidP="00943EBA">
      <w:pPr>
        <w:pStyle w:val="ListParagraph"/>
        <w:widowControl/>
        <w:numPr>
          <w:ilvl w:val="0"/>
          <w:numId w:val="19"/>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Revised survey questions covering new areas of insight, including collaboration, innovation and occupational violence. Key questions from the 2018 optional survey modules have been retained, including questions on sexual harassment, wellbeing, diversity, change management, career</w:t>
      </w:r>
      <w:r w:rsidRPr="00D54A12">
        <w:rPr>
          <w:rFonts w:eastAsiaTheme="minorHAnsi"/>
          <w:color w:val="000000"/>
          <w:sz w:val="20"/>
          <w:szCs w:val="20"/>
          <w:lang w:eastAsia="en-US" w:bidi="ar-SA"/>
        </w:rPr>
        <w:br/>
        <w:t>and learning, and the free text questions are now more focused.</w:t>
      </w:r>
    </w:p>
    <w:p w:rsidR="00700FE9" w:rsidRPr="00D54A12" w:rsidRDefault="00700FE9" w:rsidP="00943EBA">
      <w:pPr>
        <w:pStyle w:val="ListParagraph"/>
        <w:widowControl/>
        <w:numPr>
          <w:ilvl w:val="0"/>
          <w:numId w:val="19"/>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Enhanced reporting that allows public sector organisations to better understand the data and analysis</w:t>
      </w:r>
      <w:r w:rsidRPr="00D54A12">
        <w:rPr>
          <w:rFonts w:eastAsiaTheme="minorHAnsi"/>
          <w:color w:val="000000"/>
          <w:sz w:val="20"/>
          <w:szCs w:val="20"/>
          <w:lang w:eastAsia="en-US" w:bidi="ar-SA"/>
        </w:rPr>
        <w:br/>
        <w:t>to support better decision-making.</w:t>
      </w:r>
    </w:p>
    <w:p w:rsidR="00700FE9" w:rsidRDefault="00700FE9" w:rsidP="00943EBA">
      <w:pPr>
        <w:pStyle w:val="ListParagraph"/>
        <w:widowControl/>
        <w:numPr>
          <w:ilvl w:val="0"/>
          <w:numId w:val="19"/>
        </w:numPr>
        <w:tabs>
          <w:tab w:val="left" w:pos="227"/>
          <w:tab w:val="left" w:pos="283"/>
        </w:tabs>
        <w:suppressAutoHyphens/>
        <w:adjustRightInd w:val="0"/>
        <w:spacing w:after="170"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Increased engagement post results to support organisations in action planning.</w:t>
      </w:r>
    </w:p>
    <w:p w:rsidR="00D54A12" w:rsidRPr="00D54A12" w:rsidRDefault="00D54A12" w:rsidP="00D54A12">
      <w:pPr>
        <w:rPr>
          <w:lang w:eastAsia="en-US" w:bidi="ar-SA"/>
        </w:rPr>
      </w:pPr>
    </w:p>
    <w:p w:rsidR="00700FE9" w:rsidRDefault="00700FE9" w:rsidP="00D54A12">
      <w:pPr>
        <w:pStyle w:val="Heading3"/>
        <w:rPr>
          <w:lang w:eastAsia="en-US" w:bidi="ar-SA"/>
        </w:rPr>
      </w:pPr>
      <w:r w:rsidRPr="00700FE9">
        <w:rPr>
          <w:lang w:eastAsia="en-US" w:bidi="ar-SA"/>
        </w:rPr>
        <w:t>Preventing and Responding to Sexual Harassment</w:t>
      </w:r>
    </w:p>
    <w:p w:rsidR="00D54A12" w:rsidRPr="00700FE9" w:rsidRDefault="00D54A12" w:rsidP="00D54A12">
      <w:pPr>
        <w:rPr>
          <w:lang w:eastAsia="en-US" w:bidi="ar-SA"/>
        </w:rPr>
      </w:pP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 xml:space="preserve">On 22 March 2018, the Victorian Secretaries Board (VSB) released a statement on sexual harassment, sending a clear message to the Victorian public sector: </w:t>
      </w:r>
      <w:r w:rsidRPr="00700FE9">
        <w:rPr>
          <w:rFonts w:eastAsiaTheme="minorHAnsi"/>
          <w:i/>
          <w:iCs/>
          <w:color w:val="000000"/>
          <w:sz w:val="20"/>
          <w:szCs w:val="20"/>
          <w:lang w:eastAsia="en-US" w:bidi="ar-SA"/>
        </w:rPr>
        <w:t>We will listen to and work with people affected</w:t>
      </w:r>
      <w:r w:rsidRPr="00700FE9">
        <w:rPr>
          <w:rFonts w:eastAsiaTheme="minorHAnsi"/>
          <w:i/>
          <w:iCs/>
          <w:color w:val="000000"/>
          <w:sz w:val="20"/>
          <w:szCs w:val="20"/>
          <w:lang w:eastAsia="en-US" w:bidi="ar-SA"/>
        </w:rPr>
        <w:br/>
        <w:t>by sexual harassment</w:t>
      </w:r>
      <w:r w:rsidRPr="00700FE9">
        <w:rPr>
          <w:rFonts w:eastAsiaTheme="minorHAnsi"/>
          <w:color w:val="000000"/>
          <w:sz w:val="20"/>
          <w:szCs w:val="20"/>
          <w:lang w:eastAsia="en-US" w:bidi="ar-SA"/>
        </w:rPr>
        <w:t>.</w:t>
      </w: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 xml:space="preserve">Building on this statement, the Sexual Harassment in the Victorian Public Service Working Group was established under the auspices of the Integrity and Corporate Reform Sub-committee of the VSB. </w:t>
      </w:r>
      <w:r w:rsidRPr="00700FE9">
        <w:rPr>
          <w:rFonts w:eastAsiaTheme="minorHAnsi"/>
          <w:color w:val="000000"/>
          <w:sz w:val="20"/>
          <w:szCs w:val="20"/>
          <w:lang w:eastAsia="en-US" w:bidi="ar-SA"/>
        </w:rPr>
        <w:br/>
        <w:t>Chaired by the VPSC Deputy Commissioner. This group is promoting best practice prevention and response strategies to sexual harassment in the workplace and the delivery of consistent outcomes.</w:t>
      </w:r>
    </w:p>
    <w:p w:rsid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In 2018–19 the working group developed a Model Policy for Preventing and Responding to Sexual Harassment and a Guide for the Prevention of Sexual Harassment in the Workplace to assist departments with preventing sexual harassment and responding to allegations. The working group also developed</w:t>
      </w:r>
      <w:r w:rsidR="00D54A12">
        <w:rPr>
          <w:rFonts w:eastAsiaTheme="minorHAnsi"/>
          <w:color w:val="000000"/>
          <w:sz w:val="20"/>
          <w:szCs w:val="20"/>
          <w:lang w:eastAsia="en-US" w:bidi="ar-SA"/>
        </w:rPr>
        <w:t xml:space="preserve"> </w:t>
      </w:r>
      <w:r w:rsidRPr="00700FE9">
        <w:rPr>
          <w:rFonts w:eastAsiaTheme="minorHAnsi"/>
          <w:color w:val="000000"/>
          <w:sz w:val="20"/>
          <w:szCs w:val="20"/>
          <w:lang w:eastAsia="en-US" w:bidi="ar-SA"/>
        </w:rPr>
        <w:t>a Respectful Workplaces Framework and Prevention of Sexual Harassment Model Action Plan that were approved by the VSB and made available on the VPSC’s website.</w:t>
      </w:r>
    </w:p>
    <w:p w:rsidR="00D54A12" w:rsidRPr="00700FE9" w:rsidRDefault="00D54A12" w:rsidP="00D54A12">
      <w:pPr>
        <w:rPr>
          <w:lang w:eastAsia="en-US" w:bidi="ar-SA"/>
        </w:rPr>
      </w:pPr>
    </w:p>
    <w:p w:rsidR="00700FE9" w:rsidRPr="00D54A12" w:rsidRDefault="00700FE9" w:rsidP="00D54A12">
      <w:pPr>
        <w:pStyle w:val="Heading3"/>
        <w:rPr>
          <w:lang w:bidi="ar-SA"/>
        </w:rPr>
      </w:pPr>
      <w:r w:rsidRPr="00D54A12">
        <w:rPr>
          <w:lang w:bidi="ar-SA"/>
        </w:rPr>
        <w:t>Managing Conflicts of Interest in Consensual Personal Relationships</w:t>
      </w:r>
    </w:p>
    <w:p w:rsidR="00D54A12" w:rsidRDefault="00D54A12" w:rsidP="00D54A12">
      <w:pPr>
        <w:rPr>
          <w:lang w:eastAsia="en-US" w:bidi="ar-SA"/>
        </w:rPr>
      </w:pP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A Model Conflict of Interest policy, issued by the VPSC, was updated in late 2018 to include high level processes for the management of consensual personal relationships in the workplace. Following broad consultation, and consideration by the VSB, the Policy and its associated Practice Guide supports departments and public sector bodies to review and revise their policies and procedures on identifying, reporting and managing conflicts of interest.</w:t>
      </w:r>
    </w:p>
    <w:p w:rsid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The Policy applies to staff who are in a consensual personal relationship and who work in the same organisation. The Model Policy and Practice Guide accommodates the diverse nature of different organisations while also providing key considerations for managing employee relationships.</w:t>
      </w:r>
    </w:p>
    <w:p w:rsidR="00D54A12" w:rsidRPr="00700FE9" w:rsidRDefault="00D54A12"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p>
    <w:p w:rsidR="00700FE9" w:rsidRPr="00D54A12" w:rsidRDefault="00700FE9" w:rsidP="00D54A12">
      <w:pPr>
        <w:pStyle w:val="Heading3"/>
        <w:rPr>
          <w:lang w:bidi="ar-SA"/>
        </w:rPr>
      </w:pPr>
      <w:r w:rsidRPr="00D54A12">
        <w:rPr>
          <w:lang w:bidi="ar-SA"/>
        </w:rPr>
        <w:lastRenderedPageBreak/>
        <w:t>Integrity in Recruitment</w:t>
      </w:r>
    </w:p>
    <w:p w:rsidR="00D54A12" w:rsidRDefault="00D54A12" w:rsidP="00D54A12">
      <w:pPr>
        <w:rPr>
          <w:lang w:eastAsia="en-US" w:bidi="ar-SA"/>
        </w:rPr>
      </w:pP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Integrity vulnerabilities in the Victorian public sector recruitment processes have been the subject of several integrity body reports. Inadequate pre employment screening, allowing the recycling of employees with</w:t>
      </w:r>
      <w:r w:rsidRPr="00700FE9">
        <w:rPr>
          <w:rFonts w:eastAsiaTheme="minorHAnsi"/>
          <w:color w:val="000000"/>
          <w:sz w:val="20"/>
          <w:szCs w:val="20"/>
          <w:lang w:eastAsia="en-US" w:bidi="ar-SA"/>
        </w:rPr>
        <w:br/>
        <w:t>a history of misconduct, has been identified as a key integrity risk.</w:t>
      </w: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In response to ongoing integrity risks, in 2018–19 the VPSC issued the VPS Executive Pre-Employment Screening Policy, applying to VPS executives, that would seek to prevent employees moving between</w:t>
      </w:r>
      <w:r w:rsidRPr="00700FE9">
        <w:rPr>
          <w:rFonts w:eastAsiaTheme="minorHAnsi"/>
          <w:color w:val="000000"/>
          <w:sz w:val="20"/>
          <w:szCs w:val="20"/>
          <w:lang w:eastAsia="en-US" w:bidi="ar-SA"/>
        </w:rPr>
        <w:br/>
        <w:t>public sector employers without their past misconduct being known.</w:t>
      </w:r>
    </w:p>
    <w:p w:rsid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The VPSC also continued work and consultation towards the development of a pre-employment screening policy for replication across the Victorian public service and the broader public sector.</w:t>
      </w:r>
    </w:p>
    <w:p w:rsidR="00D54A12" w:rsidRPr="00700FE9" w:rsidRDefault="00D54A12" w:rsidP="00D54A12">
      <w:pPr>
        <w:rPr>
          <w:lang w:eastAsia="en-US" w:bidi="ar-SA"/>
        </w:rPr>
      </w:pPr>
    </w:p>
    <w:p w:rsidR="00700FE9" w:rsidRPr="00700FE9" w:rsidRDefault="00700FE9" w:rsidP="00D54A12">
      <w:pPr>
        <w:pStyle w:val="Heading3"/>
        <w:rPr>
          <w:lang w:eastAsia="en-US" w:bidi="ar-SA"/>
        </w:rPr>
      </w:pPr>
      <w:r w:rsidRPr="00700FE9">
        <w:rPr>
          <w:lang w:eastAsia="en-US" w:bidi="ar-SA"/>
        </w:rPr>
        <w:t>Support to Regional Agencies and Boards</w:t>
      </w:r>
    </w:p>
    <w:p w:rsidR="00D54A12" w:rsidRDefault="00D54A12" w:rsidP="00D54A12">
      <w:pPr>
        <w:rPr>
          <w:lang w:eastAsia="en-US" w:bidi="ar-SA"/>
        </w:rPr>
      </w:pP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In May 2017, the VPSC accepted a Victorian Auditor-General recommendation to develop guidelines for boards on the activities they should examine in their independent assessment of a board’s performance.</w:t>
      </w:r>
    </w:p>
    <w:p w:rsidR="00700FE9" w:rsidRPr="00700FE9" w:rsidRDefault="00700FE9" w:rsidP="00700FE9">
      <w:pPr>
        <w:widowControl/>
        <w:suppressAutoHyphens/>
        <w:adjustRightInd w:val="0"/>
        <w:spacing w:after="113" w:line="220" w:lineRule="atLeast"/>
        <w:ind w:left="709" w:right="1278"/>
        <w:textAlignment w:val="center"/>
        <w:rPr>
          <w:rFonts w:eastAsiaTheme="minorHAnsi"/>
          <w:color w:val="000000"/>
          <w:sz w:val="20"/>
          <w:szCs w:val="20"/>
          <w:lang w:eastAsia="en-US" w:bidi="ar-SA"/>
        </w:rPr>
      </w:pPr>
      <w:r w:rsidRPr="00700FE9">
        <w:rPr>
          <w:rFonts w:eastAsiaTheme="minorHAnsi"/>
          <w:color w:val="000000"/>
          <w:sz w:val="20"/>
          <w:szCs w:val="20"/>
          <w:lang w:eastAsia="en-US" w:bidi="ar-SA"/>
        </w:rPr>
        <w:t xml:space="preserve">The VPSC developed </w:t>
      </w:r>
      <w:r w:rsidRPr="00700FE9">
        <w:rPr>
          <w:rFonts w:eastAsiaTheme="minorHAnsi"/>
          <w:i/>
          <w:iCs/>
          <w:color w:val="000000"/>
          <w:sz w:val="20"/>
          <w:szCs w:val="20"/>
          <w:lang w:eastAsia="en-US" w:bidi="ar-SA"/>
        </w:rPr>
        <w:t>Board and Director Performance Assessments – Guidance for Victorian Public Entity Boards</w:t>
      </w:r>
      <w:r w:rsidRPr="00700FE9">
        <w:rPr>
          <w:rFonts w:eastAsiaTheme="minorHAnsi"/>
          <w:color w:val="000000"/>
          <w:sz w:val="20"/>
          <w:szCs w:val="20"/>
          <w:lang w:eastAsia="en-US" w:bidi="ar-SA"/>
        </w:rPr>
        <w:t>, in conjunction with the Good Governance Community of Practice and launched the guidelines in March 2019. The Guidance is principles-based and complements the existing technical support that departments provide to their public sector entitles. The Guidance covers:</w:t>
      </w:r>
    </w:p>
    <w:p w:rsidR="00700FE9" w:rsidRPr="00D54A12" w:rsidRDefault="00700FE9" w:rsidP="00943EBA">
      <w:pPr>
        <w:pStyle w:val="ListParagraph"/>
        <w:widowControl/>
        <w:numPr>
          <w:ilvl w:val="0"/>
          <w:numId w:val="20"/>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A framework of board, chair and director assessments.</w:t>
      </w:r>
    </w:p>
    <w:p w:rsidR="00700FE9" w:rsidRPr="00D54A12" w:rsidRDefault="00700FE9" w:rsidP="00943EBA">
      <w:pPr>
        <w:pStyle w:val="ListParagraph"/>
        <w:widowControl/>
        <w:numPr>
          <w:ilvl w:val="0"/>
          <w:numId w:val="20"/>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Formal obligations as well as the benefits of regular assessments.</w:t>
      </w:r>
    </w:p>
    <w:p w:rsidR="00700FE9" w:rsidRPr="00D54A12" w:rsidRDefault="00700FE9" w:rsidP="00943EBA">
      <w:pPr>
        <w:pStyle w:val="ListParagraph"/>
        <w:widowControl/>
        <w:numPr>
          <w:ilvl w:val="0"/>
          <w:numId w:val="20"/>
        </w:numPr>
        <w:tabs>
          <w:tab w:val="left" w:pos="227"/>
          <w:tab w:val="left" w:pos="283"/>
        </w:tabs>
        <w:suppressAutoHyphens/>
        <w:adjustRightInd w:val="0"/>
        <w:spacing w:after="113"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The planning and execution of assessments (including methodology and areas of focus).</w:t>
      </w:r>
    </w:p>
    <w:p w:rsidR="00700FE9" w:rsidRPr="00D54A12" w:rsidRDefault="00700FE9" w:rsidP="00943EBA">
      <w:pPr>
        <w:pStyle w:val="ListParagraph"/>
        <w:widowControl/>
        <w:numPr>
          <w:ilvl w:val="0"/>
          <w:numId w:val="20"/>
        </w:numPr>
        <w:tabs>
          <w:tab w:val="left" w:pos="227"/>
          <w:tab w:val="left" w:pos="283"/>
        </w:tabs>
        <w:suppressAutoHyphens/>
        <w:adjustRightInd w:val="0"/>
        <w:spacing w:after="170" w:line="220" w:lineRule="atLeast"/>
        <w:ind w:right="1278"/>
        <w:textAlignment w:val="center"/>
        <w:rPr>
          <w:rFonts w:eastAsiaTheme="minorHAnsi"/>
          <w:color w:val="000000"/>
          <w:sz w:val="20"/>
          <w:szCs w:val="20"/>
          <w:lang w:eastAsia="en-US" w:bidi="ar-SA"/>
        </w:rPr>
      </w:pPr>
      <w:r w:rsidRPr="00D54A12">
        <w:rPr>
          <w:rFonts w:eastAsiaTheme="minorHAnsi"/>
          <w:color w:val="000000"/>
          <w:sz w:val="20"/>
          <w:szCs w:val="20"/>
          <w:lang w:eastAsia="en-US" w:bidi="ar-SA"/>
        </w:rPr>
        <w:t>What boards should do with the results of assessments (including reporting results,</w:t>
      </w:r>
      <w:r w:rsidRPr="00D54A12">
        <w:rPr>
          <w:rFonts w:eastAsiaTheme="minorHAnsi"/>
          <w:color w:val="000000"/>
          <w:sz w:val="20"/>
          <w:szCs w:val="20"/>
          <w:lang w:eastAsia="en-US" w:bidi="ar-SA"/>
        </w:rPr>
        <w:br/>
        <w:t>dealing with recommendations, and addressing poor performance).</w:t>
      </w:r>
    </w:p>
    <w:p w:rsidR="0051318F" w:rsidRDefault="0051318F">
      <w:pPr>
        <w:spacing w:line="249" w:lineRule="auto"/>
        <w:sectPr w:rsidR="0051318F">
          <w:pgSz w:w="11910" w:h="16840"/>
          <w:pgMar w:top="560" w:right="0" w:bottom="680" w:left="0" w:header="0" w:footer="490" w:gutter="0"/>
          <w:cols w:space="720"/>
        </w:sectPr>
      </w:pPr>
    </w:p>
    <w:p w:rsidR="00D54A12" w:rsidRDefault="00D54A12" w:rsidP="00315FBE">
      <w:pPr>
        <w:pStyle w:val="Heading2"/>
      </w:pPr>
      <w:bookmarkStart w:id="10" w:name="_bookmark4"/>
      <w:bookmarkStart w:id="11" w:name="_Toc23329717"/>
      <w:bookmarkEnd w:id="10"/>
      <w:r w:rsidRPr="00D54A12">
        <w:lastRenderedPageBreak/>
        <w:t>Performance Reporting – Financial</w:t>
      </w:r>
      <w:bookmarkEnd w:id="11"/>
    </w:p>
    <w:p w:rsidR="00315FBE" w:rsidRPr="00D54A12" w:rsidRDefault="00315FBE" w:rsidP="00315FBE"/>
    <w:p w:rsidR="0051318F" w:rsidRDefault="00D54A12" w:rsidP="00315FBE">
      <w:pPr>
        <w:pStyle w:val="Heading3"/>
      </w:pPr>
      <w:r w:rsidRPr="00D54A12">
        <w:t xml:space="preserve">Victorian Public Sector Commission – </w:t>
      </w:r>
      <w:proofErr w:type="gramStart"/>
      <w:r w:rsidRPr="00D54A12">
        <w:t>Five year</w:t>
      </w:r>
      <w:proofErr w:type="gramEnd"/>
      <w:r w:rsidRPr="00D54A12">
        <w:t xml:space="preserve"> summary</w:t>
      </w:r>
    </w:p>
    <w:tbl>
      <w:tblPr>
        <w:tblStyle w:val="GridTable1Light"/>
        <w:tblpPr w:leftFromText="180" w:rightFromText="180" w:vertAnchor="text" w:horzAnchor="page" w:tblpX="708" w:tblpY="181"/>
        <w:tblW w:w="0" w:type="auto"/>
        <w:tblLayout w:type="fixed"/>
        <w:tblLook w:val="0000" w:firstRow="0" w:lastRow="0" w:firstColumn="0" w:lastColumn="0" w:noHBand="0" w:noVBand="0"/>
      </w:tblPr>
      <w:tblGrid>
        <w:gridCol w:w="2689"/>
        <w:gridCol w:w="1275"/>
        <w:gridCol w:w="1276"/>
        <w:gridCol w:w="1276"/>
        <w:gridCol w:w="1276"/>
        <w:gridCol w:w="1275"/>
      </w:tblGrid>
      <w:tr w:rsidR="00315FBE" w:rsidRPr="00315FBE" w:rsidTr="00517CFF">
        <w:trPr>
          <w:trHeight w:val="60"/>
        </w:trPr>
        <w:tc>
          <w:tcPr>
            <w:tcW w:w="2689" w:type="dxa"/>
          </w:tcPr>
          <w:p w:rsidR="00315FBE" w:rsidRPr="00315FBE" w:rsidRDefault="00315FBE" w:rsidP="00315FBE">
            <w:pPr>
              <w:widowControl/>
              <w:adjustRightInd w:val="0"/>
              <w:rPr>
                <w:rFonts w:eastAsiaTheme="minorHAnsi"/>
                <w:sz w:val="20"/>
                <w:szCs w:val="20"/>
                <w:lang w:eastAsia="en-US" w:bidi="ar-SA"/>
              </w:rPr>
            </w:pPr>
          </w:p>
        </w:tc>
        <w:tc>
          <w:tcPr>
            <w:tcW w:w="1275" w:type="dxa"/>
          </w:tcPr>
          <w:p w:rsidR="00315FBE" w:rsidRPr="00315FBE" w:rsidRDefault="00315FBE" w:rsidP="00315FBE">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315FBE">
              <w:rPr>
                <w:rFonts w:eastAsiaTheme="minorHAnsi"/>
                <w:b/>
                <w:bCs/>
                <w:sz w:val="20"/>
                <w:szCs w:val="20"/>
                <w:lang w:eastAsia="en-US" w:bidi="ar-SA"/>
              </w:rPr>
              <w:t>2019</w:t>
            </w:r>
          </w:p>
        </w:tc>
        <w:tc>
          <w:tcPr>
            <w:tcW w:w="1276" w:type="dxa"/>
          </w:tcPr>
          <w:p w:rsidR="00315FBE" w:rsidRPr="00315FBE" w:rsidRDefault="00315FBE" w:rsidP="00315FBE">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315FBE">
              <w:rPr>
                <w:rFonts w:eastAsiaTheme="minorHAnsi"/>
                <w:b/>
                <w:bCs/>
                <w:sz w:val="20"/>
                <w:szCs w:val="20"/>
                <w:lang w:eastAsia="en-US" w:bidi="ar-SA"/>
              </w:rPr>
              <w:t>2018</w:t>
            </w:r>
          </w:p>
        </w:tc>
        <w:tc>
          <w:tcPr>
            <w:tcW w:w="1276" w:type="dxa"/>
          </w:tcPr>
          <w:p w:rsidR="00315FBE" w:rsidRPr="00315FBE" w:rsidRDefault="00315FBE" w:rsidP="00315FBE">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315FBE">
              <w:rPr>
                <w:rFonts w:eastAsiaTheme="minorHAnsi"/>
                <w:b/>
                <w:bCs/>
                <w:sz w:val="20"/>
                <w:szCs w:val="20"/>
                <w:lang w:eastAsia="en-US" w:bidi="ar-SA"/>
              </w:rPr>
              <w:t>2017</w:t>
            </w:r>
          </w:p>
        </w:tc>
        <w:tc>
          <w:tcPr>
            <w:tcW w:w="1276" w:type="dxa"/>
          </w:tcPr>
          <w:p w:rsidR="00315FBE" w:rsidRPr="00315FBE" w:rsidRDefault="00315FBE" w:rsidP="00315FBE">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315FBE">
              <w:rPr>
                <w:rFonts w:eastAsiaTheme="minorHAnsi"/>
                <w:b/>
                <w:bCs/>
                <w:sz w:val="20"/>
                <w:szCs w:val="20"/>
                <w:lang w:eastAsia="en-US" w:bidi="ar-SA"/>
              </w:rPr>
              <w:t>2016</w:t>
            </w:r>
          </w:p>
        </w:tc>
        <w:tc>
          <w:tcPr>
            <w:tcW w:w="1275" w:type="dxa"/>
          </w:tcPr>
          <w:p w:rsidR="00315FBE" w:rsidRPr="00315FBE" w:rsidRDefault="00315FBE" w:rsidP="00315FBE">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315FBE">
              <w:rPr>
                <w:rFonts w:eastAsiaTheme="minorHAnsi"/>
                <w:b/>
                <w:bCs/>
                <w:sz w:val="20"/>
                <w:szCs w:val="20"/>
                <w:lang w:eastAsia="en-US" w:bidi="ar-SA"/>
              </w:rPr>
              <w:t>2015</w:t>
            </w:r>
          </w:p>
        </w:tc>
      </w:tr>
      <w:tr w:rsidR="00315FBE" w:rsidRPr="00315FBE" w:rsidTr="00517CFF">
        <w:trPr>
          <w:trHeight w:val="60"/>
        </w:trPr>
        <w:tc>
          <w:tcPr>
            <w:tcW w:w="2689" w:type="dxa"/>
          </w:tcPr>
          <w:p w:rsidR="00315FBE" w:rsidRPr="00315FBE" w:rsidRDefault="00315FBE" w:rsidP="00315FBE">
            <w:pPr>
              <w:widowControl/>
              <w:suppressAutoHyphens/>
              <w:adjustRightInd w:val="0"/>
              <w:spacing w:after="113" w:line="220" w:lineRule="atLeas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Total income</w:t>
            </w:r>
            <w:r>
              <w:rPr>
                <w:rFonts w:eastAsiaTheme="minorHAnsi"/>
                <w:color w:val="000000"/>
                <w:sz w:val="20"/>
                <w:szCs w:val="20"/>
                <w:lang w:eastAsia="en-US" w:bidi="ar-SA"/>
              </w:rPr>
              <w:t xml:space="preserve"> </w:t>
            </w:r>
            <w:r w:rsidRPr="00315FBE">
              <w:rPr>
                <w:rFonts w:eastAsiaTheme="minorHAnsi"/>
                <w:color w:val="000000"/>
                <w:sz w:val="20"/>
                <w:szCs w:val="20"/>
                <w:lang w:eastAsia="en-US" w:bidi="ar-SA"/>
              </w:rPr>
              <w:t>from</w:t>
            </w:r>
            <w:r>
              <w:rPr>
                <w:rFonts w:eastAsiaTheme="minorHAnsi"/>
                <w:color w:val="000000"/>
                <w:sz w:val="20"/>
                <w:szCs w:val="20"/>
                <w:lang w:eastAsia="en-US" w:bidi="ar-SA"/>
              </w:rPr>
              <w:t xml:space="preserve"> </w:t>
            </w:r>
            <w:r w:rsidRPr="00315FBE">
              <w:rPr>
                <w:rFonts w:eastAsiaTheme="minorHAnsi"/>
                <w:color w:val="000000"/>
                <w:sz w:val="20"/>
                <w:szCs w:val="20"/>
                <w:lang w:eastAsia="en-US" w:bidi="ar-SA"/>
              </w:rPr>
              <w:t>transactions</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17,792,385</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17,112,268</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15,813,088</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11,712,981</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11,428,081</w:t>
            </w:r>
          </w:p>
        </w:tc>
      </w:tr>
      <w:tr w:rsidR="00315FBE" w:rsidRPr="00315FBE" w:rsidTr="00517CFF">
        <w:trPr>
          <w:trHeight w:val="60"/>
        </w:trPr>
        <w:tc>
          <w:tcPr>
            <w:tcW w:w="2689" w:type="dxa"/>
          </w:tcPr>
          <w:p w:rsidR="00315FBE" w:rsidRPr="00315FBE" w:rsidRDefault="00315FBE" w:rsidP="00315FBE">
            <w:pPr>
              <w:widowControl/>
              <w:suppressAutoHyphens/>
              <w:adjustRightInd w:val="0"/>
              <w:spacing w:after="113" w:line="220" w:lineRule="atLeas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Total expenses</w:t>
            </w:r>
            <w:r>
              <w:rPr>
                <w:rFonts w:eastAsiaTheme="minorHAnsi"/>
                <w:color w:val="000000"/>
                <w:sz w:val="20"/>
                <w:szCs w:val="20"/>
                <w:lang w:eastAsia="en-US" w:bidi="ar-SA"/>
              </w:rPr>
              <w:t xml:space="preserve"> </w:t>
            </w:r>
            <w:r w:rsidRPr="00315FBE">
              <w:rPr>
                <w:rFonts w:eastAsiaTheme="minorHAnsi"/>
                <w:color w:val="000000"/>
                <w:sz w:val="20"/>
                <w:szCs w:val="20"/>
                <w:lang w:eastAsia="en-US" w:bidi="ar-SA"/>
              </w:rPr>
              <w:t>from transactions</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19,434,276</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14,293,808</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14,299,609</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10,349,537</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11,481,778</w:t>
            </w:r>
          </w:p>
        </w:tc>
      </w:tr>
      <w:tr w:rsidR="00315FBE" w:rsidRPr="00315FBE" w:rsidTr="00517CFF">
        <w:trPr>
          <w:trHeight w:val="60"/>
        </w:trPr>
        <w:tc>
          <w:tcPr>
            <w:tcW w:w="2689" w:type="dxa"/>
          </w:tcPr>
          <w:p w:rsidR="00315FBE" w:rsidRPr="00315FBE" w:rsidRDefault="00315FBE" w:rsidP="00315FBE">
            <w:pPr>
              <w:widowControl/>
              <w:suppressAutoHyphens/>
              <w:adjustRightInd w:val="0"/>
              <w:spacing w:after="113" w:line="220" w:lineRule="atLeas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Net result from transactions</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-1,641,891</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2,818,460</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1,513,479</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1,363,444</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-53,697</w:t>
            </w:r>
          </w:p>
        </w:tc>
      </w:tr>
      <w:tr w:rsidR="00315FBE" w:rsidRPr="00315FBE" w:rsidTr="00517CFF">
        <w:trPr>
          <w:trHeight w:val="60"/>
        </w:trPr>
        <w:tc>
          <w:tcPr>
            <w:tcW w:w="2689" w:type="dxa"/>
          </w:tcPr>
          <w:p w:rsidR="00315FBE" w:rsidRPr="00315FBE" w:rsidRDefault="00315FBE" w:rsidP="00315FBE">
            <w:pPr>
              <w:widowControl/>
              <w:suppressAutoHyphens/>
              <w:adjustRightInd w:val="0"/>
              <w:spacing w:after="113" w:line="220" w:lineRule="atLeas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Other economic flows included in net result</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-90,827</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-1,173</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-22,222</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-37,983</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-7,671</w:t>
            </w:r>
          </w:p>
        </w:tc>
      </w:tr>
      <w:tr w:rsidR="00315FBE" w:rsidRPr="00315FBE" w:rsidTr="00517CFF">
        <w:trPr>
          <w:trHeight w:val="60"/>
        </w:trPr>
        <w:tc>
          <w:tcPr>
            <w:tcW w:w="2689" w:type="dxa"/>
          </w:tcPr>
          <w:p w:rsidR="00315FBE" w:rsidRPr="00315FBE" w:rsidRDefault="00315FBE" w:rsidP="00315FBE">
            <w:pPr>
              <w:widowControl/>
              <w:suppressAutoHyphens/>
              <w:adjustRightInd w:val="0"/>
              <w:spacing w:after="113" w:line="220" w:lineRule="atLeas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Net cash flows</w:t>
            </w:r>
            <w:r>
              <w:rPr>
                <w:rFonts w:eastAsiaTheme="minorHAnsi"/>
                <w:color w:val="000000"/>
                <w:sz w:val="20"/>
                <w:szCs w:val="20"/>
                <w:lang w:eastAsia="en-US" w:bidi="ar-SA"/>
              </w:rPr>
              <w:t xml:space="preserve"> </w:t>
            </w:r>
            <w:r w:rsidRPr="00315FBE">
              <w:rPr>
                <w:rFonts w:eastAsiaTheme="minorHAnsi"/>
                <w:color w:val="000000"/>
                <w:sz w:val="20"/>
                <w:szCs w:val="20"/>
                <w:lang w:eastAsia="en-US" w:bidi="ar-SA"/>
              </w:rPr>
              <w:t>from operations</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-1,732,718</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2,817,287</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1,491,257</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1,325,461</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-61,368</w:t>
            </w:r>
          </w:p>
        </w:tc>
      </w:tr>
      <w:tr w:rsidR="00315FBE" w:rsidRPr="00315FBE" w:rsidTr="00517CFF">
        <w:trPr>
          <w:trHeight w:val="60"/>
        </w:trPr>
        <w:tc>
          <w:tcPr>
            <w:tcW w:w="2689" w:type="dxa"/>
          </w:tcPr>
          <w:p w:rsidR="00315FBE" w:rsidRPr="00315FBE" w:rsidRDefault="00315FBE" w:rsidP="00315FBE">
            <w:pPr>
              <w:widowControl/>
              <w:suppressAutoHyphens/>
              <w:adjustRightInd w:val="0"/>
              <w:spacing w:after="113" w:line="220" w:lineRule="atLeas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Total assets</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pacing w:val="-2"/>
                <w:sz w:val="20"/>
                <w:szCs w:val="20"/>
                <w:lang w:eastAsia="en-US" w:bidi="ar-SA"/>
              </w:rPr>
              <w:t>13,023,799</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13,799,370</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9,893,930</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7,460,460</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5,816,801</w:t>
            </w:r>
          </w:p>
        </w:tc>
      </w:tr>
      <w:tr w:rsidR="00315FBE" w:rsidRPr="00315FBE" w:rsidTr="00517CFF">
        <w:trPr>
          <w:trHeight w:val="60"/>
        </w:trPr>
        <w:tc>
          <w:tcPr>
            <w:tcW w:w="2689" w:type="dxa"/>
          </w:tcPr>
          <w:p w:rsidR="00315FBE" w:rsidRPr="00315FBE" w:rsidRDefault="00315FBE" w:rsidP="00315FBE">
            <w:pPr>
              <w:widowControl/>
              <w:suppressAutoHyphens/>
              <w:adjustRightInd w:val="0"/>
              <w:spacing w:after="113" w:line="220" w:lineRule="atLeas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Total liabilities</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4,885,613</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4,271,466</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3,619,993</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2,677,780</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color w:val="000000"/>
                <w:sz w:val="20"/>
                <w:szCs w:val="20"/>
                <w:lang w:eastAsia="en-US" w:bidi="ar-SA"/>
              </w:rPr>
            </w:pPr>
            <w:r w:rsidRPr="00315FBE">
              <w:rPr>
                <w:rFonts w:eastAsiaTheme="minorHAnsi"/>
                <w:color w:val="000000"/>
                <w:sz w:val="20"/>
                <w:szCs w:val="20"/>
                <w:lang w:eastAsia="en-US" w:bidi="ar-SA"/>
              </w:rPr>
              <w:t>2,359,582</w:t>
            </w:r>
          </w:p>
        </w:tc>
      </w:tr>
      <w:tr w:rsidR="00315FBE" w:rsidRPr="00315FBE" w:rsidTr="00517CFF">
        <w:trPr>
          <w:trHeight w:val="60"/>
        </w:trPr>
        <w:tc>
          <w:tcPr>
            <w:tcW w:w="2689" w:type="dxa"/>
          </w:tcPr>
          <w:p w:rsidR="00315FBE" w:rsidRPr="00315FBE" w:rsidRDefault="00315FBE" w:rsidP="00315FBE">
            <w:pPr>
              <w:widowControl/>
              <w:suppressAutoHyphens/>
              <w:adjustRightInd w:val="0"/>
              <w:spacing w:after="113" w:line="220" w:lineRule="atLeast"/>
              <w:textAlignment w:val="center"/>
              <w:rPr>
                <w:rFonts w:eastAsiaTheme="minorHAnsi"/>
                <w:b/>
                <w:bCs/>
                <w:color w:val="000000"/>
                <w:sz w:val="20"/>
                <w:szCs w:val="20"/>
                <w:lang w:eastAsia="en-US" w:bidi="ar-SA"/>
              </w:rPr>
            </w:pPr>
            <w:r w:rsidRPr="00315FBE">
              <w:rPr>
                <w:rFonts w:eastAsiaTheme="minorHAnsi"/>
                <w:b/>
                <w:bCs/>
                <w:color w:val="000000"/>
                <w:sz w:val="20"/>
                <w:szCs w:val="20"/>
                <w:lang w:eastAsia="en-US" w:bidi="ar-SA"/>
              </w:rPr>
              <w:t xml:space="preserve">Net worth </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b/>
                <w:bCs/>
                <w:color w:val="000000"/>
                <w:sz w:val="20"/>
                <w:szCs w:val="20"/>
                <w:lang w:eastAsia="en-US" w:bidi="ar-SA"/>
              </w:rPr>
            </w:pPr>
            <w:r w:rsidRPr="00315FBE">
              <w:rPr>
                <w:rFonts w:eastAsiaTheme="minorHAnsi"/>
                <w:b/>
                <w:bCs/>
                <w:color w:val="000000"/>
                <w:sz w:val="20"/>
                <w:szCs w:val="20"/>
                <w:lang w:eastAsia="en-US" w:bidi="ar-SA"/>
              </w:rPr>
              <w:t>8,138,186</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b/>
                <w:bCs/>
                <w:color w:val="000000"/>
                <w:sz w:val="20"/>
                <w:szCs w:val="20"/>
                <w:lang w:eastAsia="en-US" w:bidi="ar-SA"/>
              </w:rPr>
            </w:pPr>
            <w:r w:rsidRPr="00315FBE">
              <w:rPr>
                <w:rFonts w:eastAsiaTheme="minorHAnsi"/>
                <w:b/>
                <w:bCs/>
                <w:color w:val="000000"/>
                <w:sz w:val="20"/>
                <w:szCs w:val="20"/>
                <w:lang w:eastAsia="en-US" w:bidi="ar-SA"/>
              </w:rPr>
              <w:t>9,527,904</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b/>
                <w:bCs/>
                <w:color w:val="000000"/>
                <w:sz w:val="20"/>
                <w:szCs w:val="20"/>
                <w:lang w:eastAsia="en-US" w:bidi="ar-SA"/>
              </w:rPr>
            </w:pPr>
            <w:r w:rsidRPr="00315FBE">
              <w:rPr>
                <w:rFonts w:eastAsiaTheme="minorHAnsi"/>
                <w:b/>
                <w:bCs/>
                <w:color w:val="000000"/>
                <w:sz w:val="20"/>
                <w:szCs w:val="20"/>
                <w:lang w:eastAsia="en-US" w:bidi="ar-SA"/>
              </w:rPr>
              <w:t>6,273,937</w:t>
            </w:r>
          </w:p>
        </w:tc>
        <w:tc>
          <w:tcPr>
            <w:tcW w:w="1276" w:type="dxa"/>
          </w:tcPr>
          <w:p w:rsidR="00315FBE" w:rsidRPr="00315FBE" w:rsidRDefault="00315FBE" w:rsidP="00315FBE">
            <w:pPr>
              <w:widowControl/>
              <w:suppressAutoHyphens/>
              <w:adjustRightInd w:val="0"/>
              <w:spacing w:after="113" w:line="220" w:lineRule="atLeast"/>
              <w:jc w:val="right"/>
              <w:textAlignment w:val="center"/>
              <w:rPr>
                <w:rFonts w:eastAsiaTheme="minorHAnsi"/>
                <w:b/>
                <w:bCs/>
                <w:color w:val="000000"/>
                <w:sz w:val="20"/>
                <w:szCs w:val="20"/>
                <w:lang w:eastAsia="en-US" w:bidi="ar-SA"/>
              </w:rPr>
            </w:pPr>
            <w:r w:rsidRPr="00315FBE">
              <w:rPr>
                <w:rFonts w:eastAsiaTheme="minorHAnsi"/>
                <w:b/>
                <w:bCs/>
                <w:color w:val="000000"/>
                <w:sz w:val="20"/>
                <w:szCs w:val="20"/>
                <w:lang w:eastAsia="en-US" w:bidi="ar-SA"/>
              </w:rPr>
              <w:t>4,782,680</w:t>
            </w:r>
          </w:p>
        </w:tc>
        <w:tc>
          <w:tcPr>
            <w:tcW w:w="1275" w:type="dxa"/>
          </w:tcPr>
          <w:p w:rsidR="00315FBE" w:rsidRPr="00315FBE" w:rsidRDefault="00315FBE" w:rsidP="00315FBE">
            <w:pPr>
              <w:widowControl/>
              <w:suppressAutoHyphens/>
              <w:adjustRightInd w:val="0"/>
              <w:spacing w:after="113" w:line="220" w:lineRule="atLeast"/>
              <w:jc w:val="right"/>
              <w:textAlignment w:val="center"/>
              <w:rPr>
                <w:rFonts w:eastAsiaTheme="minorHAnsi"/>
                <w:b/>
                <w:bCs/>
                <w:color w:val="000000"/>
                <w:sz w:val="20"/>
                <w:szCs w:val="20"/>
                <w:lang w:eastAsia="en-US" w:bidi="ar-SA"/>
              </w:rPr>
            </w:pPr>
            <w:r w:rsidRPr="00315FBE">
              <w:rPr>
                <w:rFonts w:eastAsiaTheme="minorHAnsi"/>
                <w:b/>
                <w:bCs/>
                <w:color w:val="000000"/>
                <w:sz w:val="20"/>
                <w:szCs w:val="20"/>
                <w:lang w:eastAsia="en-US" w:bidi="ar-SA"/>
              </w:rPr>
              <w:t>3,457,219</w:t>
            </w:r>
          </w:p>
        </w:tc>
      </w:tr>
    </w:tbl>
    <w:p w:rsidR="00D54A12" w:rsidRDefault="00D54A12" w:rsidP="00D54A12">
      <w:pPr>
        <w:ind w:left="709" w:right="1278"/>
      </w:pPr>
    </w:p>
    <w:p w:rsidR="00D54A12" w:rsidRDefault="00D54A12" w:rsidP="00D54A12">
      <w:pPr>
        <w:ind w:left="709" w:right="1278"/>
      </w:pPr>
    </w:p>
    <w:p w:rsidR="00315FBE" w:rsidRDefault="00315FBE" w:rsidP="00D54A12">
      <w:pPr>
        <w:ind w:left="709" w:right="1278"/>
      </w:pPr>
    </w:p>
    <w:p w:rsidR="007A398D" w:rsidRDefault="007A398D" w:rsidP="00D54A12">
      <w:pPr>
        <w:ind w:left="709" w:right="1278"/>
      </w:pPr>
    </w:p>
    <w:p w:rsidR="007A398D" w:rsidRDefault="007A398D" w:rsidP="00D54A12">
      <w:pPr>
        <w:ind w:left="709" w:right="1278"/>
      </w:pPr>
    </w:p>
    <w:p w:rsidR="007A398D" w:rsidRDefault="007A398D" w:rsidP="00D54A12">
      <w:pPr>
        <w:ind w:left="709" w:right="1278"/>
      </w:pPr>
    </w:p>
    <w:p w:rsidR="007A398D" w:rsidRDefault="007A398D" w:rsidP="00D54A12">
      <w:pPr>
        <w:ind w:left="709" w:right="1278"/>
      </w:pPr>
    </w:p>
    <w:p w:rsidR="007A398D" w:rsidRDefault="007A398D" w:rsidP="00D54A12">
      <w:pPr>
        <w:ind w:left="709" w:right="1278"/>
      </w:pPr>
    </w:p>
    <w:p w:rsidR="007A398D" w:rsidRDefault="007A398D" w:rsidP="00D54A12">
      <w:pPr>
        <w:ind w:left="709" w:right="1278"/>
      </w:pPr>
    </w:p>
    <w:p w:rsidR="007A398D" w:rsidRDefault="007A398D" w:rsidP="00D54A12">
      <w:pPr>
        <w:ind w:left="709" w:right="1278"/>
      </w:pPr>
    </w:p>
    <w:p w:rsidR="007A398D" w:rsidRDefault="007A398D" w:rsidP="00D54A12">
      <w:pPr>
        <w:ind w:left="709" w:right="1278"/>
      </w:pPr>
    </w:p>
    <w:p w:rsidR="007A398D" w:rsidRDefault="007A398D" w:rsidP="00D54A12">
      <w:pPr>
        <w:ind w:left="709" w:right="1278"/>
      </w:pPr>
    </w:p>
    <w:p w:rsidR="007A398D" w:rsidRDefault="007A398D" w:rsidP="00D54A12">
      <w:pPr>
        <w:ind w:left="709" w:right="1278"/>
      </w:pPr>
    </w:p>
    <w:p w:rsidR="007A398D" w:rsidRDefault="007A398D" w:rsidP="00D54A12">
      <w:pPr>
        <w:ind w:left="709" w:right="1278"/>
      </w:pPr>
    </w:p>
    <w:p w:rsidR="007A398D" w:rsidRDefault="007A398D" w:rsidP="00D54A12">
      <w:pPr>
        <w:ind w:left="709" w:right="1278"/>
      </w:pPr>
    </w:p>
    <w:p w:rsidR="007A398D" w:rsidRDefault="007A398D" w:rsidP="00D54A12">
      <w:pPr>
        <w:ind w:left="709" w:right="1278"/>
      </w:pPr>
    </w:p>
    <w:p w:rsidR="007A398D" w:rsidRDefault="007A398D" w:rsidP="00D54A12">
      <w:pPr>
        <w:ind w:left="709" w:right="1278"/>
      </w:pPr>
    </w:p>
    <w:p w:rsidR="00517CFF" w:rsidRDefault="00517CFF" w:rsidP="00D54A12">
      <w:pPr>
        <w:ind w:left="709" w:right="1278"/>
      </w:pPr>
    </w:p>
    <w:p w:rsidR="00517CFF" w:rsidRDefault="00517CFF" w:rsidP="00D54A12">
      <w:pPr>
        <w:ind w:left="709" w:right="1278"/>
      </w:pPr>
    </w:p>
    <w:p w:rsidR="007A398D" w:rsidRDefault="007A398D" w:rsidP="007A398D">
      <w:pPr>
        <w:pStyle w:val="Heading4"/>
      </w:pPr>
      <w:r w:rsidRPr="007A398D">
        <w:t>Current financial year review and significant changes in financial position</w:t>
      </w:r>
    </w:p>
    <w:p w:rsidR="007A398D" w:rsidRPr="007A398D" w:rsidRDefault="007A398D" w:rsidP="007A398D"/>
    <w:p w:rsidR="007A398D" w:rsidRPr="007A398D" w:rsidRDefault="007A398D" w:rsidP="007A398D">
      <w:pPr>
        <w:pStyle w:val="BODY"/>
        <w:ind w:left="709" w:right="1278"/>
        <w:rPr>
          <w:rFonts w:ascii="Arial" w:hAnsi="Arial" w:cs="Arial"/>
          <w:sz w:val="20"/>
          <w:szCs w:val="20"/>
        </w:rPr>
      </w:pPr>
      <w:r w:rsidRPr="007A398D">
        <w:rPr>
          <w:rFonts w:ascii="Arial" w:hAnsi="Arial" w:cs="Arial"/>
          <w:sz w:val="20"/>
          <w:szCs w:val="20"/>
        </w:rPr>
        <w:t>In 2018–19, the VPSC produced a net result from transactions of $1.64 million. The deficit in net results from transactions is mainly due to the VLA, Executive Officer Review and Implementation, Graduate Recruitment Scheme and the Disability Workforce using funds received in prior financial years during 2018–19.</w:t>
      </w:r>
    </w:p>
    <w:p w:rsidR="007A398D" w:rsidRDefault="007A398D" w:rsidP="007A398D"/>
    <w:p w:rsidR="007A398D" w:rsidRDefault="007A398D" w:rsidP="007A398D">
      <w:pPr>
        <w:pStyle w:val="Heading4"/>
      </w:pPr>
      <w:r w:rsidRPr="007A398D">
        <w:t>Financial position – balance sheet</w:t>
      </w:r>
    </w:p>
    <w:p w:rsidR="007A398D" w:rsidRPr="007A398D" w:rsidRDefault="007A398D" w:rsidP="007A398D"/>
    <w:p w:rsidR="007A398D" w:rsidRPr="007A398D" w:rsidRDefault="007A398D" w:rsidP="007A398D">
      <w:pPr>
        <w:pStyle w:val="BODY"/>
        <w:ind w:left="709" w:right="1278"/>
        <w:rPr>
          <w:rFonts w:ascii="Arial" w:hAnsi="Arial" w:cs="Arial"/>
          <w:sz w:val="20"/>
          <w:szCs w:val="20"/>
        </w:rPr>
      </w:pPr>
      <w:r w:rsidRPr="007A398D">
        <w:rPr>
          <w:rFonts w:ascii="Arial" w:hAnsi="Arial" w:cs="Arial"/>
          <w:sz w:val="20"/>
          <w:szCs w:val="20"/>
        </w:rPr>
        <w:t>The VPSC’s net asset base as at 30 June 2019 is $8.13 million. This is a decrease of $1.40 million</w:t>
      </w:r>
      <w:r w:rsidR="003A789F">
        <w:rPr>
          <w:rFonts w:ascii="Arial" w:hAnsi="Arial" w:cs="Arial"/>
          <w:sz w:val="20"/>
          <w:szCs w:val="20"/>
        </w:rPr>
        <w:t xml:space="preserve"> </w:t>
      </w:r>
      <w:r w:rsidRPr="007A398D">
        <w:rPr>
          <w:rFonts w:ascii="Arial" w:hAnsi="Arial" w:cs="Arial"/>
          <w:sz w:val="20"/>
          <w:szCs w:val="20"/>
        </w:rPr>
        <w:t>from 2017–18. The lower net asset base has been primarily driven by the VPSC using prior year funds</w:t>
      </w:r>
      <w:r w:rsidR="003A789F">
        <w:rPr>
          <w:rFonts w:ascii="Arial" w:hAnsi="Arial" w:cs="Arial"/>
          <w:sz w:val="20"/>
          <w:szCs w:val="20"/>
        </w:rPr>
        <w:t xml:space="preserve"> </w:t>
      </w:r>
      <w:r w:rsidRPr="007A398D">
        <w:rPr>
          <w:rFonts w:ascii="Arial" w:hAnsi="Arial" w:cs="Arial"/>
          <w:sz w:val="20"/>
          <w:szCs w:val="20"/>
        </w:rPr>
        <w:t>for 2018–19 initiatives as outlined in the above section.</w:t>
      </w:r>
    </w:p>
    <w:p w:rsidR="007A398D" w:rsidRDefault="007A398D" w:rsidP="007A398D"/>
    <w:p w:rsidR="007A398D" w:rsidRPr="007A398D" w:rsidRDefault="007A398D" w:rsidP="007A398D">
      <w:pPr>
        <w:pStyle w:val="Heading4"/>
      </w:pPr>
      <w:r w:rsidRPr="007A398D">
        <w:t>Significant changes in the financial position and major changes affecting performance</w:t>
      </w:r>
    </w:p>
    <w:p w:rsidR="007A398D" w:rsidRDefault="007A398D" w:rsidP="007A398D"/>
    <w:p w:rsidR="007A398D" w:rsidRPr="007A398D" w:rsidRDefault="007A398D" w:rsidP="007A398D">
      <w:pPr>
        <w:pStyle w:val="BODY"/>
        <w:ind w:left="709" w:right="1278"/>
        <w:rPr>
          <w:rFonts w:ascii="Arial" w:hAnsi="Arial" w:cs="Arial"/>
          <w:sz w:val="20"/>
          <w:szCs w:val="20"/>
        </w:rPr>
      </w:pPr>
      <w:r w:rsidRPr="007A398D">
        <w:rPr>
          <w:rFonts w:ascii="Arial" w:hAnsi="Arial" w:cs="Arial"/>
          <w:sz w:val="20"/>
          <w:szCs w:val="20"/>
        </w:rPr>
        <w:t>There were no significant changes or major changes which affected the VPSC’s performance during</w:t>
      </w:r>
      <w:r w:rsidR="003A789F">
        <w:rPr>
          <w:rFonts w:ascii="Arial" w:hAnsi="Arial" w:cs="Arial"/>
          <w:sz w:val="20"/>
          <w:szCs w:val="20"/>
        </w:rPr>
        <w:t xml:space="preserve"> </w:t>
      </w:r>
      <w:r w:rsidRPr="007A398D">
        <w:rPr>
          <w:rFonts w:ascii="Arial" w:hAnsi="Arial" w:cs="Arial"/>
          <w:sz w:val="20"/>
          <w:szCs w:val="20"/>
        </w:rPr>
        <w:t>the reporting period.</w:t>
      </w:r>
    </w:p>
    <w:p w:rsidR="007A398D" w:rsidRDefault="007A398D" w:rsidP="007A398D"/>
    <w:p w:rsidR="007A398D" w:rsidRDefault="007A398D" w:rsidP="007A398D">
      <w:pPr>
        <w:pStyle w:val="Heading4"/>
      </w:pPr>
      <w:r w:rsidRPr="007A398D">
        <w:t>Capital projects</w:t>
      </w:r>
    </w:p>
    <w:p w:rsidR="007A398D" w:rsidRPr="007A398D" w:rsidRDefault="007A398D" w:rsidP="007A398D"/>
    <w:p w:rsidR="007A398D" w:rsidRPr="007A398D" w:rsidRDefault="007A398D" w:rsidP="007A398D">
      <w:pPr>
        <w:pStyle w:val="BODY"/>
        <w:ind w:left="709" w:right="1278"/>
        <w:rPr>
          <w:rFonts w:ascii="Arial" w:hAnsi="Arial" w:cs="Arial"/>
          <w:sz w:val="20"/>
          <w:szCs w:val="20"/>
        </w:rPr>
      </w:pPr>
      <w:r w:rsidRPr="007A398D">
        <w:rPr>
          <w:rFonts w:ascii="Arial" w:hAnsi="Arial" w:cs="Arial"/>
          <w:sz w:val="20"/>
          <w:szCs w:val="20"/>
        </w:rPr>
        <w:t>During 2018–19 financial year, the VPSC completed the below capital projects:</w:t>
      </w:r>
    </w:p>
    <w:p w:rsidR="007A398D" w:rsidRPr="007A398D" w:rsidRDefault="007A398D" w:rsidP="00943EBA">
      <w:pPr>
        <w:pStyle w:val="BULLETS"/>
        <w:numPr>
          <w:ilvl w:val="0"/>
          <w:numId w:val="21"/>
        </w:numPr>
        <w:ind w:right="1278"/>
        <w:rPr>
          <w:rFonts w:ascii="Arial" w:hAnsi="Arial" w:cs="Arial"/>
          <w:sz w:val="20"/>
          <w:szCs w:val="20"/>
        </w:rPr>
      </w:pPr>
      <w:r w:rsidRPr="007A398D">
        <w:rPr>
          <w:rFonts w:ascii="Arial" w:hAnsi="Arial" w:cs="Arial"/>
          <w:sz w:val="20"/>
          <w:szCs w:val="20"/>
        </w:rPr>
        <w:t>Victorian Government Career Portal</w:t>
      </w:r>
    </w:p>
    <w:p w:rsidR="007A398D" w:rsidRPr="007A398D" w:rsidRDefault="007A398D" w:rsidP="00943EBA">
      <w:pPr>
        <w:pStyle w:val="BULLETSEND"/>
        <w:numPr>
          <w:ilvl w:val="0"/>
          <w:numId w:val="21"/>
        </w:numPr>
        <w:ind w:right="1278"/>
        <w:rPr>
          <w:rFonts w:ascii="Arial" w:hAnsi="Arial" w:cs="Arial"/>
          <w:sz w:val="20"/>
          <w:szCs w:val="20"/>
        </w:rPr>
      </w:pPr>
      <w:proofErr w:type="spellStart"/>
      <w:r w:rsidRPr="007A398D">
        <w:rPr>
          <w:rFonts w:ascii="Arial" w:hAnsi="Arial" w:cs="Arial"/>
          <w:sz w:val="20"/>
          <w:szCs w:val="20"/>
        </w:rPr>
        <w:t>Statewide</w:t>
      </w:r>
      <w:proofErr w:type="spellEnd"/>
      <w:r w:rsidRPr="007A398D">
        <w:rPr>
          <w:rFonts w:ascii="Arial" w:hAnsi="Arial" w:cs="Arial"/>
          <w:sz w:val="20"/>
          <w:szCs w:val="20"/>
        </w:rPr>
        <w:t xml:space="preserve"> Workforce Data Analytics and Collection Application Project</w:t>
      </w:r>
    </w:p>
    <w:p w:rsidR="007A398D" w:rsidRDefault="007A398D" w:rsidP="007A398D"/>
    <w:p w:rsidR="007A398D" w:rsidRDefault="007A398D" w:rsidP="007A398D">
      <w:pPr>
        <w:pStyle w:val="Heading4"/>
      </w:pPr>
      <w:r w:rsidRPr="007A398D">
        <w:t>Disclosure of grants and transfer payments</w:t>
      </w:r>
    </w:p>
    <w:p w:rsidR="007A398D" w:rsidRPr="007A398D" w:rsidRDefault="007A398D" w:rsidP="007A398D"/>
    <w:p w:rsidR="007A398D" w:rsidRPr="007A398D" w:rsidRDefault="007A398D" w:rsidP="007A398D">
      <w:pPr>
        <w:pStyle w:val="BODY"/>
        <w:ind w:left="709" w:right="1278"/>
        <w:rPr>
          <w:rFonts w:ascii="Arial" w:hAnsi="Arial" w:cs="Arial"/>
          <w:sz w:val="20"/>
          <w:szCs w:val="20"/>
        </w:rPr>
      </w:pPr>
      <w:r w:rsidRPr="007A398D">
        <w:rPr>
          <w:rFonts w:ascii="Arial" w:hAnsi="Arial" w:cs="Arial"/>
          <w:sz w:val="20"/>
          <w:szCs w:val="20"/>
        </w:rPr>
        <w:t>The VPSC provided a $5,000 grant to the Victorian Public Sector Enablers Network.</w:t>
      </w:r>
    </w:p>
    <w:p w:rsidR="007A398D" w:rsidRDefault="007A398D" w:rsidP="007A398D"/>
    <w:p w:rsidR="007A398D" w:rsidRPr="007A398D" w:rsidRDefault="007A398D" w:rsidP="007A398D">
      <w:pPr>
        <w:pStyle w:val="Heading4"/>
      </w:pPr>
      <w:r w:rsidRPr="007A398D">
        <w:t>Subsequent events</w:t>
      </w:r>
    </w:p>
    <w:p w:rsidR="007A398D" w:rsidRDefault="007A398D" w:rsidP="007A398D"/>
    <w:p w:rsidR="007A398D" w:rsidRPr="007A398D" w:rsidRDefault="007A398D" w:rsidP="007A398D">
      <w:pPr>
        <w:pStyle w:val="BODY"/>
        <w:ind w:left="709" w:right="1278"/>
        <w:rPr>
          <w:rFonts w:ascii="Arial" w:hAnsi="Arial" w:cs="Arial"/>
          <w:sz w:val="20"/>
          <w:szCs w:val="20"/>
        </w:rPr>
      </w:pPr>
      <w:r w:rsidRPr="007A398D">
        <w:rPr>
          <w:rFonts w:ascii="Arial" w:hAnsi="Arial" w:cs="Arial"/>
          <w:sz w:val="20"/>
          <w:szCs w:val="20"/>
        </w:rPr>
        <w:t>There are no subsequent events to report.</w:t>
      </w:r>
    </w:p>
    <w:p w:rsidR="007A398D" w:rsidRPr="00D54A12" w:rsidRDefault="007A398D" w:rsidP="00D54A12">
      <w:pPr>
        <w:ind w:left="709" w:right="1278"/>
        <w:sectPr w:rsidR="007A398D" w:rsidRPr="00D54A12">
          <w:pgSz w:w="11910" w:h="16840"/>
          <w:pgMar w:top="560" w:right="0" w:bottom="680" w:left="0" w:header="0" w:footer="491" w:gutter="0"/>
          <w:cols w:space="720"/>
        </w:sectPr>
      </w:pPr>
    </w:p>
    <w:p w:rsidR="007A398D" w:rsidRDefault="007A398D" w:rsidP="007A398D">
      <w:pPr>
        <w:pStyle w:val="Heading1"/>
        <w:ind w:right="853"/>
      </w:pPr>
      <w:bookmarkStart w:id="12" w:name="_TOC_250007"/>
      <w:bookmarkStart w:id="13" w:name="_Toc23329718"/>
      <w:bookmarkEnd w:id="12"/>
      <w:r>
        <w:lastRenderedPageBreak/>
        <w:t>Section 2 – Governance and Organisational Structure</w:t>
      </w:r>
      <w:bookmarkEnd w:id="13"/>
    </w:p>
    <w:p w:rsidR="00A31CF1" w:rsidRPr="007A398D" w:rsidRDefault="00A31CF1" w:rsidP="00A31CF1"/>
    <w:p w:rsidR="00A31CF1" w:rsidRDefault="00A31CF1" w:rsidP="00A31CF1">
      <w:pPr>
        <w:pStyle w:val="Heading2"/>
        <w:ind w:right="1278"/>
      </w:pPr>
      <w:bookmarkStart w:id="14" w:name="_Toc23329719"/>
      <w:r w:rsidRPr="00A31CF1">
        <w:t>Ministers</w:t>
      </w:r>
      <w:bookmarkEnd w:id="14"/>
    </w:p>
    <w:p w:rsidR="00A31CF1" w:rsidRPr="00A31CF1" w:rsidRDefault="00A31CF1" w:rsidP="00A31CF1">
      <w:pPr>
        <w:ind w:right="1278"/>
      </w:pPr>
    </w:p>
    <w:p w:rsidR="00A31CF1" w:rsidRPr="00A31CF1" w:rsidRDefault="00A31CF1" w:rsidP="00A31CF1">
      <w:pPr>
        <w:pStyle w:val="BODY"/>
        <w:ind w:left="709" w:right="1278"/>
        <w:rPr>
          <w:rFonts w:ascii="Arial" w:hAnsi="Arial" w:cs="Arial"/>
          <w:sz w:val="20"/>
          <w:szCs w:val="20"/>
        </w:rPr>
      </w:pPr>
      <w:r w:rsidRPr="00A31CF1">
        <w:rPr>
          <w:rFonts w:ascii="Arial" w:hAnsi="Arial" w:cs="Arial"/>
          <w:sz w:val="20"/>
          <w:szCs w:val="20"/>
        </w:rPr>
        <w:t>The VPSC is overseen by the Special Minister of State, Mr Gavin Jennings, MLC. The Special Minister</w:t>
      </w:r>
      <w:r w:rsidRPr="00A31CF1">
        <w:rPr>
          <w:rFonts w:ascii="Arial" w:hAnsi="Arial" w:cs="Arial"/>
          <w:sz w:val="20"/>
          <w:szCs w:val="20"/>
        </w:rPr>
        <w:br/>
        <w:t>of State is responsible for government transparency, integrity, accountability and public sector</w:t>
      </w:r>
      <w:r w:rsidR="003A789F">
        <w:rPr>
          <w:rFonts w:ascii="Arial" w:hAnsi="Arial" w:cs="Arial"/>
          <w:sz w:val="20"/>
          <w:szCs w:val="20"/>
        </w:rPr>
        <w:t xml:space="preserve"> </w:t>
      </w:r>
      <w:r w:rsidRPr="00A31CF1">
        <w:rPr>
          <w:rFonts w:ascii="Arial" w:hAnsi="Arial" w:cs="Arial"/>
          <w:sz w:val="20"/>
          <w:szCs w:val="20"/>
        </w:rPr>
        <w:t>administration and reform.</w:t>
      </w:r>
    </w:p>
    <w:p w:rsidR="00A31CF1" w:rsidRPr="00A31CF1" w:rsidRDefault="00A31CF1" w:rsidP="00A31CF1">
      <w:pPr>
        <w:pStyle w:val="BODY"/>
        <w:ind w:left="709" w:right="1278"/>
        <w:rPr>
          <w:rFonts w:ascii="Arial" w:hAnsi="Arial" w:cs="Arial"/>
          <w:sz w:val="20"/>
          <w:szCs w:val="20"/>
        </w:rPr>
      </w:pPr>
      <w:r w:rsidRPr="00A31CF1">
        <w:rPr>
          <w:rFonts w:ascii="Arial" w:hAnsi="Arial" w:cs="Arial"/>
          <w:sz w:val="20"/>
          <w:szCs w:val="20"/>
        </w:rPr>
        <w:t>Under the Public Administration Act 2004, the Premier may direct the VPSC to conduct an inquiry</w:t>
      </w:r>
      <w:r w:rsidR="003A789F">
        <w:rPr>
          <w:rFonts w:ascii="Arial" w:hAnsi="Arial" w:cs="Arial"/>
          <w:sz w:val="20"/>
          <w:szCs w:val="20"/>
        </w:rPr>
        <w:t xml:space="preserve"> </w:t>
      </w:r>
      <w:r w:rsidRPr="00A31CF1">
        <w:rPr>
          <w:rFonts w:ascii="Arial" w:hAnsi="Arial" w:cs="Arial"/>
          <w:sz w:val="20"/>
          <w:szCs w:val="20"/>
        </w:rPr>
        <w:t>into any matter relating to a public sector body other than the:</w:t>
      </w:r>
    </w:p>
    <w:p w:rsidR="00A31CF1" w:rsidRPr="00A31CF1" w:rsidRDefault="00A31CF1" w:rsidP="00943EBA">
      <w:pPr>
        <w:pStyle w:val="BULLETS"/>
        <w:numPr>
          <w:ilvl w:val="0"/>
          <w:numId w:val="22"/>
        </w:numPr>
        <w:ind w:right="1278"/>
        <w:rPr>
          <w:rFonts w:ascii="Arial" w:hAnsi="Arial" w:cs="Arial"/>
          <w:sz w:val="20"/>
          <w:szCs w:val="20"/>
        </w:rPr>
      </w:pPr>
      <w:r w:rsidRPr="00A31CF1">
        <w:rPr>
          <w:rFonts w:ascii="Arial" w:hAnsi="Arial" w:cs="Arial"/>
          <w:sz w:val="20"/>
          <w:szCs w:val="20"/>
        </w:rPr>
        <w:t>Independent Broad-based Anti-Corruption Commission</w:t>
      </w:r>
    </w:p>
    <w:p w:rsidR="00A31CF1" w:rsidRPr="00A31CF1" w:rsidRDefault="00A31CF1" w:rsidP="00943EBA">
      <w:pPr>
        <w:pStyle w:val="BULLETS"/>
        <w:numPr>
          <w:ilvl w:val="0"/>
          <w:numId w:val="22"/>
        </w:numPr>
        <w:ind w:right="1278"/>
        <w:rPr>
          <w:rFonts w:ascii="Arial" w:hAnsi="Arial" w:cs="Arial"/>
          <w:sz w:val="20"/>
          <w:szCs w:val="20"/>
        </w:rPr>
      </w:pPr>
      <w:r w:rsidRPr="00A31CF1">
        <w:rPr>
          <w:rFonts w:ascii="Arial" w:hAnsi="Arial" w:cs="Arial"/>
          <w:sz w:val="20"/>
          <w:szCs w:val="20"/>
        </w:rPr>
        <w:t>Office of the Ombudsman</w:t>
      </w:r>
    </w:p>
    <w:p w:rsidR="00A31CF1" w:rsidRPr="00A31CF1" w:rsidRDefault="00A31CF1" w:rsidP="00943EBA">
      <w:pPr>
        <w:pStyle w:val="BULLETS"/>
        <w:numPr>
          <w:ilvl w:val="0"/>
          <w:numId w:val="22"/>
        </w:numPr>
        <w:ind w:right="1278"/>
        <w:rPr>
          <w:rFonts w:ascii="Arial" w:hAnsi="Arial" w:cs="Arial"/>
          <w:sz w:val="20"/>
          <w:szCs w:val="20"/>
        </w:rPr>
      </w:pPr>
      <w:r w:rsidRPr="00A31CF1">
        <w:rPr>
          <w:rFonts w:ascii="Arial" w:hAnsi="Arial" w:cs="Arial"/>
          <w:sz w:val="20"/>
          <w:szCs w:val="20"/>
        </w:rPr>
        <w:t>Victorian Auditor-General’s Office</w:t>
      </w:r>
    </w:p>
    <w:p w:rsidR="00A31CF1" w:rsidRPr="00A31CF1" w:rsidRDefault="00A31CF1" w:rsidP="00943EBA">
      <w:pPr>
        <w:pStyle w:val="BULLETS"/>
        <w:numPr>
          <w:ilvl w:val="0"/>
          <w:numId w:val="22"/>
        </w:numPr>
        <w:ind w:right="1278"/>
        <w:rPr>
          <w:rFonts w:ascii="Arial" w:hAnsi="Arial" w:cs="Arial"/>
          <w:sz w:val="20"/>
          <w:szCs w:val="20"/>
        </w:rPr>
      </w:pPr>
      <w:r w:rsidRPr="00A31CF1">
        <w:rPr>
          <w:rFonts w:ascii="Arial" w:hAnsi="Arial" w:cs="Arial"/>
          <w:sz w:val="20"/>
          <w:szCs w:val="20"/>
        </w:rPr>
        <w:t>Victorian Electoral Commission</w:t>
      </w:r>
    </w:p>
    <w:p w:rsidR="00A31CF1" w:rsidRDefault="00A31CF1" w:rsidP="00943EBA">
      <w:pPr>
        <w:pStyle w:val="BULLETSEND"/>
        <w:numPr>
          <w:ilvl w:val="0"/>
          <w:numId w:val="22"/>
        </w:numPr>
        <w:ind w:right="1278"/>
        <w:rPr>
          <w:rFonts w:ascii="Arial" w:hAnsi="Arial" w:cs="Arial"/>
          <w:sz w:val="20"/>
          <w:szCs w:val="20"/>
        </w:rPr>
      </w:pPr>
      <w:r w:rsidRPr="00A31CF1">
        <w:rPr>
          <w:rFonts w:ascii="Arial" w:hAnsi="Arial" w:cs="Arial"/>
          <w:sz w:val="20"/>
          <w:szCs w:val="20"/>
        </w:rPr>
        <w:t>Victorian Inspectorate.</w:t>
      </w:r>
    </w:p>
    <w:p w:rsidR="00A31CF1" w:rsidRDefault="00A31CF1" w:rsidP="00A31CF1">
      <w:pPr>
        <w:ind w:right="1278"/>
      </w:pPr>
    </w:p>
    <w:p w:rsidR="00A31CF1" w:rsidRDefault="00A31CF1" w:rsidP="00A31CF1">
      <w:pPr>
        <w:pStyle w:val="Heading2"/>
        <w:ind w:right="1278"/>
      </w:pPr>
      <w:bookmarkStart w:id="15" w:name="_Toc23329720"/>
      <w:r w:rsidRPr="00A31CF1">
        <w:t>Organisational Structure</w:t>
      </w:r>
      <w:bookmarkEnd w:id="15"/>
    </w:p>
    <w:p w:rsidR="00A31CF1" w:rsidRPr="00A31CF1" w:rsidRDefault="00A31CF1" w:rsidP="00A31CF1">
      <w:pPr>
        <w:ind w:right="1278"/>
      </w:pPr>
    </w:p>
    <w:p w:rsidR="00A31CF1" w:rsidRPr="00A31CF1" w:rsidRDefault="00A31CF1" w:rsidP="00A31CF1">
      <w:pPr>
        <w:pStyle w:val="BODY"/>
        <w:ind w:left="709" w:right="1278"/>
        <w:rPr>
          <w:rFonts w:ascii="Arial" w:hAnsi="Arial" w:cs="Arial"/>
          <w:sz w:val="20"/>
          <w:szCs w:val="20"/>
        </w:rPr>
      </w:pPr>
      <w:r w:rsidRPr="00A31CF1">
        <w:rPr>
          <w:rFonts w:ascii="Arial" w:hAnsi="Arial" w:cs="Arial"/>
          <w:sz w:val="20"/>
          <w:szCs w:val="20"/>
        </w:rPr>
        <w:t>The VPSC is led by the Commissioner. The Deputy Commissioner reports to the Commissioner.</w:t>
      </w:r>
    </w:p>
    <w:p w:rsidR="00A31CF1" w:rsidRPr="00A31CF1" w:rsidRDefault="00A31CF1" w:rsidP="00A31CF1">
      <w:pPr>
        <w:pStyle w:val="BODY"/>
        <w:ind w:left="709" w:right="1278"/>
        <w:rPr>
          <w:rFonts w:ascii="Arial" w:hAnsi="Arial" w:cs="Arial"/>
          <w:sz w:val="20"/>
          <w:szCs w:val="20"/>
        </w:rPr>
      </w:pPr>
      <w:r w:rsidRPr="00A31CF1">
        <w:rPr>
          <w:rFonts w:ascii="Arial" w:hAnsi="Arial" w:cs="Arial"/>
          <w:sz w:val="20"/>
          <w:szCs w:val="20"/>
        </w:rPr>
        <w:t>In 2018–19, the Commissioner and Deputy Commissioner were supported by the:</w:t>
      </w:r>
    </w:p>
    <w:p w:rsidR="00A31CF1" w:rsidRPr="00A31CF1" w:rsidRDefault="00A31CF1" w:rsidP="00943EBA">
      <w:pPr>
        <w:pStyle w:val="BULLETS"/>
        <w:numPr>
          <w:ilvl w:val="0"/>
          <w:numId w:val="23"/>
        </w:numPr>
        <w:ind w:right="1278"/>
        <w:rPr>
          <w:rFonts w:ascii="Arial" w:hAnsi="Arial" w:cs="Arial"/>
          <w:sz w:val="20"/>
          <w:szCs w:val="20"/>
        </w:rPr>
      </w:pPr>
      <w:r w:rsidRPr="00A31CF1">
        <w:rPr>
          <w:rFonts w:ascii="Arial" w:hAnsi="Arial" w:cs="Arial"/>
          <w:sz w:val="20"/>
          <w:szCs w:val="20"/>
        </w:rPr>
        <w:t>Executive Director, People and Analytics</w:t>
      </w:r>
    </w:p>
    <w:p w:rsidR="00A31CF1" w:rsidRPr="00A31CF1" w:rsidRDefault="00A31CF1" w:rsidP="00943EBA">
      <w:pPr>
        <w:pStyle w:val="BULLETS"/>
        <w:numPr>
          <w:ilvl w:val="0"/>
          <w:numId w:val="23"/>
        </w:numPr>
        <w:ind w:right="1278"/>
        <w:rPr>
          <w:rFonts w:ascii="Arial" w:hAnsi="Arial" w:cs="Arial"/>
          <w:sz w:val="20"/>
          <w:szCs w:val="20"/>
        </w:rPr>
      </w:pPr>
      <w:r w:rsidRPr="00A31CF1">
        <w:rPr>
          <w:rFonts w:ascii="Arial" w:hAnsi="Arial" w:cs="Arial"/>
          <w:sz w:val="20"/>
          <w:szCs w:val="20"/>
        </w:rPr>
        <w:t>Executive Director, Integrity and Advisory</w:t>
      </w:r>
    </w:p>
    <w:p w:rsidR="00A31CF1" w:rsidRPr="00A31CF1" w:rsidRDefault="00A31CF1" w:rsidP="00943EBA">
      <w:pPr>
        <w:pStyle w:val="BULLETS"/>
        <w:numPr>
          <w:ilvl w:val="0"/>
          <w:numId w:val="23"/>
        </w:numPr>
        <w:ind w:right="1278"/>
        <w:rPr>
          <w:rFonts w:ascii="Arial" w:hAnsi="Arial" w:cs="Arial"/>
          <w:sz w:val="20"/>
          <w:szCs w:val="20"/>
        </w:rPr>
      </w:pPr>
      <w:r w:rsidRPr="00A31CF1">
        <w:rPr>
          <w:rFonts w:ascii="Arial" w:hAnsi="Arial" w:cs="Arial"/>
          <w:sz w:val="20"/>
          <w:szCs w:val="20"/>
        </w:rPr>
        <w:t>Executive Director, Workforce and Engagement</w:t>
      </w:r>
    </w:p>
    <w:p w:rsidR="00A31CF1" w:rsidRPr="00A31CF1" w:rsidRDefault="00A31CF1" w:rsidP="00943EBA">
      <w:pPr>
        <w:pStyle w:val="BULLETS"/>
        <w:numPr>
          <w:ilvl w:val="0"/>
          <w:numId w:val="23"/>
        </w:numPr>
        <w:ind w:right="1278"/>
        <w:rPr>
          <w:rFonts w:ascii="Arial" w:hAnsi="Arial" w:cs="Arial"/>
          <w:sz w:val="20"/>
          <w:szCs w:val="20"/>
        </w:rPr>
      </w:pPr>
      <w:r w:rsidRPr="00A31CF1">
        <w:rPr>
          <w:rFonts w:ascii="Arial" w:hAnsi="Arial" w:cs="Arial"/>
          <w:sz w:val="20"/>
          <w:szCs w:val="20"/>
        </w:rPr>
        <w:t>Director, Victorian Leadership Academy</w:t>
      </w:r>
    </w:p>
    <w:p w:rsidR="00A31CF1" w:rsidRPr="00A31CF1" w:rsidRDefault="00A31CF1" w:rsidP="00943EBA">
      <w:pPr>
        <w:pStyle w:val="BULLETSEND"/>
        <w:numPr>
          <w:ilvl w:val="0"/>
          <w:numId w:val="23"/>
        </w:numPr>
        <w:ind w:right="1278"/>
        <w:rPr>
          <w:rFonts w:ascii="Arial" w:hAnsi="Arial" w:cs="Arial"/>
          <w:sz w:val="20"/>
          <w:szCs w:val="20"/>
        </w:rPr>
      </w:pPr>
      <w:r w:rsidRPr="00A31CF1">
        <w:rPr>
          <w:rFonts w:ascii="Arial" w:hAnsi="Arial" w:cs="Arial"/>
          <w:sz w:val="20"/>
          <w:szCs w:val="20"/>
        </w:rPr>
        <w:t>Manager, Governance and Corporate.</w:t>
      </w:r>
    </w:p>
    <w:p w:rsidR="00A31CF1" w:rsidRDefault="00A31CF1" w:rsidP="00A31CF1">
      <w:pPr>
        <w:pStyle w:val="Heading4"/>
        <w:ind w:right="1278"/>
      </w:pPr>
    </w:p>
    <w:p w:rsidR="00A31CF1" w:rsidRDefault="00A31CF1" w:rsidP="00A31CF1">
      <w:pPr>
        <w:pStyle w:val="Heading4"/>
        <w:ind w:right="1278"/>
      </w:pPr>
      <w:r w:rsidRPr="00A31CF1">
        <w:t>Dr Paul Grimes – Commissioner</w:t>
      </w:r>
    </w:p>
    <w:p w:rsidR="00A31CF1" w:rsidRPr="00A31CF1" w:rsidRDefault="00A31CF1" w:rsidP="00A31CF1">
      <w:pPr>
        <w:pStyle w:val="Heading4"/>
        <w:ind w:right="1278"/>
      </w:pPr>
    </w:p>
    <w:p w:rsidR="00A31CF1" w:rsidRPr="00A31CF1" w:rsidRDefault="00A31CF1" w:rsidP="00A31CF1">
      <w:pPr>
        <w:pStyle w:val="BODY"/>
        <w:ind w:left="709" w:right="1278"/>
        <w:rPr>
          <w:rFonts w:ascii="Arial" w:hAnsi="Arial" w:cs="Arial"/>
          <w:sz w:val="20"/>
          <w:szCs w:val="20"/>
        </w:rPr>
      </w:pPr>
      <w:r w:rsidRPr="00A31CF1">
        <w:rPr>
          <w:rFonts w:ascii="Arial" w:hAnsi="Arial" w:cs="Arial"/>
          <w:sz w:val="20"/>
          <w:szCs w:val="20"/>
        </w:rPr>
        <w:t>Dr Paul Grimes PSM was appointed Victorian Public Sector Commissioner in January 2018. A career public servant, Dr Grimes previously served as Secretary of the Australian Government Department of Agriculture and, earlier, Secretary of the Australian Government Department of Sustainability, Environment, Water, Population and Communities.</w:t>
      </w:r>
    </w:p>
    <w:p w:rsidR="00A31CF1" w:rsidRDefault="00A31CF1" w:rsidP="00A31CF1"/>
    <w:p w:rsidR="00A31CF1" w:rsidRDefault="00A31CF1" w:rsidP="00A31CF1">
      <w:pPr>
        <w:pStyle w:val="Heading4"/>
        <w:ind w:right="1278"/>
        <w:rPr>
          <w:vertAlign w:val="superscript"/>
        </w:rPr>
      </w:pPr>
      <w:r w:rsidRPr="00A31CF1">
        <w:t>Elizabeth Langdon – Deputy Commissioner</w:t>
      </w:r>
      <w:r w:rsidRPr="00A31CF1">
        <w:rPr>
          <w:vertAlign w:val="superscript"/>
        </w:rPr>
        <w:t>2</w:t>
      </w:r>
    </w:p>
    <w:p w:rsidR="00A31CF1" w:rsidRPr="00A31CF1" w:rsidRDefault="00A31CF1" w:rsidP="00A31CF1"/>
    <w:p w:rsidR="00A31CF1" w:rsidRPr="00A31CF1" w:rsidRDefault="00A31CF1" w:rsidP="00A31CF1">
      <w:pPr>
        <w:pStyle w:val="BODY"/>
        <w:ind w:left="709" w:right="1278"/>
        <w:rPr>
          <w:rFonts w:ascii="Arial" w:hAnsi="Arial" w:cs="Arial"/>
          <w:sz w:val="20"/>
          <w:szCs w:val="20"/>
        </w:rPr>
      </w:pPr>
      <w:r w:rsidRPr="00A31CF1">
        <w:rPr>
          <w:rFonts w:ascii="Arial" w:hAnsi="Arial" w:cs="Arial"/>
          <w:sz w:val="20"/>
          <w:szCs w:val="20"/>
        </w:rPr>
        <w:t>Elizabeth Langdon was appointed Deputy Commissioner in January 2018, following a seven-month period as Acting Commissioner. Ms Langdon joined the VPS in 2005, spending eight years in the Department of Premier and Cabinet (DPC) in policy and corporate leadership roles before moving to the then Department of Health in 2013 and subsequently to the role of Deputy Secretary, People, Capability and Oversight. Ms Langdon commenced a secondment as Deputy Secretary, Jobs and Skills Exchange, DPC on 17 June 2019.</w:t>
      </w:r>
    </w:p>
    <w:p w:rsidR="0051318F" w:rsidRDefault="0051318F">
      <w:pPr>
        <w:spacing w:line="249" w:lineRule="auto"/>
      </w:pPr>
    </w:p>
    <w:p w:rsidR="00A31CF1" w:rsidRDefault="00A31CF1">
      <w:pPr>
        <w:spacing w:line="249" w:lineRule="auto"/>
      </w:pPr>
    </w:p>
    <w:p w:rsidR="00A31CF1" w:rsidRDefault="00A31CF1" w:rsidP="00A31CF1">
      <w:pPr>
        <w:spacing w:line="249" w:lineRule="auto"/>
        <w:ind w:left="709" w:right="1278"/>
      </w:pPr>
    </w:p>
    <w:p w:rsidR="00A31CF1" w:rsidRPr="00A31CF1" w:rsidRDefault="00A31CF1" w:rsidP="00A31CF1">
      <w:pPr>
        <w:pStyle w:val="FOOTNOTE"/>
        <w:ind w:left="709" w:right="1278"/>
        <w:rPr>
          <w:rFonts w:ascii="Arial" w:hAnsi="Arial" w:cs="Arial"/>
          <w:sz w:val="20"/>
          <w:szCs w:val="20"/>
        </w:rPr>
      </w:pPr>
      <w:r w:rsidRPr="00A31CF1">
        <w:rPr>
          <w:rFonts w:ascii="Arial" w:hAnsi="Arial" w:cs="Arial"/>
          <w:sz w:val="20"/>
          <w:szCs w:val="20"/>
        </w:rPr>
        <w:t>2</w:t>
      </w:r>
      <w:r w:rsidRPr="00A31CF1">
        <w:rPr>
          <w:rFonts w:ascii="Arial" w:hAnsi="Arial" w:cs="Arial"/>
          <w:sz w:val="20"/>
          <w:szCs w:val="20"/>
        </w:rPr>
        <w:t> </w:t>
      </w:r>
      <w:r w:rsidRPr="00A31CF1">
        <w:rPr>
          <w:rFonts w:ascii="Arial" w:hAnsi="Arial" w:cs="Arial"/>
          <w:sz w:val="20"/>
          <w:szCs w:val="20"/>
        </w:rPr>
        <w:t>Julia Griffith, PSM, was seconded as Deputy Commissioner, VPSC from the Department of Justice and Community Safety, effective 17 June 2019.</w:t>
      </w:r>
    </w:p>
    <w:p w:rsidR="00A31CF1" w:rsidRDefault="00A31CF1">
      <w:pPr>
        <w:spacing w:line="249" w:lineRule="auto"/>
      </w:pPr>
    </w:p>
    <w:p w:rsidR="00A31CF1" w:rsidRDefault="00A31CF1">
      <w:pPr>
        <w:spacing w:line="249" w:lineRule="auto"/>
      </w:pPr>
    </w:p>
    <w:p w:rsidR="00A31CF1" w:rsidRDefault="00A31CF1">
      <w:pPr>
        <w:spacing w:line="249" w:lineRule="auto"/>
      </w:pPr>
    </w:p>
    <w:p w:rsidR="00A31CF1" w:rsidRDefault="00A31CF1">
      <w:pPr>
        <w:spacing w:line="249" w:lineRule="auto"/>
        <w:sectPr w:rsidR="00A31CF1">
          <w:pgSz w:w="11910" w:h="16840"/>
          <w:pgMar w:top="560" w:right="0" w:bottom="680" w:left="0" w:header="0" w:footer="490" w:gutter="0"/>
          <w:cols w:space="720"/>
        </w:sectPr>
      </w:pPr>
    </w:p>
    <w:p w:rsidR="00A31CF1" w:rsidRPr="00A31CF1" w:rsidRDefault="00A31CF1" w:rsidP="00A31CF1">
      <w:pPr>
        <w:pStyle w:val="Heading5"/>
        <w:ind w:left="709"/>
        <w:rPr>
          <w:rFonts w:ascii="Arial" w:hAnsi="Arial" w:cs="Arial"/>
          <w:i w:val="0"/>
          <w:iCs/>
        </w:rPr>
      </w:pPr>
      <w:bookmarkStart w:id="16" w:name="_bookmark5"/>
      <w:bookmarkEnd w:id="16"/>
      <w:r w:rsidRPr="00A31CF1">
        <w:rPr>
          <w:rFonts w:ascii="Arial" w:hAnsi="Arial" w:cs="Arial"/>
          <w:i w:val="0"/>
          <w:iCs/>
        </w:rPr>
        <w:lastRenderedPageBreak/>
        <w:t xml:space="preserve">VICTORIAN PUBLIC SECTOR COMMISSION ORGANISATIONAL CHART </w:t>
      </w:r>
    </w:p>
    <w:p w:rsidR="0051318F" w:rsidRDefault="0051318F">
      <w:pPr>
        <w:pStyle w:val="BodyText"/>
        <w:rPr>
          <w:color w:val="231F20"/>
        </w:rPr>
      </w:pPr>
    </w:p>
    <w:p w:rsidR="00A31CF1" w:rsidRDefault="00A31CF1" w:rsidP="00A31CF1">
      <w:pPr>
        <w:pStyle w:val="BodyText"/>
        <w:ind w:left="709"/>
        <w:rPr>
          <w:color w:val="231F20"/>
        </w:rPr>
      </w:pPr>
      <w:r>
        <w:rPr>
          <w:noProof/>
          <w:color w:val="231F20"/>
        </w:rPr>
        <w:drawing>
          <wp:inline distT="0" distB="0" distL="0" distR="0">
            <wp:extent cx="5190067" cy="415283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Org-chart_2018-19_v1.ai"/>
                    <pic:cNvPicPr/>
                  </pic:nvPicPr>
                  <pic:blipFill rotWithShape="1">
                    <a:blip r:embed="rId11">
                      <a:extLst>
                        <a:ext uri="{28A0092B-C50C-407E-A947-70E740481C1C}">
                          <a14:useLocalDpi xmlns:a14="http://schemas.microsoft.com/office/drawing/2010/main" val="0"/>
                        </a:ext>
                      </a:extLst>
                    </a:blip>
                    <a:srcRect t="8188" b="18792"/>
                    <a:stretch/>
                  </pic:blipFill>
                  <pic:spPr bwMode="auto">
                    <a:xfrm>
                      <a:off x="0" y="0"/>
                      <a:ext cx="5230274" cy="4185001"/>
                    </a:xfrm>
                    <a:prstGeom prst="rect">
                      <a:avLst/>
                    </a:prstGeom>
                    <a:ln>
                      <a:noFill/>
                    </a:ln>
                    <a:extLst>
                      <a:ext uri="{53640926-AAD7-44D8-BBD7-CCE9431645EC}">
                        <a14:shadowObscured xmlns:a14="http://schemas.microsoft.com/office/drawing/2010/main"/>
                      </a:ext>
                    </a:extLst>
                  </pic:spPr>
                </pic:pic>
              </a:graphicData>
            </a:graphic>
          </wp:inline>
        </w:drawing>
      </w:r>
    </w:p>
    <w:p w:rsidR="00A31CF1" w:rsidRDefault="00A31CF1">
      <w:pPr>
        <w:pStyle w:val="BodyText"/>
        <w:rPr>
          <w:color w:val="231F20"/>
        </w:rPr>
      </w:pPr>
    </w:p>
    <w:p w:rsidR="00A31CF1" w:rsidRDefault="00A31CF1">
      <w:pPr>
        <w:pStyle w:val="BodyText"/>
        <w:rPr>
          <w:color w:val="231F20"/>
        </w:rPr>
      </w:pPr>
    </w:p>
    <w:p w:rsidR="00A31CF1" w:rsidRDefault="00A31CF1">
      <w:pPr>
        <w:pStyle w:val="BodyText"/>
        <w:rPr>
          <w:color w:val="231F20"/>
        </w:rPr>
      </w:pPr>
    </w:p>
    <w:p w:rsidR="00A31CF1" w:rsidRDefault="00A31CF1">
      <w:pPr>
        <w:pStyle w:val="BodyText"/>
        <w:rPr>
          <w:color w:val="231F20"/>
        </w:rPr>
      </w:pPr>
    </w:p>
    <w:p w:rsidR="0051318F" w:rsidRDefault="0051318F">
      <w:pPr>
        <w:spacing w:line="249" w:lineRule="auto"/>
        <w:sectPr w:rsidR="0051318F">
          <w:type w:val="continuous"/>
          <w:pgSz w:w="11910" w:h="16840"/>
          <w:pgMar w:top="540" w:right="0" w:bottom="280" w:left="0" w:header="720" w:footer="720" w:gutter="0"/>
          <w:cols w:space="720"/>
        </w:sectPr>
      </w:pPr>
    </w:p>
    <w:p w:rsidR="00077D30" w:rsidRPr="00077D30" w:rsidRDefault="00077D30" w:rsidP="00077D30">
      <w:pPr>
        <w:pStyle w:val="Heading2"/>
        <w:rPr>
          <w:lang w:eastAsia="en-US" w:bidi="ar-SA"/>
        </w:rPr>
      </w:pPr>
      <w:bookmarkStart w:id="17" w:name="_TOC_250006"/>
      <w:bookmarkStart w:id="18" w:name="_Toc23329721"/>
      <w:bookmarkEnd w:id="17"/>
      <w:r>
        <w:rPr>
          <w:lang w:eastAsia="en-US" w:bidi="ar-SA"/>
        </w:rPr>
        <w:lastRenderedPageBreak/>
        <w:t>2</w:t>
      </w:r>
      <w:r w:rsidRPr="00077D30">
        <w:rPr>
          <w:lang w:eastAsia="en-US" w:bidi="ar-SA"/>
        </w:rPr>
        <w:t>018–19 Governance</w:t>
      </w:r>
      <w:bookmarkEnd w:id="18"/>
    </w:p>
    <w:p w:rsidR="00077D30" w:rsidRDefault="00077D30" w:rsidP="00077D30">
      <w:pPr>
        <w:rPr>
          <w:lang w:eastAsia="en-US" w:bidi="ar-SA"/>
        </w:rPr>
      </w:pPr>
    </w:p>
    <w:p w:rsidR="00077D30" w:rsidRPr="00077D30" w:rsidRDefault="00077D30" w:rsidP="00077D30">
      <w:pPr>
        <w:pStyle w:val="Heading3"/>
        <w:rPr>
          <w:lang w:eastAsia="en-US" w:bidi="ar-SA"/>
        </w:rPr>
      </w:pPr>
      <w:r w:rsidRPr="00077D30">
        <w:rPr>
          <w:lang w:eastAsia="en-US" w:bidi="ar-SA"/>
        </w:rPr>
        <w:t>Audit and Risk Management Committee Membership and Roles</w:t>
      </w:r>
    </w:p>
    <w:p w:rsidR="00077D30" w:rsidRDefault="00077D30" w:rsidP="00077D30">
      <w:pPr>
        <w:rPr>
          <w:lang w:eastAsia="en-US" w:bidi="ar-SA"/>
        </w:rPr>
      </w:pPr>
    </w:p>
    <w:p w:rsidR="00077D30" w:rsidRPr="00077D30" w:rsidRDefault="00077D30"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077D30">
        <w:rPr>
          <w:rFonts w:eastAsiaTheme="minorHAnsi"/>
          <w:color w:val="000000"/>
          <w:sz w:val="20"/>
          <w:szCs w:val="20"/>
          <w:lang w:eastAsia="en-US" w:bidi="ar-SA"/>
        </w:rPr>
        <w:t>The Audit and Risk Management Committee (ARMC) consists of the following members:</w:t>
      </w:r>
    </w:p>
    <w:p w:rsidR="00077D30" w:rsidRPr="00077D30" w:rsidRDefault="00077D30"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077D30">
        <w:rPr>
          <w:rFonts w:eastAsiaTheme="minorHAnsi"/>
          <w:b/>
          <w:bCs/>
          <w:color w:val="000000"/>
          <w:sz w:val="20"/>
          <w:szCs w:val="20"/>
          <w:lang w:eastAsia="en-US" w:bidi="ar-SA"/>
        </w:rPr>
        <w:t>Chairperson:</w:t>
      </w:r>
      <w:r w:rsidRPr="00077D30">
        <w:rPr>
          <w:rFonts w:eastAsiaTheme="minorHAnsi"/>
          <w:color w:val="000000"/>
          <w:sz w:val="20"/>
          <w:szCs w:val="20"/>
          <w:lang w:eastAsia="en-US" w:bidi="ar-SA"/>
        </w:rPr>
        <w:t xml:space="preserve"> </w:t>
      </w:r>
      <w:proofErr w:type="spellStart"/>
      <w:r w:rsidRPr="00077D30">
        <w:rPr>
          <w:rFonts w:eastAsiaTheme="minorHAnsi"/>
          <w:color w:val="000000"/>
          <w:sz w:val="20"/>
          <w:szCs w:val="20"/>
          <w:lang w:eastAsia="en-US" w:bidi="ar-SA"/>
        </w:rPr>
        <w:t>Merran</w:t>
      </w:r>
      <w:proofErr w:type="spellEnd"/>
      <w:r w:rsidRPr="00077D30">
        <w:rPr>
          <w:rFonts w:eastAsiaTheme="minorHAnsi"/>
          <w:color w:val="000000"/>
          <w:sz w:val="20"/>
          <w:szCs w:val="20"/>
          <w:lang w:eastAsia="en-US" w:bidi="ar-SA"/>
        </w:rPr>
        <w:t xml:space="preserve"> Kelsall – independent member</w:t>
      </w:r>
    </w:p>
    <w:p w:rsidR="00077D30" w:rsidRPr="00077D30" w:rsidRDefault="00077D30"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077D30">
        <w:rPr>
          <w:rFonts w:eastAsiaTheme="minorHAnsi"/>
          <w:b/>
          <w:bCs/>
          <w:color w:val="000000"/>
          <w:sz w:val="20"/>
          <w:szCs w:val="20"/>
          <w:lang w:eastAsia="en-US" w:bidi="ar-SA"/>
        </w:rPr>
        <w:t>Members:</w:t>
      </w:r>
      <w:r w:rsidRPr="00077D30">
        <w:rPr>
          <w:rFonts w:eastAsiaTheme="minorHAnsi"/>
          <w:color w:val="000000"/>
          <w:sz w:val="20"/>
          <w:szCs w:val="20"/>
          <w:lang w:eastAsia="en-US" w:bidi="ar-SA"/>
        </w:rPr>
        <w:t xml:space="preserve"> Shaun Condron – Chief Financial Officer, Department of Transport</w:t>
      </w:r>
      <w:r w:rsidR="00786F08">
        <w:rPr>
          <w:rFonts w:eastAsiaTheme="minorHAnsi"/>
          <w:color w:val="000000"/>
          <w:sz w:val="20"/>
          <w:szCs w:val="20"/>
          <w:lang w:eastAsia="en-US" w:bidi="ar-SA"/>
        </w:rPr>
        <w:t xml:space="preserve">, </w:t>
      </w:r>
      <w:r w:rsidRPr="00077D30">
        <w:rPr>
          <w:rFonts w:eastAsiaTheme="minorHAnsi"/>
          <w:color w:val="000000"/>
          <w:sz w:val="20"/>
          <w:szCs w:val="20"/>
          <w:lang w:eastAsia="en-US" w:bidi="ar-SA"/>
        </w:rPr>
        <w:t>Alison Abud – Project Manager, Executive Development,</w:t>
      </w:r>
      <w:r w:rsidR="00786F08">
        <w:rPr>
          <w:rFonts w:eastAsiaTheme="minorHAnsi"/>
          <w:color w:val="000000"/>
          <w:sz w:val="20"/>
          <w:szCs w:val="20"/>
          <w:lang w:eastAsia="en-US" w:bidi="ar-SA"/>
        </w:rPr>
        <w:t xml:space="preserve"> </w:t>
      </w:r>
      <w:r w:rsidRPr="00077D30">
        <w:rPr>
          <w:rFonts w:eastAsiaTheme="minorHAnsi"/>
          <w:color w:val="000000"/>
          <w:sz w:val="20"/>
          <w:szCs w:val="20"/>
          <w:lang w:eastAsia="en-US" w:bidi="ar-SA"/>
        </w:rPr>
        <w:t>Victorian Leadership Academy, VPSC</w:t>
      </w:r>
      <w:r w:rsidRPr="00077D30">
        <w:rPr>
          <w:rFonts w:eastAsiaTheme="minorHAnsi"/>
          <w:color w:val="000000"/>
          <w:sz w:val="20"/>
          <w:szCs w:val="20"/>
          <w:vertAlign w:val="superscript"/>
          <w:lang w:eastAsia="en-US" w:bidi="ar-SA"/>
        </w:rPr>
        <w:t>3</w:t>
      </w:r>
    </w:p>
    <w:p w:rsidR="00077D30" w:rsidRPr="00077D30" w:rsidRDefault="00077D30"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077D30">
        <w:rPr>
          <w:rFonts w:eastAsiaTheme="minorHAnsi"/>
          <w:color w:val="000000"/>
          <w:sz w:val="20"/>
          <w:szCs w:val="20"/>
          <w:lang w:eastAsia="en-US" w:bidi="ar-SA"/>
        </w:rPr>
        <w:t>The main responsibilities of the ARMC are to:</w:t>
      </w:r>
    </w:p>
    <w:p w:rsidR="00077D30" w:rsidRPr="00077D30" w:rsidRDefault="00077D30" w:rsidP="00943EBA">
      <w:pPr>
        <w:pStyle w:val="ListParagraph"/>
        <w:widowControl/>
        <w:numPr>
          <w:ilvl w:val="0"/>
          <w:numId w:val="24"/>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077D30">
        <w:rPr>
          <w:rFonts w:eastAsiaTheme="minorHAnsi"/>
          <w:color w:val="000000"/>
          <w:sz w:val="20"/>
          <w:szCs w:val="20"/>
          <w:lang w:eastAsia="en-US" w:bidi="ar-SA"/>
        </w:rPr>
        <w:t>Review and report independently to the Commissioner and ministers on the annual report</w:t>
      </w:r>
      <w:r w:rsidR="003A789F">
        <w:rPr>
          <w:rFonts w:eastAsiaTheme="minorHAnsi"/>
          <w:color w:val="000000"/>
          <w:sz w:val="20"/>
          <w:szCs w:val="20"/>
          <w:lang w:eastAsia="en-US" w:bidi="ar-SA"/>
        </w:rPr>
        <w:t xml:space="preserve"> </w:t>
      </w:r>
      <w:r w:rsidRPr="00077D30">
        <w:rPr>
          <w:rFonts w:eastAsiaTheme="minorHAnsi"/>
          <w:color w:val="000000"/>
          <w:sz w:val="20"/>
          <w:szCs w:val="20"/>
          <w:lang w:eastAsia="en-US" w:bidi="ar-SA"/>
        </w:rPr>
        <w:t>and all other financial information published by the VPSC.</w:t>
      </w:r>
    </w:p>
    <w:p w:rsidR="00077D30" w:rsidRPr="00077D30" w:rsidRDefault="00077D30" w:rsidP="00943EBA">
      <w:pPr>
        <w:pStyle w:val="ListParagraph"/>
        <w:widowControl/>
        <w:numPr>
          <w:ilvl w:val="0"/>
          <w:numId w:val="24"/>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077D30">
        <w:rPr>
          <w:rFonts w:eastAsiaTheme="minorHAnsi"/>
          <w:color w:val="000000"/>
          <w:sz w:val="20"/>
          <w:szCs w:val="20"/>
          <w:lang w:eastAsia="en-US" w:bidi="ar-SA"/>
        </w:rPr>
        <w:t>Assist the Commissioner and ministers in reviewing the effectiveness of the VPSC’s internal control environment covering:</w:t>
      </w:r>
    </w:p>
    <w:p w:rsidR="00077D30" w:rsidRPr="00786F08" w:rsidRDefault="00077D30" w:rsidP="00943EBA">
      <w:pPr>
        <w:pStyle w:val="ListParagraph"/>
        <w:widowControl/>
        <w:numPr>
          <w:ilvl w:val="1"/>
          <w:numId w:val="24"/>
        </w:numPr>
        <w:tabs>
          <w:tab w:val="left" w:pos="227"/>
          <w:tab w:val="left" w:pos="283"/>
        </w:tabs>
        <w:suppressAutoHyphens/>
        <w:adjustRightInd w:val="0"/>
        <w:spacing w:after="57" w:line="220" w:lineRule="atLeast"/>
        <w:ind w:right="1137"/>
        <w:textAlignment w:val="center"/>
        <w:rPr>
          <w:rFonts w:eastAsiaTheme="minorHAnsi"/>
          <w:color w:val="000000"/>
          <w:sz w:val="20"/>
          <w:szCs w:val="20"/>
          <w:lang w:eastAsia="en-US" w:bidi="ar-SA"/>
        </w:rPr>
      </w:pPr>
      <w:r w:rsidRPr="00786F08">
        <w:rPr>
          <w:rFonts w:eastAsiaTheme="minorHAnsi"/>
          <w:color w:val="000000"/>
          <w:sz w:val="20"/>
          <w:szCs w:val="20"/>
          <w:lang w:eastAsia="en-US" w:bidi="ar-SA"/>
        </w:rPr>
        <w:t>effectiveness and efficiency of operations</w:t>
      </w:r>
    </w:p>
    <w:p w:rsidR="00786F08" w:rsidRDefault="00077D30" w:rsidP="00943EBA">
      <w:pPr>
        <w:pStyle w:val="ListParagraph"/>
        <w:widowControl/>
        <w:numPr>
          <w:ilvl w:val="1"/>
          <w:numId w:val="24"/>
        </w:numPr>
        <w:tabs>
          <w:tab w:val="left" w:pos="227"/>
          <w:tab w:val="left" w:pos="283"/>
        </w:tabs>
        <w:suppressAutoHyphens/>
        <w:adjustRightInd w:val="0"/>
        <w:spacing w:after="57" w:line="220" w:lineRule="atLeast"/>
        <w:ind w:right="1137"/>
        <w:textAlignment w:val="center"/>
        <w:rPr>
          <w:rFonts w:eastAsiaTheme="minorHAnsi"/>
          <w:color w:val="000000"/>
          <w:sz w:val="20"/>
          <w:szCs w:val="20"/>
          <w:lang w:eastAsia="en-US" w:bidi="ar-SA"/>
        </w:rPr>
      </w:pPr>
      <w:r w:rsidRPr="00786F08">
        <w:rPr>
          <w:rFonts w:eastAsiaTheme="minorHAnsi"/>
          <w:color w:val="000000"/>
          <w:sz w:val="20"/>
          <w:szCs w:val="20"/>
          <w:lang w:eastAsia="en-US" w:bidi="ar-SA"/>
        </w:rPr>
        <w:t>reliability of financial reporting</w:t>
      </w:r>
    </w:p>
    <w:p w:rsidR="00077D30" w:rsidRPr="00786F08" w:rsidRDefault="00077D30" w:rsidP="00943EBA">
      <w:pPr>
        <w:pStyle w:val="ListParagraph"/>
        <w:widowControl/>
        <w:numPr>
          <w:ilvl w:val="1"/>
          <w:numId w:val="24"/>
        </w:numPr>
        <w:tabs>
          <w:tab w:val="left" w:pos="227"/>
          <w:tab w:val="left" w:pos="283"/>
        </w:tabs>
        <w:suppressAutoHyphens/>
        <w:adjustRightInd w:val="0"/>
        <w:spacing w:after="57" w:line="220" w:lineRule="atLeast"/>
        <w:ind w:right="1137"/>
        <w:textAlignment w:val="center"/>
        <w:rPr>
          <w:rFonts w:eastAsiaTheme="minorHAnsi"/>
          <w:color w:val="000000"/>
          <w:sz w:val="20"/>
          <w:szCs w:val="20"/>
          <w:lang w:eastAsia="en-US" w:bidi="ar-SA"/>
        </w:rPr>
      </w:pPr>
      <w:r w:rsidRPr="00786F08">
        <w:rPr>
          <w:sz w:val="20"/>
          <w:szCs w:val="20"/>
          <w:lang w:eastAsia="en-US" w:bidi="ar-SA"/>
        </w:rPr>
        <w:t>compliance with applicable laws and regulations.</w:t>
      </w:r>
      <w:r w:rsidR="00786F08" w:rsidRPr="00786F08">
        <w:rPr>
          <w:sz w:val="20"/>
          <w:szCs w:val="20"/>
          <w:lang w:eastAsia="en-US" w:bidi="ar-SA"/>
        </w:rPr>
        <w:br/>
      </w:r>
    </w:p>
    <w:p w:rsidR="00077D30" w:rsidRPr="00786F08" w:rsidRDefault="00077D30" w:rsidP="00943EBA">
      <w:pPr>
        <w:pStyle w:val="ListParagraph"/>
        <w:widowControl/>
        <w:numPr>
          <w:ilvl w:val="0"/>
          <w:numId w:val="25"/>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86F08">
        <w:rPr>
          <w:rFonts w:eastAsiaTheme="minorHAnsi"/>
          <w:color w:val="000000"/>
          <w:sz w:val="20"/>
          <w:szCs w:val="20"/>
          <w:lang w:eastAsia="en-US" w:bidi="ar-SA"/>
        </w:rPr>
        <w:t>Determine the scope of the internal audit function and ensure its resources are adequate</w:t>
      </w:r>
      <w:r w:rsidR="00786F08" w:rsidRPr="00786F08">
        <w:rPr>
          <w:rFonts w:eastAsiaTheme="minorHAnsi"/>
          <w:color w:val="000000"/>
          <w:sz w:val="20"/>
          <w:szCs w:val="20"/>
          <w:lang w:eastAsia="en-US" w:bidi="ar-SA"/>
        </w:rPr>
        <w:t xml:space="preserve"> </w:t>
      </w:r>
      <w:r w:rsidRPr="00786F08">
        <w:rPr>
          <w:rFonts w:eastAsiaTheme="minorHAnsi"/>
          <w:color w:val="000000"/>
          <w:sz w:val="20"/>
          <w:szCs w:val="20"/>
          <w:lang w:eastAsia="en-US" w:bidi="ar-SA"/>
        </w:rPr>
        <w:t>and used effectively, including coordination with the external auditors.</w:t>
      </w:r>
    </w:p>
    <w:p w:rsidR="00077D30" w:rsidRPr="00786F08" w:rsidRDefault="00077D30" w:rsidP="00943EBA">
      <w:pPr>
        <w:pStyle w:val="ListParagraph"/>
        <w:widowControl/>
        <w:numPr>
          <w:ilvl w:val="0"/>
          <w:numId w:val="25"/>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86F08">
        <w:rPr>
          <w:rFonts w:eastAsiaTheme="minorHAnsi"/>
          <w:color w:val="000000"/>
          <w:sz w:val="20"/>
          <w:szCs w:val="20"/>
          <w:lang w:eastAsia="en-US" w:bidi="ar-SA"/>
        </w:rPr>
        <w:t>Maintain effective communication with external auditors.</w:t>
      </w:r>
    </w:p>
    <w:p w:rsidR="00077D30" w:rsidRPr="00786F08" w:rsidRDefault="00077D30" w:rsidP="00943EBA">
      <w:pPr>
        <w:pStyle w:val="ListParagraph"/>
        <w:widowControl/>
        <w:numPr>
          <w:ilvl w:val="0"/>
          <w:numId w:val="25"/>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86F08">
        <w:rPr>
          <w:rFonts w:eastAsiaTheme="minorHAnsi"/>
          <w:color w:val="000000"/>
          <w:sz w:val="20"/>
          <w:szCs w:val="20"/>
          <w:lang w:eastAsia="en-US" w:bidi="ar-SA"/>
        </w:rPr>
        <w:t>Consider recommendations made by internal and external auditors and review the implementation</w:t>
      </w:r>
      <w:r w:rsidR="00786F08" w:rsidRPr="00786F08">
        <w:rPr>
          <w:rFonts w:eastAsiaTheme="minorHAnsi"/>
          <w:color w:val="000000"/>
          <w:sz w:val="20"/>
          <w:szCs w:val="20"/>
          <w:lang w:eastAsia="en-US" w:bidi="ar-SA"/>
        </w:rPr>
        <w:t xml:space="preserve"> </w:t>
      </w:r>
      <w:r w:rsidRPr="00786F08">
        <w:rPr>
          <w:rFonts w:eastAsiaTheme="minorHAnsi"/>
          <w:color w:val="000000"/>
          <w:sz w:val="20"/>
          <w:szCs w:val="20"/>
          <w:lang w:eastAsia="en-US" w:bidi="ar-SA"/>
        </w:rPr>
        <w:t>of actions to resolve issues raised.</w:t>
      </w:r>
    </w:p>
    <w:p w:rsidR="00077D30" w:rsidRPr="00786F08" w:rsidRDefault="00077D30" w:rsidP="00943EBA">
      <w:pPr>
        <w:pStyle w:val="ListParagraph"/>
        <w:widowControl/>
        <w:numPr>
          <w:ilvl w:val="0"/>
          <w:numId w:val="25"/>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786F08">
        <w:rPr>
          <w:rFonts w:eastAsiaTheme="minorHAnsi"/>
          <w:color w:val="000000"/>
          <w:sz w:val="20"/>
          <w:szCs w:val="20"/>
          <w:lang w:eastAsia="en-US" w:bidi="ar-SA"/>
        </w:rPr>
        <w:t>Oversee the effective operation of the risk management framework.</w:t>
      </w:r>
    </w:p>
    <w:p w:rsidR="00077D30" w:rsidRDefault="00077D30" w:rsidP="00077D30">
      <w:pPr>
        <w:rPr>
          <w:lang w:eastAsia="en-US" w:bidi="ar-SA"/>
        </w:rPr>
      </w:pPr>
    </w:p>
    <w:p w:rsidR="00077D30" w:rsidRDefault="00077D30" w:rsidP="00077D30">
      <w:pPr>
        <w:pStyle w:val="Heading3"/>
        <w:rPr>
          <w:lang w:eastAsia="en-US" w:bidi="ar-SA"/>
        </w:rPr>
      </w:pPr>
      <w:r w:rsidRPr="00077D30">
        <w:rPr>
          <w:lang w:eastAsia="en-US" w:bidi="ar-SA"/>
        </w:rPr>
        <w:t>Advisory Board</w:t>
      </w:r>
    </w:p>
    <w:p w:rsidR="00077D30" w:rsidRPr="00077D30" w:rsidRDefault="00077D30" w:rsidP="00077D30">
      <w:pPr>
        <w:rPr>
          <w:lang w:eastAsia="en-US" w:bidi="ar-SA"/>
        </w:rPr>
      </w:pPr>
    </w:p>
    <w:p w:rsidR="00077D30" w:rsidRPr="00077D30" w:rsidRDefault="00077D30"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077D30">
        <w:rPr>
          <w:rFonts w:eastAsiaTheme="minorHAnsi"/>
          <w:color w:val="000000"/>
          <w:sz w:val="20"/>
          <w:szCs w:val="20"/>
          <w:lang w:eastAsia="en-US" w:bidi="ar-SA"/>
        </w:rPr>
        <w:t xml:space="preserve">The VPSC’s Advisory Board was established in 2015 to provide advice in relation to the preparation of the VPSC’s annual and strategic plans and matters relevant to its objects and functions. Membership of the Advisory Board up until conclusion of their term of appointment in October 2018 was: </w:t>
      </w:r>
    </w:p>
    <w:p w:rsidR="00077D30" w:rsidRPr="00786F08" w:rsidRDefault="00077D30"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077D30">
        <w:rPr>
          <w:rFonts w:eastAsiaTheme="minorHAnsi"/>
          <w:b/>
          <w:bCs/>
          <w:color w:val="000000"/>
          <w:sz w:val="20"/>
          <w:szCs w:val="20"/>
          <w:lang w:eastAsia="en-US" w:bidi="ar-SA"/>
        </w:rPr>
        <w:t>Chairperson:</w:t>
      </w:r>
      <w:r w:rsidRPr="00786F08">
        <w:rPr>
          <w:rFonts w:eastAsiaTheme="minorHAnsi"/>
          <w:color w:val="000000"/>
          <w:sz w:val="20"/>
          <w:szCs w:val="20"/>
          <w:lang w:eastAsia="en-US" w:bidi="ar-SA"/>
        </w:rPr>
        <w:t xml:space="preserve"> </w:t>
      </w:r>
      <w:r w:rsidRPr="00077D30">
        <w:rPr>
          <w:rFonts w:eastAsiaTheme="minorHAnsi"/>
          <w:color w:val="000000"/>
          <w:sz w:val="20"/>
          <w:szCs w:val="20"/>
          <w:lang w:eastAsia="en-US" w:bidi="ar-SA"/>
        </w:rPr>
        <w:t>Chris Eccles, AO – Secretary, DPC</w:t>
      </w:r>
    </w:p>
    <w:p w:rsidR="00786F08" w:rsidRPr="00786F08" w:rsidRDefault="00077D30" w:rsidP="00786F08">
      <w:pPr>
        <w:widowControl/>
        <w:suppressAutoHyphens/>
        <w:adjustRightInd w:val="0"/>
        <w:spacing w:after="28" w:line="220" w:lineRule="atLeast"/>
        <w:ind w:left="709" w:right="1137"/>
        <w:textAlignment w:val="center"/>
        <w:rPr>
          <w:rFonts w:eastAsiaTheme="minorHAnsi"/>
          <w:color w:val="000000"/>
          <w:sz w:val="20"/>
          <w:szCs w:val="20"/>
          <w:lang w:eastAsia="en-US" w:bidi="ar-SA"/>
        </w:rPr>
      </w:pPr>
      <w:r w:rsidRPr="00077D30">
        <w:rPr>
          <w:rFonts w:eastAsiaTheme="minorHAnsi"/>
          <w:b/>
          <w:bCs/>
          <w:color w:val="000000"/>
          <w:sz w:val="20"/>
          <w:szCs w:val="20"/>
          <w:lang w:eastAsia="en-US" w:bidi="ar-SA"/>
        </w:rPr>
        <w:t>Members:</w:t>
      </w:r>
      <w:r w:rsidRPr="00786F08">
        <w:rPr>
          <w:rFonts w:eastAsiaTheme="minorHAnsi"/>
          <w:color w:val="000000"/>
          <w:sz w:val="20"/>
          <w:szCs w:val="20"/>
          <w:lang w:eastAsia="en-US" w:bidi="ar-SA"/>
        </w:rPr>
        <w:t xml:space="preserve"> </w:t>
      </w:r>
      <w:r w:rsidRPr="00077D30">
        <w:rPr>
          <w:rFonts w:eastAsiaTheme="minorHAnsi"/>
          <w:color w:val="000000"/>
          <w:sz w:val="20"/>
          <w:szCs w:val="20"/>
          <w:lang w:eastAsia="en-US" w:bidi="ar-SA"/>
        </w:rPr>
        <w:t>Ms Barbara Belcher</w:t>
      </w:r>
      <w:r w:rsidRPr="00786F08">
        <w:rPr>
          <w:rFonts w:eastAsiaTheme="minorHAnsi"/>
          <w:color w:val="000000"/>
          <w:sz w:val="20"/>
          <w:szCs w:val="20"/>
          <w:lang w:eastAsia="en-US" w:bidi="ar-SA"/>
        </w:rPr>
        <w:t xml:space="preserve">, </w:t>
      </w:r>
      <w:r w:rsidRPr="00077D30">
        <w:rPr>
          <w:rFonts w:eastAsiaTheme="minorHAnsi"/>
          <w:color w:val="000000"/>
          <w:sz w:val="20"/>
          <w:szCs w:val="20"/>
          <w:lang w:eastAsia="en-US" w:bidi="ar-SA"/>
        </w:rPr>
        <w:t xml:space="preserve">Ms Cath </w:t>
      </w:r>
      <w:proofErr w:type="spellStart"/>
      <w:r w:rsidRPr="00077D30">
        <w:rPr>
          <w:rFonts w:eastAsiaTheme="minorHAnsi"/>
          <w:color w:val="000000"/>
          <w:sz w:val="20"/>
          <w:szCs w:val="20"/>
          <w:lang w:eastAsia="en-US" w:bidi="ar-SA"/>
        </w:rPr>
        <w:t>Bowtell</w:t>
      </w:r>
      <w:proofErr w:type="spellEnd"/>
      <w:r w:rsidRPr="00786F08">
        <w:rPr>
          <w:rFonts w:eastAsiaTheme="minorHAnsi"/>
          <w:color w:val="000000"/>
          <w:sz w:val="20"/>
          <w:szCs w:val="20"/>
          <w:lang w:eastAsia="en-US" w:bidi="ar-SA"/>
        </w:rPr>
        <w:t xml:space="preserve">, </w:t>
      </w:r>
      <w:r w:rsidRPr="00077D30">
        <w:rPr>
          <w:rFonts w:eastAsiaTheme="minorHAnsi"/>
          <w:color w:val="000000"/>
          <w:sz w:val="20"/>
          <w:szCs w:val="20"/>
          <w:lang w:eastAsia="en-US" w:bidi="ar-SA"/>
        </w:rPr>
        <w:t>Mr William Confalonieri</w:t>
      </w:r>
      <w:r w:rsidRPr="00786F08">
        <w:rPr>
          <w:rFonts w:eastAsiaTheme="minorHAnsi"/>
          <w:color w:val="000000"/>
          <w:sz w:val="20"/>
          <w:szCs w:val="20"/>
          <w:lang w:eastAsia="en-US" w:bidi="ar-SA"/>
        </w:rPr>
        <w:t xml:space="preserve">, </w:t>
      </w:r>
      <w:r w:rsidRPr="00077D30">
        <w:rPr>
          <w:rFonts w:eastAsiaTheme="minorHAnsi"/>
          <w:color w:val="000000"/>
          <w:sz w:val="20"/>
          <w:szCs w:val="20"/>
          <w:lang w:eastAsia="en-US" w:bidi="ar-SA"/>
        </w:rPr>
        <w:t>Mr Ross McPherson</w:t>
      </w:r>
      <w:r w:rsidRPr="00786F08">
        <w:rPr>
          <w:rFonts w:eastAsiaTheme="minorHAnsi"/>
          <w:color w:val="000000"/>
          <w:sz w:val="20"/>
          <w:szCs w:val="20"/>
          <w:lang w:eastAsia="en-US" w:bidi="ar-SA"/>
        </w:rPr>
        <w:t xml:space="preserve">, </w:t>
      </w:r>
      <w:r w:rsidRPr="00077D30">
        <w:rPr>
          <w:rFonts w:eastAsiaTheme="minorHAnsi"/>
          <w:color w:val="000000"/>
          <w:sz w:val="20"/>
          <w:szCs w:val="20"/>
          <w:lang w:eastAsia="en-US" w:bidi="ar-SA"/>
        </w:rPr>
        <w:t>Mrs Anita Roper, FAIM, GAICD</w:t>
      </w:r>
    </w:p>
    <w:p w:rsidR="00077D30" w:rsidRPr="00786F08" w:rsidRDefault="00786F08" w:rsidP="00786F08">
      <w:pPr>
        <w:widowControl/>
        <w:suppressAutoHyphens/>
        <w:adjustRightInd w:val="0"/>
        <w:spacing w:after="28" w:line="220" w:lineRule="atLeast"/>
        <w:ind w:left="709" w:right="1137"/>
        <w:textAlignment w:val="center"/>
        <w:rPr>
          <w:b/>
          <w:bCs/>
          <w:sz w:val="20"/>
          <w:szCs w:val="20"/>
          <w:lang w:eastAsia="en-US" w:bidi="ar-SA"/>
        </w:rPr>
      </w:pPr>
      <w:r w:rsidRPr="00786F08">
        <w:rPr>
          <w:sz w:val="20"/>
          <w:szCs w:val="20"/>
          <w:lang w:eastAsia="en-US" w:bidi="ar-SA"/>
        </w:rPr>
        <w:br/>
      </w:r>
      <w:r w:rsidR="00077D30" w:rsidRPr="00786F08">
        <w:rPr>
          <w:b/>
          <w:bCs/>
          <w:sz w:val="20"/>
          <w:szCs w:val="20"/>
          <w:lang w:eastAsia="en-US" w:bidi="ar-SA"/>
        </w:rPr>
        <w:t>Standing Invitees:</w:t>
      </w:r>
      <w:r w:rsidR="00077D30" w:rsidRPr="00786F08">
        <w:rPr>
          <w:sz w:val="20"/>
          <w:szCs w:val="20"/>
          <w:lang w:eastAsia="en-US" w:bidi="ar-SA"/>
        </w:rPr>
        <w:t xml:space="preserve"> Dr Paul Grimes – Commissioner, VPSC, and Elizabeth Langdon – Deputy Commissioner, VPSC</w:t>
      </w:r>
    </w:p>
    <w:p w:rsidR="00077D30" w:rsidRPr="00077D30" w:rsidRDefault="00077D30" w:rsidP="00786F08">
      <w:pPr>
        <w:rPr>
          <w:lang w:eastAsia="en-US" w:bidi="ar-SA"/>
        </w:rPr>
      </w:pPr>
    </w:p>
    <w:p w:rsidR="00077D30" w:rsidRPr="00077D30" w:rsidRDefault="00077D30" w:rsidP="00077D30">
      <w:pPr>
        <w:widowControl/>
        <w:suppressAutoHyphens/>
        <w:adjustRightInd w:val="0"/>
        <w:spacing w:after="113" w:line="200" w:lineRule="atLeast"/>
        <w:ind w:left="709" w:right="1137"/>
        <w:textAlignment w:val="center"/>
        <w:rPr>
          <w:rFonts w:eastAsiaTheme="minorHAnsi"/>
          <w:i/>
          <w:iCs/>
          <w:color w:val="000000"/>
          <w:sz w:val="20"/>
          <w:szCs w:val="20"/>
          <w:lang w:eastAsia="en-US" w:bidi="ar-SA"/>
        </w:rPr>
      </w:pPr>
      <w:r w:rsidRPr="00077D30">
        <w:rPr>
          <w:rFonts w:eastAsiaTheme="minorHAnsi"/>
          <w:i/>
          <w:iCs/>
          <w:color w:val="000000"/>
          <w:sz w:val="20"/>
          <w:szCs w:val="20"/>
          <w:lang w:eastAsia="en-US" w:bidi="ar-SA"/>
        </w:rPr>
        <w:t>Note: All Advisory Board members are independent; the VPSC provides secretariat support</w:t>
      </w:r>
    </w:p>
    <w:p w:rsidR="00077D30" w:rsidRPr="00077D30" w:rsidRDefault="00077D30"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077D30">
        <w:rPr>
          <w:rFonts w:eastAsiaTheme="minorHAnsi"/>
          <w:color w:val="000000"/>
          <w:sz w:val="20"/>
          <w:szCs w:val="20"/>
          <w:lang w:eastAsia="en-US" w:bidi="ar-SA"/>
        </w:rPr>
        <w:t>Appointment of the succeeding Advisory Board have not yet been made.</w:t>
      </w:r>
    </w:p>
    <w:p w:rsidR="00077D30" w:rsidRPr="00077D30" w:rsidRDefault="00077D30"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077D30" w:rsidRPr="00077D30" w:rsidRDefault="00077D30" w:rsidP="00786F08">
      <w:pPr>
        <w:pStyle w:val="FOOTNOTE"/>
        <w:ind w:left="709" w:right="1137"/>
        <w:rPr>
          <w:rFonts w:ascii="Arial" w:hAnsi="Arial" w:cs="Arial"/>
          <w:sz w:val="20"/>
          <w:szCs w:val="20"/>
        </w:rPr>
      </w:pPr>
      <w:r w:rsidRPr="00077D30">
        <w:rPr>
          <w:rFonts w:ascii="Arial" w:hAnsi="Arial" w:cs="Arial"/>
          <w:sz w:val="20"/>
          <w:szCs w:val="20"/>
        </w:rPr>
        <w:t>3</w:t>
      </w:r>
      <w:r w:rsidRPr="00077D30">
        <w:rPr>
          <w:rFonts w:ascii="Arial" w:hAnsi="Arial" w:cs="Arial"/>
          <w:sz w:val="20"/>
          <w:szCs w:val="20"/>
        </w:rPr>
        <w:t> </w:t>
      </w:r>
      <w:r w:rsidRPr="00077D30">
        <w:rPr>
          <w:rFonts w:ascii="Arial" w:hAnsi="Arial" w:cs="Arial"/>
          <w:sz w:val="20"/>
          <w:szCs w:val="20"/>
        </w:rPr>
        <w:br/>
        <w:t xml:space="preserve">Alison Abud was the VPSC’s representative on the committee until 28 March 2019. Stephen </w:t>
      </w:r>
      <w:proofErr w:type="spellStart"/>
      <w:r w:rsidRPr="00077D30">
        <w:rPr>
          <w:rFonts w:ascii="Arial" w:hAnsi="Arial" w:cs="Arial"/>
          <w:sz w:val="20"/>
          <w:szCs w:val="20"/>
        </w:rPr>
        <w:t>Bourchier</w:t>
      </w:r>
      <w:proofErr w:type="spellEnd"/>
      <w:r w:rsidRPr="00077D30">
        <w:rPr>
          <w:rFonts w:ascii="Arial" w:hAnsi="Arial" w:cs="Arial"/>
          <w:sz w:val="20"/>
          <w:szCs w:val="20"/>
        </w:rPr>
        <w:t>, Principal Adviser, Integrity and Advisory,</w:t>
      </w:r>
      <w:r w:rsidR="00786F08">
        <w:rPr>
          <w:rFonts w:ascii="Arial" w:hAnsi="Arial" w:cs="Arial"/>
          <w:sz w:val="20"/>
          <w:szCs w:val="20"/>
        </w:rPr>
        <w:t xml:space="preserve"> </w:t>
      </w:r>
      <w:r w:rsidRPr="00077D30">
        <w:rPr>
          <w:rFonts w:ascii="Arial" w:hAnsi="Arial" w:cs="Arial"/>
          <w:sz w:val="20"/>
          <w:szCs w:val="20"/>
        </w:rPr>
        <w:t>VPSC is the VPSC representative effective 26 June 2019.</w:t>
      </w:r>
    </w:p>
    <w:p w:rsidR="00077D30" w:rsidRDefault="00077D30"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786F08" w:rsidRDefault="00786F08"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786F08" w:rsidRDefault="00786F08"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786F08" w:rsidRDefault="00786F08"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786F08" w:rsidRDefault="00786F08"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786F08" w:rsidRDefault="00786F08"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786F08" w:rsidRDefault="00786F08"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786F08" w:rsidRPr="00077D30" w:rsidRDefault="00786F08"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077D30" w:rsidRPr="00077D30" w:rsidRDefault="00077D30" w:rsidP="00786F08">
      <w:pPr>
        <w:pStyle w:val="Heading2"/>
        <w:rPr>
          <w:lang w:eastAsia="en-US" w:bidi="ar-SA"/>
        </w:rPr>
      </w:pPr>
      <w:bookmarkStart w:id="19" w:name="_Toc23329722"/>
      <w:r w:rsidRPr="00077D30">
        <w:rPr>
          <w:lang w:eastAsia="en-US" w:bidi="ar-SA"/>
        </w:rPr>
        <w:lastRenderedPageBreak/>
        <w:t>VPSC People Strategy to June 2020</w:t>
      </w:r>
      <w:bookmarkEnd w:id="19"/>
    </w:p>
    <w:p w:rsidR="00786F08" w:rsidRDefault="00786F08" w:rsidP="00786F08">
      <w:pPr>
        <w:rPr>
          <w:lang w:eastAsia="en-US" w:bidi="ar-SA"/>
        </w:rPr>
      </w:pPr>
    </w:p>
    <w:p w:rsidR="00077D30" w:rsidRPr="00077D30" w:rsidRDefault="00077D30"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077D30">
        <w:rPr>
          <w:rFonts w:eastAsiaTheme="minorHAnsi"/>
          <w:color w:val="000000"/>
          <w:sz w:val="20"/>
          <w:szCs w:val="20"/>
          <w:lang w:eastAsia="en-US" w:bidi="ar-SA"/>
        </w:rPr>
        <w:t>The VPSC has an important people leadership role to play within the VPS and the broader Victorian public sector in realising its vision for “a trusted public sector that delivers excellence for the Victorian Community”. To support the VPSC team to deliver on this vision, in early 2019 the VPSC introduced the VPSC People Strategy that contains the following priority areas:</w:t>
      </w:r>
    </w:p>
    <w:p w:rsidR="00077D30" w:rsidRPr="00786F08" w:rsidRDefault="00077D30" w:rsidP="00943EBA">
      <w:pPr>
        <w:pStyle w:val="ListParagraph"/>
        <w:widowControl/>
        <w:numPr>
          <w:ilvl w:val="0"/>
          <w:numId w:val="26"/>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86F08">
        <w:rPr>
          <w:rFonts w:eastAsiaTheme="minorHAnsi"/>
          <w:color w:val="000000"/>
          <w:sz w:val="20"/>
          <w:szCs w:val="20"/>
          <w:lang w:eastAsia="en-US" w:bidi="ar-SA"/>
        </w:rPr>
        <w:t>Develop our capabilities – develop the leadership, management and communication capabilities</w:t>
      </w:r>
      <w:r w:rsidRPr="00786F08">
        <w:rPr>
          <w:rFonts w:eastAsiaTheme="minorHAnsi"/>
          <w:color w:val="000000"/>
          <w:sz w:val="20"/>
          <w:szCs w:val="20"/>
          <w:lang w:eastAsia="en-US" w:bidi="ar-SA"/>
        </w:rPr>
        <w:br/>
        <w:t>of our people to enable our people to achieve the VPSC vision and goals.</w:t>
      </w:r>
    </w:p>
    <w:p w:rsidR="00077D30" w:rsidRPr="00786F08" w:rsidRDefault="00077D30" w:rsidP="00943EBA">
      <w:pPr>
        <w:pStyle w:val="ListParagraph"/>
        <w:widowControl/>
        <w:numPr>
          <w:ilvl w:val="0"/>
          <w:numId w:val="26"/>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86F08">
        <w:rPr>
          <w:rFonts w:eastAsiaTheme="minorHAnsi"/>
          <w:color w:val="000000"/>
          <w:sz w:val="20"/>
          <w:szCs w:val="20"/>
          <w:lang w:eastAsia="en-US" w:bidi="ar-SA"/>
        </w:rPr>
        <w:t>Enrich our culture – through our respect for each other and active modelling of VPS values to embrace diversity, inclusion and workplace flexibility.</w:t>
      </w:r>
    </w:p>
    <w:p w:rsidR="00077D30" w:rsidRDefault="00077D30" w:rsidP="00943EBA">
      <w:pPr>
        <w:pStyle w:val="ListParagraph"/>
        <w:widowControl/>
        <w:numPr>
          <w:ilvl w:val="0"/>
          <w:numId w:val="26"/>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786F08">
        <w:rPr>
          <w:rFonts w:eastAsiaTheme="minorHAnsi"/>
          <w:color w:val="000000"/>
          <w:sz w:val="20"/>
          <w:szCs w:val="20"/>
          <w:lang w:eastAsia="en-US" w:bidi="ar-SA"/>
        </w:rPr>
        <w:t>Connect our people – promote collaboration and engagement as a natural part of our work to foster responsiveness, high-quality, adaptability and integration.</w:t>
      </w:r>
    </w:p>
    <w:p w:rsidR="00786F08" w:rsidRDefault="00786F08" w:rsidP="00786F08">
      <w:pPr>
        <w:rPr>
          <w:lang w:eastAsia="en-US" w:bidi="ar-SA"/>
        </w:rPr>
      </w:pPr>
    </w:p>
    <w:p w:rsidR="00077D30" w:rsidRDefault="00077D30" w:rsidP="00786F08">
      <w:pPr>
        <w:pStyle w:val="Heading4"/>
        <w:rPr>
          <w:lang w:eastAsia="en-US" w:bidi="ar-SA"/>
        </w:rPr>
      </w:pPr>
      <w:r w:rsidRPr="00077D30">
        <w:rPr>
          <w:lang w:eastAsia="en-US" w:bidi="ar-SA"/>
        </w:rPr>
        <w:t>Improvement initiatives</w:t>
      </w:r>
    </w:p>
    <w:p w:rsidR="00786F08" w:rsidRPr="00077D30" w:rsidRDefault="00786F08" w:rsidP="00786F08">
      <w:pPr>
        <w:rPr>
          <w:lang w:eastAsia="en-US" w:bidi="ar-SA"/>
        </w:rPr>
      </w:pPr>
    </w:p>
    <w:p w:rsidR="00077D30" w:rsidRDefault="00077D30" w:rsidP="00077D30">
      <w:pPr>
        <w:widowControl/>
        <w:suppressAutoHyphens/>
        <w:adjustRightInd w:val="0"/>
        <w:spacing w:after="113" w:line="220" w:lineRule="atLeast"/>
        <w:ind w:left="709" w:right="1137"/>
        <w:textAlignment w:val="center"/>
        <w:rPr>
          <w:rFonts w:eastAsiaTheme="minorHAnsi"/>
          <w:color w:val="000000"/>
          <w:spacing w:val="-1"/>
          <w:sz w:val="20"/>
          <w:szCs w:val="20"/>
          <w:lang w:eastAsia="en-US" w:bidi="ar-SA"/>
        </w:rPr>
      </w:pPr>
      <w:r w:rsidRPr="00077D30">
        <w:rPr>
          <w:rFonts w:eastAsiaTheme="minorHAnsi"/>
          <w:color w:val="000000"/>
          <w:spacing w:val="-1"/>
          <w:sz w:val="20"/>
          <w:szCs w:val="20"/>
          <w:lang w:eastAsia="en-US" w:bidi="ar-SA"/>
        </w:rPr>
        <w:t>To enable the VPSC to achieve the goals in each of these priority areas, the Strategy outlines 17 improvement initiatives to be implemented by June 2020. Considerable progress has been made towards implementing these initiatives, with many either completed or well underway towards being finalised.</w:t>
      </w:r>
    </w:p>
    <w:p w:rsidR="00786F08" w:rsidRPr="00077D30" w:rsidRDefault="00786F08" w:rsidP="0083056F">
      <w:pPr>
        <w:rPr>
          <w:lang w:eastAsia="en-US" w:bidi="ar-SA"/>
        </w:rPr>
      </w:pPr>
    </w:p>
    <w:p w:rsidR="00077D30" w:rsidRPr="00077D30" w:rsidRDefault="00077D30" w:rsidP="0083056F">
      <w:pPr>
        <w:pStyle w:val="Heading3"/>
        <w:rPr>
          <w:lang w:eastAsia="en-US" w:bidi="ar-SA"/>
        </w:rPr>
      </w:pPr>
      <w:r w:rsidRPr="00077D30">
        <w:rPr>
          <w:lang w:eastAsia="en-US" w:bidi="ar-SA"/>
        </w:rPr>
        <w:t>Occupational Health and Safety</w:t>
      </w:r>
    </w:p>
    <w:p w:rsidR="00786F08" w:rsidRDefault="00786F08" w:rsidP="0083056F">
      <w:pPr>
        <w:rPr>
          <w:lang w:eastAsia="en-US" w:bidi="ar-SA"/>
        </w:rPr>
      </w:pPr>
    </w:p>
    <w:p w:rsidR="00077D30" w:rsidRDefault="00077D30"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077D30">
        <w:rPr>
          <w:rFonts w:eastAsiaTheme="minorHAnsi"/>
          <w:color w:val="000000"/>
          <w:sz w:val="20"/>
          <w:szCs w:val="20"/>
          <w:lang w:eastAsia="en-US" w:bidi="ar-SA"/>
        </w:rPr>
        <w:t>The VPSC has a clear and uncompromising commitment to occupational health and safety compliance</w:t>
      </w:r>
      <w:r w:rsidR="0083056F">
        <w:rPr>
          <w:rFonts w:eastAsiaTheme="minorHAnsi"/>
          <w:color w:val="000000"/>
          <w:sz w:val="20"/>
          <w:szCs w:val="20"/>
          <w:lang w:eastAsia="en-US" w:bidi="ar-SA"/>
        </w:rPr>
        <w:t xml:space="preserve"> </w:t>
      </w:r>
      <w:r w:rsidRPr="00077D30">
        <w:rPr>
          <w:rFonts w:eastAsiaTheme="minorHAnsi"/>
          <w:color w:val="000000"/>
          <w:sz w:val="20"/>
          <w:szCs w:val="20"/>
          <w:lang w:eastAsia="en-US" w:bidi="ar-SA"/>
        </w:rPr>
        <w:t xml:space="preserve">as well as general staff health and </w:t>
      </w:r>
      <w:proofErr w:type="spellStart"/>
      <w:r w:rsidRPr="00077D30">
        <w:rPr>
          <w:rFonts w:eastAsiaTheme="minorHAnsi"/>
          <w:color w:val="000000"/>
          <w:sz w:val="20"/>
          <w:szCs w:val="20"/>
          <w:lang w:eastAsia="en-US" w:bidi="ar-SA"/>
        </w:rPr>
        <w:t>well being</w:t>
      </w:r>
      <w:proofErr w:type="spellEnd"/>
      <w:r w:rsidRPr="00077D30">
        <w:rPr>
          <w:rFonts w:eastAsiaTheme="minorHAnsi"/>
          <w:color w:val="000000"/>
          <w:sz w:val="20"/>
          <w:szCs w:val="20"/>
          <w:lang w:eastAsia="en-US" w:bidi="ar-SA"/>
        </w:rPr>
        <w:t xml:space="preserve">. During the reporting year, the VPSC supported this commitment through: </w:t>
      </w:r>
    </w:p>
    <w:p w:rsidR="0083056F" w:rsidRDefault="0083056F" w:rsidP="00077D3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tbl>
      <w:tblPr>
        <w:tblStyle w:val="TableGrid"/>
        <w:tblW w:w="0" w:type="auto"/>
        <w:tblInd w:w="702" w:type="dxa"/>
        <w:tblLayout w:type="fixed"/>
        <w:tblLook w:val="0000" w:firstRow="0" w:lastRow="0" w:firstColumn="0" w:lastColumn="0" w:noHBand="0" w:noVBand="0"/>
      </w:tblPr>
      <w:tblGrid>
        <w:gridCol w:w="5451"/>
        <w:gridCol w:w="2206"/>
        <w:gridCol w:w="2268"/>
      </w:tblGrid>
      <w:tr w:rsidR="0083056F" w:rsidRPr="0083056F" w:rsidTr="0083056F">
        <w:trPr>
          <w:trHeight w:val="60"/>
        </w:trPr>
        <w:tc>
          <w:tcPr>
            <w:tcW w:w="5451" w:type="dxa"/>
          </w:tcPr>
          <w:p w:rsidR="0083056F" w:rsidRPr="0083056F" w:rsidRDefault="0083056F" w:rsidP="0083056F">
            <w:pPr>
              <w:rPr>
                <w:sz w:val="20"/>
                <w:szCs w:val="20"/>
                <w:lang w:eastAsia="en-US" w:bidi="ar-SA"/>
              </w:rPr>
            </w:pPr>
            <w:r w:rsidRPr="0083056F">
              <w:rPr>
                <w:sz w:val="20"/>
                <w:szCs w:val="20"/>
                <w:lang w:eastAsia="en-US" w:bidi="ar-SA"/>
              </w:rPr>
              <w:t>Item</w:t>
            </w:r>
          </w:p>
        </w:tc>
        <w:tc>
          <w:tcPr>
            <w:tcW w:w="2206" w:type="dxa"/>
          </w:tcPr>
          <w:p w:rsidR="0083056F" w:rsidRPr="0083056F" w:rsidRDefault="0083056F" w:rsidP="0083056F">
            <w:pPr>
              <w:widowControl/>
              <w:tabs>
                <w:tab w:val="right" w:pos="7370"/>
              </w:tabs>
              <w:suppressAutoHyphens/>
              <w:adjustRightInd w:val="0"/>
              <w:spacing w:before="170" w:after="113" w:line="260" w:lineRule="atLeast"/>
              <w:jc w:val="right"/>
              <w:textAlignment w:val="center"/>
              <w:rPr>
                <w:rFonts w:eastAsiaTheme="minorHAnsi"/>
                <w:sz w:val="20"/>
                <w:szCs w:val="20"/>
                <w:lang w:eastAsia="en-US" w:bidi="ar-SA"/>
              </w:rPr>
            </w:pPr>
            <w:r w:rsidRPr="0083056F">
              <w:rPr>
                <w:rFonts w:eastAsiaTheme="minorHAnsi"/>
                <w:sz w:val="20"/>
                <w:szCs w:val="20"/>
                <w:lang w:eastAsia="en-US" w:bidi="ar-SA"/>
              </w:rPr>
              <w:t>2018–19</w:t>
            </w:r>
          </w:p>
        </w:tc>
        <w:tc>
          <w:tcPr>
            <w:tcW w:w="2268" w:type="dxa"/>
          </w:tcPr>
          <w:p w:rsidR="0083056F" w:rsidRPr="0083056F" w:rsidRDefault="0083056F" w:rsidP="0083056F">
            <w:pPr>
              <w:widowControl/>
              <w:tabs>
                <w:tab w:val="right" w:pos="7370"/>
              </w:tabs>
              <w:suppressAutoHyphens/>
              <w:adjustRightInd w:val="0"/>
              <w:spacing w:before="170" w:after="113" w:line="260" w:lineRule="atLeast"/>
              <w:jc w:val="right"/>
              <w:textAlignment w:val="center"/>
              <w:rPr>
                <w:rFonts w:eastAsiaTheme="minorHAnsi"/>
                <w:sz w:val="20"/>
                <w:szCs w:val="20"/>
                <w:lang w:eastAsia="en-US" w:bidi="ar-SA"/>
              </w:rPr>
            </w:pPr>
            <w:r w:rsidRPr="0083056F">
              <w:rPr>
                <w:rFonts w:eastAsiaTheme="minorHAnsi"/>
                <w:sz w:val="20"/>
                <w:szCs w:val="20"/>
                <w:lang w:eastAsia="en-US" w:bidi="ar-SA"/>
              </w:rPr>
              <w:t>2017–18</w:t>
            </w:r>
          </w:p>
        </w:tc>
      </w:tr>
      <w:tr w:rsidR="0083056F" w:rsidRPr="0083056F" w:rsidTr="0083056F">
        <w:trPr>
          <w:trHeight w:val="60"/>
        </w:trPr>
        <w:tc>
          <w:tcPr>
            <w:tcW w:w="5451" w:type="dxa"/>
          </w:tcPr>
          <w:p w:rsidR="0083056F" w:rsidRPr="0083056F" w:rsidRDefault="0083056F" w:rsidP="0083056F">
            <w:pPr>
              <w:widowControl/>
              <w:suppressAutoHyphens/>
              <w:adjustRightInd w:val="0"/>
              <w:spacing w:after="113" w:line="220" w:lineRule="atLeast"/>
              <w:textAlignment w:val="center"/>
              <w:rPr>
                <w:rFonts w:ascii="HelveticaNeueLT Std Lt" w:eastAsiaTheme="minorHAnsi" w:hAnsi="HelveticaNeueLT Std Lt" w:cs="HelveticaNeueLT Std Lt"/>
                <w:color w:val="000000"/>
                <w:sz w:val="18"/>
                <w:szCs w:val="18"/>
                <w:lang w:eastAsia="en-US" w:bidi="ar-SA"/>
              </w:rPr>
            </w:pPr>
            <w:r w:rsidRPr="0083056F">
              <w:rPr>
                <w:rFonts w:ascii="HelveticaNeueLT Std Lt" w:eastAsiaTheme="minorHAnsi" w:hAnsi="HelveticaNeueLT Std Lt" w:cs="HelveticaNeueLT Std Lt"/>
                <w:color w:val="000000"/>
                <w:sz w:val="18"/>
                <w:szCs w:val="18"/>
                <w:lang w:eastAsia="en-US" w:bidi="ar-SA"/>
              </w:rPr>
              <w:t>Ergonomic assessments</w:t>
            </w:r>
          </w:p>
        </w:tc>
        <w:tc>
          <w:tcPr>
            <w:tcW w:w="2206" w:type="dxa"/>
          </w:tcPr>
          <w:p w:rsidR="0083056F" w:rsidRPr="0083056F" w:rsidRDefault="0083056F" w:rsidP="0083056F">
            <w:pPr>
              <w:widowControl/>
              <w:suppressAutoHyphens/>
              <w:adjustRightInd w:val="0"/>
              <w:spacing w:after="113" w:line="220" w:lineRule="atLeast"/>
              <w:jc w:val="right"/>
              <w:textAlignment w:val="center"/>
              <w:rPr>
                <w:rFonts w:ascii="HelveticaNeueLT Std Lt" w:eastAsiaTheme="minorHAnsi" w:hAnsi="HelveticaNeueLT Std Lt" w:cs="HelveticaNeueLT Std Lt"/>
                <w:color w:val="000000"/>
                <w:sz w:val="18"/>
                <w:szCs w:val="18"/>
                <w:lang w:eastAsia="en-US" w:bidi="ar-SA"/>
              </w:rPr>
            </w:pPr>
            <w:r w:rsidRPr="0083056F">
              <w:rPr>
                <w:rFonts w:ascii="HelveticaNeueLT Std Med" w:eastAsiaTheme="minorHAnsi" w:hAnsi="HelveticaNeueLT Std Med" w:cs="HelveticaNeueLT Std Med"/>
                <w:color w:val="000000"/>
                <w:sz w:val="18"/>
                <w:szCs w:val="18"/>
                <w:lang w:eastAsia="en-US" w:bidi="ar-SA"/>
              </w:rPr>
              <w:t>1</w:t>
            </w:r>
          </w:p>
        </w:tc>
        <w:tc>
          <w:tcPr>
            <w:tcW w:w="2268" w:type="dxa"/>
          </w:tcPr>
          <w:p w:rsidR="0083056F" w:rsidRPr="0083056F" w:rsidRDefault="0083056F" w:rsidP="0083056F">
            <w:pPr>
              <w:widowControl/>
              <w:suppressAutoHyphens/>
              <w:adjustRightInd w:val="0"/>
              <w:spacing w:after="113" w:line="220" w:lineRule="atLeast"/>
              <w:jc w:val="right"/>
              <w:textAlignment w:val="center"/>
              <w:rPr>
                <w:rFonts w:ascii="HelveticaNeueLT Std Lt" w:eastAsiaTheme="minorHAnsi" w:hAnsi="HelveticaNeueLT Std Lt" w:cs="HelveticaNeueLT Std Lt"/>
                <w:color w:val="000000"/>
                <w:sz w:val="18"/>
                <w:szCs w:val="18"/>
                <w:lang w:eastAsia="en-US" w:bidi="ar-SA"/>
              </w:rPr>
            </w:pPr>
            <w:r w:rsidRPr="0083056F">
              <w:rPr>
                <w:rFonts w:ascii="HelveticaNeueLT Std Lt" w:eastAsiaTheme="minorHAnsi" w:hAnsi="HelveticaNeueLT Std Lt" w:cs="HelveticaNeueLT Std Lt"/>
                <w:color w:val="000000"/>
                <w:sz w:val="18"/>
                <w:szCs w:val="18"/>
                <w:lang w:eastAsia="en-US" w:bidi="ar-SA"/>
              </w:rPr>
              <w:t>11</w:t>
            </w:r>
          </w:p>
        </w:tc>
      </w:tr>
      <w:tr w:rsidR="0083056F" w:rsidRPr="0083056F" w:rsidTr="0083056F">
        <w:trPr>
          <w:trHeight w:val="60"/>
        </w:trPr>
        <w:tc>
          <w:tcPr>
            <w:tcW w:w="5451" w:type="dxa"/>
          </w:tcPr>
          <w:p w:rsidR="0083056F" w:rsidRPr="0083056F" w:rsidRDefault="0083056F" w:rsidP="0083056F">
            <w:pPr>
              <w:widowControl/>
              <w:suppressAutoHyphens/>
              <w:adjustRightInd w:val="0"/>
              <w:spacing w:after="113" w:line="220" w:lineRule="atLeast"/>
              <w:textAlignment w:val="center"/>
              <w:rPr>
                <w:rFonts w:ascii="HelveticaNeueLT Std Lt" w:eastAsiaTheme="minorHAnsi" w:hAnsi="HelveticaNeueLT Std Lt" w:cs="HelveticaNeueLT Std Lt"/>
                <w:color w:val="000000"/>
                <w:sz w:val="18"/>
                <w:szCs w:val="18"/>
                <w:lang w:eastAsia="en-US" w:bidi="ar-SA"/>
              </w:rPr>
            </w:pPr>
            <w:r w:rsidRPr="0083056F">
              <w:rPr>
                <w:rFonts w:ascii="HelveticaNeueLT Std Lt" w:eastAsiaTheme="minorHAnsi" w:hAnsi="HelveticaNeueLT Std Lt" w:cs="HelveticaNeueLT Std Lt"/>
                <w:color w:val="000000"/>
                <w:sz w:val="18"/>
                <w:szCs w:val="18"/>
                <w:lang w:eastAsia="en-US" w:bidi="ar-SA"/>
              </w:rPr>
              <w:t>Number of sit/stand desks recommended</w:t>
            </w:r>
          </w:p>
        </w:tc>
        <w:tc>
          <w:tcPr>
            <w:tcW w:w="2206" w:type="dxa"/>
          </w:tcPr>
          <w:p w:rsidR="0083056F" w:rsidRPr="0083056F" w:rsidRDefault="0083056F" w:rsidP="0083056F">
            <w:pPr>
              <w:widowControl/>
              <w:suppressAutoHyphens/>
              <w:adjustRightInd w:val="0"/>
              <w:spacing w:after="113" w:line="220" w:lineRule="atLeast"/>
              <w:jc w:val="right"/>
              <w:textAlignment w:val="center"/>
              <w:rPr>
                <w:rFonts w:ascii="HelveticaNeueLT Std Lt" w:eastAsiaTheme="minorHAnsi" w:hAnsi="HelveticaNeueLT Std Lt" w:cs="HelveticaNeueLT Std Lt"/>
                <w:color w:val="000000"/>
                <w:sz w:val="18"/>
                <w:szCs w:val="18"/>
                <w:lang w:eastAsia="en-US" w:bidi="ar-SA"/>
              </w:rPr>
            </w:pPr>
            <w:r w:rsidRPr="0083056F">
              <w:rPr>
                <w:rFonts w:ascii="HelveticaNeueLT Std Med" w:eastAsiaTheme="minorHAnsi" w:hAnsi="HelveticaNeueLT Std Med" w:cs="HelveticaNeueLT Std Med"/>
                <w:color w:val="000000"/>
                <w:sz w:val="18"/>
                <w:szCs w:val="18"/>
                <w:lang w:eastAsia="en-US" w:bidi="ar-SA"/>
              </w:rPr>
              <w:t>0</w:t>
            </w:r>
          </w:p>
        </w:tc>
        <w:tc>
          <w:tcPr>
            <w:tcW w:w="2268" w:type="dxa"/>
          </w:tcPr>
          <w:p w:rsidR="0083056F" w:rsidRPr="0083056F" w:rsidRDefault="0083056F" w:rsidP="0083056F">
            <w:pPr>
              <w:widowControl/>
              <w:suppressAutoHyphens/>
              <w:adjustRightInd w:val="0"/>
              <w:spacing w:after="113" w:line="220" w:lineRule="atLeast"/>
              <w:jc w:val="right"/>
              <w:textAlignment w:val="center"/>
              <w:rPr>
                <w:rFonts w:ascii="HelveticaNeueLT Std Lt" w:eastAsiaTheme="minorHAnsi" w:hAnsi="HelveticaNeueLT Std Lt" w:cs="HelveticaNeueLT Std Lt"/>
                <w:color w:val="000000"/>
                <w:sz w:val="18"/>
                <w:szCs w:val="18"/>
                <w:lang w:eastAsia="en-US" w:bidi="ar-SA"/>
              </w:rPr>
            </w:pPr>
            <w:r w:rsidRPr="0083056F">
              <w:rPr>
                <w:rFonts w:ascii="HelveticaNeueLT Std Lt" w:eastAsiaTheme="minorHAnsi" w:hAnsi="HelveticaNeueLT Std Lt" w:cs="HelveticaNeueLT Std Lt"/>
                <w:color w:val="000000"/>
                <w:sz w:val="18"/>
                <w:szCs w:val="18"/>
                <w:lang w:eastAsia="en-US" w:bidi="ar-SA"/>
              </w:rPr>
              <w:t>2</w:t>
            </w:r>
          </w:p>
        </w:tc>
      </w:tr>
      <w:tr w:rsidR="0083056F" w:rsidRPr="0083056F" w:rsidTr="0083056F">
        <w:trPr>
          <w:trHeight w:val="60"/>
        </w:trPr>
        <w:tc>
          <w:tcPr>
            <w:tcW w:w="5451" w:type="dxa"/>
          </w:tcPr>
          <w:p w:rsidR="0083056F" w:rsidRPr="0083056F" w:rsidRDefault="0083056F" w:rsidP="0083056F">
            <w:pPr>
              <w:widowControl/>
              <w:suppressAutoHyphens/>
              <w:adjustRightInd w:val="0"/>
              <w:spacing w:after="113" w:line="220" w:lineRule="atLeast"/>
              <w:textAlignment w:val="center"/>
              <w:rPr>
                <w:rFonts w:ascii="HelveticaNeueLT Std Lt" w:eastAsiaTheme="minorHAnsi" w:hAnsi="HelveticaNeueLT Std Lt" w:cs="HelveticaNeueLT Std Lt"/>
                <w:color w:val="000000"/>
                <w:sz w:val="18"/>
                <w:szCs w:val="18"/>
                <w:lang w:eastAsia="en-US" w:bidi="ar-SA"/>
              </w:rPr>
            </w:pPr>
            <w:r w:rsidRPr="0083056F">
              <w:rPr>
                <w:rFonts w:ascii="HelveticaNeueLT Std Lt" w:eastAsiaTheme="minorHAnsi" w:hAnsi="HelveticaNeueLT Std Lt" w:cs="HelveticaNeueLT Std Lt"/>
                <w:color w:val="000000"/>
                <w:sz w:val="18"/>
                <w:szCs w:val="18"/>
                <w:lang w:eastAsia="en-US" w:bidi="ar-SA"/>
              </w:rPr>
              <w:t>Number of special ergonomic aids recommended</w:t>
            </w:r>
          </w:p>
        </w:tc>
        <w:tc>
          <w:tcPr>
            <w:tcW w:w="2206" w:type="dxa"/>
          </w:tcPr>
          <w:p w:rsidR="0083056F" w:rsidRPr="0083056F" w:rsidRDefault="0083056F" w:rsidP="0083056F">
            <w:pPr>
              <w:widowControl/>
              <w:suppressAutoHyphens/>
              <w:adjustRightInd w:val="0"/>
              <w:spacing w:after="113" w:line="220" w:lineRule="atLeast"/>
              <w:jc w:val="right"/>
              <w:textAlignment w:val="center"/>
              <w:rPr>
                <w:rFonts w:ascii="HelveticaNeueLT Std Lt" w:eastAsiaTheme="minorHAnsi" w:hAnsi="HelveticaNeueLT Std Lt" w:cs="HelveticaNeueLT Std Lt"/>
                <w:color w:val="000000"/>
                <w:sz w:val="18"/>
                <w:szCs w:val="18"/>
                <w:lang w:eastAsia="en-US" w:bidi="ar-SA"/>
              </w:rPr>
            </w:pPr>
            <w:r w:rsidRPr="0083056F">
              <w:rPr>
                <w:rFonts w:ascii="HelveticaNeueLT Std Med" w:eastAsiaTheme="minorHAnsi" w:hAnsi="HelveticaNeueLT Std Med" w:cs="HelveticaNeueLT Std Med"/>
                <w:color w:val="000000"/>
                <w:sz w:val="18"/>
                <w:szCs w:val="18"/>
                <w:lang w:eastAsia="en-US" w:bidi="ar-SA"/>
              </w:rPr>
              <w:t>2</w:t>
            </w:r>
          </w:p>
        </w:tc>
        <w:tc>
          <w:tcPr>
            <w:tcW w:w="2268" w:type="dxa"/>
          </w:tcPr>
          <w:p w:rsidR="0083056F" w:rsidRPr="0083056F" w:rsidRDefault="0083056F" w:rsidP="0083056F">
            <w:pPr>
              <w:widowControl/>
              <w:suppressAutoHyphens/>
              <w:adjustRightInd w:val="0"/>
              <w:spacing w:after="113" w:line="220" w:lineRule="atLeast"/>
              <w:jc w:val="right"/>
              <w:textAlignment w:val="center"/>
              <w:rPr>
                <w:rFonts w:ascii="HelveticaNeueLT Std Lt" w:eastAsiaTheme="minorHAnsi" w:hAnsi="HelveticaNeueLT Std Lt" w:cs="HelveticaNeueLT Std Lt"/>
                <w:color w:val="000000"/>
                <w:sz w:val="18"/>
                <w:szCs w:val="18"/>
                <w:lang w:eastAsia="en-US" w:bidi="ar-SA"/>
              </w:rPr>
            </w:pPr>
            <w:r w:rsidRPr="0083056F">
              <w:rPr>
                <w:rFonts w:ascii="HelveticaNeueLT Std Lt" w:eastAsiaTheme="minorHAnsi" w:hAnsi="HelveticaNeueLT Std Lt" w:cs="HelveticaNeueLT Std Lt"/>
                <w:color w:val="000000"/>
                <w:sz w:val="18"/>
                <w:szCs w:val="18"/>
                <w:lang w:eastAsia="en-US" w:bidi="ar-SA"/>
              </w:rPr>
              <w:t>2</w:t>
            </w:r>
          </w:p>
        </w:tc>
      </w:tr>
      <w:tr w:rsidR="0083056F" w:rsidRPr="0083056F" w:rsidTr="0083056F">
        <w:trPr>
          <w:trHeight w:val="60"/>
        </w:trPr>
        <w:tc>
          <w:tcPr>
            <w:tcW w:w="5451" w:type="dxa"/>
          </w:tcPr>
          <w:p w:rsidR="0083056F" w:rsidRPr="0083056F" w:rsidRDefault="0083056F" w:rsidP="0083056F">
            <w:pPr>
              <w:widowControl/>
              <w:suppressAutoHyphens/>
              <w:adjustRightInd w:val="0"/>
              <w:spacing w:after="113" w:line="220" w:lineRule="atLeast"/>
              <w:textAlignment w:val="center"/>
              <w:rPr>
                <w:rFonts w:ascii="HelveticaNeueLT Std Lt" w:eastAsiaTheme="minorHAnsi" w:hAnsi="HelveticaNeueLT Std Lt" w:cs="HelveticaNeueLT Std Lt"/>
                <w:color w:val="000000"/>
                <w:sz w:val="18"/>
                <w:szCs w:val="18"/>
                <w:lang w:eastAsia="en-US" w:bidi="ar-SA"/>
              </w:rPr>
            </w:pPr>
            <w:r w:rsidRPr="0083056F">
              <w:rPr>
                <w:rFonts w:ascii="HelveticaNeueLT Std Lt" w:eastAsiaTheme="minorHAnsi" w:hAnsi="HelveticaNeueLT Std Lt" w:cs="HelveticaNeueLT Std Lt"/>
                <w:color w:val="000000"/>
                <w:sz w:val="18"/>
                <w:szCs w:val="18"/>
                <w:lang w:eastAsia="en-US" w:bidi="ar-SA"/>
              </w:rPr>
              <w:t>Number of Flu Vaccinations</w:t>
            </w:r>
          </w:p>
        </w:tc>
        <w:tc>
          <w:tcPr>
            <w:tcW w:w="2206" w:type="dxa"/>
          </w:tcPr>
          <w:p w:rsidR="0083056F" w:rsidRPr="0083056F" w:rsidRDefault="0083056F" w:rsidP="0083056F">
            <w:pPr>
              <w:widowControl/>
              <w:suppressAutoHyphens/>
              <w:adjustRightInd w:val="0"/>
              <w:spacing w:after="113" w:line="220" w:lineRule="atLeast"/>
              <w:jc w:val="right"/>
              <w:textAlignment w:val="center"/>
              <w:rPr>
                <w:rFonts w:ascii="HelveticaNeueLT Std Lt" w:eastAsiaTheme="minorHAnsi" w:hAnsi="HelveticaNeueLT Std Lt" w:cs="HelveticaNeueLT Std Lt"/>
                <w:color w:val="000000"/>
                <w:sz w:val="18"/>
                <w:szCs w:val="18"/>
                <w:lang w:eastAsia="en-US" w:bidi="ar-SA"/>
              </w:rPr>
            </w:pPr>
            <w:r w:rsidRPr="0083056F">
              <w:rPr>
                <w:rFonts w:ascii="HelveticaNeueLT Std Med" w:eastAsiaTheme="minorHAnsi" w:hAnsi="HelveticaNeueLT Std Med" w:cs="HelveticaNeueLT Std Med"/>
                <w:color w:val="000000"/>
                <w:sz w:val="18"/>
                <w:szCs w:val="18"/>
                <w:lang w:eastAsia="en-US" w:bidi="ar-SA"/>
              </w:rPr>
              <w:t>46</w:t>
            </w:r>
          </w:p>
        </w:tc>
        <w:tc>
          <w:tcPr>
            <w:tcW w:w="2268" w:type="dxa"/>
          </w:tcPr>
          <w:p w:rsidR="0083056F" w:rsidRPr="0083056F" w:rsidRDefault="0083056F" w:rsidP="0083056F">
            <w:pPr>
              <w:widowControl/>
              <w:suppressAutoHyphens/>
              <w:adjustRightInd w:val="0"/>
              <w:spacing w:after="113" w:line="220" w:lineRule="atLeast"/>
              <w:jc w:val="right"/>
              <w:textAlignment w:val="center"/>
              <w:rPr>
                <w:rFonts w:ascii="HelveticaNeueLT Std Lt" w:eastAsiaTheme="minorHAnsi" w:hAnsi="HelveticaNeueLT Std Lt" w:cs="HelveticaNeueLT Std Lt"/>
                <w:color w:val="000000"/>
                <w:sz w:val="18"/>
                <w:szCs w:val="18"/>
                <w:lang w:eastAsia="en-US" w:bidi="ar-SA"/>
              </w:rPr>
            </w:pPr>
            <w:r w:rsidRPr="0083056F">
              <w:rPr>
                <w:rFonts w:ascii="HelveticaNeueLT Std Lt" w:eastAsiaTheme="minorHAnsi" w:hAnsi="HelveticaNeueLT Std Lt" w:cs="HelveticaNeueLT Std Lt"/>
                <w:color w:val="000000"/>
                <w:sz w:val="18"/>
                <w:szCs w:val="18"/>
                <w:lang w:eastAsia="en-US" w:bidi="ar-SA"/>
              </w:rPr>
              <w:t>39</w:t>
            </w:r>
          </w:p>
        </w:tc>
      </w:tr>
    </w:tbl>
    <w:p w:rsidR="0083056F" w:rsidRDefault="0083056F" w:rsidP="0083056F"/>
    <w:p w:rsidR="0083056F" w:rsidRPr="0083056F" w:rsidRDefault="0083056F" w:rsidP="0083056F">
      <w:pPr>
        <w:pStyle w:val="NOTE"/>
        <w:ind w:left="709"/>
        <w:rPr>
          <w:rFonts w:ascii="Arial" w:hAnsi="Arial" w:cs="Arial"/>
          <w:sz w:val="20"/>
          <w:szCs w:val="20"/>
        </w:rPr>
      </w:pPr>
      <w:r w:rsidRPr="0083056F">
        <w:rPr>
          <w:rFonts w:ascii="Arial" w:hAnsi="Arial" w:cs="Arial"/>
          <w:sz w:val="20"/>
          <w:szCs w:val="20"/>
        </w:rPr>
        <w:t>Note: All desks at the VPSC have been converted to sit/stand desks.</w:t>
      </w:r>
    </w:p>
    <w:p w:rsidR="0083056F" w:rsidRDefault="0083056F" w:rsidP="0083056F"/>
    <w:p w:rsidR="0083056F" w:rsidRDefault="0083056F" w:rsidP="0083056F">
      <w:pPr>
        <w:pStyle w:val="Heading3"/>
      </w:pPr>
      <w:r>
        <w:t>Incident Management</w:t>
      </w:r>
    </w:p>
    <w:p w:rsidR="0083056F" w:rsidRDefault="0083056F" w:rsidP="0083056F"/>
    <w:tbl>
      <w:tblPr>
        <w:tblStyle w:val="TableGrid"/>
        <w:tblW w:w="0" w:type="auto"/>
        <w:tblInd w:w="728" w:type="dxa"/>
        <w:tblLayout w:type="fixed"/>
        <w:tblLook w:val="0000" w:firstRow="0" w:lastRow="0" w:firstColumn="0" w:lastColumn="0" w:noHBand="0" w:noVBand="0"/>
      </w:tblPr>
      <w:tblGrid>
        <w:gridCol w:w="5451"/>
        <w:gridCol w:w="2180"/>
        <w:gridCol w:w="2268"/>
      </w:tblGrid>
      <w:tr w:rsidR="0083056F" w:rsidRPr="0083056F" w:rsidTr="0083056F">
        <w:trPr>
          <w:trHeight w:val="60"/>
        </w:trPr>
        <w:tc>
          <w:tcPr>
            <w:tcW w:w="5451" w:type="dxa"/>
          </w:tcPr>
          <w:p w:rsidR="0083056F" w:rsidRPr="0083056F" w:rsidRDefault="0083056F" w:rsidP="0083056F">
            <w:pPr>
              <w:widowControl/>
              <w:tabs>
                <w:tab w:val="right" w:pos="7370"/>
              </w:tabs>
              <w:suppressAutoHyphens/>
              <w:adjustRightInd w:val="0"/>
              <w:spacing w:before="170" w:after="113" w:line="260" w:lineRule="atLeast"/>
              <w:textAlignment w:val="center"/>
              <w:rPr>
                <w:rFonts w:eastAsiaTheme="minorHAnsi"/>
                <w:sz w:val="20"/>
                <w:szCs w:val="20"/>
                <w:lang w:eastAsia="en-US" w:bidi="ar-SA"/>
              </w:rPr>
            </w:pPr>
            <w:r w:rsidRPr="0083056F">
              <w:rPr>
                <w:rFonts w:eastAsiaTheme="minorHAnsi"/>
                <w:sz w:val="20"/>
                <w:szCs w:val="20"/>
                <w:lang w:eastAsia="en-US" w:bidi="ar-SA"/>
              </w:rPr>
              <w:t>Item</w:t>
            </w:r>
          </w:p>
        </w:tc>
        <w:tc>
          <w:tcPr>
            <w:tcW w:w="2180" w:type="dxa"/>
          </w:tcPr>
          <w:p w:rsidR="0083056F" w:rsidRPr="0083056F" w:rsidRDefault="0083056F" w:rsidP="0083056F">
            <w:pPr>
              <w:widowControl/>
              <w:tabs>
                <w:tab w:val="right" w:pos="7370"/>
              </w:tabs>
              <w:suppressAutoHyphens/>
              <w:adjustRightInd w:val="0"/>
              <w:spacing w:before="170" w:after="113" w:line="260" w:lineRule="atLeast"/>
              <w:jc w:val="right"/>
              <w:textAlignment w:val="center"/>
              <w:rPr>
                <w:rFonts w:eastAsiaTheme="minorHAnsi"/>
                <w:sz w:val="20"/>
                <w:szCs w:val="20"/>
                <w:lang w:eastAsia="en-US" w:bidi="ar-SA"/>
              </w:rPr>
            </w:pPr>
            <w:r w:rsidRPr="0083056F">
              <w:rPr>
                <w:rFonts w:eastAsiaTheme="minorHAnsi"/>
                <w:sz w:val="20"/>
                <w:szCs w:val="20"/>
                <w:lang w:eastAsia="en-US" w:bidi="ar-SA"/>
              </w:rPr>
              <w:t>2018–19</w:t>
            </w:r>
          </w:p>
        </w:tc>
        <w:tc>
          <w:tcPr>
            <w:tcW w:w="2268" w:type="dxa"/>
          </w:tcPr>
          <w:p w:rsidR="0083056F" w:rsidRPr="0083056F" w:rsidRDefault="0083056F" w:rsidP="0083056F">
            <w:pPr>
              <w:widowControl/>
              <w:tabs>
                <w:tab w:val="right" w:pos="7370"/>
              </w:tabs>
              <w:suppressAutoHyphens/>
              <w:adjustRightInd w:val="0"/>
              <w:spacing w:before="170" w:after="113" w:line="260" w:lineRule="atLeast"/>
              <w:jc w:val="right"/>
              <w:textAlignment w:val="center"/>
              <w:rPr>
                <w:rFonts w:eastAsiaTheme="minorHAnsi"/>
                <w:sz w:val="20"/>
                <w:szCs w:val="20"/>
                <w:lang w:eastAsia="en-US" w:bidi="ar-SA"/>
              </w:rPr>
            </w:pPr>
            <w:r w:rsidRPr="0083056F">
              <w:rPr>
                <w:rFonts w:eastAsiaTheme="minorHAnsi"/>
                <w:sz w:val="20"/>
                <w:szCs w:val="20"/>
                <w:lang w:eastAsia="en-US" w:bidi="ar-SA"/>
              </w:rPr>
              <w:t>2017–18</w:t>
            </w:r>
          </w:p>
        </w:tc>
      </w:tr>
      <w:tr w:rsidR="0083056F" w:rsidRPr="0083056F" w:rsidTr="0083056F">
        <w:trPr>
          <w:trHeight w:val="60"/>
        </w:trPr>
        <w:tc>
          <w:tcPr>
            <w:tcW w:w="5451" w:type="dxa"/>
          </w:tcPr>
          <w:p w:rsidR="0083056F" w:rsidRPr="0083056F" w:rsidRDefault="0083056F" w:rsidP="0083056F">
            <w:pPr>
              <w:widowControl/>
              <w:suppressAutoHyphens/>
              <w:adjustRightInd w:val="0"/>
              <w:spacing w:after="113" w:line="220" w:lineRule="atLeast"/>
              <w:textAlignment w:val="center"/>
              <w:rPr>
                <w:rFonts w:eastAsiaTheme="minorHAnsi"/>
                <w:sz w:val="20"/>
                <w:szCs w:val="20"/>
                <w:lang w:eastAsia="en-US" w:bidi="ar-SA"/>
              </w:rPr>
            </w:pPr>
            <w:r w:rsidRPr="0083056F">
              <w:rPr>
                <w:rFonts w:eastAsiaTheme="minorHAnsi"/>
                <w:sz w:val="20"/>
                <w:szCs w:val="20"/>
                <w:lang w:eastAsia="en-US" w:bidi="ar-SA"/>
              </w:rPr>
              <w:t>Number of incidents reported</w:t>
            </w:r>
          </w:p>
        </w:tc>
        <w:tc>
          <w:tcPr>
            <w:tcW w:w="2180" w:type="dxa"/>
          </w:tcPr>
          <w:p w:rsidR="0083056F" w:rsidRPr="0083056F" w:rsidRDefault="0083056F" w:rsidP="0083056F">
            <w:pPr>
              <w:widowControl/>
              <w:suppressAutoHyphens/>
              <w:adjustRightInd w:val="0"/>
              <w:spacing w:after="113" w:line="220" w:lineRule="atLeast"/>
              <w:jc w:val="right"/>
              <w:textAlignment w:val="center"/>
              <w:rPr>
                <w:rFonts w:eastAsiaTheme="minorHAnsi"/>
                <w:sz w:val="20"/>
                <w:szCs w:val="20"/>
                <w:lang w:eastAsia="en-US" w:bidi="ar-SA"/>
              </w:rPr>
            </w:pPr>
            <w:r w:rsidRPr="0083056F">
              <w:rPr>
                <w:rFonts w:eastAsiaTheme="minorHAnsi"/>
                <w:sz w:val="20"/>
                <w:szCs w:val="20"/>
                <w:lang w:eastAsia="en-US" w:bidi="ar-SA"/>
              </w:rPr>
              <w:t>1</w:t>
            </w:r>
          </w:p>
        </w:tc>
        <w:tc>
          <w:tcPr>
            <w:tcW w:w="2268" w:type="dxa"/>
          </w:tcPr>
          <w:p w:rsidR="0083056F" w:rsidRPr="0083056F" w:rsidRDefault="0083056F" w:rsidP="0083056F">
            <w:pPr>
              <w:widowControl/>
              <w:suppressAutoHyphens/>
              <w:adjustRightInd w:val="0"/>
              <w:spacing w:after="113" w:line="220" w:lineRule="atLeast"/>
              <w:jc w:val="right"/>
              <w:textAlignment w:val="center"/>
              <w:rPr>
                <w:rFonts w:eastAsiaTheme="minorHAnsi"/>
                <w:sz w:val="20"/>
                <w:szCs w:val="20"/>
                <w:lang w:eastAsia="en-US" w:bidi="ar-SA"/>
              </w:rPr>
            </w:pPr>
            <w:r w:rsidRPr="0083056F">
              <w:rPr>
                <w:rFonts w:eastAsiaTheme="minorHAnsi"/>
                <w:sz w:val="20"/>
                <w:szCs w:val="20"/>
                <w:lang w:eastAsia="en-US" w:bidi="ar-SA"/>
              </w:rPr>
              <w:t>0</w:t>
            </w:r>
          </w:p>
        </w:tc>
      </w:tr>
      <w:tr w:rsidR="0083056F" w:rsidRPr="0083056F" w:rsidTr="0083056F">
        <w:trPr>
          <w:trHeight w:val="60"/>
        </w:trPr>
        <w:tc>
          <w:tcPr>
            <w:tcW w:w="5451" w:type="dxa"/>
          </w:tcPr>
          <w:p w:rsidR="0083056F" w:rsidRPr="0083056F" w:rsidRDefault="0083056F" w:rsidP="0083056F">
            <w:pPr>
              <w:widowControl/>
              <w:suppressAutoHyphens/>
              <w:adjustRightInd w:val="0"/>
              <w:spacing w:after="113" w:line="220" w:lineRule="atLeast"/>
              <w:textAlignment w:val="center"/>
              <w:rPr>
                <w:rFonts w:eastAsiaTheme="minorHAnsi"/>
                <w:sz w:val="20"/>
                <w:szCs w:val="20"/>
                <w:lang w:eastAsia="en-US" w:bidi="ar-SA"/>
              </w:rPr>
            </w:pPr>
            <w:r w:rsidRPr="0083056F">
              <w:rPr>
                <w:rFonts w:eastAsiaTheme="minorHAnsi"/>
                <w:sz w:val="20"/>
                <w:szCs w:val="20"/>
                <w:lang w:eastAsia="en-US" w:bidi="ar-SA"/>
              </w:rPr>
              <w:t>Number of hazards reported</w:t>
            </w:r>
          </w:p>
        </w:tc>
        <w:tc>
          <w:tcPr>
            <w:tcW w:w="2180" w:type="dxa"/>
          </w:tcPr>
          <w:p w:rsidR="0083056F" w:rsidRPr="0083056F" w:rsidRDefault="0083056F" w:rsidP="0083056F">
            <w:pPr>
              <w:widowControl/>
              <w:suppressAutoHyphens/>
              <w:adjustRightInd w:val="0"/>
              <w:spacing w:after="113" w:line="220" w:lineRule="atLeast"/>
              <w:jc w:val="right"/>
              <w:textAlignment w:val="center"/>
              <w:rPr>
                <w:rFonts w:eastAsiaTheme="minorHAnsi"/>
                <w:sz w:val="20"/>
                <w:szCs w:val="20"/>
                <w:lang w:eastAsia="en-US" w:bidi="ar-SA"/>
              </w:rPr>
            </w:pPr>
            <w:r w:rsidRPr="0083056F">
              <w:rPr>
                <w:rFonts w:eastAsiaTheme="minorHAnsi"/>
                <w:sz w:val="20"/>
                <w:szCs w:val="20"/>
                <w:lang w:eastAsia="en-US" w:bidi="ar-SA"/>
              </w:rPr>
              <w:t>1</w:t>
            </w:r>
          </w:p>
        </w:tc>
        <w:tc>
          <w:tcPr>
            <w:tcW w:w="2268" w:type="dxa"/>
          </w:tcPr>
          <w:p w:rsidR="0083056F" w:rsidRPr="0083056F" w:rsidRDefault="0083056F" w:rsidP="0083056F">
            <w:pPr>
              <w:widowControl/>
              <w:suppressAutoHyphens/>
              <w:adjustRightInd w:val="0"/>
              <w:spacing w:after="113" w:line="220" w:lineRule="atLeast"/>
              <w:jc w:val="right"/>
              <w:textAlignment w:val="center"/>
              <w:rPr>
                <w:rFonts w:eastAsiaTheme="minorHAnsi"/>
                <w:sz w:val="20"/>
                <w:szCs w:val="20"/>
                <w:lang w:eastAsia="en-US" w:bidi="ar-SA"/>
              </w:rPr>
            </w:pPr>
            <w:r w:rsidRPr="0083056F">
              <w:rPr>
                <w:rFonts w:eastAsiaTheme="minorHAnsi"/>
                <w:sz w:val="20"/>
                <w:szCs w:val="20"/>
                <w:lang w:eastAsia="en-US" w:bidi="ar-SA"/>
              </w:rPr>
              <w:t>0</w:t>
            </w:r>
          </w:p>
        </w:tc>
      </w:tr>
    </w:tbl>
    <w:p w:rsidR="0083056F" w:rsidRPr="0083056F" w:rsidRDefault="0083056F" w:rsidP="0083056F">
      <w:pPr>
        <w:rPr>
          <w:sz w:val="20"/>
          <w:szCs w:val="20"/>
        </w:rPr>
      </w:pPr>
    </w:p>
    <w:p w:rsidR="0083056F" w:rsidRDefault="0083056F" w:rsidP="0083056F">
      <w:pPr>
        <w:pStyle w:val="NOTE"/>
        <w:ind w:left="709"/>
        <w:rPr>
          <w:rFonts w:ascii="Arial" w:hAnsi="Arial" w:cs="Arial"/>
          <w:sz w:val="20"/>
          <w:szCs w:val="20"/>
        </w:rPr>
      </w:pPr>
      <w:r w:rsidRPr="0083056F">
        <w:rPr>
          <w:rFonts w:ascii="Arial" w:hAnsi="Arial" w:cs="Arial"/>
          <w:sz w:val="20"/>
          <w:szCs w:val="20"/>
        </w:rPr>
        <w:t>Note: Data provided by Marsh, the VPSC’s OHS Service Provider</w:t>
      </w:r>
    </w:p>
    <w:p w:rsidR="0083056F" w:rsidRPr="0083056F" w:rsidRDefault="0083056F" w:rsidP="0083056F"/>
    <w:p w:rsidR="0083056F" w:rsidRDefault="0083056F" w:rsidP="0083056F">
      <w:pPr>
        <w:pStyle w:val="Heading3"/>
      </w:pPr>
      <w:r w:rsidRPr="0083056F">
        <w:t>Employment and Conduct Principles</w:t>
      </w:r>
    </w:p>
    <w:p w:rsidR="0083056F" w:rsidRPr="0083056F" w:rsidRDefault="0083056F" w:rsidP="0083056F"/>
    <w:p w:rsidR="0083056F" w:rsidRDefault="0083056F" w:rsidP="0083056F">
      <w:pPr>
        <w:pStyle w:val="Heading4"/>
      </w:pPr>
      <w:r w:rsidRPr="0083056F">
        <w:t>Merit Selection Policy</w:t>
      </w:r>
    </w:p>
    <w:p w:rsidR="0083056F" w:rsidRPr="0083056F" w:rsidRDefault="0083056F" w:rsidP="0083056F">
      <w:pPr>
        <w:ind w:right="1137"/>
      </w:pPr>
    </w:p>
    <w:p w:rsidR="0051318F" w:rsidRDefault="0083056F" w:rsidP="0083056F">
      <w:pPr>
        <w:pStyle w:val="BODY"/>
        <w:ind w:left="709" w:right="1137"/>
        <w:rPr>
          <w:rFonts w:ascii="Arial" w:hAnsi="Arial" w:cs="Arial"/>
          <w:spacing w:val="-1"/>
          <w:sz w:val="20"/>
          <w:szCs w:val="20"/>
        </w:rPr>
      </w:pPr>
      <w:r w:rsidRPr="0083056F">
        <w:rPr>
          <w:rFonts w:ascii="Arial" w:hAnsi="Arial" w:cs="Arial"/>
          <w:sz w:val="20"/>
          <w:szCs w:val="20"/>
        </w:rPr>
        <w:t xml:space="preserve">The VPSC is committed to applying merit and equity principles when appointing staff. The selection </w:t>
      </w:r>
      <w:r w:rsidRPr="0083056F">
        <w:rPr>
          <w:rFonts w:ascii="Arial" w:hAnsi="Arial" w:cs="Arial"/>
          <w:spacing w:val="-1"/>
          <w:sz w:val="20"/>
          <w:szCs w:val="20"/>
        </w:rPr>
        <w:t>processes ensure that applicants are assessed and evaluated fairly and equitably on the basis of the key selection criteria and other accountabilities without discrimination. Employees have been correctly classified</w:t>
      </w:r>
      <w:r>
        <w:rPr>
          <w:rFonts w:ascii="Arial" w:hAnsi="Arial" w:cs="Arial"/>
          <w:spacing w:val="-1"/>
          <w:sz w:val="20"/>
          <w:szCs w:val="20"/>
        </w:rPr>
        <w:t xml:space="preserve"> </w:t>
      </w:r>
      <w:r w:rsidRPr="0083056F">
        <w:rPr>
          <w:rFonts w:ascii="Arial" w:hAnsi="Arial" w:cs="Arial"/>
          <w:spacing w:val="-1"/>
          <w:sz w:val="20"/>
          <w:szCs w:val="20"/>
        </w:rPr>
        <w:t>in workforce data collections.</w:t>
      </w:r>
    </w:p>
    <w:p w:rsidR="0083056F" w:rsidRPr="0083056F" w:rsidRDefault="0083056F" w:rsidP="0083056F">
      <w:pPr>
        <w:pStyle w:val="BODY"/>
        <w:ind w:left="709" w:right="1137"/>
        <w:rPr>
          <w:rFonts w:ascii="Arial" w:hAnsi="Arial" w:cs="Arial"/>
          <w:spacing w:val="-1"/>
          <w:sz w:val="20"/>
          <w:szCs w:val="20"/>
        </w:rPr>
        <w:sectPr w:rsidR="0083056F" w:rsidRPr="0083056F">
          <w:pgSz w:w="11910" w:h="16840"/>
          <w:pgMar w:top="580" w:right="0" w:bottom="680" w:left="0" w:header="0" w:footer="491" w:gutter="0"/>
          <w:cols w:space="720"/>
        </w:sectPr>
      </w:pPr>
    </w:p>
    <w:p w:rsidR="005068B7" w:rsidRDefault="005068B7" w:rsidP="005068B7">
      <w:pPr>
        <w:pStyle w:val="Heading1"/>
      </w:pPr>
      <w:bookmarkStart w:id="20" w:name="_TOC_250005"/>
      <w:bookmarkStart w:id="21" w:name="_Toc23329723"/>
      <w:bookmarkEnd w:id="20"/>
      <w:r>
        <w:lastRenderedPageBreak/>
        <w:t>Section 3 – Workforce Data</w:t>
      </w:r>
      <w:bookmarkEnd w:id="21"/>
    </w:p>
    <w:p w:rsidR="005068B7" w:rsidRDefault="005068B7" w:rsidP="005068B7">
      <w:pPr>
        <w:rPr>
          <w:lang w:eastAsia="en-US" w:bidi="ar-SA"/>
        </w:rPr>
      </w:pPr>
    </w:p>
    <w:p w:rsidR="005068B7" w:rsidRPr="005068B7" w:rsidRDefault="005068B7" w:rsidP="005068B7">
      <w:pPr>
        <w:pStyle w:val="Heading2"/>
        <w:rPr>
          <w:lang w:eastAsia="en-US" w:bidi="ar-SA"/>
        </w:rPr>
      </w:pPr>
      <w:bookmarkStart w:id="22" w:name="_Toc23329724"/>
      <w:r w:rsidRPr="005068B7">
        <w:rPr>
          <w:lang w:eastAsia="en-US" w:bidi="ar-SA"/>
        </w:rPr>
        <w:t>Public Administration Values and Employment Principles</w:t>
      </w:r>
      <w:bookmarkEnd w:id="22"/>
    </w:p>
    <w:p w:rsidR="005068B7" w:rsidRDefault="005068B7" w:rsidP="005068B7">
      <w:pPr>
        <w:rPr>
          <w:lang w:eastAsia="en-US" w:bidi="ar-SA"/>
        </w:rPr>
      </w:pPr>
    </w:p>
    <w:p w:rsidR="005068B7" w:rsidRPr="005068B7" w:rsidRDefault="005068B7" w:rsidP="005068B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068B7">
        <w:rPr>
          <w:rFonts w:eastAsiaTheme="minorHAnsi"/>
          <w:color w:val="000000"/>
          <w:sz w:val="20"/>
          <w:szCs w:val="20"/>
          <w:lang w:eastAsia="en-US" w:bidi="ar-SA"/>
        </w:rPr>
        <w:t>The Public Administration Values and Employment Principles underpin employment processes within</w:t>
      </w:r>
      <w:r>
        <w:rPr>
          <w:rFonts w:eastAsiaTheme="minorHAnsi"/>
          <w:color w:val="000000"/>
          <w:sz w:val="20"/>
          <w:szCs w:val="20"/>
          <w:lang w:eastAsia="en-US" w:bidi="ar-SA"/>
        </w:rPr>
        <w:t xml:space="preserve"> </w:t>
      </w:r>
      <w:r w:rsidRPr="005068B7">
        <w:rPr>
          <w:rFonts w:eastAsiaTheme="minorHAnsi"/>
          <w:color w:val="000000"/>
          <w:sz w:val="20"/>
          <w:szCs w:val="20"/>
          <w:lang w:eastAsia="en-US" w:bidi="ar-SA"/>
        </w:rPr>
        <w:t>the Victorian public service (VPS). The standards guide the development of employment processes.</w:t>
      </w:r>
    </w:p>
    <w:p w:rsidR="005068B7" w:rsidRPr="005068B7" w:rsidRDefault="005068B7" w:rsidP="005068B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068B7">
        <w:rPr>
          <w:rFonts w:eastAsiaTheme="minorHAnsi"/>
          <w:color w:val="000000"/>
          <w:sz w:val="20"/>
          <w:szCs w:val="20"/>
          <w:lang w:eastAsia="en-US" w:bidi="ar-SA"/>
        </w:rPr>
        <w:t>Public sector employers must have employment processes which are consistent with the public sector</w:t>
      </w:r>
      <w:r>
        <w:rPr>
          <w:rFonts w:eastAsiaTheme="minorHAnsi"/>
          <w:color w:val="000000"/>
          <w:sz w:val="20"/>
          <w:szCs w:val="20"/>
          <w:lang w:eastAsia="en-US" w:bidi="ar-SA"/>
        </w:rPr>
        <w:t xml:space="preserve"> </w:t>
      </w:r>
      <w:r w:rsidRPr="005068B7">
        <w:rPr>
          <w:rFonts w:eastAsiaTheme="minorHAnsi"/>
          <w:color w:val="000000"/>
          <w:sz w:val="20"/>
          <w:szCs w:val="20"/>
          <w:lang w:eastAsia="en-US" w:bidi="ar-SA"/>
        </w:rPr>
        <w:t>employment principles and any mandatory standards the VPSC issues.</w:t>
      </w:r>
    </w:p>
    <w:p w:rsidR="005068B7" w:rsidRDefault="005068B7" w:rsidP="005068B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068B7">
        <w:rPr>
          <w:rFonts w:eastAsiaTheme="minorHAnsi"/>
          <w:color w:val="000000"/>
          <w:sz w:val="20"/>
          <w:szCs w:val="20"/>
          <w:lang w:eastAsia="en-US" w:bidi="ar-SA"/>
        </w:rPr>
        <w:t>The standards and principles help shape the type of working environment we offer to our employees</w:t>
      </w:r>
      <w:r>
        <w:rPr>
          <w:rFonts w:eastAsiaTheme="minorHAnsi"/>
          <w:color w:val="000000"/>
          <w:sz w:val="20"/>
          <w:szCs w:val="20"/>
          <w:lang w:eastAsia="en-US" w:bidi="ar-SA"/>
        </w:rPr>
        <w:t xml:space="preserve"> </w:t>
      </w:r>
      <w:r w:rsidRPr="005068B7">
        <w:rPr>
          <w:rFonts w:eastAsiaTheme="minorHAnsi"/>
          <w:color w:val="000000"/>
          <w:sz w:val="20"/>
          <w:szCs w:val="20"/>
          <w:lang w:eastAsia="en-US" w:bidi="ar-SA"/>
        </w:rPr>
        <w:t>which help set the right conditions for productive and harmonious working relationships by ensuring employees are treated well, have career opportunities and can safely raise their concerns.</w:t>
      </w:r>
    </w:p>
    <w:p w:rsidR="005068B7" w:rsidRPr="005068B7" w:rsidRDefault="005068B7" w:rsidP="005068B7">
      <w:pPr>
        <w:rPr>
          <w:lang w:eastAsia="en-US" w:bidi="ar-SA"/>
        </w:rPr>
      </w:pPr>
    </w:p>
    <w:p w:rsidR="005068B7" w:rsidRDefault="005068B7" w:rsidP="005068B7">
      <w:pPr>
        <w:pStyle w:val="Heading2"/>
        <w:rPr>
          <w:lang w:eastAsia="en-US" w:bidi="ar-SA"/>
        </w:rPr>
      </w:pPr>
      <w:bookmarkStart w:id="23" w:name="_Toc23329725"/>
      <w:r w:rsidRPr="005068B7">
        <w:rPr>
          <w:lang w:eastAsia="en-US" w:bidi="ar-SA"/>
        </w:rPr>
        <w:t>Comparative Workforce Data</w:t>
      </w:r>
      <w:bookmarkEnd w:id="23"/>
    </w:p>
    <w:p w:rsidR="00FD1512" w:rsidRPr="005068B7" w:rsidRDefault="00FD1512" w:rsidP="00FD1512">
      <w:pPr>
        <w:rPr>
          <w:lang w:eastAsia="en-US" w:bidi="ar-SA"/>
        </w:rPr>
      </w:pPr>
    </w:p>
    <w:p w:rsidR="005068B7" w:rsidRDefault="00FD1512" w:rsidP="00FD1512">
      <w:pPr>
        <w:pStyle w:val="Heading4"/>
        <w:rPr>
          <w:lang w:eastAsia="en-US" w:bidi="ar-SA"/>
        </w:rPr>
      </w:pPr>
      <w:r w:rsidRPr="005068B7">
        <w:rPr>
          <w:lang w:eastAsia="en-US" w:bidi="ar-SA"/>
        </w:rPr>
        <w:t>Staffing trends from 2017 – 2019</w:t>
      </w:r>
    </w:p>
    <w:p w:rsidR="005068B7" w:rsidRPr="005068B7" w:rsidRDefault="005068B7" w:rsidP="005068B7"/>
    <w:tbl>
      <w:tblPr>
        <w:tblStyle w:val="TableGrid"/>
        <w:tblW w:w="0" w:type="auto"/>
        <w:tblInd w:w="675" w:type="dxa"/>
        <w:tblLayout w:type="fixed"/>
        <w:tblLook w:val="0000" w:firstRow="0" w:lastRow="0" w:firstColumn="0" w:lastColumn="0" w:noHBand="0" w:noVBand="0"/>
      </w:tblPr>
      <w:tblGrid>
        <w:gridCol w:w="5953"/>
        <w:gridCol w:w="1305"/>
        <w:gridCol w:w="1276"/>
        <w:gridCol w:w="1418"/>
      </w:tblGrid>
      <w:tr w:rsidR="005068B7" w:rsidRPr="005068B7" w:rsidTr="005068B7">
        <w:trPr>
          <w:trHeight w:val="60"/>
        </w:trPr>
        <w:tc>
          <w:tcPr>
            <w:tcW w:w="5953" w:type="dxa"/>
          </w:tcPr>
          <w:p w:rsidR="005068B7" w:rsidRPr="005068B7" w:rsidRDefault="005068B7" w:rsidP="005068B7">
            <w:pPr>
              <w:widowControl/>
              <w:adjustRightInd w:val="0"/>
              <w:rPr>
                <w:rFonts w:eastAsiaTheme="minorHAnsi"/>
                <w:sz w:val="20"/>
                <w:szCs w:val="20"/>
                <w:lang w:eastAsia="en-US" w:bidi="ar-SA"/>
              </w:rPr>
            </w:pPr>
          </w:p>
        </w:tc>
        <w:tc>
          <w:tcPr>
            <w:tcW w:w="1305" w:type="dxa"/>
          </w:tcPr>
          <w:p w:rsidR="005068B7" w:rsidRPr="005068B7" w:rsidRDefault="005068B7" w:rsidP="005068B7">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5068B7">
              <w:rPr>
                <w:rFonts w:eastAsiaTheme="minorHAnsi"/>
                <w:b/>
                <w:bCs/>
                <w:sz w:val="20"/>
                <w:szCs w:val="20"/>
                <w:lang w:eastAsia="en-US" w:bidi="ar-SA"/>
              </w:rPr>
              <w:t>2017</w:t>
            </w:r>
          </w:p>
        </w:tc>
        <w:tc>
          <w:tcPr>
            <w:tcW w:w="1276" w:type="dxa"/>
          </w:tcPr>
          <w:p w:rsidR="005068B7" w:rsidRPr="005068B7" w:rsidRDefault="005068B7" w:rsidP="005068B7">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5068B7">
              <w:rPr>
                <w:rFonts w:eastAsiaTheme="minorHAnsi"/>
                <w:b/>
                <w:bCs/>
                <w:sz w:val="20"/>
                <w:szCs w:val="20"/>
                <w:lang w:eastAsia="en-US" w:bidi="ar-SA"/>
              </w:rPr>
              <w:t>2018</w:t>
            </w:r>
          </w:p>
        </w:tc>
        <w:tc>
          <w:tcPr>
            <w:tcW w:w="1418" w:type="dxa"/>
          </w:tcPr>
          <w:p w:rsidR="005068B7" w:rsidRPr="005068B7" w:rsidRDefault="005068B7" w:rsidP="005068B7">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5068B7">
              <w:rPr>
                <w:rFonts w:eastAsiaTheme="minorHAnsi"/>
                <w:b/>
                <w:bCs/>
                <w:sz w:val="20"/>
                <w:szCs w:val="20"/>
                <w:lang w:eastAsia="en-US" w:bidi="ar-SA"/>
              </w:rPr>
              <w:t>2019</w:t>
            </w:r>
          </w:p>
        </w:tc>
      </w:tr>
      <w:tr w:rsidR="005068B7" w:rsidRPr="005068B7" w:rsidTr="005068B7">
        <w:trPr>
          <w:trHeight w:val="60"/>
        </w:trPr>
        <w:tc>
          <w:tcPr>
            <w:tcW w:w="5953"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Headcount including ongoing and fixed term employees,</w:t>
            </w:r>
            <w:r w:rsidRPr="005068B7">
              <w:rPr>
                <w:rFonts w:eastAsiaTheme="minorHAnsi"/>
                <w:sz w:val="20"/>
                <w:szCs w:val="20"/>
                <w:lang w:eastAsia="en-US" w:bidi="ar-SA"/>
              </w:rPr>
              <w:br/>
              <w:t>not including statutory appointments.</w:t>
            </w:r>
          </w:p>
        </w:tc>
        <w:tc>
          <w:tcPr>
            <w:tcW w:w="1305"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73</w:t>
            </w:r>
          </w:p>
        </w:tc>
        <w:tc>
          <w:tcPr>
            <w:tcW w:w="1276"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69</w:t>
            </w:r>
          </w:p>
        </w:tc>
        <w:tc>
          <w:tcPr>
            <w:tcW w:w="1418"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90</w:t>
            </w:r>
          </w:p>
        </w:tc>
      </w:tr>
      <w:tr w:rsidR="005068B7" w:rsidRPr="005068B7" w:rsidTr="005068B7">
        <w:trPr>
          <w:trHeight w:val="60"/>
        </w:trPr>
        <w:tc>
          <w:tcPr>
            <w:tcW w:w="5953"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FTE</w:t>
            </w:r>
          </w:p>
        </w:tc>
        <w:tc>
          <w:tcPr>
            <w:tcW w:w="1305"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68.8</w:t>
            </w:r>
          </w:p>
        </w:tc>
        <w:tc>
          <w:tcPr>
            <w:tcW w:w="1276"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66.1</w:t>
            </w:r>
          </w:p>
        </w:tc>
        <w:tc>
          <w:tcPr>
            <w:tcW w:w="1418"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85.13</w:t>
            </w:r>
          </w:p>
        </w:tc>
      </w:tr>
    </w:tbl>
    <w:p w:rsidR="005068B7" w:rsidRDefault="00FD1512" w:rsidP="005068B7">
      <w:pPr>
        <w:pStyle w:val="Heading5"/>
        <w:ind w:left="709"/>
        <w:rPr>
          <w:rFonts w:ascii="Arial" w:hAnsi="Arial" w:cs="Arial"/>
          <w:i w:val="0"/>
          <w:iCs/>
          <w:lang w:eastAsia="en-US" w:bidi="ar-SA"/>
        </w:rPr>
      </w:pPr>
      <w:r w:rsidRPr="005068B7">
        <w:rPr>
          <w:rFonts w:ascii="Arial" w:hAnsi="Arial" w:cs="Arial"/>
          <w:i w:val="0"/>
          <w:iCs/>
          <w:lang w:eastAsia="en-US" w:bidi="ar-SA"/>
        </w:rPr>
        <w:t xml:space="preserve">Summary of employment levels (30 </w:t>
      </w:r>
      <w:r>
        <w:rPr>
          <w:rFonts w:ascii="Arial" w:hAnsi="Arial" w:cs="Arial"/>
          <w:i w:val="0"/>
          <w:iCs/>
          <w:lang w:eastAsia="en-US" w:bidi="ar-SA"/>
        </w:rPr>
        <w:t>J</w:t>
      </w:r>
      <w:r w:rsidRPr="005068B7">
        <w:rPr>
          <w:rFonts w:ascii="Arial" w:hAnsi="Arial" w:cs="Arial"/>
          <w:i w:val="0"/>
          <w:iCs/>
          <w:lang w:eastAsia="en-US" w:bidi="ar-SA"/>
        </w:rPr>
        <w:t xml:space="preserve">une 2018 and 30 </w:t>
      </w:r>
      <w:r>
        <w:rPr>
          <w:rFonts w:ascii="Arial" w:hAnsi="Arial" w:cs="Arial"/>
          <w:i w:val="0"/>
          <w:iCs/>
          <w:lang w:eastAsia="en-US" w:bidi="ar-SA"/>
        </w:rPr>
        <w:t>J</w:t>
      </w:r>
      <w:r w:rsidRPr="005068B7">
        <w:rPr>
          <w:rFonts w:ascii="Arial" w:hAnsi="Arial" w:cs="Arial"/>
          <w:i w:val="0"/>
          <w:iCs/>
          <w:lang w:eastAsia="en-US" w:bidi="ar-SA"/>
        </w:rPr>
        <w:t>une 2019)</w:t>
      </w:r>
    </w:p>
    <w:p w:rsidR="005068B7" w:rsidRPr="005068B7" w:rsidRDefault="005068B7" w:rsidP="005068B7">
      <w:pPr>
        <w:rPr>
          <w:lang w:eastAsia="en-US" w:bidi="ar-SA"/>
        </w:rPr>
      </w:pPr>
    </w:p>
    <w:tbl>
      <w:tblPr>
        <w:tblStyle w:val="TableGrid"/>
        <w:tblW w:w="0" w:type="auto"/>
        <w:tblInd w:w="704" w:type="dxa"/>
        <w:tblLayout w:type="fixed"/>
        <w:tblLook w:val="0000" w:firstRow="0" w:lastRow="0" w:firstColumn="0" w:lastColumn="0" w:noHBand="0" w:noVBand="0"/>
      </w:tblPr>
      <w:tblGrid>
        <w:gridCol w:w="4453"/>
        <w:gridCol w:w="1359"/>
        <w:gridCol w:w="1276"/>
        <w:gridCol w:w="1417"/>
        <w:gridCol w:w="1418"/>
      </w:tblGrid>
      <w:tr w:rsidR="005068B7" w:rsidRPr="005068B7" w:rsidTr="00FD1512">
        <w:trPr>
          <w:trHeight w:val="60"/>
        </w:trPr>
        <w:tc>
          <w:tcPr>
            <w:tcW w:w="4453" w:type="dxa"/>
          </w:tcPr>
          <w:p w:rsidR="005068B7" w:rsidRPr="005068B7" w:rsidRDefault="005068B7" w:rsidP="005068B7">
            <w:pPr>
              <w:widowControl/>
              <w:adjustRightInd w:val="0"/>
              <w:rPr>
                <w:rFonts w:eastAsiaTheme="minorHAnsi"/>
                <w:sz w:val="20"/>
                <w:szCs w:val="20"/>
                <w:lang w:eastAsia="en-US" w:bidi="ar-SA"/>
              </w:rPr>
            </w:pPr>
          </w:p>
        </w:tc>
        <w:tc>
          <w:tcPr>
            <w:tcW w:w="2635" w:type="dxa"/>
            <w:gridSpan w:val="2"/>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2018</w:t>
            </w:r>
          </w:p>
        </w:tc>
        <w:tc>
          <w:tcPr>
            <w:tcW w:w="2835" w:type="dxa"/>
            <w:gridSpan w:val="2"/>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2019</w:t>
            </w:r>
          </w:p>
        </w:tc>
      </w:tr>
      <w:tr w:rsidR="005068B7" w:rsidRPr="005068B7" w:rsidTr="00FD1512">
        <w:trPr>
          <w:trHeight w:val="60"/>
        </w:trPr>
        <w:tc>
          <w:tcPr>
            <w:tcW w:w="4453" w:type="dxa"/>
          </w:tcPr>
          <w:p w:rsidR="005068B7" w:rsidRPr="005068B7" w:rsidRDefault="005068B7" w:rsidP="005068B7">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068B7">
              <w:rPr>
                <w:rFonts w:eastAsiaTheme="minorHAnsi"/>
                <w:b/>
                <w:bCs/>
                <w:sz w:val="20"/>
                <w:szCs w:val="20"/>
                <w:lang w:eastAsia="en-US" w:bidi="ar-SA"/>
              </w:rPr>
              <w:t>Data as per June payroll (FTE report)</w:t>
            </w:r>
          </w:p>
        </w:tc>
        <w:tc>
          <w:tcPr>
            <w:tcW w:w="1359" w:type="dxa"/>
          </w:tcPr>
          <w:p w:rsidR="005068B7" w:rsidRPr="005068B7" w:rsidRDefault="005068B7" w:rsidP="005068B7">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5068B7">
              <w:rPr>
                <w:rFonts w:eastAsiaTheme="minorHAnsi"/>
                <w:b/>
                <w:bCs/>
                <w:sz w:val="20"/>
                <w:szCs w:val="20"/>
                <w:lang w:eastAsia="en-US" w:bidi="ar-SA"/>
              </w:rPr>
              <w:t>Headcount</w:t>
            </w:r>
          </w:p>
        </w:tc>
        <w:tc>
          <w:tcPr>
            <w:tcW w:w="1276" w:type="dxa"/>
          </w:tcPr>
          <w:p w:rsidR="005068B7" w:rsidRPr="005068B7" w:rsidRDefault="005068B7" w:rsidP="005068B7">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5068B7">
              <w:rPr>
                <w:rFonts w:eastAsiaTheme="minorHAnsi"/>
                <w:b/>
                <w:bCs/>
                <w:sz w:val="20"/>
                <w:szCs w:val="20"/>
                <w:lang w:eastAsia="en-US" w:bidi="ar-SA"/>
              </w:rPr>
              <w:t>FTE</w:t>
            </w:r>
          </w:p>
        </w:tc>
        <w:tc>
          <w:tcPr>
            <w:tcW w:w="1417" w:type="dxa"/>
          </w:tcPr>
          <w:p w:rsidR="005068B7" w:rsidRPr="005068B7" w:rsidRDefault="005068B7" w:rsidP="005068B7">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5068B7">
              <w:rPr>
                <w:rFonts w:eastAsiaTheme="minorHAnsi"/>
                <w:b/>
                <w:bCs/>
                <w:sz w:val="20"/>
                <w:szCs w:val="20"/>
                <w:lang w:eastAsia="en-US" w:bidi="ar-SA"/>
              </w:rPr>
              <w:t>Headcount</w:t>
            </w:r>
          </w:p>
        </w:tc>
        <w:tc>
          <w:tcPr>
            <w:tcW w:w="1418" w:type="dxa"/>
          </w:tcPr>
          <w:p w:rsidR="005068B7" w:rsidRPr="005068B7" w:rsidRDefault="005068B7" w:rsidP="005068B7">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5068B7">
              <w:rPr>
                <w:rFonts w:eastAsiaTheme="minorHAnsi"/>
                <w:b/>
                <w:bCs/>
                <w:sz w:val="20"/>
                <w:szCs w:val="20"/>
                <w:lang w:eastAsia="en-US" w:bidi="ar-SA"/>
              </w:rPr>
              <w:t>FTE</w:t>
            </w:r>
          </w:p>
        </w:tc>
      </w:tr>
      <w:tr w:rsidR="005068B7" w:rsidRPr="005068B7" w:rsidTr="00FD1512">
        <w:trPr>
          <w:trHeight w:val="60"/>
        </w:trPr>
        <w:tc>
          <w:tcPr>
            <w:tcW w:w="4453"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pacing w:val="-4"/>
                <w:sz w:val="20"/>
                <w:szCs w:val="20"/>
                <w:lang w:eastAsia="en-US" w:bidi="ar-SA"/>
              </w:rPr>
              <w:t>Total head count, not including statutory appointments</w:t>
            </w:r>
          </w:p>
        </w:tc>
        <w:tc>
          <w:tcPr>
            <w:tcW w:w="1359"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69</w:t>
            </w:r>
          </w:p>
        </w:tc>
        <w:tc>
          <w:tcPr>
            <w:tcW w:w="1276"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66.1</w:t>
            </w:r>
          </w:p>
        </w:tc>
        <w:tc>
          <w:tcPr>
            <w:tcW w:w="1417"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90</w:t>
            </w:r>
          </w:p>
        </w:tc>
        <w:tc>
          <w:tcPr>
            <w:tcW w:w="1418"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85.13</w:t>
            </w:r>
          </w:p>
        </w:tc>
      </w:tr>
      <w:tr w:rsidR="005068B7" w:rsidRPr="005068B7" w:rsidTr="00FD1512">
        <w:trPr>
          <w:trHeight w:val="60"/>
        </w:trPr>
        <w:tc>
          <w:tcPr>
            <w:tcW w:w="4453"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Ongoing – Full Time</w:t>
            </w:r>
          </w:p>
        </w:tc>
        <w:tc>
          <w:tcPr>
            <w:tcW w:w="1359"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34</w:t>
            </w:r>
          </w:p>
        </w:tc>
        <w:tc>
          <w:tcPr>
            <w:tcW w:w="1276"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34</w:t>
            </w:r>
          </w:p>
        </w:tc>
        <w:tc>
          <w:tcPr>
            <w:tcW w:w="1417"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47</w:t>
            </w:r>
          </w:p>
        </w:tc>
        <w:tc>
          <w:tcPr>
            <w:tcW w:w="1418"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47</w:t>
            </w:r>
          </w:p>
        </w:tc>
      </w:tr>
      <w:tr w:rsidR="005068B7" w:rsidRPr="005068B7" w:rsidTr="00FD1512">
        <w:trPr>
          <w:trHeight w:val="60"/>
        </w:trPr>
        <w:tc>
          <w:tcPr>
            <w:tcW w:w="4453"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Ongoing – Part Time</w:t>
            </w:r>
          </w:p>
        </w:tc>
        <w:tc>
          <w:tcPr>
            <w:tcW w:w="1359"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7</w:t>
            </w:r>
          </w:p>
        </w:tc>
        <w:tc>
          <w:tcPr>
            <w:tcW w:w="1276"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4.9</w:t>
            </w:r>
          </w:p>
        </w:tc>
        <w:tc>
          <w:tcPr>
            <w:tcW w:w="1417"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7</w:t>
            </w:r>
          </w:p>
        </w:tc>
        <w:tc>
          <w:tcPr>
            <w:tcW w:w="1418"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4.46</w:t>
            </w:r>
          </w:p>
        </w:tc>
      </w:tr>
      <w:tr w:rsidR="005068B7" w:rsidRPr="005068B7" w:rsidTr="00FD1512">
        <w:trPr>
          <w:trHeight w:val="60"/>
        </w:trPr>
        <w:tc>
          <w:tcPr>
            <w:tcW w:w="4453"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Fixed Term – Full Time</w:t>
            </w:r>
          </w:p>
        </w:tc>
        <w:tc>
          <w:tcPr>
            <w:tcW w:w="1359"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25</w:t>
            </w:r>
          </w:p>
        </w:tc>
        <w:tc>
          <w:tcPr>
            <w:tcW w:w="1276"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25</w:t>
            </w:r>
          </w:p>
        </w:tc>
        <w:tc>
          <w:tcPr>
            <w:tcW w:w="1417"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27</w:t>
            </w:r>
          </w:p>
        </w:tc>
        <w:tc>
          <w:tcPr>
            <w:tcW w:w="1418"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27</w:t>
            </w:r>
          </w:p>
        </w:tc>
      </w:tr>
      <w:tr w:rsidR="005068B7" w:rsidRPr="005068B7" w:rsidTr="00FD1512">
        <w:trPr>
          <w:trHeight w:val="60"/>
        </w:trPr>
        <w:tc>
          <w:tcPr>
            <w:tcW w:w="4453"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Fixed term – Part Time</w:t>
            </w:r>
          </w:p>
        </w:tc>
        <w:tc>
          <w:tcPr>
            <w:tcW w:w="1359"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2</w:t>
            </w:r>
          </w:p>
        </w:tc>
        <w:tc>
          <w:tcPr>
            <w:tcW w:w="1276"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1.2</w:t>
            </w:r>
          </w:p>
        </w:tc>
        <w:tc>
          <w:tcPr>
            <w:tcW w:w="1417"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5</w:t>
            </w:r>
          </w:p>
        </w:tc>
        <w:tc>
          <w:tcPr>
            <w:tcW w:w="1418"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3.2</w:t>
            </w:r>
          </w:p>
        </w:tc>
      </w:tr>
      <w:tr w:rsidR="005068B7" w:rsidRPr="005068B7" w:rsidTr="00FD1512">
        <w:trPr>
          <w:trHeight w:val="60"/>
        </w:trPr>
        <w:tc>
          <w:tcPr>
            <w:tcW w:w="4453"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Inoperative Paid – Maternity Leave</w:t>
            </w:r>
          </w:p>
        </w:tc>
        <w:tc>
          <w:tcPr>
            <w:tcW w:w="1359"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1</w:t>
            </w:r>
          </w:p>
        </w:tc>
        <w:tc>
          <w:tcPr>
            <w:tcW w:w="1276"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1</w:t>
            </w:r>
          </w:p>
        </w:tc>
        <w:tc>
          <w:tcPr>
            <w:tcW w:w="1417"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3</w:t>
            </w:r>
          </w:p>
        </w:tc>
        <w:tc>
          <w:tcPr>
            <w:tcW w:w="1418"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2.91</w:t>
            </w:r>
          </w:p>
        </w:tc>
      </w:tr>
      <w:tr w:rsidR="005068B7" w:rsidRPr="005068B7" w:rsidTr="00FD1512">
        <w:trPr>
          <w:trHeight w:val="60"/>
        </w:trPr>
        <w:tc>
          <w:tcPr>
            <w:tcW w:w="4453"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Casual</w:t>
            </w:r>
          </w:p>
        </w:tc>
        <w:tc>
          <w:tcPr>
            <w:tcW w:w="1359"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6"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417"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1</w:t>
            </w:r>
          </w:p>
        </w:tc>
        <w:tc>
          <w:tcPr>
            <w:tcW w:w="1418" w:type="dxa"/>
          </w:tcPr>
          <w:p w:rsidR="005068B7" w:rsidRPr="005068B7" w:rsidRDefault="005068B7" w:rsidP="005068B7">
            <w:pPr>
              <w:widowControl/>
              <w:suppressAutoHyphens/>
              <w:adjustRightInd w:val="0"/>
              <w:spacing w:after="113" w:line="220" w:lineRule="atLeast"/>
              <w:jc w:val="right"/>
              <w:textAlignment w:val="center"/>
              <w:rPr>
                <w:rFonts w:eastAsiaTheme="minorHAnsi"/>
                <w:sz w:val="20"/>
                <w:szCs w:val="20"/>
                <w:lang w:eastAsia="en-US" w:bidi="ar-SA"/>
              </w:rPr>
            </w:pPr>
            <w:r w:rsidRPr="005068B7">
              <w:rPr>
                <w:rFonts w:eastAsiaTheme="minorHAnsi"/>
                <w:sz w:val="20"/>
                <w:szCs w:val="20"/>
                <w:lang w:eastAsia="en-US" w:bidi="ar-SA"/>
              </w:rPr>
              <w:t>1</w:t>
            </w:r>
          </w:p>
        </w:tc>
      </w:tr>
    </w:tbl>
    <w:p w:rsidR="005068B7" w:rsidRPr="005068B7" w:rsidRDefault="005068B7" w:rsidP="005068B7">
      <w:pPr>
        <w:widowControl/>
        <w:suppressAutoHyphens/>
        <w:adjustRightInd w:val="0"/>
        <w:spacing w:after="227" w:line="220" w:lineRule="atLeast"/>
        <w:textAlignment w:val="center"/>
        <w:rPr>
          <w:rFonts w:eastAsiaTheme="minorHAnsi"/>
          <w:color w:val="000000"/>
          <w:sz w:val="20"/>
          <w:szCs w:val="20"/>
          <w:lang w:eastAsia="en-US" w:bidi="ar-SA"/>
        </w:rPr>
      </w:pPr>
    </w:p>
    <w:p w:rsidR="00FD1512" w:rsidRDefault="00FD1512" w:rsidP="00FD1512">
      <w:pPr>
        <w:pStyle w:val="Heading4"/>
      </w:pPr>
    </w:p>
    <w:p w:rsidR="00FD1512" w:rsidRDefault="00FD1512" w:rsidP="00FD1512">
      <w:pPr>
        <w:pStyle w:val="Heading4"/>
      </w:pPr>
    </w:p>
    <w:p w:rsidR="00FD1512" w:rsidRDefault="00FD1512" w:rsidP="00FD1512">
      <w:pPr>
        <w:pStyle w:val="Heading4"/>
      </w:pPr>
    </w:p>
    <w:p w:rsidR="00FD1512" w:rsidRDefault="00FD1512" w:rsidP="00FD1512">
      <w:pPr>
        <w:pStyle w:val="Heading4"/>
      </w:pPr>
    </w:p>
    <w:p w:rsidR="00FD1512" w:rsidRDefault="00FD1512" w:rsidP="00FD1512">
      <w:pPr>
        <w:pStyle w:val="Heading4"/>
      </w:pPr>
    </w:p>
    <w:p w:rsidR="00FD1512" w:rsidRDefault="00FD1512" w:rsidP="00FD1512">
      <w:pPr>
        <w:pStyle w:val="Heading4"/>
      </w:pPr>
    </w:p>
    <w:p w:rsidR="00FD1512" w:rsidRDefault="00FD1512" w:rsidP="00FD1512">
      <w:pPr>
        <w:pStyle w:val="Heading4"/>
      </w:pPr>
    </w:p>
    <w:p w:rsidR="00FD1512" w:rsidRDefault="00FD1512" w:rsidP="00FD1512">
      <w:pPr>
        <w:pStyle w:val="Heading4"/>
      </w:pPr>
    </w:p>
    <w:p w:rsidR="00FD1512" w:rsidRDefault="00FD1512" w:rsidP="00FD1512">
      <w:pPr>
        <w:pStyle w:val="Heading4"/>
      </w:pPr>
    </w:p>
    <w:p w:rsidR="00FD1512" w:rsidRDefault="00FD1512" w:rsidP="00FD1512">
      <w:pPr>
        <w:pStyle w:val="Heading4"/>
      </w:pPr>
    </w:p>
    <w:p w:rsidR="00FD1512" w:rsidRDefault="00FD1512" w:rsidP="00FD1512">
      <w:pPr>
        <w:pStyle w:val="Heading4"/>
      </w:pPr>
    </w:p>
    <w:p w:rsidR="00FD1512" w:rsidRDefault="00FD1512" w:rsidP="00FD1512">
      <w:pPr>
        <w:pStyle w:val="Heading4"/>
      </w:pPr>
    </w:p>
    <w:p w:rsidR="00FD1512" w:rsidRDefault="00FD1512" w:rsidP="00FD1512">
      <w:pPr>
        <w:pStyle w:val="Heading4"/>
      </w:pPr>
    </w:p>
    <w:p w:rsidR="00FD1512" w:rsidRDefault="00FD1512" w:rsidP="00FD1512">
      <w:pPr>
        <w:pStyle w:val="Heading4"/>
      </w:pPr>
    </w:p>
    <w:p w:rsidR="005068B7" w:rsidRPr="00FD1512" w:rsidRDefault="00FD1512" w:rsidP="00FD1512">
      <w:pPr>
        <w:pStyle w:val="Heading4"/>
      </w:pPr>
      <w:r w:rsidRPr="00FD1512">
        <w:lastRenderedPageBreak/>
        <w:t xml:space="preserve">Workforce data – </w:t>
      </w:r>
      <w:r>
        <w:t>VPSC</w:t>
      </w:r>
      <w:r w:rsidRPr="00FD1512">
        <w:t xml:space="preserve"> staff as at 30 June 2018 and 30 June 2019</w:t>
      </w:r>
    </w:p>
    <w:p w:rsidR="00FD1512" w:rsidRPr="005068B7" w:rsidRDefault="00FD1512" w:rsidP="00FD1512">
      <w:pPr>
        <w:rPr>
          <w:lang w:eastAsia="en-US" w:bidi="ar-SA"/>
        </w:rPr>
      </w:pPr>
    </w:p>
    <w:p w:rsidR="005068B7" w:rsidRDefault="005068B7" w:rsidP="005068B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5068B7">
        <w:rPr>
          <w:rFonts w:eastAsiaTheme="minorHAnsi"/>
          <w:color w:val="000000"/>
          <w:sz w:val="20"/>
          <w:szCs w:val="20"/>
          <w:lang w:eastAsia="en-US" w:bidi="ar-SA"/>
        </w:rPr>
        <w:t>The data below is based on 30 June payroll report which is further broken down by gender and employment grade. This does not include statutory appointments.</w:t>
      </w:r>
    </w:p>
    <w:p w:rsidR="00FD1512" w:rsidRPr="005068B7" w:rsidRDefault="00FD1512" w:rsidP="00FD1512">
      <w:pPr>
        <w:rPr>
          <w:lang w:eastAsia="en-US" w:bidi="ar-SA"/>
        </w:rPr>
      </w:pPr>
    </w:p>
    <w:tbl>
      <w:tblPr>
        <w:tblStyle w:val="TableGrid"/>
        <w:tblW w:w="0" w:type="auto"/>
        <w:tblInd w:w="742" w:type="dxa"/>
        <w:tblLayout w:type="fixed"/>
        <w:tblLook w:val="0000" w:firstRow="0" w:lastRow="0" w:firstColumn="0" w:lastColumn="0" w:noHBand="0" w:noVBand="0"/>
      </w:tblPr>
      <w:tblGrid>
        <w:gridCol w:w="1238"/>
        <w:gridCol w:w="1134"/>
        <w:gridCol w:w="1134"/>
        <w:gridCol w:w="1843"/>
        <w:gridCol w:w="1134"/>
        <w:gridCol w:w="1275"/>
        <w:gridCol w:w="2268"/>
      </w:tblGrid>
      <w:tr w:rsidR="00FD1512" w:rsidRPr="00FD1512" w:rsidTr="00FD1512">
        <w:trPr>
          <w:trHeight w:val="476"/>
        </w:trPr>
        <w:tc>
          <w:tcPr>
            <w:tcW w:w="1238" w:type="dxa"/>
          </w:tcPr>
          <w:p w:rsidR="005068B7" w:rsidRPr="005068B7" w:rsidRDefault="005068B7" w:rsidP="005068B7">
            <w:pPr>
              <w:widowControl/>
              <w:adjustRightInd w:val="0"/>
              <w:rPr>
                <w:rFonts w:eastAsiaTheme="minorHAnsi"/>
                <w:sz w:val="20"/>
                <w:szCs w:val="20"/>
                <w:lang w:eastAsia="en-US" w:bidi="ar-SA"/>
              </w:rPr>
            </w:pPr>
          </w:p>
        </w:tc>
        <w:tc>
          <w:tcPr>
            <w:tcW w:w="4111" w:type="dxa"/>
            <w:gridSpan w:val="3"/>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2018</w:t>
            </w:r>
          </w:p>
        </w:tc>
        <w:tc>
          <w:tcPr>
            <w:tcW w:w="4677" w:type="dxa"/>
            <w:gridSpan w:val="3"/>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2019</w:t>
            </w:r>
          </w:p>
        </w:tc>
      </w:tr>
      <w:tr w:rsidR="00FD1512" w:rsidRPr="00FD1512" w:rsidTr="00FD1512">
        <w:trPr>
          <w:trHeight w:val="356"/>
        </w:trPr>
        <w:tc>
          <w:tcPr>
            <w:tcW w:w="1238" w:type="dxa"/>
          </w:tcPr>
          <w:p w:rsidR="005068B7" w:rsidRPr="005068B7" w:rsidRDefault="005068B7" w:rsidP="005068B7">
            <w:pPr>
              <w:widowControl/>
              <w:adjustRightInd w:val="0"/>
              <w:rPr>
                <w:rFonts w:eastAsiaTheme="minorHAnsi"/>
                <w:sz w:val="20"/>
                <w:szCs w:val="20"/>
                <w:lang w:eastAsia="en-US" w:bidi="ar-SA"/>
              </w:rPr>
            </w:pPr>
          </w:p>
        </w:tc>
        <w:tc>
          <w:tcPr>
            <w:tcW w:w="1134" w:type="dxa"/>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Female</w:t>
            </w:r>
          </w:p>
        </w:tc>
        <w:tc>
          <w:tcPr>
            <w:tcW w:w="1134" w:type="dxa"/>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Male</w:t>
            </w:r>
          </w:p>
        </w:tc>
        <w:tc>
          <w:tcPr>
            <w:tcW w:w="1843" w:type="dxa"/>
          </w:tcPr>
          <w:p w:rsidR="005068B7" w:rsidRPr="005068B7" w:rsidRDefault="005068B7" w:rsidP="005068B7">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068B7">
              <w:rPr>
                <w:rFonts w:eastAsiaTheme="minorHAnsi"/>
                <w:b/>
                <w:bCs/>
                <w:sz w:val="20"/>
                <w:szCs w:val="20"/>
                <w:lang w:eastAsia="en-US" w:bidi="ar-SA"/>
              </w:rPr>
              <w:t>Self</w:t>
            </w:r>
            <w:r w:rsidRPr="005068B7">
              <w:rPr>
                <w:rFonts w:eastAsiaTheme="minorHAnsi"/>
                <w:sz w:val="20"/>
                <w:szCs w:val="20"/>
                <w:lang w:eastAsia="en-US" w:bidi="ar-SA"/>
              </w:rPr>
              <w:t>-</w:t>
            </w:r>
            <w:r w:rsidRPr="005068B7">
              <w:rPr>
                <w:rFonts w:eastAsiaTheme="minorHAnsi"/>
                <w:b/>
                <w:bCs/>
                <w:sz w:val="20"/>
                <w:szCs w:val="20"/>
                <w:lang w:eastAsia="en-US" w:bidi="ar-SA"/>
              </w:rPr>
              <w:t>described</w:t>
            </w:r>
          </w:p>
        </w:tc>
        <w:tc>
          <w:tcPr>
            <w:tcW w:w="1134" w:type="dxa"/>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Female</w:t>
            </w:r>
          </w:p>
        </w:tc>
        <w:tc>
          <w:tcPr>
            <w:tcW w:w="1275" w:type="dxa"/>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Male</w:t>
            </w:r>
          </w:p>
        </w:tc>
        <w:tc>
          <w:tcPr>
            <w:tcW w:w="2268" w:type="dxa"/>
          </w:tcPr>
          <w:p w:rsidR="005068B7" w:rsidRPr="005068B7" w:rsidRDefault="005068B7" w:rsidP="005068B7">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068B7">
              <w:rPr>
                <w:rFonts w:eastAsiaTheme="minorHAnsi"/>
                <w:b/>
                <w:bCs/>
                <w:sz w:val="20"/>
                <w:szCs w:val="20"/>
                <w:lang w:eastAsia="en-US" w:bidi="ar-SA"/>
              </w:rPr>
              <w:t>Self</w:t>
            </w:r>
            <w:r w:rsidRPr="005068B7">
              <w:rPr>
                <w:rFonts w:eastAsiaTheme="minorHAnsi"/>
                <w:sz w:val="20"/>
                <w:szCs w:val="20"/>
                <w:lang w:eastAsia="en-US" w:bidi="ar-SA"/>
              </w:rPr>
              <w:t>-</w:t>
            </w:r>
            <w:r w:rsidRPr="005068B7">
              <w:rPr>
                <w:rFonts w:eastAsiaTheme="minorHAnsi"/>
                <w:b/>
                <w:bCs/>
                <w:sz w:val="20"/>
                <w:szCs w:val="20"/>
                <w:lang w:eastAsia="en-US" w:bidi="ar-SA"/>
              </w:rPr>
              <w:t>described</w:t>
            </w:r>
          </w:p>
        </w:tc>
      </w:tr>
      <w:tr w:rsidR="00FD1512" w:rsidRPr="00FD1512" w:rsidTr="00FD1512">
        <w:trPr>
          <w:trHeight w:val="223"/>
        </w:trPr>
        <w:tc>
          <w:tcPr>
            <w:tcW w:w="7758" w:type="dxa"/>
            <w:gridSpan w:val="6"/>
          </w:tcPr>
          <w:p w:rsidR="005068B7" w:rsidRPr="005068B7" w:rsidRDefault="005068B7" w:rsidP="005068B7">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068B7">
              <w:rPr>
                <w:rFonts w:eastAsiaTheme="minorHAnsi"/>
                <w:b/>
                <w:bCs/>
                <w:sz w:val="20"/>
                <w:szCs w:val="20"/>
                <w:lang w:eastAsia="en-US" w:bidi="ar-SA"/>
              </w:rPr>
              <w:t>Age</w:t>
            </w:r>
          </w:p>
        </w:tc>
        <w:tc>
          <w:tcPr>
            <w:tcW w:w="2268" w:type="dxa"/>
          </w:tcPr>
          <w:p w:rsidR="005068B7" w:rsidRPr="005068B7" w:rsidRDefault="005068B7" w:rsidP="005068B7">
            <w:pPr>
              <w:widowControl/>
              <w:adjustRightInd w:val="0"/>
              <w:rPr>
                <w:rFonts w:eastAsiaTheme="minorHAnsi"/>
                <w:sz w:val="20"/>
                <w:szCs w:val="20"/>
                <w:lang w:eastAsia="en-US" w:bidi="ar-SA"/>
              </w:rPr>
            </w:pPr>
          </w:p>
        </w:tc>
      </w:tr>
      <w:tr w:rsidR="00FD1512" w:rsidRPr="00FD1512" w:rsidTr="00FD1512">
        <w:trPr>
          <w:trHeight w:val="60"/>
        </w:trPr>
        <w:tc>
          <w:tcPr>
            <w:tcW w:w="1238"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Under 25</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2</w:t>
            </w:r>
          </w:p>
        </w:tc>
        <w:tc>
          <w:tcPr>
            <w:tcW w:w="184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5</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r w:rsidR="00FD1512" w:rsidRPr="00FD1512" w:rsidTr="00FD1512">
        <w:trPr>
          <w:trHeight w:val="60"/>
        </w:trPr>
        <w:tc>
          <w:tcPr>
            <w:tcW w:w="1238"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25–34</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14</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5</w:t>
            </w:r>
          </w:p>
        </w:tc>
        <w:tc>
          <w:tcPr>
            <w:tcW w:w="184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20</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6</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w:t>
            </w:r>
          </w:p>
        </w:tc>
      </w:tr>
      <w:tr w:rsidR="00FD1512" w:rsidRPr="00FD1512" w:rsidTr="00FD1512">
        <w:trPr>
          <w:trHeight w:val="60"/>
        </w:trPr>
        <w:tc>
          <w:tcPr>
            <w:tcW w:w="1238"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35–44</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15</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9</w:t>
            </w:r>
          </w:p>
        </w:tc>
        <w:tc>
          <w:tcPr>
            <w:tcW w:w="184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18</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9</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r w:rsidR="00FD1512" w:rsidRPr="00FD1512" w:rsidTr="00FD1512">
        <w:trPr>
          <w:trHeight w:val="60"/>
        </w:trPr>
        <w:tc>
          <w:tcPr>
            <w:tcW w:w="1238"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45–54</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11</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3</w:t>
            </w:r>
          </w:p>
        </w:tc>
        <w:tc>
          <w:tcPr>
            <w:tcW w:w="184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11</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5</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r w:rsidR="00FD1512" w:rsidRPr="00FD1512" w:rsidTr="00FD1512">
        <w:trPr>
          <w:trHeight w:val="60"/>
        </w:trPr>
        <w:tc>
          <w:tcPr>
            <w:tcW w:w="1238"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55–64</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7</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3</w:t>
            </w:r>
          </w:p>
        </w:tc>
        <w:tc>
          <w:tcPr>
            <w:tcW w:w="184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11</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3</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r w:rsidR="00FD1512" w:rsidRPr="00FD1512" w:rsidTr="00FD1512">
        <w:trPr>
          <w:trHeight w:val="60"/>
        </w:trPr>
        <w:tc>
          <w:tcPr>
            <w:tcW w:w="1238"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Over 65</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84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r w:rsidR="00FD1512" w:rsidRPr="00FD1512" w:rsidTr="00FD1512">
        <w:trPr>
          <w:trHeight w:val="60"/>
        </w:trPr>
        <w:tc>
          <w:tcPr>
            <w:tcW w:w="1238"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Total</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47</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22</w:t>
            </w:r>
          </w:p>
        </w:tc>
        <w:tc>
          <w:tcPr>
            <w:tcW w:w="184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61</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28</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w:t>
            </w:r>
          </w:p>
        </w:tc>
      </w:tr>
    </w:tbl>
    <w:p w:rsidR="005068B7" w:rsidRPr="005068B7" w:rsidRDefault="005068B7" w:rsidP="005068B7">
      <w:pPr>
        <w:widowControl/>
        <w:suppressAutoHyphens/>
        <w:adjustRightInd w:val="0"/>
        <w:spacing w:after="227" w:line="220" w:lineRule="atLeast"/>
        <w:textAlignment w:val="center"/>
        <w:rPr>
          <w:rFonts w:eastAsiaTheme="minorHAnsi"/>
          <w:color w:val="000000"/>
          <w:sz w:val="20"/>
          <w:szCs w:val="20"/>
          <w:lang w:eastAsia="en-US" w:bidi="ar-SA"/>
        </w:rPr>
      </w:pPr>
    </w:p>
    <w:tbl>
      <w:tblPr>
        <w:tblStyle w:val="TableGrid"/>
        <w:tblW w:w="0" w:type="auto"/>
        <w:tblInd w:w="756" w:type="dxa"/>
        <w:tblLayout w:type="fixed"/>
        <w:tblLook w:val="0000" w:firstRow="0" w:lastRow="0" w:firstColumn="0" w:lastColumn="0" w:noHBand="0" w:noVBand="0"/>
      </w:tblPr>
      <w:tblGrid>
        <w:gridCol w:w="964"/>
        <w:gridCol w:w="1134"/>
        <w:gridCol w:w="1133"/>
        <w:gridCol w:w="1962"/>
        <w:gridCol w:w="1276"/>
        <w:gridCol w:w="1275"/>
        <w:gridCol w:w="2268"/>
      </w:tblGrid>
      <w:tr w:rsidR="00FD1512" w:rsidRPr="005068B7" w:rsidTr="00FD1512">
        <w:trPr>
          <w:trHeight w:val="60"/>
        </w:trPr>
        <w:tc>
          <w:tcPr>
            <w:tcW w:w="964" w:type="dxa"/>
          </w:tcPr>
          <w:p w:rsidR="005068B7" w:rsidRPr="005068B7" w:rsidRDefault="005068B7" w:rsidP="005068B7">
            <w:pPr>
              <w:widowControl/>
              <w:adjustRightInd w:val="0"/>
              <w:rPr>
                <w:rFonts w:eastAsiaTheme="minorHAnsi"/>
                <w:sz w:val="20"/>
                <w:szCs w:val="20"/>
                <w:lang w:eastAsia="en-US" w:bidi="ar-SA"/>
              </w:rPr>
            </w:pPr>
          </w:p>
        </w:tc>
        <w:tc>
          <w:tcPr>
            <w:tcW w:w="4229" w:type="dxa"/>
            <w:gridSpan w:val="3"/>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2018</w:t>
            </w:r>
          </w:p>
        </w:tc>
        <w:tc>
          <w:tcPr>
            <w:tcW w:w="4819" w:type="dxa"/>
            <w:gridSpan w:val="3"/>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2019</w:t>
            </w:r>
          </w:p>
        </w:tc>
      </w:tr>
      <w:tr w:rsidR="00FD1512" w:rsidRPr="005068B7" w:rsidTr="00FD1512">
        <w:trPr>
          <w:trHeight w:val="60"/>
        </w:trPr>
        <w:tc>
          <w:tcPr>
            <w:tcW w:w="964" w:type="dxa"/>
          </w:tcPr>
          <w:p w:rsidR="005068B7" w:rsidRPr="005068B7" w:rsidRDefault="005068B7" w:rsidP="005068B7">
            <w:pPr>
              <w:widowControl/>
              <w:adjustRightInd w:val="0"/>
              <w:rPr>
                <w:rFonts w:eastAsiaTheme="minorHAnsi"/>
                <w:sz w:val="20"/>
                <w:szCs w:val="20"/>
                <w:lang w:eastAsia="en-US" w:bidi="ar-SA"/>
              </w:rPr>
            </w:pPr>
          </w:p>
        </w:tc>
        <w:tc>
          <w:tcPr>
            <w:tcW w:w="1134" w:type="dxa"/>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Female</w:t>
            </w:r>
          </w:p>
        </w:tc>
        <w:tc>
          <w:tcPr>
            <w:tcW w:w="1133" w:type="dxa"/>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Male</w:t>
            </w:r>
          </w:p>
        </w:tc>
        <w:tc>
          <w:tcPr>
            <w:tcW w:w="1962" w:type="dxa"/>
          </w:tcPr>
          <w:p w:rsidR="005068B7" w:rsidRPr="005068B7" w:rsidRDefault="005068B7" w:rsidP="005068B7">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068B7">
              <w:rPr>
                <w:rFonts w:eastAsiaTheme="minorHAnsi"/>
                <w:b/>
                <w:bCs/>
                <w:sz w:val="20"/>
                <w:szCs w:val="20"/>
                <w:lang w:eastAsia="en-US" w:bidi="ar-SA"/>
              </w:rPr>
              <w:t>Self</w:t>
            </w:r>
            <w:r w:rsidRPr="005068B7">
              <w:rPr>
                <w:rFonts w:eastAsiaTheme="minorHAnsi"/>
                <w:sz w:val="20"/>
                <w:szCs w:val="20"/>
                <w:lang w:eastAsia="en-US" w:bidi="ar-SA"/>
              </w:rPr>
              <w:t>-</w:t>
            </w:r>
            <w:r w:rsidRPr="005068B7">
              <w:rPr>
                <w:rFonts w:eastAsiaTheme="minorHAnsi"/>
                <w:b/>
                <w:bCs/>
                <w:sz w:val="20"/>
                <w:szCs w:val="20"/>
                <w:lang w:eastAsia="en-US" w:bidi="ar-SA"/>
              </w:rPr>
              <w:t>described</w:t>
            </w:r>
          </w:p>
        </w:tc>
        <w:tc>
          <w:tcPr>
            <w:tcW w:w="1276" w:type="dxa"/>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Female</w:t>
            </w:r>
          </w:p>
        </w:tc>
        <w:tc>
          <w:tcPr>
            <w:tcW w:w="1275" w:type="dxa"/>
          </w:tcPr>
          <w:p w:rsidR="005068B7" w:rsidRPr="005068B7" w:rsidRDefault="005068B7" w:rsidP="005068B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068B7">
              <w:rPr>
                <w:rFonts w:eastAsiaTheme="minorHAnsi"/>
                <w:b/>
                <w:bCs/>
                <w:sz w:val="20"/>
                <w:szCs w:val="20"/>
                <w:lang w:eastAsia="en-US" w:bidi="ar-SA"/>
              </w:rPr>
              <w:t>Male</w:t>
            </w:r>
          </w:p>
        </w:tc>
        <w:tc>
          <w:tcPr>
            <w:tcW w:w="2268" w:type="dxa"/>
          </w:tcPr>
          <w:p w:rsidR="005068B7" w:rsidRPr="005068B7" w:rsidRDefault="005068B7" w:rsidP="005068B7">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068B7">
              <w:rPr>
                <w:rFonts w:eastAsiaTheme="minorHAnsi"/>
                <w:b/>
                <w:bCs/>
                <w:sz w:val="20"/>
                <w:szCs w:val="20"/>
                <w:lang w:eastAsia="en-US" w:bidi="ar-SA"/>
              </w:rPr>
              <w:t>Self</w:t>
            </w:r>
            <w:r w:rsidRPr="005068B7">
              <w:rPr>
                <w:rFonts w:eastAsiaTheme="minorHAnsi"/>
                <w:sz w:val="20"/>
                <w:szCs w:val="20"/>
                <w:lang w:eastAsia="en-US" w:bidi="ar-SA"/>
              </w:rPr>
              <w:t>-</w:t>
            </w:r>
            <w:r w:rsidRPr="005068B7">
              <w:rPr>
                <w:rFonts w:eastAsiaTheme="minorHAnsi"/>
                <w:b/>
                <w:bCs/>
                <w:sz w:val="20"/>
                <w:szCs w:val="20"/>
                <w:lang w:eastAsia="en-US" w:bidi="ar-SA"/>
              </w:rPr>
              <w:t>described</w:t>
            </w:r>
          </w:p>
        </w:tc>
      </w:tr>
      <w:tr w:rsidR="00FD1512" w:rsidRPr="005068B7" w:rsidTr="00FD1512">
        <w:trPr>
          <w:trHeight w:val="60"/>
        </w:trPr>
        <w:tc>
          <w:tcPr>
            <w:tcW w:w="7744" w:type="dxa"/>
            <w:gridSpan w:val="6"/>
          </w:tcPr>
          <w:p w:rsidR="005068B7" w:rsidRPr="005068B7" w:rsidRDefault="005068B7" w:rsidP="005068B7">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068B7">
              <w:rPr>
                <w:rFonts w:eastAsiaTheme="minorHAnsi"/>
                <w:b/>
                <w:bCs/>
                <w:sz w:val="20"/>
                <w:szCs w:val="20"/>
                <w:lang w:eastAsia="en-US" w:bidi="ar-SA"/>
              </w:rPr>
              <w:t>Grade</w:t>
            </w:r>
          </w:p>
        </w:tc>
        <w:tc>
          <w:tcPr>
            <w:tcW w:w="2268" w:type="dxa"/>
          </w:tcPr>
          <w:p w:rsidR="005068B7" w:rsidRPr="005068B7" w:rsidRDefault="005068B7" w:rsidP="005068B7">
            <w:pPr>
              <w:widowControl/>
              <w:adjustRightInd w:val="0"/>
              <w:rPr>
                <w:rFonts w:eastAsiaTheme="minorHAnsi"/>
                <w:sz w:val="20"/>
                <w:szCs w:val="20"/>
                <w:lang w:eastAsia="en-US" w:bidi="ar-SA"/>
              </w:rPr>
            </w:pPr>
          </w:p>
        </w:tc>
      </w:tr>
      <w:tr w:rsidR="00FD1512" w:rsidRPr="005068B7" w:rsidTr="00FD1512">
        <w:trPr>
          <w:trHeight w:val="60"/>
        </w:trPr>
        <w:tc>
          <w:tcPr>
            <w:tcW w:w="964"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VPSG1</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13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w:t>
            </w:r>
          </w:p>
        </w:tc>
        <w:tc>
          <w:tcPr>
            <w:tcW w:w="1962"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6"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2</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r w:rsidR="00FD1512" w:rsidRPr="005068B7" w:rsidTr="00FD1512">
        <w:trPr>
          <w:trHeight w:val="60"/>
        </w:trPr>
        <w:tc>
          <w:tcPr>
            <w:tcW w:w="964"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VPSG2</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13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w:t>
            </w:r>
          </w:p>
        </w:tc>
        <w:tc>
          <w:tcPr>
            <w:tcW w:w="1962"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6"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r w:rsidR="00FD1512" w:rsidRPr="005068B7" w:rsidTr="00FD1512">
        <w:trPr>
          <w:trHeight w:val="60"/>
        </w:trPr>
        <w:tc>
          <w:tcPr>
            <w:tcW w:w="964"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VPSG3</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5</w:t>
            </w:r>
          </w:p>
        </w:tc>
        <w:tc>
          <w:tcPr>
            <w:tcW w:w="113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962"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6"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8</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2</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r w:rsidR="00FD1512" w:rsidRPr="005068B7" w:rsidTr="00FD1512">
        <w:trPr>
          <w:trHeight w:val="60"/>
        </w:trPr>
        <w:tc>
          <w:tcPr>
            <w:tcW w:w="964"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VPSG4</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9</w:t>
            </w:r>
          </w:p>
        </w:tc>
        <w:tc>
          <w:tcPr>
            <w:tcW w:w="113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4</w:t>
            </w:r>
          </w:p>
        </w:tc>
        <w:tc>
          <w:tcPr>
            <w:tcW w:w="1962"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6"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12</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3</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r w:rsidR="00FD1512" w:rsidRPr="005068B7" w:rsidTr="00FD1512">
        <w:trPr>
          <w:trHeight w:val="60"/>
        </w:trPr>
        <w:tc>
          <w:tcPr>
            <w:tcW w:w="964"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VPSG5</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16</w:t>
            </w:r>
          </w:p>
        </w:tc>
        <w:tc>
          <w:tcPr>
            <w:tcW w:w="113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9</w:t>
            </w:r>
          </w:p>
        </w:tc>
        <w:tc>
          <w:tcPr>
            <w:tcW w:w="1962"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6"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20</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11</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w:t>
            </w:r>
          </w:p>
        </w:tc>
      </w:tr>
      <w:tr w:rsidR="00FD1512" w:rsidRPr="005068B7" w:rsidTr="00FD1512">
        <w:trPr>
          <w:trHeight w:val="60"/>
        </w:trPr>
        <w:tc>
          <w:tcPr>
            <w:tcW w:w="964"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VPSG6</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12</w:t>
            </w:r>
          </w:p>
        </w:tc>
        <w:tc>
          <w:tcPr>
            <w:tcW w:w="113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7</w:t>
            </w:r>
          </w:p>
        </w:tc>
        <w:tc>
          <w:tcPr>
            <w:tcW w:w="1962"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6"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16</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8</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r w:rsidR="00FD1512" w:rsidRPr="005068B7" w:rsidTr="00FD1512">
        <w:trPr>
          <w:trHeight w:val="60"/>
        </w:trPr>
        <w:tc>
          <w:tcPr>
            <w:tcW w:w="964"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STS</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13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962"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6"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r w:rsidR="00FD1512" w:rsidRPr="005068B7" w:rsidTr="00FD1512">
        <w:trPr>
          <w:trHeight w:val="60"/>
        </w:trPr>
        <w:tc>
          <w:tcPr>
            <w:tcW w:w="964"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EO3</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4</w:t>
            </w:r>
          </w:p>
        </w:tc>
        <w:tc>
          <w:tcPr>
            <w:tcW w:w="113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962"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6"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r w:rsidR="00FD1512" w:rsidRPr="005068B7" w:rsidTr="00FD1512">
        <w:trPr>
          <w:trHeight w:val="60"/>
        </w:trPr>
        <w:tc>
          <w:tcPr>
            <w:tcW w:w="964"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EO2</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13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962"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6"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2</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r w:rsidR="00FD1512" w:rsidRPr="005068B7" w:rsidTr="00FD1512">
        <w:trPr>
          <w:trHeight w:val="60"/>
        </w:trPr>
        <w:tc>
          <w:tcPr>
            <w:tcW w:w="964" w:type="dxa"/>
          </w:tcPr>
          <w:p w:rsidR="005068B7" w:rsidRPr="005068B7" w:rsidRDefault="005068B7" w:rsidP="005068B7">
            <w:pPr>
              <w:widowControl/>
              <w:suppressAutoHyphens/>
              <w:adjustRightInd w:val="0"/>
              <w:spacing w:after="113" w:line="220" w:lineRule="atLeast"/>
              <w:textAlignment w:val="center"/>
              <w:rPr>
                <w:rFonts w:eastAsiaTheme="minorHAnsi"/>
                <w:sz w:val="20"/>
                <w:szCs w:val="20"/>
                <w:lang w:eastAsia="en-US" w:bidi="ar-SA"/>
              </w:rPr>
            </w:pPr>
            <w:r w:rsidRPr="005068B7">
              <w:rPr>
                <w:rFonts w:eastAsiaTheme="minorHAnsi"/>
                <w:sz w:val="20"/>
                <w:szCs w:val="20"/>
                <w:lang w:eastAsia="en-US" w:bidi="ar-SA"/>
              </w:rPr>
              <w:t>EO1</w:t>
            </w:r>
          </w:p>
        </w:tc>
        <w:tc>
          <w:tcPr>
            <w:tcW w:w="1134"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w:t>
            </w:r>
          </w:p>
        </w:tc>
        <w:tc>
          <w:tcPr>
            <w:tcW w:w="1133"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962"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1276"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1</w:t>
            </w:r>
          </w:p>
        </w:tc>
        <w:tc>
          <w:tcPr>
            <w:tcW w:w="1275"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c>
          <w:tcPr>
            <w:tcW w:w="2268" w:type="dxa"/>
          </w:tcPr>
          <w:p w:rsidR="005068B7" w:rsidRPr="005068B7" w:rsidRDefault="005068B7" w:rsidP="005068B7">
            <w:pPr>
              <w:widowControl/>
              <w:suppressAutoHyphens/>
              <w:adjustRightInd w:val="0"/>
              <w:spacing w:after="113" w:line="220" w:lineRule="atLeast"/>
              <w:jc w:val="center"/>
              <w:textAlignment w:val="center"/>
              <w:rPr>
                <w:rFonts w:eastAsiaTheme="minorHAnsi"/>
                <w:sz w:val="20"/>
                <w:szCs w:val="20"/>
                <w:lang w:eastAsia="en-US" w:bidi="ar-SA"/>
              </w:rPr>
            </w:pPr>
            <w:r w:rsidRPr="005068B7">
              <w:rPr>
                <w:rFonts w:eastAsiaTheme="minorHAnsi"/>
                <w:sz w:val="20"/>
                <w:szCs w:val="20"/>
                <w:lang w:eastAsia="en-US" w:bidi="ar-SA"/>
              </w:rPr>
              <w:t>0</w:t>
            </w:r>
          </w:p>
        </w:tc>
      </w:tr>
    </w:tbl>
    <w:p w:rsidR="00650369" w:rsidRDefault="00650369" w:rsidP="00650369"/>
    <w:p w:rsidR="00650369" w:rsidRDefault="00650369" w:rsidP="00650369">
      <w:pPr>
        <w:pStyle w:val="Heading4"/>
        <w:rPr>
          <w:lang w:eastAsia="en-US" w:bidi="ar-SA"/>
        </w:rPr>
      </w:pPr>
      <w:r w:rsidRPr="00650369">
        <w:rPr>
          <w:lang w:eastAsia="en-US" w:bidi="ar-SA"/>
        </w:rPr>
        <w:t>Workforce Data – Annualised total salary as at 30 June 2019, by $20,000 bands,</w:t>
      </w:r>
      <w:r w:rsidRPr="00650369">
        <w:rPr>
          <w:lang w:eastAsia="en-US" w:bidi="ar-SA"/>
        </w:rPr>
        <w:br/>
        <w:t xml:space="preserve">for executives and other senior </w:t>
      </w:r>
      <w:proofErr w:type="spellStart"/>
      <w:proofErr w:type="gramStart"/>
      <w:r w:rsidRPr="00650369">
        <w:rPr>
          <w:lang w:eastAsia="en-US" w:bidi="ar-SA"/>
        </w:rPr>
        <w:t>non executive</w:t>
      </w:r>
      <w:proofErr w:type="spellEnd"/>
      <w:proofErr w:type="gramEnd"/>
      <w:r w:rsidRPr="00650369">
        <w:rPr>
          <w:lang w:eastAsia="en-US" w:bidi="ar-SA"/>
        </w:rPr>
        <w:t xml:space="preserve"> staff</w:t>
      </w:r>
    </w:p>
    <w:p w:rsidR="00650369" w:rsidRPr="00650369" w:rsidRDefault="00650369" w:rsidP="00650369">
      <w:pPr>
        <w:rPr>
          <w:lang w:eastAsia="en-US" w:bidi="ar-SA"/>
        </w:rPr>
      </w:pPr>
    </w:p>
    <w:tbl>
      <w:tblPr>
        <w:tblStyle w:val="TableGrid"/>
        <w:tblW w:w="0" w:type="auto"/>
        <w:tblInd w:w="728" w:type="dxa"/>
        <w:tblLayout w:type="fixed"/>
        <w:tblLook w:val="0000" w:firstRow="0" w:lastRow="0" w:firstColumn="0" w:lastColumn="0" w:noHBand="0" w:noVBand="0"/>
      </w:tblPr>
      <w:tblGrid>
        <w:gridCol w:w="4535"/>
        <w:gridCol w:w="1820"/>
        <w:gridCol w:w="1843"/>
        <w:gridCol w:w="1842"/>
      </w:tblGrid>
      <w:tr w:rsidR="00650369" w:rsidRPr="00650369" w:rsidTr="00650369">
        <w:trPr>
          <w:trHeight w:val="60"/>
        </w:trPr>
        <w:tc>
          <w:tcPr>
            <w:tcW w:w="4535" w:type="dxa"/>
          </w:tcPr>
          <w:p w:rsidR="00650369" w:rsidRPr="00650369" w:rsidRDefault="00650369" w:rsidP="00650369">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650369">
              <w:rPr>
                <w:rFonts w:eastAsiaTheme="minorHAnsi"/>
                <w:b/>
                <w:bCs/>
                <w:sz w:val="20"/>
                <w:szCs w:val="20"/>
                <w:lang w:eastAsia="en-US" w:bidi="ar-SA"/>
                <w14:textOutline w14:w="9525" w14:cap="flat" w14:cmpd="sng" w14:algn="ctr">
                  <w14:noFill/>
                  <w14:prstDash w14:val="solid"/>
                  <w14:round/>
                </w14:textOutline>
              </w:rPr>
              <w:t>Income band (salary)</w:t>
            </w:r>
          </w:p>
        </w:tc>
        <w:tc>
          <w:tcPr>
            <w:tcW w:w="1820" w:type="dxa"/>
          </w:tcPr>
          <w:p w:rsidR="00650369" w:rsidRPr="00650369" w:rsidRDefault="00650369" w:rsidP="0065036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650369">
              <w:rPr>
                <w:rFonts w:eastAsiaTheme="minorHAnsi"/>
                <w:b/>
                <w:bCs/>
                <w:sz w:val="20"/>
                <w:szCs w:val="20"/>
                <w:lang w:eastAsia="en-US" w:bidi="ar-SA"/>
                <w14:textOutline w14:w="9525" w14:cap="flat" w14:cmpd="sng" w14:algn="ctr">
                  <w14:noFill/>
                  <w14:prstDash w14:val="solid"/>
                  <w14:round/>
                </w14:textOutline>
              </w:rPr>
              <w:t>Executives</w:t>
            </w:r>
          </w:p>
        </w:tc>
        <w:tc>
          <w:tcPr>
            <w:tcW w:w="1843" w:type="dxa"/>
          </w:tcPr>
          <w:p w:rsidR="00650369" w:rsidRPr="00650369" w:rsidRDefault="00650369" w:rsidP="0065036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650369">
              <w:rPr>
                <w:rFonts w:eastAsiaTheme="minorHAnsi"/>
                <w:b/>
                <w:bCs/>
                <w:sz w:val="20"/>
                <w:szCs w:val="20"/>
                <w:lang w:eastAsia="en-US" w:bidi="ar-SA"/>
                <w14:textOutline w14:w="9525" w14:cap="flat" w14:cmpd="sng" w14:algn="ctr">
                  <w14:noFill/>
                  <w14:prstDash w14:val="solid"/>
                  <w14:round/>
                </w14:textOutline>
              </w:rPr>
              <w:t>STS</w:t>
            </w:r>
          </w:p>
        </w:tc>
        <w:tc>
          <w:tcPr>
            <w:tcW w:w="1842" w:type="dxa"/>
          </w:tcPr>
          <w:p w:rsidR="00650369" w:rsidRPr="00650369" w:rsidRDefault="00650369" w:rsidP="0065036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650369">
              <w:rPr>
                <w:rFonts w:eastAsiaTheme="minorHAnsi"/>
                <w:b/>
                <w:bCs/>
                <w:sz w:val="20"/>
                <w:szCs w:val="20"/>
                <w:lang w:eastAsia="en-US" w:bidi="ar-SA"/>
                <w14:textOutline w14:w="9525" w14:cap="flat" w14:cmpd="sng" w14:algn="ctr">
                  <w14:noFill/>
                  <w14:prstDash w14:val="solid"/>
                  <w14:round/>
                </w14:textOutline>
              </w:rPr>
              <w:t>Other</w:t>
            </w:r>
          </w:p>
        </w:tc>
      </w:tr>
      <w:tr w:rsidR="00650369" w:rsidRPr="00650369" w:rsidTr="00650369">
        <w:trPr>
          <w:trHeight w:val="60"/>
        </w:trPr>
        <w:tc>
          <w:tcPr>
            <w:tcW w:w="4535" w:type="dxa"/>
          </w:tcPr>
          <w:p w:rsidR="00650369" w:rsidRPr="00650369" w:rsidRDefault="00650369" w:rsidP="00650369">
            <w:pPr>
              <w:widowControl/>
              <w:suppressAutoHyphens/>
              <w:adjustRightInd w:val="0"/>
              <w:spacing w:after="113" w:line="220" w:lineRule="atLeast"/>
              <w:textAlignment w:val="center"/>
              <w:rPr>
                <w:rFonts w:eastAsiaTheme="minorHAnsi"/>
                <w:sz w:val="20"/>
                <w:szCs w:val="20"/>
                <w:lang w:eastAsia="en-US" w:bidi="ar-SA"/>
              </w:rPr>
            </w:pPr>
            <w:r w:rsidRPr="00650369">
              <w:rPr>
                <w:rFonts w:eastAsiaTheme="minorHAnsi"/>
                <w:sz w:val="20"/>
                <w:szCs w:val="20"/>
                <w:lang w:eastAsia="en-US" w:bidi="ar-SA"/>
              </w:rPr>
              <w:t>180,000 – 199,999</w:t>
            </w:r>
          </w:p>
        </w:tc>
        <w:tc>
          <w:tcPr>
            <w:tcW w:w="1820"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c>
          <w:tcPr>
            <w:tcW w:w="1843"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1842"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r>
      <w:tr w:rsidR="00650369" w:rsidRPr="00650369" w:rsidTr="00650369">
        <w:trPr>
          <w:trHeight w:val="60"/>
        </w:trPr>
        <w:tc>
          <w:tcPr>
            <w:tcW w:w="4535" w:type="dxa"/>
          </w:tcPr>
          <w:p w:rsidR="00650369" w:rsidRPr="00650369" w:rsidRDefault="00650369" w:rsidP="00650369">
            <w:pPr>
              <w:widowControl/>
              <w:suppressAutoHyphens/>
              <w:adjustRightInd w:val="0"/>
              <w:spacing w:after="113" w:line="220" w:lineRule="atLeast"/>
              <w:textAlignment w:val="center"/>
              <w:rPr>
                <w:rFonts w:eastAsiaTheme="minorHAnsi"/>
                <w:sz w:val="20"/>
                <w:szCs w:val="20"/>
                <w:lang w:eastAsia="en-US" w:bidi="ar-SA"/>
              </w:rPr>
            </w:pPr>
            <w:r w:rsidRPr="00650369">
              <w:rPr>
                <w:rFonts w:eastAsiaTheme="minorHAnsi"/>
                <w:sz w:val="20"/>
                <w:szCs w:val="20"/>
                <w:lang w:eastAsia="en-US" w:bidi="ar-SA"/>
              </w:rPr>
              <w:t>$200,00 – 219,999</w:t>
            </w:r>
          </w:p>
        </w:tc>
        <w:tc>
          <w:tcPr>
            <w:tcW w:w="1820"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c>
          <w:tcPr>
            <w:tcW w:w="1843"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c>
          <w:tcPr>
            <w:tcW w:w="1842"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r>
      <w:tr w:rsidR="00650369" w:rsidRPr="00650369" w:rsidTr="00650369">
        <w:trPr>
          <w:trHeight w:val="60"/>
        </w:trPr>
        <w:tc>
          <w:tcPr>
            <w:tcW w:w="4535" w:type="dxa"/>
          </w:tcPr>
          <w:p w:rsidR="00650369" w:rsidRPr="00650369" w:rsidRDefault="00650369" w:rsidP="00650369">
            <w:pPr>
              <w:widowControl/>
              <w:suppressAutoHyphens/>
              <w:adjustRightInd w:val="0"/>
              <w:spacing w:after="113" w:line="220" w:lineRule="atLeast"/>
              <w:textAlignment w:val="center"/>
              <w:rPr>
                <w:rFonts w:eastAsiaTheme="minorHAnsi"/>
                <w:sz w:val="20"/>
                <w:szCs w:val="20"/>
                <w:lang w:eastAsia="en-US" w:bidi="ar-SA"/>
              </w:rPr>
            </w:pPr>
            <w:r w:rsidRPr="00650369">
              <w:rPr>
                <w:rFonts w:eastAsiaTheme="minorHAnsi"/>
                <w:sz w:val="20"/>
                <w:szCs w:val="20"/>
                <w:lang w:eastAsia="en-US" w:bidi="ar-SA"/>
              </w:rPr>
              <w:t>220,000 – 239,999</w:t>
            </w:r>
          </w:p>
        </w:tc>
        <w:tc>
          <w:tcPr>
            <w:tcW w:w="1820"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c>
          <w:tcPr>
            <w:tcW w:w="1843"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1842"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r>
      <w:tr w:rsidR="00650369" w:rsidRPr="00650369" w:rsidTr="00650369">
        <w:trPr>
          <w:trHeight w:val="60"/>
        </w:trPr>
        <w:tc>
          <w:tcPr>
            <w:tcW w:w="4535" w:type="dxa"/>
          </w:tcPr>
          <w:p w:rsidR="00650369" w:rsidRPr="00650369" w:rsidRDefault="00650369" w:rsidP="00650369">
            <w:pPr>
              <w:widowControl/>
              <w:suppressAutoHyphens/>
              <w:adjustRightInd w:val="0"/>
              <w:spacing w:after="113" w:line="220" w:lineRule="atLeast"/>
              <w:textAlignment w:val="center"/>
              <w:rPr>
                <w:rFonts w:eastAsiaTheme="minorHAnsi"/>
                <w:sz w:val="20"/>
                <w:szCs w:val="20"/>
                <w:lang w:eastAsia="en-US" w:bidi="ar-SA"/>
              </w:rPr>
            </w:pPr>
            <w:r w:rsidRPr="00650369">
              <w:rPr>
                <w:rFonts w:eastAsiaTheme="minorHAnsi"/>
                <w:sz w:val="20"/>
                <w:szCs w:val="20"/>
                <w:lang w:eastAsia="en-US" w:bidi="ar-SA"/>
              </w:rPr>
              <w:t>260,000 – 279,999</w:t>
            </w:r>
          </w:p>
        </w:tc>
        <w:tc>
          <w:tcPr>
            <w:tcW w:w="1820"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c>
          <w:tcPr>
            <w:tcW w:w="1843"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1842"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r>
      <w:tr w:rsidR="00650369" w:rsidRPr="00650369" w:rsidTr="00650369">
        <w:trPr>
          <w:trHeight w:val="60"/>
        </w:trPr>
        <w:tc>
          <w:tcPr>
            <w:tcW w:w="4535" w:type="dxa"/>
          </w:tcPr>
          <w:p w:rsidR="00650369" w:rsidRPr="00650369" w:rsidRDefault="00650369" w:rsidP="00650369">
            <w:pPr>
              <w:widowControl/>
              <w:suppressAutoHyphens/>
              <w:adjustRightInd w:val="0"/>
              <w:spacing w:after="113" w:line="220" w:lineRule="atLeast"/>
              <w:textAlignment w:val="center"/>
              <w:rPr>
                <w:rFonts w:eastAsiaTheme="minorHAnsi"/>
                <w:sz w:val="20"/>
                <w:szCs w:val="20"/>
                <w:lang w:eastAsia="en-US" w:bidi="ar-SA"/>
              </w:rPr>
            </w:pPr>
            <w:r w:rsidRPr="00650369">
              <w:rPr>
                <w:rFonts w:eastAsiaTheme="minorHAnsi"/>
                <w:sz w:val="20"/>
                <w:szCs w:val="20"/>
                <w:lang w:eastAsia="en-US" w:bidi="ar-SA"/>
              </w:rPr>
              <w:t>$320 000 – $339,999</w:t>
            </w:r>
          </w:p>
        </w:tc>
        <w:tc>
          <w:tcPr>
            <w:tcW w:w="1820"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c>
          <w:tcPr>
            <w:tcW w:w="1843"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1842"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r>
      <w:tr w:rsidR="00650369" w:rsidRPr="00650369" w:rsidTr="00650369">
        <w:trPr>
          <w:trHeight w:val="60"/>
        </w:trPr>
        <w:tc>
          <w:tcPr>
            <w:tcW w:w="4535" w:type="dxa"/>
          </w:tcPr>
          <w:p w:rsidR="00650369" w:rsidRPr="00650369" w:rsidRDefault="00650369" w:rsidP="00650369">
            <w:pPr>
              <w:widowControl/>
              <w:suppressAutoHyphens/>
              <w:adjustRightInd w:val="0"/>
              <w:spacing w:after="113" w:line="220" w:lineRule="atLeast"/>
              <w:textAlignment w:val="center"/>
              <w:rPr>
                <w:rFonts w:eastAsiaTheme="minorHAnsi"/>
                <w:sz w:val="20"/>
                <w:szCs w:val="20"/>
                <w:lang w:eastAsia="en-US" w:bidi="ar-SA"/>
              </w:rPr>
            </w:pPr>
            <w:r w:rsidRPr="00650369">
              <w:rPr>
                <w:rFonts w:eastAsiaTheme="minorHAnsi"/>
                <w:sz w:val="20"/>
                <w:szCs w:val="20"/>
                <w:lang w:eastAsia="en-US" w:bidi="ar-SA"/>
              </w:rPr>
              <w:t>Total</w:t>
            </w:r>
          </w:p>
        </w:tc>
        <w:tc>
          <w:tcPr>
            <w:tcW w:w="1820"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5</w:t>
            </w:r>
          </w:p>
        </w:tc>
        <w:tc>
          <w:tcPr>
            <w:tcW w:w="1843"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c>
          <w:tcPr>
            <w:tcW w:w="1842"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r>
    </w:tbl>
    <w:p w:rsidR="00650369" w:rsidRPr="00650369" w:rsidRDefault="00650369" w:rsidP="00650369">
      <w:pPr>
        <w:widowControl/>
        <w:tabs>
          <w:tab w:val="right" w:pos="7370"/>
        </w:tabs>
        <w:suppressAutoHyphens/>
        <w:adjustRightInd w:val="0"/>
        <w:spacing w:before="113" w:after="57" w:line="260" w:lineRule="atLeast"/>
        <w:ind w:left="709"/>
        <w:textAlignment w:val="center"/>
        <w:rPr>
          <w:rFonts w:eastAsiaTheme="minorHAnsi"/>
          <w:i/>
          <w:iCs/>
          <w:color w:val="000000"/>
          <w:sz w:val="20"/>
          <w:szCs w:val="20"/>
          <w:lang w:eastAsia="en-US" w:bidi="ar-SA"/>
        </w:rPr>
      </w:pPr>
      <w:r w:rsidRPr="00650369">
        <w:rPr>
          <w:rFonts w:eastAsiaTheme="minorHAnsi"/>
          <w:i/>
          <w:iCs/>
          <w:color w:val="000000"/>
          <w:sz w:val="20"/>
          <w:szCs w:val="20"/>
          <w:lang w:eastAsia="en-US" w:bidi="ar-SA"/>
        </w:rPr>
        <w:t>Note: The salaries reported above are for the full financial year, at a 1.0 FTE rate, excluding superannuation.</w:t>
      </w:r>
    </w:p>
    <w:p w:rsidR="00650369" w:rsidRDefault="00650369" w:rsidP="00650369">
      <w:pPr>
        <w:pStyle w:val="Heading2"/>
        <w:rPr>
          <w:lang w:bidi="ar-SA"/>
        </w:rPr>
      </w:pPr>
      <w:bookmarkStart w:id="24" w:name="_Toc23329726"/>
      <w:r w:rsidRPr="00650369">
        <w:rPr>
          <w:lang w:bidi="ar-SA"/>
        </w:rPr>
        <w:lastRenderedPageBreak/>
        <w:t>Workforce Inclusion Policy</w:t>
      </w:r>
      <w:bookmarkEnd w:id="24"/>
    </w:p>
    <w:p w:rsidR="00650369" w:rsidRPr="00650369" w:rsidRDefault="00650369" w:rsidP="00650369">
      <w:pPr>
        <w:rPr>
          <w:lang w:bidi="ar-SA"/>
        </w:rPr>
      </w:pPr>
    </w:p>
    <w:p w:rsidR="00650369" w:rsidRPr="00650369" w:rsidRDefault="00650369" w:rsidP="00650369">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650369">
        <w:rPr>
          <w:rFonts w:eastAsiaTheme="minorHAnsi"/>
          <w:color w:val="000000"/>
          <w:sz w:val="20"/>
          <w:szCs w:val="20"/>
          <w:lang w:eastAsia="en-US" w:bidi="ar-SA"/>
        </w:rPr>
        <w:t>The VPSC adopts the comparable policy of the Department of Premier and Cabinet.</w:t>
      </w:r>
    </w:p>
    <w:p w:rsidR="00650369" w:rsidRPr="00650369" w:rsidRDefault="00650369" w:rsidP="00650369">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650369">
        <w:rPr>
          <w:rFonts w:eastAsiaTheme="minorHAnsi"/>
          <w:color w:val="000000"/>
          <w:sz w:val="20"/>
          <w:szCs w:val="20"/>
          <w:lang w:eastAsia="en-US" w:bidi="ar-SA"/>
        </w:rPr>
        <w:t>The relevant policy is DPC’s Equal Opportunity and Diversity Policy and Procedure which seeks</w:t>
      </w:r>
      <w:r>
        <w:rPr>
          <w:rFonts w:eastAsiaTheme="minorHAnsi"/>
          <w:color w:val="000000"/>
          <w:sz w:val="20"/>
          <w:szCs w:val="20"/>
          <w:lang w:eastAsia="en-US" w:bidi="ar-SA"/>
        </w:rPr>
        <w:t xml:space="preserve"> </w:t>
      </w:r>
      <w:r w:rsidRPr="00650369">
        <w:rPr>
          <w:rFonts w:eastAsiaTheme="minorHAnsi"/>
          <w:color w:val="000000"/>
          <w:sz w:val="20"/>
          <w:szCs w:val="20"/>
          <w:lang w:eastAsia="en-US" w:bidi="ar-SA"/>
        </w:rPr>
        <w:t>to promote social inclusion, diversity and equity to increase participation from the Victorian community.</w:t>
      </w:r>
    </w:p>
    <w:p w:rsidR="00650369" w:rsidRDefault="00650369" w:rsidP="00650369">
      <w:pPr>
        <w:ind w:right="995"/>
        <w:rPr>
          <w:lang w:eastAsia="en-US" w:bidi="ar-SA"/>
        </w:rPr>
      </w:pPr>
    </w:p>
    <w:p w:rsidR="00650369" w:rsidRPr="00650369" w:rsidRDefault="00650369" w:rsidP="00650369">
      <w:pPr>
        <w:pStyle w:val="Heading2"/>
        <w:ind w:right="995"/>
        <w:rPr>
          <w:lang w:eastAsia="en-US" w:bidi="ar-SA"/>
        </w:rPr>
      </w:pPr>
      <w:bookmarkStart w:id="25" w:name="_Toc23329727"/>
      <w:r w:rsidRPr="00650369">
        <w:rPr>
          <w:lang w:eastAsia="en-US" w:bidi="ar-SA"/>
        </w:rPr>
        <w:t>Executive Officer Data</w:t>
      </w:r>
      <w:bookmarkEnd w:id="25"/>
    </w:p>
    <w:p w:rsidR="00650369" w:rsidRDefault="00650369" w:rsidP="00650369">
      <w:pPr>
        <w:ind w:right="995"/>
        <w:rPr>
          <w:lang w:eastAsia="en-US" w:bidi="ar-SA"/>
        </w:rPr>
      </w:pPr>
    </w:p>
    <w:p w:rsidR="00650369" w:rsidRPr="00650369" w:rsidRDefault="00650369" w:rsidP="00650369">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650369">
        <w:rPr>
          <w:rFonts w:eastAsiaTheme="minorHAnsi"/>
          <w:color w:val="000000"/>
          <w:sz w:val="20"/>
          <w:szCs w:val="20"/>
          <w:lang w:eastAsia="en-US" w:bidi="ar-SA"/>
        </w:rPr>
        <w:t>All VPSC executives receive a total remuneration in excess of $100,000. All are contract-appointed ensuring no executive is appointed as ongoing or for special projects.</w:t>
      </w:r>
    </w:p>
    <w:p w:rsidR="00650369" w:rsidRDefault="00650369" w:rsidP="00650369">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650369">
        <w:rPr>
          <w:rFonts w:eastAsiaTheme="minorHAnsi"/>
          <w:color w:val="000000"/>
          <w:sz w:val="20"/>
          <w:szCs w:val="20"/>
          <w:lang w:eastAsia="en-US" w:bidi="ar-SA"/>
        </w:rPr>
        <w:t>The executive officer data is based on the 30 June payroll FTE report for the period 2018 and 2019.</w:t>
      </w:r>
      <w:r w:rsidRPr="00650369">
        <w:rPr>
          <w:rFonts w:eastAsiaTheme="minorHAnsi"/>
          <w:color w:val="000000"/>
          <w:sz w:val="20"/>
          <w:szCs w:val="20"/>
          <w:lang w:eastAsia="en-US" w:bidi="ar-SA"/>
        </w:rPr>
        <w:br/>
        <w:t>This does not include statutory appointments.</w:t>
      </w:r>
    </w:p>
    <w:p w:rsidR="00650369" w:rsidRPr="00650369" w:rsidRDefault="00650369" w:rsidP="00650369">
      <w:pPr>
        <w:widowControl/>
        <w:suppressAutoHyphens/>
        <w:adjustRightInd w:val="0"/>
        <w:spacing w:after="113" w:line="220" w:lineRule="atLeast"/>
        <w:ind w:left="709"/>
        <w:textAlignment w:val="center"/>
        <w:rPr>
          <w:rFonts w:eastAsiaTheme="minorHAnsi"/>
          <w:color w:val="000000"/>
          <w:sz w:val="20"/>
          <w:szCs w:val="20"/>
          <w:lang w:eastAsia="en-US" w:bidi="ar-SA"/>
        </w:rPr>
      </w:pPr>
    </w:p>
    <w:p w:rsidR="00650369" w:rsidRDefault="00650369" w:rsidP="00650369">
      <w:pPr>
        <w:pStyle w:val="Heading4"/>
        <w:rPr>
          <w:lang w:eastAsia="en-US" w:bidi="ar-SA"/>
        </w:rPr>
      </w:pPr>
      <w:r w:rsidRPr="00650369">
        <w:rPr>
          <w:lang w:eastAsia="en-US" w:bidi="ar-SA"/>
        </w:rPr>
        <w:t>VPSC Executive Officer Data</w:t>
      </w:r>
    </w:p>
    <w:p w:rsidR="00650369" w:rsidRPr="00650369" w:rsidRDefault="00650369" w:rsidP="00650369">
      <w:pPr>
        <w:rPr>
          <w:lang w:eastAsia="en-US" w:bidi="ar-SA"/>
        </w:rPr>
      </w:pPr>
    </w:p>
    <w:tbl>
      <w:tblPr>
        <w:tblStyle w:val="TableGrid"/>
        <w:tblW w:w="0" w:type="auto"/>
        <w:tblInd w:w="742" w:type="dxa"/>
        <w:tblLayout w:type="fixed"/>
        <w:tblLook w:val="0000" w:firstRow="0" w:lastRow="0" w:firstColumn="0" w:lastColumn="0" w:noHBand="0" w:noVBand="0"/>
      </w:tblPr>
      <w:tblGrid>
        <w:gridCol w:w="671"/>
        <w:gridCol w:w="709"/>
        <w:gridCol w:w="1134"/>
        <w:gridCol w:w="1701"/>
        <w:gridCol w:w="992"/>
        <w:gridCol w:w="992"/>
        <w:gridCol w:w="1134"/>
        <w:gridCol w:w="1701"/>
        <w:gridCol w:w="1134"/>
      </w:tblGrid>
      <w:tr w:rsidR="00650369" w:rsidRPr="00650369" w:rsidTr="00650369">
        <w:trPr>
          <w:trHeight w:val="60"/>
        </w:trPr>
        <w:tc>
          <w:tcPr>
            <w:tcW w:w="671" w:type="dxa"/>
          </w:tcPr>
          <w:p w:rsidR="00650369" w:rsidRPr="00650369" w:rsidRDefault="00650369" w:rsidP="00650369">
            <w:pPr>
              <w:widowControl/>
              <w:adjustRightInd w:val="0"/>
              <w:rPr>
                <w:rFonts w:eastAsiaTheme="minorHAnsi"/>
                <w:sz w:val="20"/>
                <w:szCs w:val="20"/>
                <w:lang w:eastAsia="en-US" w:bidi="ar-SA"/>
              </w:rPr>
            </w:pPr>
          </w:p>
        </w:tc>
        <w:tc>
          <w:tcPr>
            <w:tcW w:w="4536" w:type="dxa"/>
            <w:gridSpan w:val="4"/>
          </w:tcPr>
          <w:p w:rsidR="00650369" w:rsidRPr="00650369" w:rsidRDefault="00650369" w:rsidP="0065036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650369">
              <w:rPr>
                <w:rFonts w:eastAsiaTheme="minorHAnsi"/>
                <w:b/>
                <w:bCs/>
                <w:sz w:val="20"/>
                <w:szCs w:val="20"/>
                <w:lang w:eastAsia="en-US" w:bidi="ar-SA"/>
              </w:rPr>
              <w:t>As at 30 June 2018</w:t>
            </w:r>
          </w:p>
        </w:tc>
        <w:tc>
          <w:tcPr>
            <w:tcW w:w="4961" w:type="dxa"/>
            <w:gridSpan w:val="4"/>
          </w:tcPr>
          <w:p w:rsidR="00650369" w:rsidRPr="00650369" w:rsidRDefault="00650369" w:rsidP="0065036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650369">
              <w:rPr>
                <w:rFonts w:eastAsiaTheme="minorHAnsi"/>
                <w:b/>
                <w:bCs/>
                <w:sz w:val="20"/>
                <w:szCs w:val="20"/>
                <w:lang w:eastAsia="en-US" w:bidi="ar-SA"/>
              </w:rPr>
              <w:t>As at 30 June 2019</w:t>
            </w:r>
          </w:p>
        </w:tc>
      </w:tr>
      <w:tr w:rsidR="00650369" w:rsidRPr="00650369" w:rsidTr="00973D48">
        <w:trPr>
          <w:trHeight w:val="113"/>
        </w:trPr>
        <w:tc>
          <w:tcPr>
            <w:tcW w:w="671" w:type="dxa"/>
          </w:tcPr>
          <w:p w:rsidR="00650369" w:rsidRPr="00650369" w:rsidRDefault="00650369" w:rsidP="00650369">
            <w:pPr>
              <w:widowControl/>
              <w:adjustRightInd w:val="0"/>
              <w:rPr>
                <w:rFonts w:eastAsiaTheme="minorHAnsi"/>
                <w:sz w:val="20"/>
                <w:szCs w:val="20"/>
                <w:lang w:eastAsia="en-US" w:bidi="ar-SA"/>
              </w:rPr>
            </w:pPr>
          </w:p>
        </w:tc>
        <w:tc>
          <w:tcPr>
            <w:tcW w:w="709" w:type="dxa"/>
          </w:tcPr>
          <w:p w:rsidR="00650369" w:rsidRPr="00650369" w:rsidRDefault="00650369" w:rsidP="0065036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650369">
              <w:rPr>
                <w:rFonts w:eastAsiaTheme="minorHAnsi"/>
                <w:b/>
                <w:bCs/>
                <w:sz w:val="20"/>
                <w:szCs w:val="20"/>
                <w:lang w:eastAsia="en-US" w:bidi="ar-SA"/>
              </w:rPr>
              <w:t>Male</w:t>
            </w:r>
          </w:p>
        </w:tc>
        <w:tc>
          <w:tcPr>
            <w:tcW w:w="1134" w:type="dxa"/>
          </w:tcPr>
          <w:p w:rsidR="00650369" w:rsidRPr="00650369" w:rsidRDefault="00650369" w:rsidP="0065036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650369">
              <w:rPr>
                <w:rFonts w:eastAsiaTheme="minorHAnsi"/>
                <w:b/>
                <w:bCs/>
                <w:sz w:val="20"/>
                <w:szCs w:val="20"/>
                <w:lang w:eastAsia="en-US" w:bidi="ar-SA"/>
              </w:rPr>
              <w:t>Female</w:t>
            </w:r>
          </w:p>
        </w:tc>
        <w:tc>
          <w:tcPr>
            <w:tcW w:w="1701" w:type="dxa"/>
          </w:tcPr>
          <w:p w:rsidR="00650369" w:rsidRPr="00650369" w:rsidRDefault="00650369" w:rsidP="00650369">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650369">
              <w:rPr>
                <w:rFonts w:eastAsiaTheme="minorHAnsi"/>
                <w:b/>
                <w:bCs/>
                <w:sz w:val="20"/>
                <w:szCs w:val="20"/>
                <w:lang w:eastAsia="en-US" w:bidi="ar-SA"/>
              </w:rPr>
              <w:t>Self-Described</w:t>
            </w:r>
          </w:p>
        </w:tc>
        <w:tc>
          <w:tcPr>
            <w:tcW w:w="992" w:type="dxa"/>
          </w:tcPr>
          <w:p w:rsidR="00650369" w:rsidRPr="00650369" w:rsidRDefault="00650369" w:rsidP="0065036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650369">
              <w:rPr>
                <w:rFonts w:eastAsiaTheme="minorHAnsi"/>
                <w:b/>
                <w:bCs/>
                <w:sz w:val="20"/>
                <w:szCs w:val="20"/>
                <w:lang w:eastAsia="en-US" w:bidi="ar-SA"/>
              </w:rPr>
              <w:t>Total</w:t>
            </w:r>
          </w:p>
        </w:tc>
        <w:tc>
          <w:tcPr>
            <w:tcW w:w="992" w:type="dxa"/>
          </w:tcPr>
          <w:p w:rsidR="00650369" w:rsidRPr="00650369" w:rsidRDefault="00650369" w:rsidP="0065036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650369">
              <w:rPr>
                <w:rFonts w:eastAsiaTheme="minorHAnsi"/>
                <w:b/>
                <w:bCs/>
                <w:sz w:val="20"/>
                <w:szCs w:val="20"/>
                <w:lang w:eastAsia="en-US" w:bidi="ar-SA"/>
              </w:rPr>
              <w:t>Male</w:t>
            </w:r>
          </w:p>
        </w:tc>
        <w:tc>
          <w:tcPr>
            <w:tcW w:w="1134" w:type="dxa"/>
          </w:tcPr>
          <w:p w:rsidR="00650369" w:rsidRPr="00650369" w:rsidRDefault="00650369" w:rsidP="0065036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650369">
              <w:rPr>
                <w:rFonts w:eastAsiaTheme="minorHAnsi"/>
                <w:b/>
                <w:bCs/>
                <w:sz w:val="20"/>
                <w:szCs w:val="20"/>
                <w:lang w:eastAsia="en-US" w:bidi="ar-SA"/>
              </w:rPr>
              <w:t>Female</w:t>
            </w:r>
          </w:p>
        </w:tc>
        <w:tc>
          <w:tcPr>
            <w:tcW w:w="1701" w:type="dxa"/>
          </w:tcPr>
          <w:p w:rsidR="00650369" w:rsidRPr="00650369" w:rsidRDefault="00650369" w:rsidP="00650369">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650369">
              <w:rPr>
                <w:rFonts w:eastAsiaTheme="minorHAnsi"/>
                <w:b/>
                <w:bCs/>
                <w:sz w:val="20"/>
                <w:szCs w:val="20"/>
                <w:lang w:eastAsia="en-US" w:bidi="ar-SA"/>
              </w:rPr>
              <w:t>Self-Described</w:t>
            </w:r>
          </w:p>
        </w:tc>
        <w:tc>
          <w:tcPr>
            <w:tcW w:w="1134" w:type="dxa"/>
          </w:tcPr>
          <w:p w:rsidR="00650369" w:rsidRPr="00650369" w:rsidRDefault="00650369" w:rsidP="0065036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650369">
              <w:rPr>
                <w:rFonts w:eastAsiaTheme="minorHAnsi"/>
                <w:b/>
                <w:bCs/>
                <w:sz w:val="20"/>
                <w:szCs w:val="20"/>
                <w:lang w:eastAsia="en-US" w:bidi="ar-SA"/>
              </w:rPr>
              <w:t>Total</w:t>
            </w:r>
          </w:p>
        </w:tc>
      </w:tr>
      <w:tr w:rsidR="00650369" w:rsidRPr="00650369" w:rsidTr="00973D48">
        <w:trPr>
          <w:trHeight w:val="60"/>
        </w:trPr>
        <w:tc>
          <w:tcPr>
            <w:tcW w:w="671" w:type="dxa"/>
          </w:tcPr>
          <w:p w:rsidR="00650369" w:rsidRPr="00650369" w:rsidRDefault="00650369" w:rsidP="00650369">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650369">
              <w:rPr>
                <w:rFonts w:eastAsiaTheme="minorHAnsi"/>
                <w:b/>
                <w:bCs/>
                <w:sz w:val="20"/>
                <w:szCs w:val="20"/>
                <w:lang w:eastAsia="en-US" w:bidi="ar-SA"/>
              </w:rPr>
              <w:t>EO3</w:t>
            </w:r>
          </w:p>
        </w:tc>
        <w:tc>
          <w:tcPr>
            <w:tcW w:w="709"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1134"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4</w:t>
            </w:r>
          </w:p>
        </w:tc>
        <w:tc>
          <w:tcPr>
            <w:tcW w:w="1701"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992"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4</w:t>
            </w:r>
          </w:p>
        </w:tc>
        <w:tc>
          <w:tcPr>
            <w:tcW w:w="992"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1134"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c>
          <w:tcPr>
            <w:tcW w:w="1701"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1134"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r>
      <w:tr w:rsidR="00650369" w:rsidRPr="00650369" w:rsidTr="00973D48">
        <w:trPr>
          <w:trHeight w:val="60"/>
        </w:trPr>
        <w:tc>
          <w:tcPr>
            <w:tcW w:w="671" w:type="dxa"/>
          </w:tcPr>
          <w:p w:rsidR="00650369" w:rsidRPr="00650369" w:rsidRDefault="00650369" w:rsidP="00650369">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650369">
              <w:rPr>
                <w:rFonts w:eastAsiaTheme="minorHAnsi"/>
                <w:b/>
                <w:bCs/>
                <w:sz w:val="20"/>
                <w:szCs w:val="20"/>
                <w:lang w:eastAsia="en-US" w:bidi="ar-SA"/>
              </w:rPr>
              <w:t>EO2</w:t>
            </w:r>
          </w:p>
        </w:tc>
        <w:tc>
          <w:tcPr>
            <w:tcW w:w="709"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1134"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1701"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992"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992"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c>
          <w:tcPr>
            <w:tcW w:w="1134"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2</w:t>
            </w:r>
          </w:p>
        </w:tc>
        <w:tc>
          <w:tcPr>
            <w:tcW w:w="1701"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1134"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3</w:t>
            </w:r>
          </w:p>
        </w:tc>
      </w:tr>
      <w:tr w:rsidR="00650369" w:rsidRPr="00650369" w:rsidTr="00973D48">
        <w:trPr>
          <w:trHeight w:val="60"/>
        </w:trPr>
        <w:tc>
          <w:tcPr>
            <w:tcW w:w="671" w:type="dxa"/>
          </w:tcPr>
          <w:p w:rsidR="00650369" w:rsidRPr="00650369" w:rsidRDefault="00650369" w:rsidP="00650369">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650369">
              <w:rPr>
                <w:rFonts w:eastAsiaTheme="minorHAnsi"/>
                <w:b/>
                <w:bCs/>
                <w:sz w:val="20"/>
                <w:szCs w:val="20"/>
                <w:lang w:eastAsia="en-US" w:bidi="ar-SA"/>
              </w:rPr>
              <w:t>EO1</w:t>
            </w:r>
          </w:p>
        </w:tc>
        <w:tc>
          <w:tcPr>
            <w:tcW w:w="709"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1134"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c>
          <w:tcPr>
            <w:tcW w:w="1701"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992"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c>
          <w:tcPr>
            <w:tcW w:w="992"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1134"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c>
          <w:tcPr>
            <w:tcW w:w="1701"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0</w:t>
            </w:r>
          </w:p>
        </w:tc>
        <w:tc>
          <w:tcPr>
            <w:tcW w:w="1134" w:type="dxa"/>
          </w:tcPr>
          <w:p w:rsidR="00650369" w:rsidRPr="00650369" w:rsidRDefault="00650369" w:rsidP="00650369">
            <w:pPr>
              <w:widowControl/>
              <w:suppressAutoHyphens/>
              <w:adjustRightInd w:val="0"/>
              <w:spacing w:after="113" w:line="220" w:lineRule="atLeast"/>
              <w:jc w:val="center"/>
              <w:textAlignment w:val="center"/>
              <w:rPr>
                <w:rFonts w:eastAsiaTheme="minorHAnsi"/>
                <w:sz w:val="20"/>
                <w:szCs w:val="20"/>
                <w:lang w:eastAsia="en-US" w:bidi="ar-SA"/>
              </w:rPr>
            </w:pPr>
            <w:r w:rsidRPr="00650369">
              <w:rPr>
                <w:rFonts w:eastAsiaTheme="minorHAnsi"/>
                <w:sz w:val="20"/>
                <w:szCs w:val="20"/>
                <w:lang w:eastAsia="en-US" w:bidi="ar-SA"/>
              </w:rPr>
              <w:t>1</w:t>
            </w:r>
          </w:p>
        </w:tc>
      </w:tr>
    </w:tbl>
    <w:p w:rsidR="00650369" w:rsidRPr="00650369" w:rsidRDefault="00650369" w:rsidP="00650369">
      <w:pPr>
        <w:widowControl/>
        <w:suppressAutoHyphens/>
        <w:adjustRightInd w:val="0"/>
        <w:spacing w:after="227" w:line="220" w:lineRule="atLeast"/>
        <w:textAlignment w:val="center"/>
        <w:rPr>
          <w:rFonts w:ascii="HelveticaNeueLT Std Lt" w:eastAsiaTheme="minorHAnsi" w:hAnsi="HelveticaNeueLT Std Lt" w:cs="HelveticaNeueLT Std Lt"/>
          <w:i/>
          <w:iCs/>
          <w:color w:val="000000"/>
          <w:sz w:val="16"/>
          <w:szCs w:val="16"/>
          <w:lang w:eastAsia="en-US" w:bidi="ar-SA"/>
        </w:rPr>
      </w:pPr>
    </w:p>
    <w:p w:rsidR="00650369" w:rsidRDefault="00650369">
      <w:pPr>
        <w:rPr>
          <w:sz w:val="20"/>
        </w:rPr>
        <w:sectPr w:rsidR="00650369">
          <w:pgSz w:w="11910" w:h="16840"/>
          <w:pgMar w:top="560" w:right="0" w:bottom="680" w:left="0" w:header="0" w:footer="490" w:gutter="0"/>
          <w:cols w:space="720"/>
        </w:sectPr>
      </w:pPr>
    </w:p>
    <w:p w:rsidR="0051318F" w:rsidRDefault="0051318F">
      <w:pPr>
        <w:spacing w:line="249" w:lineRule="auto"/>
        <w:sectPr w:rsidR="0051318F">
          <w:type w:val="continuous"/>
          <w:pgSz w:w="11910" w:h="16840"/>
          <w:pgMar w:top="540" w:right="0" w:bottom="280" w:left="0" w:header="720" w:footer="720" w:gutter="0"/>
          <w:cols w:space="720"/>
        </w:sectPr>
      </w:pPr>
      <w:bookmarkStart w:id="26" w:name="_TOC_250002"/>
      <w:bookmarkEnd w:id="26"/>
    </w:p>
    <w:p w:rsidR="00650369" w:rsidRDefault="00650369" w:rsidP="00650369">
      <w:pPr>
        <w:pStyle w:val="Heading1"/>
      </w:pPr>
      <w:bookmarkStart w:id="27" w:name="_TOC_250001"/>
      <w:bookmarkStart w:id="28" w:name="_Toc23329728"/>
      <w:bookmarkEnd w:id="27"/>
      <w:r>
        <w:lastRenderedPageBreak/>
        <w:t>Section 4 – Other Disclosures</w:t>
      </w:r>
      <w:bookmarkEnd w:id="28"/>
    </w:p>
    <w:p w:rsidR="00511595" w:rsidRDefault="00511595" w:rsidP="00511595"/>
    <w:p w:rsidR="00650369" w:rsidRDefault="00650369" w:rsidP="00511595">
      <w:pPr>
        <w:pStyle w:val="Heading2"/>
        <w:rPr>
          <w:lang w:eastAsia="en-US" w:bidi="ar-SA"/>
        </w:rPr>
      </w:pPr>
      <w:bookmarkStart w:id="29" w:name="_Toc23329729"/>
      <w:r w:rsidRPr="00650369">
        <w:rPr>
          <w:lang w:eastAsia="en-US" w:bidi="ar-SA"/>
        </w:rPr>
        <w:t>Local Jobs First</w:t>
      </w:r>
      <w:bookmarkEnd w:id="29"/>
    </w:p>
    <w:p w:rsidR="00511595" w:rsidRPr="00650369" w:rsidRDefault="00511595" w:rsidP="00511595">
      <w:pPr>
        <w:rPr>
          <w:lang w:eastAsia="en-US" w:bidi="ar-SA"/>
        </w:rPr>
      </w:pPr>
    </w:p>
    <w:p w:rsidR="00650369" w:rsidRPr="00650369" w:rsidRDefault="00650369" w:rsidP="00650369">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650369">
        <w:rPr>
          <w:rFonts w:eastAsiaTheme="minorHAnsi"/>
          <w:color w:val="000000"/>
          <w:sz w:val="20"/>
          <w:szCs w:val="20"/>
          <w:lang w:eastAsia="en-US" w:bidi="ar-SA"/>
        </w:rPr>
        <w:t>The Local Jobs First Act 2003 introduced in August 2018 brings together the Victorian Industry Participation Policy (VIPP) and Major Project Skills Guarantee (MPSG) policy which were previously administered separately.</w:t>
      </w:r>
    </w:p>
    <w:p w:rsidR="00650369" w:rsidRPr="00650369" w:rsidRDefault="00650369" w:rsidP="00650369">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650369">
        <w:rPr>
          <w:rFonts w:eastAsiaTheme="minorHAnsi"/>
          <w:color w:val="000000"/>
          <w:sz w:val="20"/>
          <w:szCs w:val="20"/>
          <w:lang w:eastAsia="en-US" w:bidi="ar-SA"/>
        </w:rPr>
        <w:t xml:space="preserve">Departments and public sector bodies are required to apply the Local Job first policy in all projects valued at $3 million or more in Metropolitan Melbourne or for </w:t>
      </w:r>
      <w:proofErr w:type="spellStart"/>
      <w:r w:rsidRPr="00650369">
        <w:rPr>
          <w:rFonts w:eastAsiaTheme="minorHAnsi"/>
          <w:color w:val="000000"/>
          <w:sz w:val="20"/>
          <w:szCs w:val="20"/>
          <w:lang w:eastAsia="en-US" w:bidi="ar-SA"/>
        </w:rPr>
        <w:t>statewide</w:t>
      </w:r>
      <w:proofErr w:type="spellEnd"/>
      <w:r w:rsidRPr="00650369">
        <w:rPr>
          <w:rFonts w:eastAsiaTheme="minorHAnsi"/>
          <w:color w:val="000000"/>
          <w:sz w:val="20"/>
          <w:szCs w:val="20"/>
          <w:lang w:eastAsia="en-US" w:bidi="ar-SA"/>
        </w:rPr>
        <w:t xml:space="preserve"> projects, or $1 million or more for projects in regional Victoria.</w:t>
      </w:r>
    </w:p>
    <w:p w:rsidR="00650369" w:rsidRDefault="00650369" w:rsidP="00650369">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650369">
        <w:rPr>
          <w:rFonts w:eastAsiaTheme="minorHAnsi"/>
          <w:color w:val="000000"/>
          <w:sz w:val="20"/>
          <w:szCs w:val="20"/>
          <w:lang w:eastAsia="en-US" w:bidi="ar-SA"/>
        </w:rPr>
        <w:t>MPSG applies to all construction projects valued at $20 million or more. The MPSG guidelines and VIPP guidelines will continue to apply to MPSG applicable and VIPP applicable projects respectively where contracts have been entered prior to 15 August 2018.</w:t>
      </w:r>
    </w:p>
    <w:p w:rsidR="00511595" w:rsidRPr="00650369" w:rsidRDefault="00511595" w:rsidP="00511595">
      <w:pPr>
        <w:rPr>
          <w:lang w:eastAsia="en-US" w:bidi="ar-SA"/>
        </w:rPr>
      </w:pPr>
    </w:p>
    <w:p w:rsidR="00650369" w:rsidRPr="00650369" w:rsidRDefault="00650369" w:rsidP="00511595">
      <w:pPr>
        <w:pStyle w:val="Heading2"/>
        <w:rPr>
          <w:lang w:eastAsia="en-US" w:bidi="ar-SA"/>
        </w:rPr>
      </w:pPr>
      <w:bookmarkStart w:id="30" w:name="_Toc23329730"/>
      <w:r w:rsidRPr="00650369">
        <w:rPr>
          <w:lang w:eastAsia="en-US" w:bidi="ar-SA"/>
        </w:rPr>
        <w:t>Changes in Financial Position</w:t>
      </w:r>
      <w:bookmarkEnd w:id="30"/>
      <w:r w:rsidRPr="00650369">
        <w:rPr>
          <w:lang w:eastAsia="en-US" w:bidi="ar-SA"/>
        </w:rPr>
        <w:t xml:space="preserve"> </w:t>
      </w:r>
    </w:p>
    <w:p w:rsidR="00511595" w:rsidRDefault="00511595" w:rsidP="00511595">
      <w:pPr>
        <w:rPr>
          <w:lang w:eastAsia="en-US" w:bidi="ar-SA"/>
        </w:rPr>
      </w:pPr>
    </w:p>
    <w:p w:rsidR="00650369" w:rsidRDefault="00650369" w:rsidP="00511595">
      <w:pPr>
        <w:pStyle w:val="Heading3"/>
        <w:rPr>
          <w:lang w:eastAsia="en-US" w:bidi="ar-SA"/>
        </w:rPr>
      </w:pPr>
      <w:r w:rsidRPr="00650369">
        <w:rPr>
          <w:lang w:eastAsia="en-US" w:bidi="ar-SA"/>
        </w:rPr>
        <w:t>Details of consultancies (valued at $10,000 or greater)</w:t>
      </w:r>
    </w:p>
    <w:p w:rsidR="00511595" w:rsidRPr="00650369" w:rsidRDefault="00511595" w:rsidP="00511595">
      <w:pPr>
        <w:rPr>
          <w:lang w:eastAsia="en-US" w:bidi="ar-SA"/>
        </w:rPr>
      </w:pPr>
    </w:p>
    <w:p w:rsidR="00650369" w:rsidRDefault="00650369" w:rsidP="00650369">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650369">
        <w:rPr>
          <w:rFonts w:eastAsiaTheme="minorHAnsi"/>
          <w:color w:val="000000"/>
          <w:sz w:val="20"/>
          <w:szCs w:val="20"/>
          <w:lang w:eastAsia="en-US" w:bidi="ar-SA"/>
        </w:rPr>
        <w:t>In 2018–19, there were four consultants where the total fees payable to the consultant was $10,000 or greater. The total expenditure incurred during 2018–19 in relation to these consultancies is $226,037.50 excluding goods and services tax (GST). Details are outlined below.</w:t>
      </w:r>
    </w:p>
    <w:p w:rsidR="00511595" w:rsidRPr="00650369" w:rsidRDefault="00511595" w:rsidP="00511595">
      <w:pPr>
        <w:rPr>
          <w:lang w:eastAsia="en-US" w:bidi="ar-SA"/>
        </w:rPr>
      </w:pPr>
    </w:p>
    <w:tbl>
      <w:tblPr>
        <w:tblStyle w:val="TableGrid"/>
        <w:tblW w:w="0" w:type="auto"/>
        <w:tblInd w:w="702" w:type="dxa"/>
        <w:tblLayout w:type="fixed"/>
        <w:tblLook w:val="0000" w:firstRow="0" w:lastRow="0" w:firstColumn="0" w:lastColumn="0" w:noHBand="0" w:noVBand="0"/>
      </w:tblPr>
      <w:tblGrid>
        <w:gridCol w:w="1561"/>
        <w:gridCol w:w="1701"/>
        <w:gridCol w:w="1276"/>
        <w:gridCol w:w="1276"/>
        <w:gridCol w:w="1417"/>
        <w:gridCol w:w="1418"/>
        <w:gridCol w:w="1559"/>
      </w:tblGrid>
      <w:tr w:rsidR="00511595" w:rsidRPr="00511595" w:rsidTr="00511595">
        <w:trPr>
          <w:trHeight w:val="60"/>
        </w:trPr>
        <w:tc>
          <w:tcPr>
            <w:tcW w:w="1561" w:type="dxa"/>
          </w:tcPr>
          <w:p w:rsidR="00511595" w:rsidRPr="00511595" w:rsidRDefault="00511595" w:rsidP="0051159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11595">
              <w:rPr>
                <w:rFonts w:eastAsiaTheme="minorHAnsi"/>
                <w:b/>
                <w:bCs/>
                <w:sz w:val="20"/>
                <w:szCs w:val="20"/>
                <w:lang w:eastAsia="en-US" w:bidi="ar-SA"/>
              </w:rPr>
              <w:t>Consultant</w:t>
            </w:r>
          </w:p>
        </w:tc>
        <w:tc>
          <w:tcPr>
            <w:tcW w:w="1701" w:type="dxa"/>
          </w:tcPr>
          <w:p w:rsidR="00511595" w:rsidRPr="00511595" w:rsidRDefault="00511595" w:rsidP="0051159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11595">
              <w:rPr>
                <w:rFonts w:eastAsiaTheme="minorHAnsi"/>
                <w:b/>
                <w:bCs/>
                <w:sz w:val="20"/>
                <w:szCs w:val="20"/>
                <w:lang w:eastAsia="en-US" w:bidi="ar-SA"/>
              </w:rPr>
              <w:t>Purpose of Consultancy</w:t>
            </w:r>
          </w:p>
        </w:tc>
        <w:tc>
          <w:tcPr>
            <w:tcW w:w="1276" w:type="dxa"/>
          </w:tcPr>
          <w:p w:rsidR="00511595" w:rsidRPr="00511595" w:rsidRDefault="00511595" w:rsidP="0051159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11595">
              <w:rPr>
                <w:rFonts w:eastAsiaTheme="minorHAnsi"/>
                <w:b/>
                <w:bCs/>
                <w:sz w:val="20"/>
                <w:szCs w:val="20"/>
                <w:lang w:eastAsia="en-US" w:bidi="ar-SA"/>
              </w:rPr>
              <w:t>Start Date</w:t>
            </w:r>
          </w:p>
        </w:tc>
        <w:tc>
          <w:tcPr>
            <w:tcW w:w="1276" w:type="dxa"/>
          </w:tcPr>
          <w:p w:rsidR="00511595" w:rsidRPr="00511595" w:rsidRDefault="00511595" w:rsidP="0051159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11595">
              <w:rPr>
                <w:rFonts w:eastAsiaTheme="minorHAnsi"/>
                <w:b/>
                <w:bCs/>
                <w:sz w:val="20"/>
                <w:szCs w:val="20"/>
                <w:lang w:eastAsia="en-US" w:bidi="ar-SA"/>
              </w:rPr>
              <w:t>End Date</w:t>
            </w:r>
          </w:p>
        </w:tc>
        <w:tc>
          <w:tcPr>
            <w:tcW w:w="1417" w:type="dxa"/>
          </w:tcPr>
          <w:p w:rsidR="00511595" w:rsidRPr="00511595" w:rsidRDefault="00511595" w:rsidP="0051159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11595">
              <w:rPr>
                <w:rFonts w:eastAsiaTheme="minorHAnsi"/>
                <w:b/>
                <w:bCs/>
                <w:sz w:val="20"/>
                <w:szCs w:val="20"/>
                <w:lang w:eastAsia="en-US" w:bidi="ar-SA"/>
              </w:rPr>
              <w:t xml:space="preserve">Total </w:t>
            </w:r>
            <w:r w:rsidRPr="00511595">
              <w:rPr>
                <w:rFonts w:eastAsiaTheme="minorHAnsi"/>
                <w:b/>
                <w:bCs/>
                <w:sz w:val="20"/>
                <w:szCs w:val="20"/>
                <w:lang w:eastAsia="en-US" w:bidi="ar-SA"/>
              </w:rPr>
              <w:br/>
              <w:t>Approved Project Fee</w:t>
            </w:r>
          </w:p>
        </w:tc>
        <w:tc>
          <w:tcPr>
            <w:tcW w:w="1418" w:type="dxa"/>
          </w:tcPr>
          <w:p w:rsidR="00511595" w:rsidRPr="00511595" w:rsidRDefault="00511595" w:rsidP="0051159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11595">
              <w:rPr>
                <w:rFonts w:eastAsiaTheme="minorHAnsi"/>
                <w:b/>
                <w:bCs/>
                <w:sz w:val="20"/>
                <w:szCs w:val="20"/>
                <w:lang w:eastAsia="en-US" w:bidi="ar-SA"/>
              </w:rPr>
              <w:t xml:space="preserve">Expenditure 2018–19 </w:t>
            </w:r>
            <w:r w:rsidRPr="00511595">
              <w:rPr>
                <w:rFonts w:eastAsiaTheme="minorHAnsi"/>
                <w:b/>
                <w:bCs/>
                <w:sz w:val="20"/>
                <w:szCs w:val="20"/>
                <w:lang w:eastAsia="en-US" w:bidi="ar-SA"/>
              </w:rPr>
              <w:br/>
              <w:t>(excl. GST)</w:t>
            </w:r>
          </w:p>
        </w:tc>
        <w:tc>
          <w:tcPr>
            <w:tcW w:w="1559" w:type="dxa"/>
          </w:tcPr>
          <w:p w:rsidR="00511595" w:rsidRPr="00511595" w:rsidRDefault="00511595" w:rsidP="0051159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11595">
              <w:rPr>
                <w:rFonts w:eastAsiaTheme="minorHAnsi"/>
                <w:b/>
                <w:bCs/>
                <w:sz w:val="20"/>
                <w:szCs w:val="20"/>
                <w:lang w:eastAsia="en-US" w:bidi="ar-SA"/>
              </w:rPr>
              <w:t xml:space="preserve">Future Expenditure </w:t>
            </w:r>
            <w:r w:rsidRPr="00511595">
              <w:rPr>
                <w:rFonts w:eastAsiaTheme="minorHAnsi"/>
                <w:b/>
                <w:bCs/>
                <w:sz w:val="20"/>
                <w:szCs w:val="20"/>
                <w:lang w:eastAsia="en-US" w:bidi="ar-SA"/>
              </w:rPr>
              <w:br/>
              <w:t>(excl. GST)</w:t>
            </w:r>
          </w:p>
        </w:tc>
      </w:tr>
      <w:tr w:rsidR="00511595" w:rsidRPr="00511595" w:rsidTr="00511595">
        <w:trPr>
          <w:trHeight w:val="60"/>
        </w:trPr>
        <w:tc>
          <w:tcPr>
            <w:tcW w:w="1561" w:type="dxa"/>
          </w:tcPr>
          <w:p w:rsidR="00511595" w:rsidRPr="00511595" w:rsidRDefault="00511595" w:rsidP="00511595">
            <w:pPr>
              <w:widowControl/>
              <w:suppressAutoHyphens/>
              <w:adjustRightInd w:val="0"/>
              <w:spacing w:after="113" w:line="220" w:lineRule="atLeast"/>
              <w:textAlignment w:val="center"/>
              <w:rPr>
                <w:rFonts w:eastAsiaTheme="minorHAnsi"/>
                <w:sz w:val="20"/>
                <w:szCs w:val="20"/>
                <w:lang w:eastAsia="en-US" w:bidi="ar-SA"/>
              </w:rPr>
            </w:pPr>
            <w:r w:rsidRPr="00511595">
              <w:rPr>
                <w:rFonts w:eastAsiaTheme="minorHAnsi"/>
                <w:sz w:val="20"/>
                <w:szCs w:val="20"/>
                <w:lang w:eastAsia="en-US" w:bidi="ar-SA"/>
              </w:rPr>
              <w:t>Accessible Action</w:t>
            </w:r>
          </w:p>
        </w:tc>
        <w:tc>
          <w:tcPr>
            <w:tcW w:w="1701" w:type="dxa"/>
          </w:tcPr>
          <w:p w:rsidR="00511595" w:rsidRPr="00511595" w:rsidRDefault="00511595" w:rsidP="00511595">
            <w:pPr>
              <w:widowControl/>
              <w:suppressAutoHyphens/>
              <w:adjustRightInd w:val="0"/>
              <w:spacing w:after="113" w:line="220" w:lineRule="atLeast"/>
              <w:textAlignment w:val="center"/>
              <w:rPr>
                <w:rFonts w:eastAsiaTheme="minorHAnsi"/>
                <w:sz w:val="20"/>
                <w:szCs w:val="20"/>
                <w:lang w:eastAsia="en-US" w:bidi="ar-SA"/>
              </w:rPr>
            </w:pPr>
            <w:r w:rsidRPr="00511595">
              <w:rPr>
                <w:rFonts w:eastAsiaTheme="minorHAnsi"/>
                <w:sz w:val="20"/>
                <w:szCs w:val="20"/>
                <w:lang w:eastAsia="en-US" w:bidi="ar-SA"/>
              </w:rPr>
              <w:t>Implementation of Getting to Work</w:t>
            </w:r>
          </w:p>
        </w:tc>
        <w:tc>
          <w:tcPr>
            <w:tcW w:w="1276"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16/01/2019</w:t>
            </w:r>
          </w:p>
        </w:tc>
        <w:tc>
          <w:tcPr>
            <w:tcW w:w="1276"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31/5/2019</w:t>
            </w:r>
          </w:p>
        </w:tc>
        <w:tc>
          <w:tcPr>
            <w:tcW w:w="1417"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$22,910</w:t>
            </w:r>
          </w:p>
        </w:tc>
        <w:tc>
          <w:tcPr>
            <w:tcW w:w="1418"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$22,910</w:t>
            </w:r>
          </w:p>
        </w:tc>
        <w:tc>
          <w:tcPr>
            <w:tcW w:w="1559"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$0.00</w:t>
            </w:r>
          </w:p>
        </w:tc>
      </w:tr>
      <w:tr w:rsidR="00511595" w:rsidRPr="00511595" w:rsidTr="00511595">
        <w:trPr>
          <w:trHeight w:val="60"/>
        </w:trPr>
        <w:tc>
          <w:tcPr>
            <w:tcW w:w="1561" w:type="dxa"/>
          </w:tcPr>
          <w:p w:rsidR="00511595" w:rsidRPr="00511595" w:rsidRDefault="00511595" w:rsidP="00511595">
            <w:pPr>
              <w:widowControl/>
              <w:suppressAutoHyphens/>
              <w:adjustRightInd w:val="0"/>
              <w:spacing w:after="113" w:line="220" w:lineRule="atLeast"/>
              <w:textAlignment w:val="center"/>
              <w:rPr>
                <w:rFonts w:eastAsiaTheme="minorHAnsi"/>
                <w:sz w:val="20"/>
                <w:szCs w:val="20"/>
                <w:lang w:eastAsia="en-US" w:bidi="ar-SA"/>
              </w:rPr>
            </w:pPr>
            <w:r w:rsidRPr="00511595">
              <w:rPr>
                <w:rFonts w:eastAsiaTheme="minorHAnsi"/>
                <w:sz w:val="20"/>
                <w:szCs w:val="20"/>
                <w:lang w:eastAsia="en-US" w:bidi="ar-SA"/>
              </w:rPr>
              <w:t>Accessible Action</w:t>
            </w:r>
          </w:p>
        </w:tc>
        <w:tc>
          <w:tcPr>
            <w:tcW w:w="1701" w:type="dxa"/>
          </w:tcPr>
          <w:p w:rsidR="00511595" w:rsidRPr="00511595" w:rsidRDefault="00511595" w:rsidP="00511595">
            <w:pPr>
              <w:widowControl/>
              <w:suppressAutoHyphens/>
              <w:adjustRightInd w:val="0"/>
              <w:spacing w:after="113" w:line="220" w:lineRule="atLeast"/>
              <w:textAlignment w:val="center"/>
              <w:rPr>
                <w:rFonts w:eastAsiaTheme="minorHAnsi"/>
                <w:sz w:val="20"/>
                <w:szCs w:val="20"/>
                <w:lang w:eastAsia="en-US" w:bidi="ar-SA"/>
              </w:rPr>
            </w:pPr>
            <w:r w:rsidRPr="00511595">
              <w:rPr>
                <w:rFonts w:eastAsiaTheme="minorHAnsi"/>
                <w:sz w:val="20"/>
                <w:szCs w:val="20"/>
                <w:lang w:eastAsia="en-US" w:bidi="ar-SA"/>
              </w:rPr>
              <w:t xml:space="preserve">Provide specialist advice to the VPSC and disability employment </w:t>
            </w:r>
          </w:p>
        </w:tc>
        <w:tc>
          <w:tcPr>
            <w:tcW w:w="1276"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03/9/2018</w:t>
            </w:r>
          </w:p>
        </w:tc>
        <w:tc>
          <w:tcPr>
            <w:tcW w:w="1276"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30/8/2019</w:t>
            </w:r>
          </w:p>
        </w:tc>
        <w:tc>
          <w:tcPr>
            <w:tcW w:w="1417"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$33,636</w:t>
            </w:r>
          </w:p>
        </w:tc>
        <w:tc>
          <w:tcPr>
            <w:tcW w:w="1418"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$28,363</w:t>
            </w:r>
          </w:p>
        </w:tc>
        <w:tc>
          <w:tcPr>
            <w:tcW w:w="1559"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$5,273</w:t>
            </w:r>
          </w:p>
        </w:tc>
      </w:tr>
      <w:tr w:rsidR="00511595" w:rsidRPr="00511595" w:rsidTr="00511595">
        <w:trPr>
          <w:trHeight w:val="60"/>
        </w:trPr>
        <w:tc>
          <w:tcPr>
            <w:tcW w:w="1561" w:type="dxa"/>
          </w:tcPr>
          <w:p w:rsidR="00511595" w:rsidRPr="00511595" w:rsidRDefault="00511595" w:rsidP="00511595">
            <w:pPr>
              <w:widowControl/>
              <w:suppressAutoHyphens/>
              <w:adjustRightInd w:val="0"/>
              <w:spacing w:after="113" w:line="220" w:lineRule="atLeast"/>
              <w:textAlignment w:val="center"/>
              <w:rPr>
                <w:rFonts w:eastAsiaTheme="minorHAnsi"/>
                <w:sz w:val="20"/>
                <w:szCs w:val="20"/>
                <w:lang w:eastAsia="en-US" w:bidi="ar-SA"/>
              </w:rPr>
            </w:pPr>
            <w:r w:rsidRPr="00511595">
              <w:rPr>
                <w:rFonts w:eastAsiaTheme="minorHAnsi"/>
                <w:sz w:val="20"/>
                <w:szCs w:val="20"/>
                <w:lang w:eastAsia="en-US" w:bidi="ar-SA"/>
              </w:rPr>
              <w:t>Bridging Policy &amp; Practice</w:t>
            </w:r>
          </w:p>
        </w:tc>
        <w:tc>
          <w:tcPr>
            <w:tcW w:w="1701" w:type="dxa"/>
          </w:tcPr>
          <w:p w:rsidR="00511595" w:rsidRPr="00511595" w:rsidRDefault="00511595" w:rsidP="00511595">
            <w:pPr>
              <w:widowControl/>
              <w:suppressAutoHyphens/>
              <w:adjustRightInd w:val="0"/>
              <w:spacing w:after="113" w:line="220" w:lineRule="atLeast"/>
              <w:textAlignment w:val="center"/>
              <w:rPr>
                <w:rFonts w:eastAsiaTheme="minorHAnsi"/>
                <w:sz w:val="20"/>
                <w:szCs w:val="20"/>
                <w:lang w:eastAsia="en-US" w:bidi="ar-SA"/>
              </w:rPr>
            </w:pPr>
            <w:r w:rsidRPr="00511595">
              <w:rPr>
                <w:rFonts w:eastAsiaTheme="minorHAnsi"/>
                <w:sz w:val="20"/>
                <w:szCs w:val="20"/>
                <w:lang w:eastAsia="en-US" w:bidi="ar-SA"/>
              </w:rPr>
              <w:t>Professional services</w:t>
            </w:r>
          </w:p>
        </w:tc>
        <w:tc>
          <w:tcPr>
            <w:tcW w:w="1276"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10/3/2019</w:t>
            </w:r>
          </w:p>
        </w:tc>
        <w:tc>
          <w:tcPr>
            <w:tcW w:w="1276"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25/06/2019</w:t>
            </w:r>
          </w:p>
        </w:tc>
        <w:tc>
          <w:tcPr>
            <w:tcW w:w="1417"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$21,000</w:t>
            </w:r>
          </w:p>
        </w:tc>
        <w:tc>
          <w:tcPr>
            <w:tcW w:w="1418"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$21,000</w:t>
            </w:r>
          </w:p>
        </w:tc>
        <w:tc>
          <w:tcPr>
            <w:tcW w:w="1559"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$0.00</w:t>
            </w:r>
          </w:p>
        </w:tc>
      </w:tr>
      <w:tr w:rsidR="00511595" w:rsidRPr="00511595" w:rsidTr="00511595">
        <w:trPr>
          <w:trHeight w:val="60"/>
        </w:trPr>
        <w:tc>
          <w:tcPr>
            <w:tcW w:w="1561" w:type="dxa"/>
          </w:tcPr>
          <w:p w:rsidR="00511595" w:rsidRPr="00511595" w:rsidRDefault="00511595" w:rsidP="00511595">
            <w:pPr>
              <w:widowControl/>
              <w:suppressAutoHyphens/>
              <w:adjustRightInd w:val="0"/>
              <w:spacing w:after="113" w:line="220" w:lineRule="atLeast"/>
              <w:textAlignment w:val="center"/>
              <w:rPr>
                <w:rFonts w:eastAsiaTheme="minorHAnsi"/>
                <w:sz w:val="20"/>
                <w:szCs w:val="20"/>
                <w:lang w:eastAsia="en-US" w:bidi="ar-SA"/>
              </w:rPr>
            </w:pPr>
            <w:proofErr w:type="spellStart"/>
            <w:r w:rsidRPr="00511595">
              <w:rPr>
                <w:rFonts w:eastAsiaTheme="minorHAnsi"/>
                <w:sz w:val="20"/>
                <w:szCs w:val="20"/>
                <w:lang w:eastAsia="en-US" w:bidi="ar-SA"/>
              </w:rPr>
              <w:t>McGrathNicol</w:t>
            </w:r>
            <w:proofErr w:type="spellEnd"/>
          </w:p>
        </w:tc>
        <w:tc>
          <w:tcPr>
            <w:tcW w:w="1701" w:type="dxa"/>
          </w:tcPr>
          <w:p w:rsidR="00511595" w:rsidRPr="00511595" w:rsidRDefault="00511595" w:rsidP="00511595">
            <w:pPr>
              <w:widowControl/>
              <w:suppressAutoHyphens/>
              <w:adjustRightInd w:val="0"/>
              <w:spacing w:after="113" w:line="220" w:lineRule="atLeast"/>
              <w:textAlignment w:val="center"/>
              <w:rPr>
                <w:rFonts w:eastAsiaTheme="minorHAnsi"/>
                <w:sz w:val="20"/>
                <w:szCs w:val="20"/>
                <w:lang w:eastAsia="en-US" w:bidi="ar-SA"/>
              </w:rPr>
            </w:pPr>
            <w:r w:rsidRPr="00511595">
              <w:rPr>
                <w:rFonts w:eastAsiaTheme="minorHAnsi"/>
                <w:sz w:val="20"/>
                <w:szCs w:val="20"/>
                <w:lang w:eastAsia="en-US" w:bidi="ar-SA"/>
              </w:rPr>
              <w:t>Forensic investigation services</w:t>
            </w:r>
          </w:p>
        </w:tc>
        <w:tc>
          <w:tcPr>
            <w:tcW w:w="1276"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21/8/2018</w:t>
            </w:r>
          </w:p>
        </w:tc>
        <w:tc>
          <w:tcPr>
            <w:tcW w:w="1276"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1/11/2018</w:t>
            </w:r>
          </w:p>
        </w:tc>
        <w:tc>
          <w:tcPr>
            <w:tcW w:w="1417"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$174,764.50</w:t>
            </w:r>
          </w:p>
        </w:tc>
        <w:tc>
          <w:tcPr>
            <w:tcW w:w="1418"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$174,764.50</w:t>
            </w:r>
          </w:p>
        </w:tc>
        <w:tc>
          <w:tcPr>
            <w:tcW w:w="1559"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$0.00</w:t>
            </w:r>
          </w:p>
        </w:tc>
      </w:tr>
      <w:tr w:rsidR="00511595" w:rsidRPr="00511595" w:rsidTr="00511595">
        <w:trPr>
          <w:trHeight w:val="60"/>
        </w:trPr>
        <w:tc>
          <w:tcPr>
            <w:tcW w:w="1561" w:type="dxa"/>
          </w:tcPr>
          <w:p w:rsidR="00511595" w:rsidRPr="00511595" w:rsidRDefault="00511595" w:rsidP="00511595">
            <w:pPr>
              <w:widowControl/>
              <w:suppressAutoHyphens/>
              <w:adjustRightInd w:val="0"/>
              <w:spacing w:after="113" w:line="220" w:lineRule="atLeast"/>
              <w:textAlignment w:val="center"/>
              <w:rPr>
                <w:rFonts w:eastAsiaTheme="minorHAnsi"/>
                <w:sz w:val="20"/>
                <w:szCs w:val="20"/>
                <w:lang w:eastAsia="en-US" w:bidi="ar-SA"/>
              </w:rPr>
            </w:pPr>
            <w:proofErr w:type="spellStart"/>
            <w:r w:rsidRPr="00511595">
              <w:rPr>
                <w:rFonts w:eastAsiaTheme="minorHAnsi"/>
                <w:sz w:val="20"/>
                <w:szCs w:val="20"/>
                <w:lang w:eastAsia="en-US" w:bidi="ar-SA"/>
              </w:rPr>
              <w:t>NCEconomics</w:t>
            </w:r>
            <w:proofErr w:type="spellEnd"/>
          </w:p>
        </w:tc>
        <w:tc>
          <w:tcPr>
            <w:tcW w:w="1701" w:type="dxa"/>
          </w:tcPr>
          <w:p w:rsidR="00511595" w:rsidRPr="00511595" w:rsidRDefault="00511595" w:rsidP="00511595">
            <w:pPr>
              <w:widowControl/>
              <w:suppressAutoHyphens/>
              <w:adjustRightInd w:val="0"/>
              <w:spacing w:after="113" w:line="220" w:lineRule="atLeast"/>
              <w:textAlignment w:val="center"/>
              <w:rPr>
                <w:rFonts w:eastAsiaTheme="minorHAnsi"/>
                <w:sz w:val="20"/>
                <w:szCs w:val="20"/>
                <w:lang w:eastAsia="en-US" w:bidi="ar-SA"/>
              </w:rPr>
            </w:pPr>
            <w:r w:rsidRPr="00511595">
              <w:rPr>
                <w:rFonts w:eastAsiaTheme="minorHAnsi"/>
                <w:sz w:val="20"/>
                <w:szCs w:val="20"/>
                <w:lang w:eastAsia="en-US" w:bidi="ar-SA"/>
              </w:rPr>
              <w:t>Professional services</w:t>
            </w:r>
          </w:p>
        </w:tc>
        <w:tc>
          <w:tcPr>
            <w:tcW w:w="1276"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1/05/2018</w:t>
            </w:r>
          </w:p>
        </w:tc>
        <w:tc>
          <w:tcPr>
            <w:tcW w:w="1276"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31/7/2018</w:t>
            </w:r>
          </w:p>
        </w:tc>
        <w:tc>
          <w:tcPr>
            <w:tcW w:w="1417"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$17,881</w:t>
            </w:r>
          </w:p>
        </w:tc>
        <w:tc>
          <w:tcPr>
            <w:tcW w:w="1418"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$17,881</w:t>
            </w:r>
          </w:p>
        </w:tc>
        <w:tc>
          <w:tcPr>
            <w:tcW w:w="1559"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$0.00</w:t>
            </w:r>
          </w:p>
        </w:tc>
      </w:tr>
      <w:tr w:rsidR="00511595" w:rsidRPr="00511595" w:rsidTr="00511595">
        <w:trPr>
          <w:trHeight w:val="60"/>
        </w:trPr>
        <w:tc>
          <w:tcPr>
            <w:tcW w:w="1561" w:type="dxa"/>
          </w:tcPr>
          <w:p w:rsidR="00511595" w:rsidRPr="00511595" w:rsidRDefault="00511595" w:rsidP="00511595">
            <w:pPr>
              <w:widowControl/>
              <w:suppressAutoHyphens/>
              <w:adjustRightInd w:val="0"/>
              <w:spacing w:after="113" w:line="220" w:lineRule="atLeast"/>
              <w:textAlignment w:val="center"/>
              <w:rPr>
                <w:rFonts w:eastAsiaTheme="minorHAnsi"/>
                <w:sz w:val="20"/>
                <w:szCs w:val="20"/>
                <w:lang w:eastAsia="en-US" w:bidi="ar-SA"/>
              </w:rPr>
            </w:pPr>
            <w:r w:rsidRPr="00511595">
              <w:rPr>
                <w:rFonts w:eastAsiaTheme="minorHAnsi"/>
                <w:sz w:val="20"/>
                <w:szCs w:val="20"/>
                <w:lang w:eastAsia="en-US" w:bidi="ar-SA"/>
              </w:rPr>
              <w:t>Think Impact Pty Ltd</w:t>
            </w:r>
          </w:p>
        </w:tc>
        <w:tc>
          <w:tcPr>
            <w:tcW w:w="1701" w:type="dxa"/>
          </w:tcPr>
          <w:p w:rsidR="00511595" w:rsidRPr="00511595" w:rsidRDefault="00511595" w:rsidP="00511595">
            <w:pPr>
              <w:widowControl/>
              <w:suppressAutoHyphens/>
              <w:adjustRightInd w:val="0"/>
              <w:spacing w:after="113" w:line="220" w:lineRule="atLeast"/>
              <w:textAlignment w:val="center"/>
              <w:rPr>
                <w:rFonts w:eastAsiaTheme="minorHAnsi"/>
                <w:sz w:val="20"/>
                <w:szCs w:val="20"/>
                <w:lang w:eastAsia="en-US" w:bidi="ar-SA"/>
              </w:rPr>
            </w:pPr>
            <w:r w:rsidRPr="00511595">
              <w:rPr>
                <w:rFonts w:eastAsiaTheme="minorHAnsi"/>
                <w:sz w:val="20"/>
                <w:szCs w:val="20"/>
                <w:lang w:eastAsia="en-US" w:bidi="ar-SA"/>
              </w:rPr>
              <w:t>Specialist advice in relation to VPSC Executive Leadership Development Programs.</w:t>
            </w:r>
          </w:p>
        </w:tc>
        <w:tc>
          <w:tcPr>
            <w:tcW w:w="1276"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6/6/2019</w:t>
            </w:r>
          </w:p>
        </w:tc>
        <w:tc>
          <w:tcPr>
            <w:tcW w:w="1276"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30/6/2020</w:t>
            </w:r>
          </w:p>
        </w:tc>
        <w:tc>
          <w:tcPr>
            <w:tcW w:w="1417"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$100,000</w:t>
            </w:r>
          </w:p>
        </w:tc>
        <w:tc>
          <w:tcPr>
            <w:tcW w:w="1418"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$0.00</w:t>
            </w:r>
          </w:p>
        </w:tc>
        <w:tc>
          <w:tcPr>
            <w:tcW w:w="1559" w:type="dxa"/>
          </w:tcPr>
          <w:p w:rsidR="00511595" w:rsidRPr="00511595" w:rsidRDefault="00511595" w:rsidP="002434CF">
            <w:pPr>
              <w:widowControl/>
              <w:suppressAutoHyphens/>
              <w:adjustRightInd w:val="0"/>
              <w:spacing w:after="113" w:line="220" w:lineRule="atLeast"/>
              <w:jc w:val="center"/>
              <w:textAlignment w:val="center"/>
              <w:rPr>
                <w:rFonts w:eastAsiaTheme="minorHAnsi"/>
                <w:sz w:val="20"/>
                <w:szCs w:val="20"/>
                <w:lang w:eastAsia="en-US" w:bidi="ar-SA"/>
              </w:rPr>
            </w:pPr>
            <w:r w:rsidRPr="00511595">
              <w:rPr>
                <w:rFonts w:eastAsiaTheme="minorHAnsi"/>
                <w:sz w:val="20"/>
                <w:szCs w:val="20"/>
                <w:lang w:eastAsia="en-US" w:bidi="ar-SA"/>
              </w:rPr>
              <w:t>$100,000</w:t>
            </w:r>
          </w:p>
        </w:tc>
      </w:tr>
    </w:tbl>
    <w:p w:rsidR="00650369" w:rsidRPr="00650369" w:rsidRDefault="00650369" w:rsidP="00511595">
      <w:pPr>
        <w:rPr>
          <w:lang w:eastAsia="en-US" w:bidi="ar-SA"/>
        </w:rPr>
      </w:pPr>
    </w:p>
    <w:p w:rsidR="00650369" w:rsidRDefault="00650369" w:rsidP="00511595">
      <w:pPr>
        <w:pStyle w:val="Heading3"/>
        <w:rPr>
          <w:lang w:eastAsia="en-US" w:bidi="ar-SA"/>
        </w:rPr>
      </w:pPr>
      <w:r w:rsidRPr="00650369">
        <w:rPr>
          <w:lang w:eastAsia="en-US" w:bidi="ar-SA"/>
        </w:rPr>
        <w:t>Details of consultancies under $10,000</w:t>
      </w:r>
    </w:p>
    <w:p w:rsidR="00511595" w:rsidRPr="00650369" w:rsidRDefault="00511595" w:rsidP="00511595">
      <w:pPr>
        <w:rPr>
          <w:lang w:eastAsia="en-US" w:bidi="ar-SA"/>
        </w:rPr>
      </w:pPr>
    </w:p>
    <w:p w:rsidR="00650369" w:rsidRDefault="00650369" w:rsidP="00CB2FA0">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650369">
        <w:rPr>
          <w:rFonts w:eastAsiaTheme="minorHAnsi"/>
          <w:color w:val="000000"/>
          <w:sz w:val="20"/>
          <w:szCs w:val="20"/>
          <w:lang w:eastAsia="en-US" w:bidi="ar-SA"/>
        </w:rPr>
        <w:t>In 2018-19, there were four consultancies engaged during the year, where the total fees payable to the individual consultancies was less than $10 000. The total expenditure incurred during 2018-19 in relation to these consultancies was $17 200 (excl. GST).</w:t>
      </w:r>
    </w:p>
    <w:p w:rsidR="00CB2FA0" w:rsidRPr="00305051" w:rsidRDefault="00CB2FA0" w:rsidP="00CB2FA0">
      <w:pPr>
        <w:widowControl/>
        <w:suppressAutoHyphens/>
        <w:adjustRightInd w:val="0"/>
        <w:spacing w:after="113" w:line="220" w:lineRule="atLeast"/>
        <w:ind w:left="709" w:right="995"/>
        <w:textAlignment w:val="center"/>
        <w:rPr>
          <w:rFonts w:eastAsiaTheme="minorHAnsi"/>
          <w:color w:val="000000"/>
          <w:sz w:val="20"/>
          <w:szCs w:val="20"/>
          <w:lang w:eastAsia="en-US" w:bidi="ar-SA"/>
        </w:rPr>
      </w:pPr>
    </w:p>
    <w:p w:rsidR="00CB2FA0" w:rsidRDefault="00CB2FA0" w:rsidP="00305051">
      <w:pPr>
        <w:pStyle w:val="Heading3"/>
        <w:rPr>
          <w:lang w:eastAsia="en-US" w:bidi="ar-SA"/>
        </w:rPr>
      </w:pPr>
      <w:r w:rsidRPr="00CB2FA0">
        <w:rPr>
          <w:lang w:eastAsia="en-US" w:bidi="ar-SA"/>
        </w:rPr>
        <w:lastRenderedPageBreak/>
        <w:t>Disclosure of government advertising expenditure</w:t>
      </w:r>
    </w:p>
    <w:p w:rsidR="00305051" w:rsidRPr="00CB2FA0" w:rsidRDefault="00305051" w:rsidP="00305051">
      <w:pPr>
        <w:rPr>
          <w:lang w:eastAsia="en-US" w:bidi="ar-SA"/>
        </w:rPr>
      </w:pPr>
    </w:p>
    <w:p w:rsidR="00CB2FA0" w:rsidRDefault="00CB2FA0" w:rsidP="00305051">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In 2018-19, the VPSC had no government advertising campaigns.</w:t>
      </w:r>
    </w:p>
    <w:p w:rsidR="00305051" w:rsidRPr="00CB2FA0" w:rsidRDefault="00305051" w:rsidP="00305051">
      <w:pPr>
        <w:rPr>
          <w:lang w:eastAsia="en-US" w:bidi="ar-SA"/>
        </w:rPr>
      </w:pPr>
    </w:p>
    <w:p w:rsidR="00CB2FA0" w:rsidRDefault="00CB2FA0" w:rsidP="00305051">
      <w:pPr>
        <w:pStyle w:val="Heading3"/>
        <w:rPr>
          <w:lang w:eastAsia="en-US" w:bidi="ar-SA"/>
        </w:rPr>
      </w:pPr>
      <w:r w:rsidRPr="00CB2FA0">
        <w:rPr>
          <w:lang w:eastAsia="en-US" w:bidi="ar-SA"/>
        </w:rPr>
        <w:t>Digital Office Upgrade</w:t>
      </w:r>
    </w:p>
    <w:p w:rsidR="00305051" w:rsidRPr="00CB2FA0" w:rsidRDefault="00305051" w:rsidP="00305051">
      <w:pPr>
        <w:rPr>
          <w:lang w:eastAsia="en-US" w:bidi="ar-SA"/>
        </w:rPr>
      </w:pPr>
    </w:p>
    <w:p w:rsidR="00CB2FA0" w:rsidRPr="00CB2FA0" w:rsidRDefault="00CB2FA0" w:rsidP="00305051">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Over the last financial year, the VPSC invested in and introduced technology to promote flexible work</w:t>
      </w:r>
      <w:r w:rsidRPr="00CB2FA0">
        <w:rPr>
          <w:rFonts w:eastAsiaTheme="minorHAnsi"/>
          <w:color w:val="000000"/>
          <w:sz w:val="20"/>
          <w:szCs w:val="20"/>
          <w:lang w:eastAsia="en-US" w:bidi="ar-SA"/>
        </w:rPr>
        <w:br/>
        <w:t>and mobility while enhancing our capability to collaborate across the Commission.</w:t>
      </w:r>
    </w:p>
    <w:p w:rsidR="00CB2FA0" w:rsidRPr="00CB2FA0" w:rsidRDefault="00CB2FA0" w:rsidP="00305051">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After a successful testing period, all staff were provided with Microsoft Surface Pro laptops and transitioned to Office 365.</w:t>
      </w:r>
    </w:p>
    <w:p w:rsidR="00CB2FA0" w:rsidRPr="00CB2FA0" w:rsidRDefault="00CB2FA0" w:rsidP="00305051">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The VPSC also made the transition to Voice over Internet Protocol (VoIP) from our previous telephony system to reduce costs and remove disruptions caused by office or desk moves.</w:t>
      </w:r>
    </w:p>
    <w:p w:rsidR="00CB2FA0" w:rsidRDefault="00CB2FA0" w:rsidP="00305051">
      <w:pPr>
        <w:widowControl/>
        <w:suppressAutoHyphens/>
        <w:adjustRightInd w:val="0"/>
        <w:spacing w:after="113" w:line="220" w:lineRule="atLeast"/>
        <w:ind w:left="709" w:right="995"/>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In light of the 2017 People Matter Survey results and subsequent staff consultations all built-in desks have been replaced with sit/stand models to address health concerns from sitting for long periods of time while utilising the space within our current building to its optimum capacity.</w:t>
      </w:r>
    </w:p>
    <w:p w:rsidR="00305051" w:rsidRPr="00CB2FA0" w:rsidRDefault="00305051" w:rsidP="00305051">
      <w:pPr>
        <w:rPr>
          <w:lang w:eastAsia="en-US" w:bidi="ar-SA"/>
        </w:rPr>
      </w:pPr>
    </w:p>
    <w:p w:rsidR="00CB2FA0" w:rsidRDefault="00CB2FA0" w:rsidP="00305051">
      <w:pPr>
        <w:pStyle w:val="Heading3"/>
        <w:rPr>
          <w:lang w:eastAsia="en-US" w:bidi="ar-SA"/>
        </w:rPr>
      </w:pPr>
      <w:r w:rsidRPr="00CB2FA0">
        <w:rPr>
          <w:lang w:eastAsia="en-US" w:bidi="ar-SA"/>
        </w:rPr>
        <w:t>Information and Communication Technology Expenditure</w:t>
      </w:r>
    </w:p>
    <w:p w:rsidR="00305051" w:rsidRPr="00CB2FA0" w:rsidRDefault="00305051" w:rsidP="00305051">
      <w:pPr>
        <w:rPr>
          <w:lang w:eastAsia="en-US" w:bidi="ar-SA"/>
        </w:rPr>
      </w:pPr>
    </w:p>
    <w:tbl>
      <w:tblPr>
        <w:tblStyle w:val="TableGrid"/>
        <w:tblW w:w="0" w:type="auto"/>
        <w:tblInd w:w="729" w:type="dxa"/>
        <w:tblLayout w:type="fixed"/>
        <w:tblLook w:val="0000" w:firstRow="0" w:lastRow="0" w:firstColumn="0" w:lastColumn="0" w:noHBand="0" w:noVBand="0"/>
      </w:tblPr>
      <w:tblGrid>
        <w:gridCol w:w="1534"/>
        <w:gridCol w:w="2410"/>
        <w:gridCol w:w="3260"/>
        <w:gridCol w:w="1418"/>
        <w:gridCol w:w="1417"/>
      </w:tblGrid>
      <w:tr w:rsidR="00305051" w:rsidRPr="00305051" w:rsidTr="00305051">
        <w:trPr>
          <w:trHeight w:val="60"/>
        </w:trPr>
        <w:tc>
          <w:tcPr>
            <w:tcW w:w="1534" w:type="dxa"/>
          </w:tcPr>
          <w:p w:rsidR="00CB2FA0" w:rsidRPr="00CB2FA0" w:rsidRDefault="00CB2FA0" w:rsidP="00CB2FA0">
            <w:pPr>
              <w:widowControl/>
              <w:adjustRightInd w:val="0"/>
              <w:rPr>
                <w:rFonts w:eastAsiaTheme="minorHAnsi"/>
                <w:sz w:val="20"/>
                <w:szCs w:val="20"/>
                <w:lang w:eastAsia="en-US" w:bidi="ar-SA"/>
              </w:rPr>
            </w:pPr>
          </w:p>
        </w:tc>
        <w:tc>
          <w:tcPr>
            <w:tcW w:w="2410" w:type="dxa"/>
          </w:tcPr>
          <w:p w:rsidR="00CB2FA0" w:rsidRPr="00CB2FA0" w:rsidRDefault="00CB2FA0" w:rsidP="00305051">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305051">
              <w:rPr>
                <w:rFonts w:eastAsiaTheme="minorHAnsi"/>
                <w:b/>
                <w:bCs/>
                <w:sz w:val="20"/>
                <w:szCs w:val="20"/>
                <w:lang w:eastAsia="en-US" w:bidi="ar-SA"/>
                <w14:textOutline w14:w="9525" w14:cap="flat" w14:cmpd="sng" w14:algn="ctr">
                  <w14:noFill/>
                  <w14:prstDash w14:val="solid"/>
                  <w14:round/>
                </w14:textOutline>
              </w:rPr>
              <w:t>All operational ICT expenditure Business as Usual (BAU) ICT expenditure (Total)</w:t>
            </w:r>
          </w:p>
        </w:tc>
        <w:tc>
          <w:tcPr>
            <w:tcW w:w="3260" w:type="dxa"/>
          </w:tcPr>
          <w:p w:rsidR="00CB2FA0" w:rsidRPr="00CB2FA0" w:rsidRDefault="00CB2FA0" w:rsidP="00305051">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305051">
              <w:rPr>
                <w:rFonts w:eastAsiaTheme="minorHAnsi"/>
                <w:b/>
                <w:bCs/>
                <w:sz w:val="20"/>
                <w:szCs w:val="20"/>
                <w:lang w:eastAsia="en-US" w:bidi="ar-SA"/>
                <w14:textOutline w14:w="9525" w14:cap="flat" w14:cmpd="sng" w14:algn="ctr">
                  <w14:noFill/>
                  <w14:prstDash w14:val="solid"/>
                  <w14:round/>
                </w14:textOutline>
              </w:rPr>
              <w:t>ICT expenditure related to projects to create or enhance ICT capabilities Non-Business as Usual (non-BAU) (Total = Operational expenditure and capital expenditure)</w:t>
            </w:r>
          </w:p>
        </w:tc>
        <w:tc>
          <w:tcPr>
            <w:tcW w:w="1418" w:type="dxa"/>
          </w:tcPr>
          <w:p w:rsidR="00CB2FA0" w:rsidRPr="00CB2FA0" w:rsidRDefault="00CB2FA0" w:rsidP="00305051">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305051">
              <w:rPr>
                <w:rFonts w:eastAsiaTheme="minorHAnsi"/>
                <w:b/>
                <w:bCs/>
                <w:sz w:val="20"/>
                <w:szCs w:val="20"/>
                <w:lang w:eastAsia="en-US" w:bidi="ar-SA"/>
                <w14:textOutline w14:w="9525" w14:cap="flat" w14:cmpd="sng" w14:algn="ctr">
                  <w14:noFill/>
                  <w14:prstDash w14:val="solid"/>
                  <w14:round/>
                </w14:textOutline>
              </w:rPr>
              <w:t>Operational Expenditure</w:t>
            </w:r>
          </w:p>
        </w:tc>
        <w:tc>
          <w:tcPr>
            <w:tcW w:w="1417" w:type="dxa"/>
          </w:tcPr>
          <w:p w:rsidR="00CB2FA0" w:rsidRPr="00CB2FA0" w:rsidRDefault="00CB2FA0" w:rsidP="00305051">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305051">
              <w:rPr>
                <w:rFonts w:eastAsiaTheme="minorHAnsi"/>
                <w:b/>
                <w:bCs/>
                <w:spacing w:val="-2"/>
                <w:sz w:val="20"/>
                <w:szCs w:val="20"/>
                <w:lang w:eastAsia="en-US" w:bidi="ar-SA"/>
                <w14:textOutline w14:w="9525" w14:cap="flat" w14:cmpd="sng" w14:algn="ctr">
                  <w14:noFill/>
                  <w14:prstDash w14:val="solid"/>
                  <w14:round/>
                </w14:textOutline>
              </w:rPr>
              <w:t>Capital Expenditure</w:t>
            </w:r>
          </w:p>
        </w:tc>
      </w:tr>
      <w:tr w:rsidR="00305051" w:rsidRPr="00305051" w:rsidTr="00305051">
        <w:trPr>
          <w:trHeight w:val="288"/>
        </w:trPr>
        <w:tc>
          <w:tcPr>
            <w:tcW w:w="1534"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Appropriation Account</w:t>
            </w:r>
          </w:p>
        </w:tc>
        <w:tc>
          <w:tcPr>
            <w:tcW w:w="2410"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$727,522</w:t>
            </w:r>
          </w:p>
        </w:tc>
        <w:tc>
          <w:tcPr>
            <w:tcW w:w="3260"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$542,336</w:t>
            </w:r>
          </w:p>
        </w:tc>
        <w:tc>
          <w:tcPr>
            <w:tcW w:w="1418"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w:t>
            </w:r>
          </w:p>
        </w:tc>
        <w:tc>
          <w:tcPr>
            <w:tcW w:w="1417"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$542,336</w:t>
            </w:r>
          </w:p>
        </w:tc>
      </w:tr>
      <w:tr w:rsidR="00305051" w:rsidRPr="00305051" w:rsidTr="00305051">
        <w:trPr>
          <w:trHeight w:val="60"/>
        </w:trPr>
        <w:tc>
          <w:tcPr>
            <w:tcW w:w="1534"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Trust Account</w:t>
            </w:r>
          </w:p>
        </w:tc>
        <w:tc>
          <w:tcPr>
            <w:tcW w:w="2410"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$927,266</w:t>
            </w:r>
          </w:p>
        </w:tc>
        <w:tc>
          <w:tcPr>
            <w:tcW w:w="3260"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$27,640</w:t>
            </w:r>
          </w:p>
        </w:tc>
        <w:tc>
          <w:tcPr>
            <w:tcW w:w="1418"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w:t>
            </w:r>
          </w:p>
        </w:tc>
        <w:tc>
          <w:tcPr>
            <w:tcW w:w="1417"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$27,640</w:t>
            </w:r>
          </w:p>
        </w:tc>
      </w:tr>
    </w:tbl>
    <w:p w:rsidR="00CB2FA0" w:rsidRPr="00CB2FA0" w:rsidRDefault="00CB2FA0" w:rsidP="00305051">
      <w:pPr>
        <w:rPr>
          <w:lang w:eastAsia="en-US" w:bidi="ar-SA"/>
        </w:rPr>
      </w:pPr>
    </w:p>
    <w:p w:rsidR="00305051"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The ICT expenditure reflected in the above table refers to the VPSC’s costs in providing business enabling ICT services within the current reporting period.</w:t>
      </w: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305051" w:rsidRDefault="00305051" w:rsidP="00305051">
      <w:pPr>
        <w:rPr>
          <w:lang w:eastAsia="en-US" w:bidi="ar-SA"/>
        </w:rPr>
      </w:pPr>
    </w:p>
    <w:p w:rsidR="00CB2FA0" w:rsidRPr="00CB2FA0" w:rsidRDefault="00CB2FA0" w:rsidP="00305051">
      <w:pPr>
        <w:pStyle w:val="Heading2"/>
        <w:rPr>
          <w:lang w:eastAsia="en-US" w:bidi="ar-SA"/>
        </w:rPr>
      </w:pPr>
      <w:bookmarkStart w:id="31" w:name="_Toc23329731"/>
      <w:r w:rsidRPr="00CB2FA0">
        <w:rPr>
          <w:lang w:eastAsia="en-US" w:bidi="ar-SA"/>
        </w:rPr>
        <w:lastRenderedPageBreak/>
        <w:t>Environmental Reporting</w:t>
      </w:r>
      <w:bookmarkEnd w:id="31"/>
    </w:p>
    <w:p w:rsidR="00305051" w:rsidRDefault="00305051" w:rsidP="00305051">
      <w:pPr>
        <w:rPr>
          <w:lang w:eastAsia="en-US" w:bidi="ar-SA"/>
        </w:rPr>
      </w:pPr>
    </w:p>
    <w:p w:rsid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The environmental report has been prepared in accordance with the Financial Reporting Directions (FRD) issued by the Minister for Finance. Office-based environmental impact data is based on information provided by JLL.</w:t>
      </w:r>
    </w:p>
    <w:p w:rsidR="00305051" w:rsidRPr="00CB2FA0" w:rsidRDefault="00305051" w:rsidP="00305051">
      <w:pPr>
        <w:rPr>
          <w:lang w:eastAsia="en-US" w:bidi="ar-SA"/>
        </w:rPr>
      </w:pPr>
    </w:p>
    <w:tbl>
      <w:tblPr>
        <w:tblStyle w:val="TableGrid"/>
        <w:tblW w:w="0" w:type="auto"/>
        <w:tblInd w:w="756" w:type="dxa"/>
        <w:tblLayout w:type="fixed"/>
        <w:tblLook w:val="0000" w:firstRow="0" w:lastRow="0" w:firstColumn="0" w:lastColumn="0" w:noHBand="0" w:noVBand="0"/>
      </w:tblPr>
      <w:tblGrid>
        <w:gridCol w:w="7603"/>
        <w:gridCol w:w="1134"/>
        <w:gridCol w:w="1134"/>
      </w:tblGrid>
      <w:tr w:rsidR="00305051" w:rsidRPr="00CB2FA0" w:rsidTr="00305051">
        <w:trPr>
          <w:trHeight w:val="355"/>
        </w:trPr>
        <w:tc>
          <w:tcPr>
            <w:tcW w:w="7603" w:type="dxa"/>
          </w:tcPr>
          <w:p w:rsidR="00CB2FA0" w:rsidRPr="00CB2FA0" w:rsidRDefault="00CB2FA0" w:rsidP="00CB2FA0">
            <w:pPr>
              <w:widowControl/>
              <w:adjustRightInd w:val="0"/>
              <w:rPr>
                <w:rFonts w:eastAsiaTheme="minorHAnsi"/>
                <w:sz w:val="20"/>
                <w:szCs w:val="20"/>
                <w:lang w:eastAsia="en-US" w:bidi="ar-SA"/>
              </w:rPr>
            </w:pPr>
          </w:p>
        </w:tc>
        <w:tc>
          <w:tcPr>
            <w:tcW w:w="1134" w:type="dxa"/>
          </w:tcPr>
          <w:p w:rsidR="00CB2FA0" w:rsidRPr="00CB2FA0" w:rsidRDefault="00CB2FA0" w:rsidP="00CB2FA0">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CB2FA0">
              <w:rPr>
                <w:rFonts w:eastAsiaTheme="minorHAnsi"/>
                <w:b/>
                <w:bCs/>
                <w:sz w:val="20"/>
                <w:szCs w:val="20"/>
                <w:lang w:eastAsia="en-US" w:bidi="ar-SA"/>
              </w:rPr>
              <w:t>2018–19</w:t>
            </w:r>
          </w:p>
        </w:tc>
        <w:tc>
          <w:tcPr>
            <w:tcW w:w="1134" w:type="dxa"/>
          </w:tcPr>
          <w:p w:rsidR="00CB2FA0" w:rsidRPr="00CB2FA0" w:rsidRDefault="00CB2FA0" w:rsidP="00CB2FA0">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CB2FA0">
              <w:rPr>
                <w:rFonts w:eastAsiaTheme="minorHAnsi"/>
                <w:b/>
                <w:bCs/>
                <w:sz w:val="20"/>
                <w:szCs w:val="20"/>
                <w:lang w:eastAsia="en-US" w:bidi="ar-SA"/>
              </w:rPr>
              <w:t xml:space="preserve">2017–18 </w:t>
            </w:r>
          </w:p>
        </w:tc>
      </w:tr>
      <w:tr w:rsidR="00305051" w:rsidRPr="00CB2FA0" w:rsidTr="00305051">
        <w:trPr>
          <w:trHeight w:val="355"/>
        </w:trPr>
        <w:tc>
          <w:tcPr>
            <w:tcW w:w="9871" w:type="dxa"/>
            <w:gridSpan w:val="3"/>
          </w:tcPr>
          <w:p w:rsidR="00CB2FA0" w:rsidRPr="00CB2FA0" w:rsidRDefault="00CB2FA0" w:rsidP="00CB2FA0">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Energy</w:t>
            </w:r>
          </w:p>
        </w:tc>
      </w:tr>
      <w:tr w:rsidR="00305051" w:rsidRPr="00CB2FA0" w:rsidTr="00305051">
        <w:trPr>
          <w:trHeight w:val="60"/>
        </w:trPr>
        <w:tc>
          <w:tcPr>
            <w:tcW w:w="7603"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Total electricity usage (gigajoules)</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664</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677</w:t>
            </w:r>
          </w:p>
        </w:tc>
      </w:tr>
      <w:tr w:rsidR="00305051" w:rsidRPr="00CB2FA0" w:rsidTr="00305051">
        <w:trPr>
          <w:trHeight w:val="60"/>
        </w:trPr>
        <w:tc>
          <w:tcPr>
            <w:tcW w:w="7603"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Total green electricity (gigajoules)</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0</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0</w:t>
            </w:r>
          </w:p>
        </w:tc>
      </w:tr>
      <w:tr w:rsidR="00305051" w:rsidRPr="00CB2FA0" w:rsidTr="00305051">
        <w:trPr>
          <w:trHeight w:val="60"/>
        </w:trPr>
        <w:tc>
          <w:tcPr>
            <w:tcW w:w="7603"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Total gas usage (gigajoules)</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0</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0</w:t>
            </w:r>
          </w:p>
        </w:tc>
      </w:tr>
      <w:tr w:rsidR="00305051" w:rsidRPr="00CB2FA0" w:rsidTr="00305051">
        <w:trPr>
          <w:trHeight w:val="60"/>
        </w:trPr>
        <w:tc>
          <w:tcPr>
            <w:tcW w:w="7603"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Percentage of electricity purchased as Green Power (%)</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0</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0</w:t>
            </w:r>
          </w:p>
        </w:tc>
      </w:tr>
      <w:tr w:rsidR="00305051" w:rsidRPr="00CB2FA0" w:rsidTr="00305051">
        <w:trPr>
          <w:trHeight w:val="60"/>
        </w:trPr>
        <w:tc>
          <w:tcPr>
            <w:tcW w:w="7603"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Units of energy used per Full Time Employee (megajoules per FTE)</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7803</w:t>
            </w:r>
            <w:r w:rsidRPr="00CB2FA0">
              <w:rPr>
                <w:rFonts w:eastAsiaTheme="minorHAnsi"/>
                <w:sz w:val="20"/>
                <w:szCs w:val="20"/>
                <w:vertAlign w:val="superscript"/>
                <w:lang w:eastAsia="en-US" w:bidi="ar-SA"/>
              </w:rPr>
              <w:t>4</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10,242</w:t>
            </w:r>
            <w:r w:rsidRPr="00CB2FA0">
              <w:rPr>
                <w:rFonts w:eastAsiaTheme="minorHAnsi"/>
                <w:sz w:val="20"/>
                <w:szCs w:val="20"/>
                <w:vertAlign w:val="superscript"/>
                <w:lang w:eastAsia="en-US" w:bidi="ar-SA"/>
              </w:rPr>
              <w:t>5</w:t>
            </w:r>
          </w:p>
        </w:tc>
      </w:tr>
      <w:tr w:rsidR="00305051" w:rsidRPr="00CB2FA0" w:rsidTr="00305051">
        <w:trPr>
          <w:trHeight w:val="60"/>
        </w:trPr>
        <w:tc>
          <w:tcPr>
            <w:tcW w:w="7603"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Units of energy used per unit office area (megajoules per m</w:t>
            </w:r>
            <w:r w:rsidRPr="00CB2FA0">
              <w:rPr>
                <w:rFonts w:eastAsiaTheme="minorHAnsi"/>
                <w:sz w:val="20"/>
                <w:szCs w:val="20"/>
                <w:vertAlign w:val="superscript"/>
                <w:lang w:eastAsia="en-US" w:bidi="ar-SA"/>
              </w:rPr>
              <w:t>2</w:t>
            </w:r>
            <w:r w:rsidRPr="00CB2FA0">
              <w:rPr>
                <w:rFonts w:eastAsiaTheme="minorHAnsi"/>
                <w:sz w:val="20"/>
                <w:szCs w:val="20"/>
                <w:lang w:eastAsia="en-US" w:bidi="ar-SA"/>
              </w:rPr>
              <w:t>)</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625.62</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637.50</w:t>
            </w:r>
          </w:p>
        </w:tc>
      </w:tr>
      <w:tr w:rsidR="00305051" w:rsidRPr="00CB2FA0" w:rsidTr="00305051">
        <w:trPr>
          <w:trHeight w:val="60"/>
        </w:trPr>
        <w:tc>
          <w:tcPr>
            <w:tcW w:w="9871" w:type="dxa"/>
            <w:gridSpan w:val="3"/>
          </w:tcPr>
          <w:p w:rsidR="00CB2FA0" w:rsidRPr="00CB2FA0" w:rsidRDefault="00CB2FA0" w:rsidP="00CB2FA0">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Paper</w:t>
            </w:r>
          </w:p>
        </w:tc>
      </w:tr>
      <w:tr w:rsidR="00305051" w:rsidRPr="00CB2FA0" w:rsidTr="00305051">
        <w:trPr>
          <w:trHeight w:val="60"/>
        </w:trPr>
        <w:tc>
          <w:tcPr>
            <w:tcW w:w="7603"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Total units of paper used (A4 reams equivalent)</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420</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580</w:t>
            </w:r>
          </w:p>
        </w:tc>
      </w:tr>
      <w:tr w:rsidR="00305051" w:rsidRPr="00CB2FA0" w:rsidTr="00305051">
        <w:trPr>
          <w:trHeight w:val="60"/>
        </w:trPr>
        <w:tc>
          <w:tcPr>
            <w:tcW w:w="7603"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Reams of paper used per FTE</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4.93</w:t>
            </w:r>
            <w:r w:rsidRPr="00CB2FA0">
              <w:rPr>
                <w:rFonts w:eastAsiaTheme="minorHAnsi"/>
                <w:sz w:val="20"/>
                <w:szCs w:val="20"/>
                <w:vertAlign w:val="superscript"/>
                <w:lang w:eastAsia="en-US" w:bidi="ar-SA"/>
              </w:rPr>
              <w:t>4</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8.8</w:t>
            </w:r>
            <w:r w:rsidRPr="00CB2FA0">
              <w:rPr>
                <w:rFonts w:eastAsiaTheme="minorHAnsi"/>
                <w:sz w:val="20"/>
                <w:szCs w:val="20"/>
                <w:vertAlign w:val="superscript"/>
                <w:lang w:eastAsia="en-US" w:bidi="ar-SA"/>
              </w:rPr>
              <w:t>5</w:t>
            </w:r>
          </w:p>
        </w:tc>
      </w:tr>
      <w:tr w:rsidR="00305051" w:rsidRPr="00CB2FA0" w:rsidTr="00305051">
        <w:trPr>
          <w:trHeight w:val="60"/>
        </w:trPr>
        <w:tc>
          <w:tcPr>
            <w:tcW w:w="7603"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Percentage of recycled content paper purchased (%)</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100</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100</w:t>
            </w:r>
          </w:p>
        </w:tc>
      </w:tr>
      <w:tr w:rsidR="00305051" w:rsidRPr="00CB2FA0" w:rsidTr="00305051">
        <w:trPr>
          <w:trHeight w:val="60"/>
        </w:trPr>
        <w:tc>
          <w:tcPr>
            <w:tcW w:w="9871" w:type="dxa"/>
            <w:gridSpan w:val="3"/>
          </w:tcPr>
          <w:p w:rsidR="00CB2FA0" w:rsidRPr="00CB2FA0" w:rsidRDefault="00CB2FA0" w:rsidP="00CB2FA0">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Water</w:t>
            </w:r>
          </w:p>
        </w:tc>
      </w:tr>
      <w:tr w:rsidR="00305051" w:rsidRPr="00CB2FA0" w:rsidTr="00305051">
        <w:trPr>
          <w:trHeight w:val="60"/>
        </w:trPr>
        <w:tc>
          <w:tcPr>
            <w:tcW w:w="7603"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 xml:space="preserve">Total units of metered water consumed (kilolitres) </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561</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580</w:t>
            </w:r>
          </w:p>
        </w:tc>
      </w:tr>
      <w:tr w:rsidR="00305051" w:rsidRPr="00CB2FA0" w:rsidTr="00305051">
        <w:trPr>
          <w:trHeight w:val="60"/>
        </w:trPr>
        <w:tc>
          <w:tcPr>
            <w:tcW w:w="7603"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Units of metered water consumed per FTE (kilolitres/FTE)</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6.6</w:t>
            </w:r>
            <w:r w:rsidRPr="00CB2FA0">
              <w:rPr>
                <w:rFonts w:eastAsiaTheme="minorHAnsi"/>
                <w:sz w:val="20"/>
                <w:szCs w:val="20"/>
                <w:vertAlign w:val="superscript"/>
                <w:lang w:eastAsia="en-US" w:bidi="ar-SA"/>
              </w:rPr>
              <w:t>4</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8.8</w:t>
            </w:r>
            <w:r w:rsidRPr="00CB2FA0">
              <w:rPr>
                <w:rFonts w:eastAsiaTheme="minorHAnsi"/>
                <w:sz w:val="20"/>
                <w:szCs w:val="20"/>
                <w:vertAlign w:val="superscript"/>
                <w:lang w:eastAsia="en-US" w:bidi="ar-SA"/>
              </w:rPr>
              <w:t>5</w:t>
            </w:r>
          </w:p>
        </w:tc>
      </w:tr>
      <w:tr w:rsidR="00305051" w:rsidRPr="00CB2FA0" w:rsidTr="00305051">
        <w:trPr>
          <w:trHeight w:val="60"/>
        </w:trPr>
        <w:tc>
          <w:tcPr>
            <w:tcW w:w="7603" w:type="dxa"/>
          </w:tcPr>
          <w:p w:rsidR="00CB2FA0" w:rsidRPr="00CB2FA0"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CB2FA0">
              <w:rPr>
                <w:rFonts w:eastAsiaTheme="minorHAnsi"/>
                <w:sz w:val="20"/>
                <w:szCs w:val="20"/>
                <w:lang w:eastAsia="en-US" w:bidi="ar-SA"/>
              </w:rPr>
              <w:t>Units of measured water consumed in offices per unit of office area (kilolitres/m</w:t>
            </w:r>
            <w:r w:rsidRPr="00CB2FA0">
              <w:rPr>
                <w:rFonts w:eastAsiaTheme="minorHAnsi"/>
                <w:sz w:val="20"/>
                <w:szCs w:val="20"/>
                <w:vertAlign w:val="superscript"/>
                <w:lang w:eastAsia="en-US" w:bidi="ar-SA"/>
              </w:rPr>
              <w:t>2</w:t>
            </w:r>
            <w:r w:rsidRPr="00CB2FA0">
              <w:rPr>
                <w:rFonts w:eastAsiaTheme="minorHAnsi"/>
                <w:sz w:val="20"/>
                <w:szCs w:val="20"/>
                <w:lang w:eastAsia="en-US" w:bidi="ar-SA"/>
              </w:rPr>
              <w:t>)</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0.53</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0.54</w:t>
            </w:r>
          </w:p>
        </w:tc>
      </w:tr>
    </w:tbl>
    <w:p w:rsidR="00CB2FA0" w:rsidRDefault="00CB2FA0"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Default="00305051" w:rsidP="00305051">
      <w:pPr>
        <w:rPr>
          <w:lang w:eastAsia="en-US" w:bidi="ar-SA"/>
        </w:rPr>
      </w:pPr>
    </w:p>
    <w:p w:rsidR="00305051" w:rsidRPr="00CB2FA0" w:rsidRDefault="00305051" w:rsidP="00305051">
      <w:pPr>
        <w:rPr>
          <w:lang w:eastAsia="en-US" w:bidi="ar-SA"/>
        </w:rPr>
      </w:pPr>
    </w:p>
    <w:tbl>
      <w:tblPr>
        <w:tblStyle w:val="TableGrid"/>
        <w:tblW w:w="0" w:type="auto"/>
        <w:tblInd w:w="846" w:type="dxa"/>
        <w:tblLayout w:type="fixed"/>
        <w:tblLook w:val="0000" w:firstRow="0" w:lastRow="0" w:firstColumn="0" w:lastColumn="0" w:noHBand="0" w:noVBand="0"/>
      </w:tblPr>
      <w:tblGrid>
        <w:gridCol w:w="992"/>
        <w:gridCol w:w="1276"/>
        <w:gridCol w:w="1559"/>
        <w:gridCol w:w="1418"/>
        <w:gridCol w:w="1275"/>
        <w:gridCol w:w="1560"/>
        <w:gridCol w:w="1842"/>
      </w:tblGrid>
      <w:tr w:rsidR="00305051" w:rsidRPr="00CB2FA0" w:rsidTr="00305051">
        <w:trPr>
          <w:trHeight w:val="60"/>
        </w:trPr>
        <w:tc>
          <w:tcPr>
            <w:tcW w:w="9922" w:type="dxa"/>
            <w:gridSpan w:val="7"/>
          </w:tcPr>
          <w:p w:rsidR="00CB2FA0" w:rsidRPr="00CB2FA0" w:rsidRDefault="00CB2FA0" w:rsidP="00CB2FA0">
            <w:pPr>
              <w:widowControl/>
              <w:adjustRightInd w:val="0"/>
              <w:spacing w:before="113" w:after="57" w:line="28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lastRenderedPageBreak/>
              <w:t>Waste</w:t>
            </w:r>
            <w:r w:rsidRPr="00CB2FA0">
              <w:rPr>
                <w:rFonts w:eastAsiaTheme="minorHAnsi"/>
                <w:b/>
                <w:bCs/>
                <w:sz w:val="20"/>
                <w:szCs w:val="20"/>
                <w:vertAlign w:val="superscript"/>
                <w:lang w:eastAsia="en-US" w:bidi="ar-SA"/>
              </w:rPr>
              <w:t>6</w:t>
            </w:r>
          </w:p>
        </w:tc>
      </w:tr>
      <w:tr w:rsidR="00305051" w:rsidRPr="00CB2FA0" w:rsidTr="002434CF">
        <w:trPr>
          <w:trHeight w:val="60"/>
        </w:trPr>
        <w:tc>
          <w:tcPr>
            <w:tcW w:w="992" w:type="dxa"/>
            <w:vMerge w:val="restart"/>
          </w:tcPr>
          <w:p w:rsidR="00CB2FA0" w:rsidRPr="00CB2FA0" w:rsidRDefault="00CB2FA0" w:rsidP="00305051">
            <w:pPr>
              <w:widowControl/>
              <w:adjustRightInd w:val="0"/>
              <w:rPr>
                <w:rFonts w:eastAsiaTheme="minorHAnsi"/>
                <w:sz w:val="20"/>
                <w:szCs w:val="20"/>
                <w:lang w:eastAsia="en-US" w:bidi="ar-SA"/>
              </w:rPr>
            </w:pPr>
          </w:p>
        </w:tc>
        <w:tc>
          <w:tcPr>
            <w:tcW w:w="4253" w:type="dxa"/>
            <w:gridSpan w:val="3"/>
          </w:tcPr>
          <w:p w:rsidR="00CB2FA0" w:rsidRPr="00CB2FA0" w:rsidRDefault="00CB2FA0" w:rsidP="00305051">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 xml:space="preserve">Total </w:t>
            </w:r>
            <w:proofErr w:type="gramStart"/>
            <w:r w:rsidRPr="00CB2FA0">
              <w:rPr>
                <w:rFonts w:eastAsiaTheme="minorHAnsi"/>
                <w:b/>
                <w:bCs/>
                <w:sz w:val="20"/>
                <w:szCs w:val="20"/>
                <w:lang w:eastAsia="en-US" w:bidi="ar-SA"/>
              </w:rPr>
              <w:t>units</w:t>
            </w:r>
            <w:proofErr w:type="gramEnd"/>
            <w:r w:rsidRPr="00CB2FA0">
              <w:rPr>
                <w:rFonts w:eastAsiaTheme="minorHAnsi"/>
                <w:b/>
                <w:bCs/>
                <w:sz w:val="20"/>
                <w:szCs w:val="20"/>
                <w:lang w:eastAsia="en-US" w:bidi="ar-SA"/>
              </w:rPr>
              <w:t xml:space="preserve"> office waste disposed</w:t>
            </w:r>
            <w:r w:rsidRPr="00CB2FA0">
              <w:rPr>
                <w:rFonts w:eastAsiaTheme="minorHAnsi"/>
                <w:b/>
                <w:bCs/>
                <w:sz w:val="20"/>
                <w:szCs w:val="20"/>
                <w:lang w:eastAsia="en-US" w:bidi="ar-SA"/>
              </w:rPr>
              <w:br/>
              <w:t>of by destination (kg per year)</w:t>
            </w:r>
          </w:p>
        </w:tc>
        <w:tc>
          <w:tcPr>
            <w:tcW w:w="4677" w:type="dxa"/>
            <w:gridSpan w:val="3"/>
          </w:tcPr>
          <w:p w:rsidR="00CB2FA0" w:rsidRPr="00CB2FA0" w:rsidRDefault="00CB2FA0" w:rsidP="00305051">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Units of office waste disposed</w:t>
            </w:r>
            <w:r w:rsidRPr="00CB2FA0">
              <w:rPr>
                <w:rFonts w:eastAsiaTheme="minorHAnsi"/>
                <w:b/>
                <w:bCs/>
                <w:sz w:val="20"/>
                <w:szCs w:val="20"/>
                <w:lang w:eastAsia="en-US" w:bidi="ar-SA"/>
              </w:rPr>
              <w:br/>
              <w:t>of per FTE by destination (kg per FTE)</w:t>
            </w:r>
          </w:p>
        </w:tc>
      </w:tr>
      <w:tr w:rsidR="00305051" w:rsidRPr="00CB2FA0" w:rsidTr="002434CF">
        <w:trPr>
          <w:trHeight w:val="60"/>
        </w:trPr>
        <w:tc>
          <w:tcPr>
            <w:tcW w:w="992" w:type="dxa"/>
            <w:vMerge/>
          </w:tcPr>
          <w:p w:rsidR="00CB2FA0" w:rsidRPr="00CB2FA0" w:rsidRDefault="00CB2FA0" w:rsidP="00305051">
            <w:pPr>
              <w:widowControl/>
              <w:adjustRightInd w:val="0"/>
              <w:rPr>
                <w:rFonts w:eastAsiaTheme="minorHAnsi"/>
                <w:sz w:val="20"/>
                <w:szCs w:val="20"/>
                <w:lang w:eastAsia="en-US" w:bidi="ar-SA"/>
              </w:rPr>
            </w:pPr>
          </w:p>
        </w:tc>
        <w:tc>
          <w:tcPr>
            <w:tcW w:w="1276" w:type="dxa"/>
          </w:tcPr>
          <w:p w:rsidR="00CB2FA0" w:rsidRPr="00CB2FA0" w:rsidRDefault="00CB2FA0" w:rsidP="00305051">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Landfill</w:t>
            </w:r>
          </w:p>
        </w:tc>
        <w:tc>
          <w:tcPr>
            <w:tcW w:w="1559" w:type="dxa"/>
          </w:tcPr>
          <w:p w:rsidR="00CB2FA0" w:rsidRPr="00CB2FA0" w:rsidRDefault="00CB2FA0" w:rsidP="00305051">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Co-mingled recycling</w:t>
            </w:r>
          </w:p>
        </w:tc>
        <w:tc>
          <w:tcPr>
            <w:tcW w:w="1418" w:type="dxa"/>
          </w:tcPr>
          <w:p w:rsidR="00CB2FA0" w:rsidRPr="00CB2FA0" w:rsidRDefault="00CB2FA0" w:rsidP="00305051">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Organics</w:t>
            </w:r>
          </w:p>
        </w:tc>
        <w:tc>
          <w:tcPr>
            <w:tcW w:w="1275" w:type="dxa"/>
          </w:tcPr>
          <w:p w:rsidR="00CB2FA0" w:rsidRPr="00CB2FA0" w:rsidRDefault="00CB2FA0" w:rsidP="00305051">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Landfill</w:t>
            </w:r>
          </w:p>
        </w:tc>
        <w:tc>
          <w:tcPr>
            <w:tcW w:w="1560" w:type="dxa"/>
          </w:tcPr>
          <w:p w:rsidR="00CB2FA0" w:rsidRPr="00CB2FA0" w:rsidRDefault="00CB2FA0" w:rsidP="00305051">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Co-mingled recycling</w:t>
            </w:r>
          </w:p>
        </w:tc>
        <w:tc>
          <w:tcPr>
            <w:tcW w:w="1842" w:type="dxa"/>
          </w:tcPr>
          <w:p w:rsidR="00CB2FA0" w:rsidRPr="00CB2FA0" w:rsidRDefault="00CB2FA0" w:rsidP="00305051">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Organics</w:t>
            </w:r>
          </w:p>
        </w:tc>
      </w:tr>
      <w:tr w:rsidR="00305051" w:rsidRPr="00CB2FA0" w:rsidTr="002434CF">
        <w:trPr>
          <w:trHeight w:val="60"/>
        </w:trPr>
        <w:tc>
          <w:tcPr>
            <w:tcW w:w="992" w:type="dxa"/>
          </w:tcPr>
          <w:p w:rsidR="00CB2FA0" w:rsidRPr="00CB2FA0" w:rsidRDefault="00CB2FA0" w:rsidP="00CB2FA0">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pacing w:val="-3"/>
                <w:sz w:val="20"/>
                <w:szCs w:val="20"/>
                <w:lang w:eastAsia="en-US" w:bidi="ar-SA"/>
              </w:rPr>
              <w:t>2018–19</w:t>
            </w:r>
          </w:p>
        </w:tc>
        <w:tc>
          <w:tcPr>
            <w:tcW w:w="1276"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575</w:t>
            </w:r>
          </w:p>
        </w:tc>
        <w:tc>
          <w:tcPr>
            <w:tcW w:w="1559"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824</w:t>
            </w:r>
          </w:p>
        </w:tc>
        <w:tc>
          <w:tcPr>
            <w:tcW w:w="1418"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650</w:t>
            </w:r>
          </w:p>
        </w:tc>
        <w:tc>
          <w:tcPr>
            <w:tcW w:w="1275"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6.8</w:t>
            </w:r>
          </w:p>
        </w:tc>
        <w:tc>
          <w:tcPr>
            <w:tcW w:w="1560"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9.7</w:t>
            </w:r>
          </w:p>
        </w:tc>
        <w:tc>
          <w:tcPr>
            <w:tcW w:w="1842"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7.7</w:t>
            </w:r>
          </w:p>
        </w:tc>
      </w:tr>
      <w:tr w:rsidR="00305051" w:rsidRPr="00CB2FA0" w:rsidTr="002434CF">
        <w:trPr>
          <w:trHeight w:val="60"/>
        </w:trPr>
        <w:tc>
          <w:tcPr>
            <w:tcW w:w="992" w:type="dxa"/>
          </w:tcPr>
          <w:p w:rsidR="00CB2FA0" w:rsidRPr="00CB2FA0" w:rsidRDefault="00CB2FA0" w:rsidP="00CB2FA0">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pacing w:val="-3"/>
                <w:sz w:val="20"/>
                <w:szCs w:val="20"/>
                <w:lang w:eastAsia="en-US" w:bidi="ar-SA"/>
              </w:rPr>
              <w:t>2017–18</w:t>
            </w:r>
          </w:p>
        </w:tc>
        <w:tc>
          <w:tcPr>
            <w:tcW w:w="1276"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3,930</w:t>
            </w:r>
          </w:p>
        </w:tc>
        <w:tc>
          <w:tcPr>
            <w:tcW w:w="1559"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3,108</w:t>
            </w:r>
          </w:p>
        </w:tc>
        <w:tc>
          <w:tcPr>
            <w:tcW w:w="1418"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2,782</w:t>
            </w:r>
          </w:p>
        </w:tc>
        <w:tc>
          <w:tcPr>
            <w:tcW w:w="1275"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55.5</w:t>
            </w:r>
          </w:p>
        </w:tc>
        <w:tc>
          <w:tcPr>
            <w:tcW w:w="1560"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43.77</w:t>
            </w:r>
          </w:p>
        </w:tc>
        <w:tc>
          <w:tcPr>
            <w:tcW w:w="1842"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39.18</w:t>
            </w:r>
          </w:p>
        </w:tc>
      </w:tr>
    </w:tbl>
    <w:p w:rsidR="00CB2FA0" w:rsidRPr="00CB2FA0" w:rsidRDefault="00CB2FA0" w:rsidP="00CB2FA0">
      <w:pPr>
        <w:widowControl/>
        <w:suppressAutoHyphens/>
        <w:adjustRightInd w:val="0"/>
        <w:spacing w:after="57" w:line="220" w:lineRule="atLeast"/>
        <w:textAlignment w:val="center"/>
        <w:rPr>
          <w:rFonts w:eastAsiaTheme="minorHAnsi"/>
          <w:color w:val="000000"/>
          <w:sz w:val="20"/>
          <w:szCs w:val="20"/>
          <w:lang w:eastAsia="en-US" w:bidi="ar-SA"/>
        </w:rPr>
      </w:pPr>
    </w:p>
    <w:tbl>
      <w:tblPr>
        <w:tblStyle w:val="TableGrid"/>
        <w:tblW w:w="0" w:type="auto"/>
        <w:tblInd w:w="846" w:type="dxa"/>
        <w:tblLayout w:type="fixed"/>
        <w:tblLook w:val="0000" w:firstRow="0" w:lastRow="0" w:firstColumn="0" w:lastColumn="0" w:noHBand="0" w:noVBand="0"/>
      </w:tblPr>
      <w:tblGrid>
        <w:gridCol w:w="992"/>
        <w:gridCol w:w="2410"/>
        <w:gridCol w:w="2551"/>
        <w:gridCol w:w="1134"/>
        <w:gridCol w:w="1560"/>
        <w:gridCol w:w="1275"/>
      </w:tblGrid>
      <w:tr w:rsidR="00305051" w:rsidRPr="00CB2FA0" w:rsidTr="002434CF">
        <w:trPr>
          <w:trHeight w:val="60"/>
        </w:trPr>
        <w:tc>
          <w:tcPr>
            <w:tcW w:w="992" w:type="dxa"/>
            <w:vMerge w:val="restart"/>
          </w:tcPr>
          <w:p w:rsidR="00CB2FA0" w:rsidRPr="00CB2FA0" w:rsidRDefault="00CB2FA0" w:rsidP="00CB2FA0">
            <w:pPr>
              <w:widowControl/>
              <w:adjustRightInd w:val="0"/>
              <w:rPr>
                <w:rFonts w:eastAsiaTheme="minorHAnsi"/>
                <w:sz w:val="20"/>
                <w:szCs w:val="20"/>
                <w:lang w:eastAsia="en-US" w:bidi="ar-SA"/>
              </w:rPr>
            </w:pPr>
          </w:p>
        </w:tc>
        <w:tc>
          <w:tcPr>
            <w:tcW w:w="2410" w:type="dxa"/>
          </w:tcPr>
          <w:p w:rsidR="00CB2FA0" w:rsidRPr="00CB2FA0" w:rsidRDefault="00CB2FA0" w:rsidP="002434CF">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Recycling rate</w:t>
            </w:r>
            <w:r w:rsidR="002434CF">
              <w:rPr>
                <w:rFonts w:eastAsiaTheme="minorHAnsi"/>
                <w:b/>
                <w:bCs/>
                <w:sz w:val="20"/>
                <w:szCs w:val="20"/>
                <w:lang w:eastAsia="en-US" w:bidi="ar-SA"/>
              </w:rPr>
              <w:t xml:space="preserve"> </w:t>
            </w:r>
            <w:r w:rsidRPr="00CB2FA0">
              <w:rPr>
                <w:rFonts w:eastAsiaTheme="minorHAnsi"/>
                <w:b/>
                <w:bCs/>
                <w:sz w:val="20"/>
                <w:szCs w:val="20"/>
                <w:lang w:eastAsia="en-US" w:bidi="ar-SA"/>
              </w:rPr>
              <w:t>(% of total waste</w:t>
            </w:r>
            <w:r w:rsidR="002434CF">
              <w:rPr>
                <w:rFonts w:eastAsiaTheme="minorHAnsi"/>
                <w:b/>
                <w:bCs/>
                <w:sz w:val="20"/>
                <w:szCs w:val="20"/>
                <w:lang w:eastAsia="en-US" w:bidi="ar-SA"/>
              </w:rPr>
              <w:t xml:space="preserve"> </w:t>
            </w:r>
            <w:r w:rsidRPr="00CB2FA0">
              <w:rPr>
                <w:rFonts w:eastAsiaTheme="minorHAnsi"/>
                <w:b/>
                <w:bCs/>
                <w:sz w:val="20"/>
                <w:szCs w:val="20"/>
                <w:lang w:eastAsia="en-US" w:bidi="ar-SA"/>
              </w:rPr>
              <w:t>by weight)</w:t>
            </w:r>
          </w:p>
        </w:tc>
        <w:tc>
          <w:tcPr>
            <w:tcW w:w="2551" w:type="dxa"/>
          </w:tcPr>
          <w:p w:rsidR="00CB2FA0" w:rsidRPr="00CB2FA0" w:rsidRDefault="00CB2FA0" w:rsidP="002434CF">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Organics rate</w:t>
            </w:r>
            <w:r w:rsidR="002434CF">
              <w:rPr>
                <w:rFonts w:eastAsiaTheme="minorHAnsi"/>
                <w:b/>
                <w:bCs/>
                <w:sz w:val="20"/>
                <w:szCs w:val="20"/>
                <w:lang w:eastAsia="en-US" w:bidi="ar-SA"/>
              </w:rPr>
              <w:t xml:space="preserve"> </w:t>
            </w:r>
            <w:r w:rsidRPr="00CB2FA0">
              <w:rPr>
                <w:rFonts w:eastAsiaTheme="minorHAnsi"/>
                <w:b/>
                <w:bCs/>
                <w:sz w:val="20"/>
                <w:szCs w:val="20"/>
                <w:lang w:eastAsia="en-US" w:bidi="ar-SA"/>
              </w:rPr>
              <w:t>(% of total waste</w:t>
            </w:r>
            <w:r w:rsidR="002434CF">
              <w:rPr>
                <w:rFonts w:eastAsiaTheme="minorHAnsi"/>
                <w:b/>
                <w:bCs/>
                <w:sz w:val="20"/>
                <w:szCs w:val="20"/>
                <w:lang w:eastAsia="en-US" w:bidi="ar-SA"/>
              </w:rPr>
              <w:t xml:space="preserve"> </w:t>
            </w:r>
            <w:r w:rsidRPr="00CB2FA0">
              <w:rPr>
                <w:rFonts w:eastAsiaTheme="minorHAnsi"/>
                <w:b/>
                <w:bCs/>
                <w:sz w:val="20"/>
                <w:szCs w:val="20"/>
                <w:lang w:eastAsia="en-US" w:bidi="ar-SA"/>
              </w:rPr>
              <w:t>by weight)</w:t>
            </w:r>
          </w:p>
        </w:tc>
        <w:tc>
          <w:tcPr>
            <w:tcW w:w="3969" w:type="dxa"/>
            <w:gridSpan w:val="3"/>
          </w:tcPr>
          <w:p w:rsidR="00CB2FA0" w:rsidRPr="00CB2FA0" w:rsidRDefault="00CB2FA0" w:rsidP="002434CF">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z w:val="20"/>
                <w:szCs w:val="20"/>
                <w:lang w:eastAsia="en-US" w:bidi="ar-SA"/>
              </w:rPr>
              <w:t>Greenhouse gas emissions</w:t>
            </w:r>
            <w:r w:rsidR="002434CF">
              <w:rPr>
                <w:rFonts w:eastAsiaTheme="minorHAnsi"/>
                <w:b/>
                <w:bCs/>
                <w:sz w:val="20"/>
                <w:szCs w:val="20"/>
                <w:lang w:eastAsia="en-US" w:bidi="ar-SA"/>
              </w:rPr>
              <w:t xml:space="preserve"> </w:t>
            </w:r>
            <w:r w:rsidRPr="00CB2FA0">
              <w:rPr>
                <w:rFonts w:eastAsiaTheme="minorHAnsi"/>
                <w:b/>
                <w:bCs/>
                <w:sz w:val="20"/>
                <w:szCs w:val="20"/>
                <w:lang w:eastAsia="en-US" w:bidi="ar-SA"/>
              </w:rPr>
              <w:t xml:space="preserve">associated with waste </w:t>
            </w:r>
            <w:proofErr w:type="gramStart"/>
            <w:r w:rsidRPr="00CB2FA0">
              <w:rPr>
                <w:rFonts w:eastAsiaTheme="minorHAnsi"/>
                <w:b/>
                <w:bCs/>
                <w:sz w:val="20"/>
                <w:szCs w:val="20"/>
                <w:lang w:eastAsia="en-US" w:bidi="ar-SA"/>
              </w:rPr>
              <w:t>disposal(</w:t>
            </w:r>
            <w:proofErr w:type="gramEnd"/>
            <w:r w:rsidRPr="00CB2FA0">
              <w:rPr>
                <w:rFonts w:eastAsiaTheme="minorHAnsi"/>
                <w:b/>
                <w:bCs/>
                <w:sz w:val="20"/>
                <w:szCs w:val="20"/>
                <w:lang w:eastAsia="en-US" w:bidi="ar-SA"/>
              </w:rPr>
              <w:t>tonnes CO2-e)</w:t>
            </w:r>
          </w:p>
        </w:tc>
      </w:tr>
      <w:tr w:rsidR="00305051" w:rsidRPr="00CB2FA0" w:rsidTr="002434CF">
        <w:trPr>
          <w:trHeight w:val="60"/>
        </w:trPr>
        <w:tc>
          <w:tcPr>
            <w:tcW w:w="992" w:type="dxa"/>
            <w:vMerge/>
          </w:tcPr>
          <w:p w:rsidR="00CB2FA0" w:rsidRPr="00CB2FA0" w:rsidRDefault="00CB2FA0" w:rsidP="00CB2FA0">
            <w:pPr>
              <w:widowControl/>
              <w:adjustRightInd w:val="0"/>
              <w:rPr>
                <w:rFonts w:eastAsiaTheme="minorHAnsi"/>
                <w:sz w:val="20"/>
                <w:szCs w:val="20"/>
                <w:lang w:eastAsia="en-US" w:bidi="ar-SA"/>
              </w:rPr>
            </w:pPr>
          </w:p>
        </w:tc>
        <w:tc>
          <w:tcPr>
            <w:tcW w:w="2410" w:type="dxa"/>
          </w:tcPr>
          <w:p w:rsidR="00CB2FA0" w:rsidRPr="00CB2FA0" w:rsidRDefault="00CB2FA0" w:rsidP="002434C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B2FA0">
              <w:rPr>
                <w:rFonts w:eastAsiaTheme="minorHAnsi"/>
                <w:b/>
                <w:bCs/>
                <w:sz w:val="20"/>
                <w:szCs w:val="20"/>
                <w:lang w:eastAsia="en-US" w:bidi="ar-SA"/>
              </w:rPr>
              <w:t>%</w:t>
            </w:r>
          </w:p>
        </w:tc>
        <w:tc>
          <w:tcPr>
            <w:tcW w:w="2551" w:type="dxa"/>
          </w:tcPr>
          <w:p w:rsidR="00CB2FA0" w:rsidRPr="00CB2FA0" w:rsidRDefault="00CB2FA0" w:rsidP="002434C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B2FA0">
              <w:rPr>
                <w:rFonts w:eastAsiaTheme="minorHAnsi"/>
                <w:b/>
                <w:bCs/>
                <w:sz w:val="20"/>
                <w:szCs w:val="20"/>
                <w:lang w:eastAsia="en-US" w:bidi="ar-SA"/>
              </w:rPr>
              <w:t>%</w:t>
            </w:r>
          </w:p>
        </w:tc>
        <w:tc>
          <w:tcPr>
            <w:tcW w:w="1134" w:type="dxa"/>
          </w:tcPr>
          <w:p w:rsidR="00CB2FA0" w:rsidRPr="00CB2FA0" w:rsidRDefault="00CB2FA0" w:rsidP="002434C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B2FA0">
              <w:rPr>
                <w:rFonts w:eastAsiaTheme="minorHAnsi"/>
                <w:b/>
                <w:bCs/>
                <w:sz w:val="20"/>
                <w:szCs w:val="20"/>
                <w:lang w:eastAsia="en-US" w:bidi="ar-SA"/>
              </w:rPr>
              <w:t>Landfill</w:t>
            </w:r>
          </w:p>
        </w:tc>
        <w:tc>
          <w:tcPr>
            <w:tcW w:w="1560" w:type="dxa"/>
          </w:tcPr>
          <w:p w:rsidR="00CB2FA0" w:rsidRPr="00CB2FA0" w:rsidRDefault="00CB2FA0" w:rsidP="002434C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B2FA0">
              <w:rPr>
                <w:rFonts w:eastAsiaTheme="minorHAnsi"/>
                <w:b/>
                <w:bCs/>
                <w:sz w:val="20"/>
                <w:szCs w:val="20"/>
                <w:lang w:eastAsia="en-US" w:bidi="ar-SA"/>
              </w:rPr>
              <w:t>Co-mingled recycling</w:t>
            </w:r>
          </w:p>
        </w:tc>
        <w:tc>
          <w:tcPr>
            <w:tcW w:w="1275" w:type="dxa"/>
          </w:tcPr>
          <w:p w:rsidR="00CB2FA0" w:rsidRPr="00CB2FA0" w:rsidRDefault="00CB2FA0" w:rsidP="002434C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B2FA0">
              <w:rPr>
                <w:rFonts w:eastAsiaTheme="minorHAnsi"/>
                <w:b/>
                <w:bCs/>
                <w:sz w:val="20"/>
                <w:szCs w:val="20"/>
                <w:lang w:eastAsia="en-US" w:bidi="ar-SA"/>
              </w:rPr>
              <w:t>Organics</w:t>
            </w:r>
          </w:p>
        </w:tc>
      </w:tr>
      <w:tr w:rsidR="00305051" w:rsidRPr="00CB2FA0" w:rsidTr="002434CF">
        <w:trPr>
          <w:trHeight w:val="60"/>
        </w:trPr>
        <w:tc>
          <w:tcPr>
            <w:tcW w:w="992" w:type="dxa"/>
          </w:tcPr>
          <w:p w:rsidR="00CB2FA0" w:rsidRPr="00CB2FA0" w:rsidRDefault="00CB2FA0" w:rsidP="00CB2FA0">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pacing w:val="-3"/>
                <w:sz w:val="20"/>
                <w:szCs w:val="20"/>
                <w:lang w:eastAsia="en-US" w:bidi="ar-SA"/>
              </w:rPr>
              <w:t>2018–19</w:t>
            </w:r>
          </w:p>
        </w:tc>
        <w:tc>
          <w:tcPr>
            <w:tcW w:w="2410"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71.9</w:t>
            </w:r>
          </w:p>
        </w:tc>
        <w:tc>
          <w:tcPr>
            <w:tcW w:w="2551"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31.7</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0.7</w:t>
            </w:r>
          </w:p>
        </w:tc>
        <w:tc>
          <w:tcPr>
            <w:tcW w:w="1560"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N/A</w:t>
            </w:r>
          </w:p>
        </w:tc>
        <w:tc>
          <w:tcPr>
            <w:tcW w:w="1275"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N/A</w:t>
            </w:r>
          </w:p>
        </w:tc>
      </w:tr>
      <w:tr w:rsidR="00305051" w:rsidRPr="00CB2FA0" w:rsidTr="002434CF">
        <w:trPr>
          <w:trHeight w:val="60"/>
        </w:trPr>
        <w:tc>
          <w:tcPr>
            <w:tcW w:w="992" w:type="dxa"/>
          </w:tcPr>
          <w:p w:rsidR="00CB2FA0" w:rsidRPr="00CB2FA0" w:rsidRDefault="00CB2FA0" w:rsidP="00CB2FA0">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B2FA0">
              <w:rPr>
                <w:rFonts w:eastAsiaTheme="minorHAnsi"/>
                <w:b/>
                <w:bCs/>
                <w:spacing w:val="-3"/>
                <w:sz w:val="20"/>
                <w:szCs w:val="20"/>
                <w:lang w:eastAsia="en-US" w:bidi="ar-SA"/>
              </w:rPr>
              <w:t>2017–18</w:t>
            </w:r>
          </w:p>
        </w:tc>
        <w:tc>
          <w:tcPr>
            <w:tcW w:w="2410"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31.65</w:t>
            </w:r>
          </w:p>
        </w:tc>
        <w:tc>
          <w:tcPr>
            <w:tcW w:w="2551"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28.3</w:t>
            </w:r>
          </w:p>
        </w:tc>
        <w:tc>
          <w:tcPr>
            <w:tcW w:w="1134"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5.55</w:t>
            </w:r>
          </w:p>
        </w:tc>
        <w:tc>
          <w:tcPr>
            <w:tcW w:w="1560"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N/A</w:t>
            </w:r>
          </w:p>
        </w:tc>
        <w:tc>
          <w:tcPr>
            <w:tcW w:w="1275" w:type="dxa"/>
          </w:tcPr>
          <w:p w:rsidR="00CB2FA0" w:rsidRPr="00CB2FA0"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CB2FA0">
              <w:rPr>
                <w:rFonts w:eastAsiaTheme="minorHAnsi"/>
                <w:sz w:val="20"/>
                <w:szCs w:val="20"/>
                <w:lang w:eastAsia="en-US" w:bidi="ar-SA"/>
              </w:rPr>
              <w:t>N/A</w:t>
            </w:r>
          </w:p>
        </w:tc>
      </w:tr>
    </w:tbl>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p>
    <w:tbl>
      <w:tblPr>
        <w:tblStyle w:val="TableGrid"/>
        <w:tblW w:w="0" w:type="auto"/>
        <w:tblInd w:w="846" w:type="dxa"/>
        <w:tblLayout w:type="fixed"/>
        <w:tblLook w:val="0000" w:firstRow="0" w:lastRow="0" w:firstColumn="0" w:lastColumn="0" w:noHBand="0" w:noVBand="0"/>
      </w:tblPr>
      <w:tblGrid>
        <w:gridCol w:w="709"/>
        <w:gridCol w:w="1275"/>
        <w:gridCol w:w="1276"/>
        <w:gridCol w:w="1276"/>
        <w:gridCol w:w="1559"/>
        <w:gridCol w:w="1276"/>
        <w:gridCol w:w="709"/>
        <w:gridCol w:w="850"/>
        <w:gridCol w:w="1134"/>
      </w:tblGrid>
      <w:tr w:rsidR="002434CF" w:rsidRPr="002434CF" w:rsidTr="002434CF">
        <w:trPr>
          <w:trHeight w:val="113"/>
        </w:trPr>
        <w:tc>
          <w:tcPr>
            <w:tcW w:w="10064" w:type="dxa"/>
            <w:gridSpan w:val="9"/>
          </w:tcPr>
          <w:p w:rsidR="00CB2FA0" w:rsidRPr="002434CF" w:rsidRDefault="00CB2FA0" w:rsidP="00CB2FA0">
            <w:pPr>
              <w:widowControl/>
              <w:adjustRightInd w:val="0"/>
              <w:spacing w:before="115" w:after="57" w:line="280" w:lineRule="atLeast"/>
              <w:textAlignment w:val="center"/>
              <w:rPr>
                <w:rFonts w:eastAsiaTheme="minorHAnsi"/>
                <w:b/>
                <w:bCs/>
                <w:sz w:val="20"/>
                <w:szCs w:val="20"/>
                <w:lang w:eastAsia="en-US" w:bidi="ar-SA"/>
              </w:rPr>
            </w:pPr>
            <w:r w:rsidRPr="002434CF">
              <w:rPr>
                <w:rFonts w:eastAsiaTheme="minorHAnsi"/>
                <w:b/>
                <w:bCs/>
                <w:sz w:val="20"/>
                <w:szCs w:val="20"/>
                <w:lang w:eastAsia="en-US" w:bidi="ar-SA"/>
              </w:rPr>
              <w:t>Transport</w:t>
            </w:r>
          </w:p>
        </w:tc>
      </w:tr>
      <w:tr w:rsidR="002434CF" w:rsidRPr="002434CF" w:rsidTr="002434CF">
        <w:trPr>
          <w:trHeight w:val="121"/>
        </w:trPr>
        <w:tc>
          <w:tcPr>
            <w:tcW w:w="709" w:type="dxa"/>
            <w:vMerge w:val="restart"/>
          </w:tcPr>
          <w:p w:rsidR="00CB2FA0" w:rsidRPr="002434CF" w:rsidRDefault="00CB2FA0" w:rsidP="002434CF">
            <w:pPr>
              <w:widowControl/>
              <w:adjustRightInd w:val="0"/>
              <w:rPr>
                <w:rFonts w:eastAsiaTheme="minorHAnsi"/>
                <w:sz w:val="20"/>
                <w:szCs w:val="20"/>
                <w:lang w:eastAsia="en-US" w:bidi="ar-SA"/>
              </w:rPr>
            </w:pPr>
          </w:p>
        </w:tc>
        <w:tc>
          <w:tcPr>
            <w:tcW w:w="1275" w:type="dxa"/>
            <w:vMerge w:val="restart"/>
          </w:tcPr>
          <w:p w:rsidR="00CB2FA0" w:rsidRPr="002434CF" w:rsidRDefault="00CB2FA0" w:rsidP="002434CF">
            <w:pPr>
              <w:widowControl/>
              <w:tabs>
                <w:tab w:val="right" w:pos="7370"/>
              </w:tabs>
              <w:suppressAutoHyphens/>
              <w:adjustRightInd w:val="0"/>
              <w:spacing w:before="172" w:after="115" w:line="260" w:lineRule="atLeast"/>
              <w:textAlignment w:val="center"/>
              <w:rPr>
                <w:rFonts w:eastAsiaTheme="minorHAnsi"/>
                <w:b/>
                <w:bCs/>
                <w:sz w:val="20"/>
                <w:szCs w:val="20"/>
                <w:lang w:eastAsia="en-US" w:bidi="ar-SA"/>
              </w:rPr>
            </w:pPr>
            <w:r w:rsidRPr="002434CF">
              <w:rPr>
                <w:rFonts w:eastAsiaTheme="minorHAnsi"/>
                <w:b/>
                <w:bCs/>
                <w:sz w:val="20"/>
                <w:szCs w:val="20"/>
                <w:lang w:eastAsia="en-US" w:bidi="ar-SA"/>
              </w:rPr>
              <w:t>Total energy consumed by vehicles (MJ)</w:t>
            </w:r>
          </w:p>
        </w:tc>
        <w:tc>
          <w:tcPr>
            <w:tcW w:w="1276" w:type="dxa"/>
            <w:vMerge w:val="restart"/>
          </w:tcPr>
          <w:p w:rsidR="00CB2FA0" w:rsidRPr="002434CF" w:rsidRDefault="00CB2FA0" w:rsidP="002434CF">
            <w:pPr>
              <w:widowControl/>
              <w:tabs>
                <w:tab w:val="right" w:pos="7370"/>
              </w:tabs>
              <w:suppressAutoHyphens/>
              <w:adjustRightInd w:val="0"/>
              <w:spacing w:before="172" w:after="115" w:line="260" w:lineRule="atLeast"/>
              <w:textAlignment w:val="center"/>
              <w:rPr>
                <w:rFonts w:eastAsiaTheme="minorHAnsi"/>
                <w:b/>
                <w:bCs/>
                <w:sz w:val="20"/>
                <w:szCs w:val="20"/>
                <w:lang w:eastAsia="en-US" w:bidi="ar-SA"/>
              </w:rPr>
            </w:pPr>
            <w:r w:rsidRPr="002434CF">
              <w:rPr>
                <w:rFonts w:eastAsiaTheme="minorHAnsi"/>
                <w:b/>
                <w:bCs/>
                <w:sz w:val="20"/>
                <w:szCs w:val="20"/>
                <w:lang w:eastAsia="en-US" w:bidi="ar-SA"/>
              </w:rPr>
              <w:t xml:space="preserve">Total </w:t>
            </w:r>
            <w:r w:rsidRPr="002434CF">
              <w:rPr>
                <w:rFonts w:eastAsiaTheme="minorHAnsi"/>
                <w:b/>
                <w:bCs/>
                <w:sz w:val="20"/>
                <w:szCs w:val="20"/>
                <w:lang w:eastAsia="en-US" w:bidi="ar-SA"/>
              </w:rPr>
              <w:br/>
              <w:t xml:space="preserve">Vehicle table associated with entity operations (km) </w:t>
            </w:r>
          </w:p>
          <w:p w:rsidR="00CB2FA0" w:rsidRPr="002434CF" w:rsidRDefault="00CB2FA0" w:rsidP="002434CF">
            <w:pPr>
              <w:widowControl/>
              <w:tabs>
                <w:tab w:val="right" w:pos="7370"/>
              </w:tabs>
              <w:suppressAutoHyphens/>
              <w:adjustRightInd w:val="0"/>
              <w:spacing w:before="172" w:after="115" w:line="260" w:lineRule="atLeast"/>
              <w:textAlignment w:val="center"/>
              <w:rPr>
                <w:rFonts w:eastAsiaTheme="minorHAnsi"/>
                <w:b/>
                <w:bCs/>
                <w:sz w:val="20"/>
                <w:szCs w:val="20"/>
                <w:lang w:eastAsia="en-US" w:bidi="ar-SA"/>
              </w:rPr>
            </w:pPr>
          </w:p>
        </w:tc>
        <w:tc>
          <w:tcPr>
            <w:tcW w:w="1276" w:type="dxa"/>
            <w:vMerge w:val="restart"/>
          </w:tcPr>
          <w:p w:rsidR="00CB2FA0" w:rsidRPr="002434CF" w:rsidRDefault="00CB2FA0" w:rsidP="002434CF">
            <w:pPr>
              <w:widowControl/>
              <w:tabs>
                <w:tab w:val="right" w:pos="7370"/>
              </w:tabs>
              <w:suppressAutoHyphens/>
              <w:adjustRightInd w:val="0"/>
              <w:spacing w:before="172" w:after="115" w:line="260" w:lineRule="atLeast"/>
              <w:textAlignment w:val="center"/>
              <w:rPr>
                <w:rFonts w:eastAsiaTheme="minorHAnsi"/>
                <w:b/>
                <w:bCs/>
                <w:sz w:val="20"/>
                <w:szCs w:val="20"/>
                <w:lang w:eastAsia="en-US" w:bidi="ar-SA"/>
              </w:rPr>
            </w:pPr>
            <w:r w:rsidRPr="002434CF">
              <w:rPr>
                <w:rFonts w:eastAsiaTheme="minorHAnsi"/>
                <w:b/>
                <w:bCs/>
                <w:sz w:val="20"/>
                <w:szCs w:val="20"/>
                <w:lang w:eastAsia="en-US" w:bidi="ar-SA"/>
              </w:rPr>
              <w:t>Total greenhouse gas emissions from vehicle fleet (tonnes of CO</w:t>
            </w:r>
            <w:r w:rsidRPr="002434CF">
              <w:rPr>
                <w:rFonts w:eastAsiaTheme="minorHAnsi"/>
                <w:b/>
                <w:bCs/>
                <w:position w:val="4"/>
                <w:sz w:val="20"/>
                <w:szCs w:val="20"/>
                <w:vertAlign w:val="subscript"/>
                <w:lang w:eastAsia="en-US" w:bidi="ar-SA"/>
              </w:rPr>
              <w:t xml:space="preserve">2 </w:t>
            </w:r>
            <w:r w:rsidRPr="002434CF">
              <w:rPr>
                <w:rFonts w:eastAsiaTheme="minorHAnsi"/>
                <w:b/>
                <w:bCs/>
                <w:sz w:val="20"/>
                <w:szCs w:val="20"/>
                <w:lang w:eastAsia="en-US" w:bidi="ar-SA"/>
              </w:rPr>
              <w:t>equivalent)</w:t>
            </w:r>
          </w:p>
        </w:tc>
        <w:tc>
          <w:tcPr>
            <w:tcW w:w="1559" w:type="dxa"/>
            <w:vMerge w:val="restart"/>
          </w:tcPr>
          <w:p w:rsidR="00CB2FA0" w:rsidRPr="002434CF" w:rsidRDefault="00CB2FA0" w:rsidP="002434CF">
            <w:pPr>
              <w:widowControl/>
              <w:tabs>
                <w:tab w:val="right" w:pos="7370"/>
              </w:tabs>
              <w:suppressAutoHyphens/>
              <w:adjustRightInd w:val="0"/>
              <w:spacing w:before="172" w:after="115" w:line="260" w:lineRule="atLeast"/>
              <w:textAlignment w:val="center"/>
              <w:rPr>
                <w:rFonts w:eastAsiaTheme="minorHAnsi"/>
                <w:b/>
                <w:bCs/>
                <w:sz w:val="20"/>
                <w:szCs w:val="20"/>
                <w:lang w:eastAsia="en-US" w:bidi="ar-SA"/>
              </w:rPr>
            </w:pPr>
            <w:r w:rsidRPr="002434CF">
              <w:rPr>
                <w:rFonts w:eastAsiaTheme="minorHAnsi"/>
                <w:b/>
                <w:bCs/>
                <w:sz w:val="20"/>
                <w:szCs w:val="20"/>
                <w:lang w:eastAsia="en-US" w:bidi="ar-SA"/>
              </w:rPr>
              <w:t>Greenhouse gas emissions from vehicle fleet per 1,000km travelled (tonnes of CO</w:t>
            </w:r>
            <w:r w:rsidRPr="002434CF">
              <w:rPr>
                <w:rFonts w:eastAsiaTheme="minorHAnsi"/>
                <w:b/>
                <w:bCs/>
                <w:position w:val="4"/>
                <w:sz w:val="20"/>
                <w:szCs w:val="20"/>
                <w:vertAlign w:val="subscript"/>
                <w:lang w:eastAsia="en-US" w:bidi="ar-SA"/>
              </w:rPr>
              <w:t>2</w:t>
            </w:r>
            <w:r w:rsidRPr="002434CF">
              <w:rPr>
                <w:rFonts w:eastAsiaTheme="minorHAnsi"/>
                <w:b/>
                <w:bCs/>
                <w:position w:val="4"/>
                <w:sz w:val="20"/>
                <w:szCs w:val="20"/>
                <w:lang w:eastAsia="en-US" w:bidi="ar-SA"/>
              </w:rPr>
              <w:t xml:space="preserve"> </w:t>
            </w:r>
            <w:r w:rsidRPr="002434CF">
              <w:rPr>
                <w:rFonts w:eastAsiaTheme="minorHAnsi"/>
                <w:b/>
                <w:bCs/>
                <w:sz w:val="20"/>
                <w:szCs w:val="20"/>
                <w:lang w:eastAsia="en-US" w:bidi="ar-SA"/>
              </w:rPr>
              <w:t>equivalent)</w:t>
            </w:r>
          </w:p>
        </w:tc>
        <w:tc>
          <w:tcPr>
            <w:tcW w:w="1276" w:type="dxa"/>
            <w:vMerge w:val="restart"/>
          </w:tcPr>
          <w:p w:rsidR="00CB2FA0" w:rsidRPr="002434CF" w:rsidRDefault="00CB2FA0" w:rsidP="002434CF">
            <w:pPr>
              <w:widowControl/>
              <w:tabs>
                <w:tab w:val="right" w:pos="7370"/>
              </w:tabs>
              <w:suppressAutoHyphens/>
              <w:adjustRightInd w:val="0"/>
              <w:spacing w:before="172" w:after="115" w:line="260" w:lineRule="atLeast"/>
              <w:textAlignment w:val="center"/>
              <w:rPr>
                <w:rFonts w:eastAsiaTheme="minorHAnsi"/>
                <w:b/>
                <w:bCs/>
                <w:sz w:val="20"/>
                <w:szCs w:val="20"/>
                <w:lang w:eastAsia="en-US" w:bidi="ar-SA"/>
              </w:rPr>
            </w:pPr>
            <w:r w:rsidRPr="002434CF">
              <w:rPr>
                <w:rFonts w:eastAsiaTheme="minorHAnsi"/>
                <w:b/>
                <w:bCs/>
                <w:sz w:val="20"/>
                <w:szCs w:val="20"/>
                <w:lang w:eastAsia="en-US" w:bidi="ar-SA"/>
              </w:rPr>
              <w:t>Total distance travelled by aeroplane (km)</w:t>
            </w:r>
          </w:p>
        </w:tc>
        <w:tc>
          <w:tcPr>
            <w:tcW w:w="2693" w:type="dxa"/>
            <w:gridSpan w:val="3"/>
          </w:tcPr>
          <w:p w:rsidR="00CB2FA0" w:rsidRPr="002434CF" w:rsidRDefault="00CB2FA0" w:rsidP="002434CF">
            <w:pPr>
              <w:widowControl/>
              <w:tabs>
                <w:tab w:val="right" w:pos="7370"/>
              </w:tabs>
              <w:suppressAutoHyphens/>
              <w:adjustRightInd w:val="0"/>
              <w:spacing w:before="172" w:after="115" w:line="260" w:lineRule="atLeast"/>
              <w:textAlignment w:val="center"/>
              <w:rPr>
                <w:rFonts w:eastAsiaTheme="minorHAnsi"/>
                <w:b/>
                <w:bCs/>
                <w:sz w:val="20"/>
                <w:szCs w:val="20"/>
                <w:lang w:eastAsia="en-US" w:bidi="ar-SA"/>
              </w:rPr>
            </w:pPr>
            <w:r w:rsidRPr="002434CF">
              <w:rPr>
                <w:rFonts w:eastAsiaTheme="minorHAnsi"/>
                <w:b/>
                <w:bCs/>
                <w:sz w:val="20"/>
                <w:szCs w:val="20"/>
                <w:lang w:eastAsia="en-US" w:bidi="ar-SA"/>
              </w:rPr>
              <w:t xml:space="preserve">Percentage of employees regularly (75% </w:t>
            </w:r>
            <w:r w:rsidR="002434CF">
              <w:rPr>
                <w:rFonts w:eastAsiaTheme="minorHAnsi"/>
                <w:b/>
                <w:bCs/>
                <w:sz w:val="20"/>
                <w:szCs w:val="20"/>
                <w:lang w:eastAsia="en-US" w:bidi="ar-SA"/>
              </w:rPr>
              <w:t>a</w:t>
            </w:r>
            <w:r w:rsidRPr="002434CF">
              <w:rPr>
                <w:rFonts w:eastAsiaTheme="minorHAnsi"/>
                <w:b/>
                <w:bCs/>
                <w:sz w:val="20"/>
                <w:szCs w:val="20"/>
                <w:lang w:eastAsia="en-US" w:bidi="ar-SA"/>
              </w:rPr>
              <w:t>ttendance days) using public transport, cycling, walking or car-pooling to and from work or working from home by locality type</w:t>
            </w:r>
            <w:r w:rsidRPr="002434CF">
              <w:rPr>
                <w:rFonts w:eastAsiaTheme="minorHAnsi"/>
                <w:b/>
                <w:bCs/>
                <w:sz w:val="20"/>
                <w:szCs w:val="20"/>
                <w:vertAlign w:val="superscript"/>
                <w:lang w:eastAsia="en-US" w:bidi="ar-SA"/>
              </w:rPr>
              <w:t>7</w:t>
            </w:r>
          </w:p>
        </w:tc>
      </w:tr>
      <w:tr w:rsidR="002434CF" w:rsidRPr="002434CF" w:rsidTr="002434CF">
        <w:trPr>
          <w:trHeight w:val="488"/>
        </w:trPr>
        <w:tc>
          <w:tcPr>
            <w:tcW w:w="709" w:type="dxa"/>
            <w:vMerge/>
          </w:tcPr>
          <w:p w:rsidR="00CB2FA0" w:rsidRPr="002434CF" w:rsidRDefault="00CB2FA0" w:rsidP="00CB2FA0">
            <w:pPr>
              <w:widowControl/>
              <w:adjustRightInd w:val="0"/>
              <w:rPr>
                <w:rFonts w:eastAsiaTheme="minorHAnsi"/>
                <w:sz w:val="20"/>
                <w:szCs w:val="20"/>
                <w:lang w:eastAsia="en-US" w:bidi="ar-SA"/>
              </w:rPr>
            </w:pPr>
          </w:p>
        </w:tc>
        <w:tc>
          <w:tcPr>
            <w:tcW w:w="1275" w:type="dxa"/>
            <w:vMerge/>
          </w:tcPr>
          <w:p w:rsidR="00CB2FA0" w:rsidRPr="002434CF" w:rsidRDefault="00CB2FA0" w:rsidP="00CB2FA0">
            <w:pPr>
              <w:widowControl/>
              <w:adjustRightInd w:val="0"/>
              <w:rPr>
                <w:rFonts w:eastAsiaTheme="minorHAnsi"/>
                <w:sz w:val="20"/>
                <w:szCs w:val="20"/>
                <w:lang w:eastAsia="en-US" w:bidi="ar-SA"/>
              </w:rPr>
            </w:pPr>
          </w:p>
        </w:tc>
        <w:tc>
          <w:tcPr>
            <w:tcW w:w="1276" w:type="dxa"/>
            <w:vMerge/>
          </w:tcPr>
          <w:p w:rsidR="00CB2FA0" w:rsidRPr="002434CF" w:rsidRDefault="00CB2FA0" w:rsidP="00CB2FA0">
            <w:pPr>
              <w:widowControl/>
              <w:adjustRightInd w:val="0"/>
              <w:rPr>
                <w:rFonts w:eastAsiaTheme="minorHAnsi"/>
                <w:sz w:val="20"/>
                <w:szCs w:val="20"/>
                <w:lang w:eastAsia="en-US" w:bidi="ar-SA"/>
              </w:rPr>
            </w:pPr>
          </w:p>
        </w:tc>
        <w:tc>
          <w:tcPr>
            <w:tcW w:w="1276" w:type="dxa"/>
            <w:vMerge/>
          </w:tcPr>
          <w:p w:rsidR="00CB2FA0" w:rsidRPr="002434CF" w:rsidRDefault="00CB2FA0" w:rsidP="00CB2FA0">
            <w:pPr>
              <w:widowControl/>
              <w:adjustRightInd w:val="0"/>
              <w:rPr>
                <w:rFonts w:eastAsiaTheme="minorHAnsi"/>
                <w:sz w:val="20"/>
                <w:szCs w:val="20"/>
                <w:lang w:eastAsia="en-US" w:bidi="ar-SA"/>
              </w:rPr>
            </w:pPr>
          </w:p>
        </w:tc>
        <w:tc>
          <w:tcPr>
            <w:tcW w:w="1559" w:type="dxa"/>
            <w:vMerge/>
          </w:tcPr>
          <w:p w:rsidR="00CB2FA0" w:rsidRPr="002434CF" w:rsidRDefault="00CB2FA0" w:rsidP="00CB2FA0">
            <w:pPr>
              <w:widowControl/>
              <w:adjustRightInd w:val="0"/>
              <w:rPr>
                <w:rFonts w:eastAsiaTheme="minorHAnsi"/>
                <w:sz w:val="20"/>
                <w:szCs w:val="20"/>
                <w:lang w:eastAsia="en-US" w:bidi="ar-SA"/>
              </w:rPr>
            </w:pPr>
          </w:p>
        </w:tc>
        <w:tc>
          <w:tcPr>
            <w:tcW w:w="1276" w:type="dxa"/>
            <w:vMerge/>
          </w:tcPr>
          <w:p w:rsidR="00CB2FA0" w:rsidRPr="002434CF" w:rsidRDefault="00CB2FA0" w:rsidP="00CB2FA0">
            <w:pPr>
              <w:widowControl/>
              <w:adjustRightInd w:val="0"/>
              <w:rPr>
                <w:rFonts w:eastAsiaTheme="minorHAnsi"/>
                <w:sz w:val="20"/>
                <w:szCs w:val="20"/>
                <w:lang w:eastAsia="en-US" w:bidi="ar-SA"/>
              </w:rPr>
            </w:pPr>
          </w:p>
        </w:tc>
        <w:tc>
          <w:tcPr>
            <w:tcW w:w="709" w:type="dxa"/>
          </w:tcPr>
          <w:p w:rsidR="00CB2FA0" w:rsidRPr="002434CF" w:rsidRDefault="00CB2FA0" w:rsidP="002434CF">
            <w:pPr>
              <w:widowControl/>
              <w:tabs>
                <w:tab w:val="right" w:pos="7370"/>
              </w:tabs>
              <w:suppressAutoHyphens/>
              <w:adjustRightInd w:val="0"/>
              <w:spacing w:before="172" w:after="115" w:line="260" w:lineRule="atLeast"/>
              <w:jc w:val="center"/>
              <w:textAlignment w:val="center"/>
              <w:rPr>
                <w:rFonts w:eastAsiaTheme="minorHAnsi"/>
                <w:b/>
                <w:bCs/>
                <w:sz w:val="20"/>
                <w:szCs w:val="20"/>
                <w:lang w:eastAsia="en-US" w:bidi="ar-SA"/>
              </w:rPr>
            </w:pPr>
            <w:r w:rsidRPr="002434CF">
              <w:rPr>
                <w:rFonts w:eastAsiaTheme="minorHAnsi"/>
                <w:b/>
                <w:bCs/>
                <w:sz w:val="20"/>
                <w:szCs w:val="20"/>
                <w:lang w:eastAsia="en-US" w:bidi="ar-SA"/>
              </w:rPr>
              <w:t>CBD</w:t>
            </w:r>
          </w:p>
        </w:tc>
        <w:tc>
          <w:tcPr>
            <w:tcW w:w="850" w:type="dxa"/>
          </w:tcPr>
          <w:p w:rsidR="00CB2FA0" w:rsidRPr="002434CF" w:rsidRDefault="00CB2FA0" w:rsidP="002434CF">
            <w:pPr>
              <w:widowControl/>
              <w:tabs>
                <w:tab w:val="right" w:pos="7370"/>
              </w:tabs>
              <w:suppressAutoHyphens/>
              <w:adjustRightInd w:val="0"/>
              <w:spacing w:before="172" w:after="115" w:line="260" w:lineRule="atLeast"/>
              <w:jc w:val="center"/>
              <w:textAlignment w:val="center"/>
              <w:rPr>
                <w:rFonts w:eastAsiaTheme="minorHAnsi"/>
                <w:b/>
                <w:bCs/>
                <w:sz w:val="20"/>
                <w:szCs w:val="20"/>
                <w:lang w:eastAsia="en-US" w:bidi="ar-SA"/>
              </w:rPr>
            </w:pPr>
            <w:r w:rsidRPr="002434CF">
              <w:rPr>
                <w:rFonts w:eastAsiaTheme="minorHAnsi"/>
                <w:b/>
                <w:bCs/>
                <w:sz w:val="20"/>
                <w:szCs w:val="20"/>
                <w:lang w:eastAsia="en-US" w:bidi="ar-SA"/>
              </w:rPr>
              <w:t>Metro</w:t>
            </w:r>
          </w:p>
        </w:tc>
        <w:tc>
          <w:tcPr>
            <w:tcW w:w="1134" w:type="dxa"/>
          </w:tcPr>
          <w:p w:rsidR="00CB2FA0" w:rsidRPr="002434CF" w:rsidRDefault="00CB2FA0" w:rsidP="002434CF">
            <w:pPr>
              <w:widowControl/>
              <w:tabs>
                <w:tab w:val="right" w:pos="7370"/>
              </w:tabs>
              <w:suppressAutoHyphens/>
              <w:adjustRightInd w:val="0"/>
              <w:spacing w:before="172" w:after="115" w:line="260" w:lineRule="atLeast"/>
              <w:jc w:val="center"/>
              <w:textAlignment w:val="center"/>
              <w:rPr>
                <w:rFonts w:eastAsiaTheme="minorHAnsi"/>
                <w:b/>
                <w:bCs/>
                <w:sz w:val="20"/>
                <w:szCs w:val="20"/>
                <w:lang w:eastAsia="en-US" w:bidi="ar-SA"/>
              </w:rPr>
            </w:pPr>
            <w:r w:rsidRPr="002434CF">
              <w:rPr>
                <w:rFonts w:eastAsiaTheme="minorHAnsi"/>
                <w:b/>
                <w:bCs/>
                <w:sz w:val="20"/>
                <w:szCs w:val="20"/>
                <w:lang w:eastAsia="en-US" w:bidi="ar-SA"/>
              </w:rPr>
              <w:t>Regional</w:t>
            </w:r>
          </w:p>
        </w:tc>
      </w:tr>
      <w:tr w:rsidR="002434CF" w:rsidRPr="002434CF" w:rsidTr="002434CF">
        <w:trPr>
          <w:trHeight w:val="60"/>
        </w:trPr>
        <w:tc>
          <w:tcPr>
            <w:tcW w:w="709" w:type="dxa"/>
          </w:tcPr>
          <w:p w:rsidR="00CB2FA0" w:rsidRPr="002434CF" w:rsidRDefault="00CB2FA0" w:rsidP="00CB2FA0">
            <w:pPr>
              <w:widowControl/>
              <w:tabs>
                <w:tab w:val="right" w:pos="7370"/>
              </w:tabs>
              <w:suppressAutoHyphens/>
              <w:adjustRightInd w:val="0"/>
              <w:spacing w:before="172" w:after="115" w:line="260" w:lineRule="atLeast"/>
              <w:textAlignment w:val="center"/>
              <w:rPr>
                <w:rFonts w:eastAsiaTheme="minorHAnsi"/>
                <w:b/>
                <w:bCs/>
                <w:sz w:val="20"/>
                <w:szCs w:val="20"/>
                <w:lang w:eastAsia="en-US" w:bidi="ar-SA"/>
              </w:rPr>
            </w:pPr>
            <w:r w:rsidRPr="002434CF">
              <w:rPr>
                <w:rFonts w:eastAsiaTheme="minorHAnsi"/>
                <w:b/>
                <w:bCs/>
                <w:spacing w:val="-3"/>
                <w:sz w:val="20"/>
                <w:szCs w:val="20"/>
                <w:lang w:eastAsia="en-US" w:bidi="ar-SA"/>
              </w:rPr>
              <w:t>2018–19</w:t>
            </w:r>
          </w:p>
        </w:tc>
        <w:tc>
          <w:tcPr>
            <w:tcW w:w="1275"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9886</w:t>
            </w:r>
          </w:p>
        </w:tc>
        <w:tc>
          <w:tcPr>
            <w:tcW w:w="1276"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3,993</w:t>
            </w:r>
          </w:p>
        </w:tc>
        <w:tc>
          <w:tcPr>
            <w:tcW w:w="1276"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0.73</w:t>
            </w:r>
          </w:p>
        </w:tc>
        <w:tc>
          <w:tcPr>
            <w:tcW w:w="1559"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0.18</w:t>
            </w:r>
          </w:p>
        </w:tc>
        <w:tc>
          <w:tcPr>
            <w:tcW w:w="1276"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25,846</w:t>
            </w:r>
          </w:p>
        </w:tc>
        <w:tc>
          <w:tcPr>
            <w:tcW w:w="709"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100</w:t>
            </w:r>
          </w:p>
        </w:tc>
        <w:tc>
          <w:tcPr>
            <w:tcW w:w="850"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97</w:t>
            </w:r>
          </w:p>
        </w:tc>
        <w:tc>
          <w:tcPr>
            <w:tcW w:w="1134"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100</w:t>
            </w:r>
          </w:p>
        </w:tc>
      </w:tr>
      <w:tr w:rsidR="002434CF" w:rsidRPr="002434CF" w:rsidTr="002434CF">
        <w:trPr>
          <w:trHeight w:val="60"/>
        </w:trPr>
        <w:tc>
          <w:tcPr>
            <w:tcW w:w="709" w:type="dxa"/>
          </w:tcPr>
          <w:p w:rsidR="00CB2FA0" w:rsidRPr="002434CF" w:rsidRDefault="00CB2FA0" w:rsidP="00CB2FA0">
            <w:pPr>
              <w:widowControl/>
              <w:tabs>
                <w:tab w:val="right" w:pos="7370"/>
              </w:tabs>
              <w:suppressAutoHyphens/>
              <w:adjustRightInd w:val="0"/>
              <w:spacing w:before="172" w:after="115" w:line="260" w:lineRule="atLeast"/>
              <w:textAlignment w:val="center"/>
              <w:rPr>
                <w:rFonts w:eastAsiaTheme="minorHAnsi"/>
                <w:b/>
                <w:bCs/>
                <w:sz w:val="20"/>
                <w:szCs w:val="20"/>
                <w:lang w:eastAsia="en-US" w:bidi="ar-SA"/>
              </w:rPr>
            </w:pPr>
            <w:r w:rsidRPr="002434CF">
              <w:rPr>
                <w:rFonts w:eastAsiaTheme="minorHAnsi"/>
                <w:b/>
                <w:bCs/>
                <w:spacing w:val="-3"/>
                <w:sz w:val="20"/>
                <w:szCs w:val="20"/>
                <w:lang w:eastAsia="en-US" w:bidi="ar-SA"/>
              </w:rPr>
              <w:t>2017–18</w:t>
            </w:r>
          </w:p>
        </w:tc>
        <w:tc>
          <w:tcPr>
            <w:tcW w:w="1275"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111,355</w:t>
            </w:r>
          </w:p>
        </w:tc>
        <w:tc>
          <w:tcPr>
            <w:tcW w:w="1276"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25,596</w:t>
            </w:r>
          </w:p>
        </w:tc>
        <w:tc>
          <w:tcPr>
            <w:tcW w:w="1276"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7.5</w:t>
            </w:r>
          </w:p>
        </w:tc>
        <w:tc>
          <w:tcPr>
            <w:tcW w:w="1559"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0.3</w:t>
            </w:r>
          </w:p>
        </w:tc>
        <w:tc>
          <w:tcPr>
            <w:tcW w:w="1276"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126,213</w:t>
            </w:r>
          </w:p>
        </w:tc>
        <w:tc>
          <w:tcPr>
            <w:tcW w:w="709"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100</w:t>
            </w:r>
          </w:p>
        </w:tc>
        <w:tc>
          <w:tcPr>
            <w:tcW w:w="850"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93</w:t>
            </w:r>
          </w:p>
        </w:tc>
        <w:tc>
          <w:tcPr>
            <w:tcW w:w="1134"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100</w:t>
            </w:r>
          </w:p>
        </w:tc>
      </w:tr>
    </w:tbl>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p>
    <w:tbl>
      <w:tblPr>
        <w:tblStyle w:val="TableGrid"/>
        <w:tblW w:w="0" w:type="auto"/>
        <w:tblInd w:w="822" w:type="dxa"/>
        <w:tblLayout w:type="fixed"/>
        <w:tblLook w:val="0000" w:firstRow="0" w:lastRow="0" w:firstColumn="0" w:lastColumn="0" w:noHBand="0" w:noVBand="0"/>
      </w:tblPr>
      <w:tblGrid>
        <w:gridCol w:w="5977"/>
        <w:gridCol w:w="2268"/>
        <w:gridCol w:w="1843"/>
      </w:tblGrid>
      <w:tr w:rsidR="002434CF" w:rsidRPr="002434CF" w:rsidTr="002434CF">
        <w:trPr>
          <w:trHeight w:val="60"/>
        </w:trPr>
        <w:tc>
          <w:tcPr>
            <w:tcW w:w="10088" w:type="dxa"/>
            <w:gridSpan w:val="3"/>
          </w:tcPr>
          <w:p w:rsidR="00CB2FA0" w:rsidRPr="002434CF" w:rsidRDefault="00CB2FA0" w:rsidP="00CB2FA0">
            <w:pPr>
              <w:widowControl/>
              <w:adjustRightInd w:val="0"/>
              <w:spacing w:before="115" w:after="57" w:line="280" w:lineRule="atLeast"/>
              <w:textAlignment w:val="center"/>
              <w:rPr>
                <w:rFonts w:eastAsiaTheme="minorHAnsi"/>
                <w:b/>
                <w:bCs/>
                <w:sz w:val="20"/>
                <w:szCs w:val="20"/>
                <w:lang w:eastAsia="en-US" w:bidi="ar-SA"/>
              </w:rPr>
            </w:pPr>
            <w:r w:rsidRPr="002434CF">
              <w:rPr>
                <w:rFonts w:eastAsiaTheme="minorHAnsi"/>
                <w:b/>
                <w:bCs/>
                <w:sz w:val="20"/>
                <w:szCs w:val="20"/>
                <w:lang w:eastAsia="en-US" w:bidi="ar-SA"/>
              </w:rPr>
              <w:t>Greenhouse Gas Emissions</w:t>
            </w:r>
          </w:p>
        </w:tc>
      </w:tr>
      <w:tr w:rsidR="002434CF" w:rsidRPr="002434CF" w:rsidTr="002434CF">
        <w:trPr>
          <w:trHeight w:val="60"/>
        </w:trPr>
        <w:tc>
          <w:tcPr>
            <w:tcW w:w="5977" w:type="dxa"/>
          </w:tcPr>
          <w:p w:rsidR="00CB2FA0" w:rsidRPr="002434CF" w:rsidRDefault="00CB2FA0" w:rsidP="00CB2FA0">
            <w:pPr>
              <w:widowControl/>
              <w:adjustRightInd w:val="0"/>
              <w:rPr>
                <w:rFonts w:eastAsiaTheme="minorHAnsi"/>
                <w:sz w:val="20"/>
                <w:szCs w:val="20"/>
                <w:lang w:eastAsia="en-US" w:bidi="ar-SA"/>
              </w:rPr>
            </w:pPr>
          </w:p>
        </w:tc>
        <w:tc>
          <w:tcPr>
            <w:tcW w:w="2268" w:type="dxa"/>
          </w:tcPr>
          <w:p w:rsidR="00CB2FA0" w:rsidRPr="002434CF" w:rsidRDefault="00CB2FA0" w:rsidP="002434CF">
            <w:pPr>
              <w:widowControl/>
              <w:tabs>
                <w:tab w:val="right" w:pos="7370"/>
              </w:tabs>
              <w:suppressAutoHyphens/>
              <w:adjustRightInd w:val="0"/>
              <w:spacing w:before="172" w:after="115" w:line="260" w:lineRule="atLeast"/>
              <w:jc w:val="center"/>
              <w:textAlignment w:val="center"/>
              <w:rPr>
                <w:rFonts w:eastAsiaTheme="minorHAnsi"/>
                <w:b/>
                <w:bCs/>
                <w:sz w:val="20"/>
                <w:szCs w:val="20"/>
                <w:lang w:eastAsia="en-US" w:bidi="ar-SA"/>
              </w:rPr>
            </w:pPr>
            <w:r w:rsidRPr="002434CF">
              <w:rPr>
                <w:rFonts w:eastAsiaTheme="minorHAnsi"/>
                <w:b/>
                <w:bCs/>
                <w:sz w:val="20"/>
                <w:szCs w:val="20"/>
                <w:lang w:eastAsia="en-US" w:bidi="ar-SA"/>
              </w:rPr>
              <w:t>2018–19</w:t>
            </w:r>
          </w:p>
        </w:tc>
        <w:tc>
          <w:tcPr>
            <w:tcW w:w="1843" w:type="dxa"/>
          </w:tcPr>
          <w:p w:rsidR="00CB2FA0" w:rsidRPr="002434CF" w:rsidRDefault="00CB2FA0" w:rsidP="002434CF">
            <w:pPr>
              <w:widowControl/>
              <w:tabs>
                <w:tab w:val="right" w:pos="7370"/>
              </w:tabs>
              <w:suppressAutoHyphens/>
              <w:adjustRightInd w:val="0"/>
              <w:spacing w:before="172" w:after="115" w:line="260" w:lineRule="atLeast"/>
              <w:jc w:val="center"/>
              <w:textAlignment w:val="center"/>
              <w:rPr>
                <w:rFonts w:eastAsiaTheme="minorHAnsi"/>
                <w:b/>
                <w:bCs/>
                <w:sz w:val="20"/>
                <w:szCs w:val="20"/>
                <w:lang w:eastAsia="en-US" w:bidi="ar-SA"/>
              </w:rPr>
            </w:pPr>
            <w:r w:rsidRPr="002434CF">
              <w:rPr>
                <w:rFonts w:eastAsiaTheme="minorHAnsi"/>
                <w:b/>
                <w:bCs/>
                <w:sz w:val="20"/>
                <w:szCs w:val="20"/>
                <w:lang w:eastAsia="en-US" w:bidi="ar-SA"/>
              </w:rPr>
              <w:t>2017–18</w:t>
            </w:r>
          </w:p>
        </w:tc>
      </w:tr>
      <w:tr w:rsidR="002434CF" w:rsidRPr="002434CF" w:rsidTr="002434CF">
        <w:trPr>
          <w:trHeight w:val="60"/>
        </w:trPr>
        <w:tc>
          <w:tcPr>
            <w:tcW w:w="5977" w:type="dxa"/>
          </w:tcPr>
          <w:p w:rsidR="00CB2FA0" w:rsidRPr="002434CF" w:rsidRDefault="00CB2FA0" w:rsidP="00CB2FA0">
            <w:pPr>
              <w:widowControl/>
              <w:suppressAutoHyphens/>
              <w:adjustRightInd w:val="0"/>
              <w:spacing w:after="115" w:line="220" w:lineRule="atLeast"/>
              <w:textAlignment w:val="center"/>
              <w:rPr>
                <w:rFonts w:eastAsiaTheme="minorHAnsi"/>
                <w:sz w:val="20"/>
                <w:szCs w:val="20"/>
                <w:lang w:eastAsia="en-US" w:bidi="ar-SA"/>
              </w:rPr>
            </w:pPr>
            <w:r w:rsidRPr="002434CF">
              <w:rPr>
                <w:rFonts w:eastAsiaTheme="minorHAnsi"/>
                <w:sz w:val="20"/>
                <w:szCs w:val="20"/>
                <w:lang w:eastAsia="en-US" w:bidi="ar-SA"/>
              </w:rPr>
              <w:t xml:space="preserve">Total greenhouse gas emissions from energy – Scope 2 </w:t>
            </w:r>
          </w:p>
        </w:tc>
        <w:tc>
          <w:tcPr>
            <w:tcW w:w="2268" w:type="dxa"/>
          </w:tcPr>
          <w:p w:rsidR="00CB2FA0" w:rsidRPr="002434CF" w:rsidRDefault="00CB2FA0" w:rsidP="002434CF">
            <w:pPr>
              <w:widowControl/>
              <w:suppressAutoHyphens/>
              <w:adjustRightInd w:val="0"/>
              <w:spacing w:after="115"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197</w:t>
            </w:r>
          </w:p>
        </w:tc>
        <w:tc>
          <w:tcPr>
            <w:tcW w:w="1843" w:type="dxa"/>
          </w:tcPr>
          <w:p w:rsidR="00CB2FA0" w:rsidRPr="002434CF" w:rsidRDefault="00CB2FA0" w:rsidP="002434CF">
            <w:pPr>
              <w:widowControl/>
              <w:suppressAutoHyphens/>
              <w:adjustRightInd w:val="0"/>
              <w:spacing w:after="115"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194</w:t>
            </w:r>
          </w:p>
        </w:tc>
      </w:tr>
      <w:tr w:rsidR="002434CF" w:rsidRPr="002434CF" w:rsidTr="002434CF">
        <w:trPr>
          <w:trHeight w:val="60"/>
        </w:trPr>
        <w:tc>
          <w:tcPr>
            <w:tcW w:w="5977" w:type="dxa"/>
          </w:tcPr>
          <w:p w:rsidR="00CB2FA0" w:rsidRPr="002434CF" w:rsidRDefault="00CB2FA0" w:rsidP="00CB2FA0">
            <w:pPr>
              <w:widowControl/>
              <w:suppressAutoHyphens/>
              <w:adjustRightInd w:val="0"/>
              <w:spacing w:after="115" w:line="220" w:lineRule="atLeast"/>
              <w:textAlignment w:val="center"/>
              <w:rPr>
                <w:rFonts w:eastAsiaTheme="minorHAnsi"/>
                <w:sz w:val="20"/>
                <w:szCs w:val="20"/>
                <w:lang w:eastAsia="en-US" w:bidi="ar-SA"/>
              </w:rPr>
            </w:pPr>
            <w:r w:rsidRPr="002434CF">
              <w:rPr>
                <w:rFonts w:eastAsiaTheme="minorHAnsi"/>
                <w:sz w:val="20"/>
                <w:szCs w:val="20"/>
                <w:lang w:eastAsia="en-US" w:bidi="ar-SA"/>
              </w:rPr>
              <w:t>Total greenhouse gas emissions from energy – Scope 3</w:t>
            </w:r>
          </w:p>
        </w:tc>
        <w:tc>
          <w:tcPr>
            <w:tcW w:w="2268" w:type="dxa"/>
          </w:tcPr>
          <w:p w:rsidR="00CB2FA0" w:rsidRPr="002434CF" w:rsidRDefault="00CB2FA0" w:rsidP="002434CF">
            <w:pPr>
              <w:widowControl/>
              <w:suppressAutoHyphens/>
              <w:adjustRightInd w:val="0"/>
              <w:spacing w:after="115"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18.45</w:t>
            </w:r>
          </w:p>
        </w:tc>
        <w:tc>
          <w:tcPr>
            <w:tcW w:w="1843" w:type="dxa"/>
          </w:tcPr>
          <w:p w:rsidR="00CB2FA0" w:rsidRPr="002434CF" w:rsidRDefault="00CB2FA0" w:rsidP="002434CF">
            <w:pPr>
              <w:widowControl/>
              <w:suppressAutoHyphens/>
              <w:adjustRightInd w:val="0"/>
              <w:spacing w:after="115"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18</w:t>
            </w:r>
          </w:p>
        </w:tc>
      </w:tr>
      <w:tr w:rsidR="002434CF" w:rsidRPr="002434CF" w:rsidTr="002434CF">
        <w:trPr>
          <w:trHeight w:val="358"/>
        </w:trPr>
        <w:tc>
          <w:tcPr>
            <w:tcW w:w="5977" w:type="dxa"/>
          </w:tcPr>
          <w:p w:rsidR="00CB2FA0" w:rsidRPr="002434CF" w:rsidRDefault="00CB2FA0" w:rsidP="00CB2FA0">
            <w:pPr>
              <w:widowControl/>
              <w:suppressAutoHyphens/>
              <w:adjustRightInd w:val="0"/>
              <w:spacing w:after="115" w:line="220" w:lineRule="atLeast"/>
              <w:textAlignment w:val="center"/>
              <w:rPr>
                <w:rFonts w:eastAsiaTheme="minorHAnsi"/>
                <w:sz w:val="20"/>
                <w:szCs w:val="20"/>
                <w:lang w:eastAsia="en-US" w:bidi="ar-SA"/>
              </w:rPr>
            </w:pPr>
            <w:r w:rsidRPr="002434CF">
              <w:rPr>
                <w:rFonts w:eastAsiaTheme="minorHAnsi"/>
                <w:sz w:val="20"/>
                <w:szCs w:val="20"/>
                <w:lang w:eastAsia="en-US" w:bidi="ar-SA"/>
              </w:rPr>
              <w:t xml:space="preserve">Total greenhouse gas emissions from vehicle use </w:t>
            </w:r>
          </w:p>
        </w:tc>
        <w:tc>
          <w:tcPr>
            <w:tcW w:w="2268" w:type="dxa"/>
          </w:tcPr>
          <w:p w:rsidR="00CB2FA0" w:rsidRPr="002434CF" w:rsidRDefault="00CB2FA0" w:rsidP="002434CF">
            <w:pPr>
              <w:widowControl/>
              <w:suppressAutoHyphens/>
              <w:adjustRightInd w:val="0"/>
              <w:spacing w:after="115"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0.73</w:t>
            </w:r>
          </w:p>
        </w:tc>
        <w:tc>
          <w:tcPr>
            <w:tcW w:w="1843" w:type="dxa"/>
          </w:tcPr>
          <w:p w:rsidR="00CB2FA0" w:rsidRPr="002434CF" w:rsidRDefault="00CB2FA0" w:rsidP="002434CF">
            <w:pPr>
              <w:widowControl/>
              <w:suppressAutoHyphens/>
              <w:adjustRightInd w:val="0"/>
              <w:spacing w:after="115"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7.5</w:t>
            </w:r>
            <w:r w:rsidRPr="002434CF">
              <w:rPr>
                <w:rFonts w:eastAsiaTheme="minorHAnsi"/>
                <w:sz w:val="20"/>
                <w:szCs w:val="20"/>
                <w:vertAlign w:val="superscript"/>
                <w:lang w:eastAsia="en-US" w:bidi="ar-SA"/>
              </w:rPr>
              <w:t>8</w:t>
            </w:r>
          </w:p>
        </w:tc>
      </w:tr>
      <w:tr w:rsidR="002434CF" w:rsidRPr="002434CF" w:rsidTr="002434CF">
        <w:trPr>
          <w:trHeight w:val="60"/>
        </w:trPr>
        <w:tc>
          <w:tcPr>
            <w:tcW w:w="5977" w:type="dxa"/>
          </w:tcPr>
          <w:p w:rsidR="00CB2FA0" w:rsidRPr="002434CF" w:rsidRDefault="00CB2FA0" w:rsidP="00CB2FA0">
            <w:pPr>
              <w:widowControl/>
              <w:suppressAutoHyphens/>
              <w:adjustRightInd w:val="0"/>
              <w:spacing w:after="115" w:line="220" w:lineRule="atLeast"/>
              <w:textAlignment w:val="center"/>
              <w:rPr>
                <w:rFonts w:eastAsiaTheme="minorHAnsi"/>
                <w:sz w:val="20"/>
                <w:szCs w:val="20"/>
                <w:lang w:eastAsia="en-US" w:bidi="ar-SA"/>
              </w:rPr>
            </w:pPr>
            <w:r w:rsidRPr="002434CF">
              <w:rPr>
                <w:rFonts w:eastAsiaTheme="minorHAnsi"/>
                <w:sz w:val="20"/>
                <w:szCs w:val="20"/>
                <w:lang w:eastAsia="en-US" w:bidi="ar-SA"/>
              </w:rPr>
              <w:t xml:space="preserve">Total greenhouse gas emissions from air travel </w:t>
            </w:r>
          </w:p>
        </w:tc>
        <w:tc>
          <w:tcPr>
            <w:tcW w:w="2268" w:type="dxa"/>
          </w:tcPr>
          <w:p w:rsidR="00CB2FA0" w:rsidRPr="002434CF" w:rsidRDefault="00CB2FA0" w:rsidP="002434CF">
            <w:pPr>
              <w:widowControl/>
              <w:suppressAutoHyphens/>
              <w:adjustRightInd w:val="0"/>
              <w:spacing w:after="115"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4.58</w:t>
            </w:r>
          </w:p>
        </w:tc>
        <w:tc>
          <w:tcPr>
            <w:tcW w:w="1843" w:type="dxa"/>
          </w:tcPr>
          <w:p w:rsidR="00CB2FA0" w:rsidRPr="002434CF" w:rsidRDefault="00CB2FA0" w:rsidP="002434CF">
            <w:pPr>
              <w:widowControl/>
              <w:suppressAutoHyphens/>
              <w:adjustRightInd w:val="0"/>
              <w:spacing w:after="115"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30.81</w:t>
            </w:r>
            <w:r w:rsidRPr="002434CF">
              <w:rPr>
                <w:rFonts w:eastAsiaTheme="minorHAnsi"/>
                <w:sz w:val="20"/>
                <w:szCs w:val="20"/>
                <w:vertAlign w:val="superscript"/>
                <w:lang w:eastAsia="en-US" w:bidi="ar-SA"/>
              </w:rPr>
              <w:t>9</w:t>
            </w:r>
          </w:p>
        </w:tc>
      </w:tr>
      <w:tr w:rsidR="002434CF" w:rsidRPr="002434CF" w:rsidTr="002434CF">
        <w:trPr>
          <w:trHeight w:val="60"/>
        </w:trPr>
        <w:tc>
          <w:tcPr>
            <w:tcW w:w="5977" w:type="dxa"/>
          </w:tcPr>
          <w:p w:rsidR="00CB2FA0" w:rsidRPr="002434CF"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2434CF">
              <w:rPr>
                <w:rFonts w:eastAsiaTheme="minorHAnsi"/>
                <w:sz w:val="20"/>
                <w:szCs w:val="20"/>
                <w:lang w:eastAsia="en-US" w:bidi="ar-SA"/>
              </w:rPr>
              <w:t xml:space="preserve">Total greenhouse gas emissions from waste </w:t>
            </w:r>
          </w:p>
        </w:tc>
        <w:tc>
          <w:tcPr>
            <w:tcW w:w="2268" w:type="dxa"/>
          </w:tcPr>
          <w:p w:rsidR="00CB2FA0" w:rsidRPr="002434CF" w:rsidRDefault="00CB2FA0" w:rsidP="002434CF">
            <w:pPr>
              <w:widowControl/>
              <w:suppressAutoHyphens/>
              <w:adjustRightInd w:val="0"/>
              <w:spacing w:after="115"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5.55</w:t>
            </w:r>
          </w:p>
        </w:tc>
        <w:tc>
          <w:tcPr>
            <w:tcW w:w="1843"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4.7</w:t>
            </w:r>
            <w:r w:rsidRPr="002434CF">
              <w:rPr>
                <w:rFonts w:eastAsiaTheme="minorHAnsi"/>
                <w:sz w:val="20"/>
                <w:szCs w:val="20"/>
                <w:vertAlign w:val="superscript"/>
                <w:lang w:eastAsia="en-US" w:bidi="ar-SA"/>
              </w:rPr>
              <w:t>10</w:t>
            </w:r>
          </w:p>
        </w:tc>
      </w:tr>
      <w:tr w:rsidR="002434CF" w:rsidRPr="002434CF" w:rsidTr="002434CF">
        <w:trPr>
          <w:trHeight w:val="60"/>
        </w:trPr>
        <w:tc>
          <w:tcPr>
            <w:tcW w:w="5977" w:type="dxa"/>
          </w:tcPr>
          <w:p w:rsidR="00CB2FA0" w:rsidRPr="002434CF"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2434CF">
              <w:rPr>
                <w:rFonts w:eastAsiaTheme="minorHAnsi"/>
                <w:sz w:val="20"/>
                <w:szCs w:val="20"/>
                <w:lang w:eastAsia="en-US" w:bidi="ar-SA"/>
              </w:rPr>
              <w:t xml:space="preserve">Total greenhouse gas emissions offsets purchased </w:t>
            </w:r>
          </w:p>
        </w:tc>
        <w:tc>
          <w:tcPr>
            <w:tcW w:w="2268" w:type="dxa"/>
          </w:tcPr>
          <w:p w:rsidR="00CB2FA0" w:rsidRPr="002434CF" w:rsidRDefault="00CB2FA0" w:rsidP="002434CF">
            <w:pPr>
              <w:widowControl/>
              <w:suppressAutoHyphens/>
              <w:adjustRightInd w:val="0"/>
              <w:spacing w:after="115"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0</w:t>
            </w:r>
          </w:p>
        </w:tc>
        <w:tc>
          <w:tcPr>
            <w:tcW w:w="1843" w:type="dxa"/>
          </w:tcPr>
          <w:p w:rsidR="00CB2FA0" w:rsidRPr="002434CF" w:rsidRDefault="00CB2FA0" w:rsidP="002434CF">
            <w:pPr>
              <w:widowControl/>
              <w:suppressAutoHyphens/>
              <w:adjustRightInd w:val="0"/>
              <w:spacing w:after="113" w:line="220" w:lineRule="atLeast"/>
              <w:jc w:val="center"/>
              <w:textAlignment w:val="center"/>
              <w:rPr>
                <w:rFonts w:eastAsiaTheme="minorHAnsi"/>
                <w:sz w:val="20"/>
                <w:szCs w:val="20"/>
                <w:lang w:eastAsia="en-US" w:bidi="ar-SA"/>
              </w:rPr>
            </w:pPr>
            <w:r w:rsidRPr="002434CF">
              <w:rPr>
                <w:rFonts w:eastAsiaTheme="minorHAnsi"/>
                <w:sz w:val="20"/>
                <w:szCs w:val="20"/>
                <w:lang w:eastAsia="en-US" w:bidi="ar-SA"/>
              </w:rPr>
              <w:t>0</w:t>
            </w:r>
          </w:p>
        </w:tc>
      </w:tr>
    </w:tbl>
    <w:p w:rsidR="00CB2FA0" w:rsidRPr="00CB2FA0" w:rsidRDefault="00CB2FA0" w:rsidP="00CB2FA0">
      <w:pPr>
        <w:widowControl/>
        <w:suppressAutoHyphens/>
        <w:adjustRightInd w:val="0"/>
        <w:spacing w:line="220" w:lineRule="atLeast"/>
        <w:textAlignment w:val="center"/>
        <w:rPr>
          <w:rFonts w:eastAsiaTheme="minorHAnsi"/>
          <w:i/>
          <w:iCs/>
          <w:color w:val="000000"/>
          <w:sz w:val="20"/>
          <w:szCs w:val="20"/>
          <w:lang w:eastAsia="en-US" w:bidi="ar-SA"/>
        </w:rPr>
      </w:pPr>
    </w:p>
    <w:p w:rsidR="00CB2FA0" w:rsidRPr="00CB2FA0" w:rsidRDefault="00CB2FA0" w:rsidP="00CB2FA0">
      <w:pPr>
        <w:widowControl/>
        <w:suppressAutoHyphens/>
        <w:adjustRightInd w:val="0"/>
        <w:spacing w:before="286" w:after="170" w:line="400" w:lineRule="atLeast"/>
        <w:textAlignment w:val="center"/>
        <w:rPr>
          <w:rFonts w:eastAsiaTheme="minorHAnsi"/>
          <w:color w:val="000000"/>
          <w:sz w:val="20"/>
          <w:szCs w:val="20"/>
          <w:lang w:eastAsia="en-US" w:bidi="ar-SA"/>
        </w:rPr>
      </w:pPr>
    </w:p>
    <w:p w:rsidR="00CB2FA0" w:rsidRDefault="00CB2FA0" w:rsidP="002434CF">
      <w:pPr>
        <w:pStyle w:val="Heading2"/>
        <w:rPr>
          <w:lang w:eastAsia="en-US" w:bidi="ar-SA"/>
        </w:rPr>
      </w:pPr>
      <w:bookmarkStart w:id="32" w:name="_Toc23329732"/>
      <w:r w:rsidRPr="00CB2FA0">
        <w:rPr>
          <w:lang w:eastAsia="en-US" w:bidi="ar-SA"/>
        </w:rPr>
        <w:t>Compliance</w:t>
      </w:r>
      <w:bookmarkEnd w:id="32"/>
      <w:r w:rsidRPr="00CB2FA0">
        <w:rPr>
          <w:lang w:eastAsia="en-US" w:bidi="ar-SA"/>
        </w:rPr>
        <w:t xml:space="preserve"> </w:t>
      </w:r>
    </w:p>
    <w:p w:rsidR="002434CF" w:rsidRPr="00CB2FA0" w:rsidRDefault="002434CF" w:rsidP="002434CF">
      <w:pPr>
        <w:rPr>
          <w:lang w:eastAsia="en-US" w:bidi="ar-SA"/>
        </w:rPr>
      </w:pPr>
    </w:p>
    <w:p w:rsidR="00CB2FA0" w:rsidRDefault="00CB2FA0" w:rsidP="002434CF">
      <w:pPr>
        <w:pStyle w:val="Heading3"/>
        <w:rPr>
          <w:lang w:eastAsia="en-US" w:bidi="ar-SA"/>
        </w:rPr>
      </w:pPr>
      <w:r w:rsidRPr="00CB2FA0">
        <w:rPr>
          <w:lang w:eastAsia="en-US" w:bidi="ar-SA"/>
        </w:rPr>
        <w:t xml:space="preserve">The </w:t>
      </w:r>
      <w:r w:rsidRPr="002434CF">
        <w:rPr>
          <w:i/>
          <w:iCs/>
          <w:lang w:eastAsia="en-US" w:bidi="ar-SA"/>
        </w:rPr>
        <w:t>Building Act 1993</w:t>
      </w:r>
    </w:p>
    <w:p w:rsidR="002434CF" w:rsidRPr="00CB2FA0" w:rsidRDefault="002434CF" w:rsidP="002434CF">
      <w:pPr>
        <w:rPr>
          <w:lang w:eastAsia="en-US" w:bidi="ar-SA"/>
        </w:rPr>
      </w:pPr>
    </w:p>
    <w:p w:rsid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The VPSC does not own or control any government buildings and consequently is exempt from notifying its compliance with the building and maintenance provisions of the Building Act 1993 (for publicly owned buildings controlled by the VPSC).</w:t>
      </w:r>
    </w:p>
    <w:p w:rsidR="002434CF" w:rsidRPr="00CB2FA0" w:rsidRDefault="002434CF" w:rsidP="002434CF">
      <w:pPr>
        <w:rPr>
          <w:lang w:eastAsia="en-US" w:bidi="ar-SA"/>
        </w:rPr>
      </w:pPr>
    </w:p>
    <w:p w:rsidR="00CB2FA0" w:rsidRPr="002434CF" w:rsidRDefault="00CB2FA0" w:rsidP="002434CF">
      <w:pPr>
        <w:pStyle w:val="Heading3"/>
      </w:pPr>
      <w:r w:rsidRPr="002434CF">
        <w:t xml:space="preserve">The </w:t>
      </w:r>
      <w:r w:rsidRPr="002434CF">
        <w:rPr>
          <w:i/>
          <w:iCs/>
        </w:rPr>
        <w:t>Freedom of Information Act 1982</w:t>
      </w:r>
    </w:p>
    <w:p w:rsidR="002434CF" w:rsidRDefault="002434CF" w:rsidP="002434CF">
      <w:pPr>
        <w:rPr>
          <w:lang w:eastAsia="en-US" w:bidi="ar-SA"/>
        </w:rPr>
      </w:pPr>
    </w:p>
    <w:p w:rsidR="00CB2FA0" w:rsidRPr="00CB2FA0" w:rsidRDefault="00CB2FA0" w:rsidP="00305051">
      <w:pPr>
        <w:widowControl/>
        <w:suppressAutoHyphens/>
        <w:adjustRightInd w:val="0"/>
        <w:spacing w:after="85" w:line="220" w:lineRule="atLeast"/>
        <w:ind w:left="709" w:right="1137"/>
        <w:textAlignment w:val="center"/>
        <w:rPr>
          <w:rFonts w:eastAsiaTheme="minorHAnsi"/>
          <w:color w:val="000000"/>
          <w:sz w:val="20"/>
          <w:szCs w:val="20"/>
          <w:lang w:eastAsia="en-US" w:bidi="ar-SA"/>
        </w:rPr>
      </w:pPr>
      <w:r w:rsidRPr="00CB2FA0">
        <w:rPr>
          <w:rFonts w:eastAsiaTheme="minorHAnsi"/>
          <w:color w:val="000000"/>
          <w:spacing w:val="-2"/>
          <w:sz w:val="20"/>
          <w:szCs w:val="20"/>
          <w:lang w:eastAsia="en-US" w:bidi="ar-SA"/>
        </w:rPr>
        <w:t xml:space="preserve">The VPSC is subject to the </w:t>
      </w:r>
      <w:r w:rsidRPr="00CB2FA0">
        <w:rPr>
          <w:rFonts w:eastAsiaTheme="minorHAnsi"/>
          <w:i/>
          <w:iCs/>
          <w:color w:val="000000"/>
          <w:spacing w:val="-2"/>
          <w:sz w:val="20"/>
          <w:szCs w:val="20"/>
          <w:lang w:eastAsia="en-US" w:bidi="ar-SA"/>
        </w:rPr>
        <w:t>Freedom and Information Act 1982</w:t>
      </w:r>
      <w:r w:rsidRPr="00CB2FA0">
        <w:rPr>
          <w:rFonts w:eastAsiaTheme="minorHAnsi"/>
          <w:color w:val="000000"/>
          <w:spacing w:val="-2"/>
          <w:sz w:val="20"/>
          <w:szCs w:val="20"/>
          <w:lang w:eastAsia="en-US" w:bidi="ar-SA"/>
        </w:rPr>
        <w:t xml:space="preserve">. The Act allows the public a right of access to documents held by the VSPC. The purpose of the Act is to extend as far as possible the right of the community </w:t>
      </w:r>
      <w:r w:rsidRPr="00CB2FA0">
        <w:rPr>
          <w:rFonts w:eastAsiaTheme="minorHAnsi"/>
          <w:color w:val="000000"/>
          <w:spacing w:val="-6"/>
          <w:sz w:val="20"/>
          <w:szCs w:val="20"/>
          <w:lang w:eastAsia="en-US" w:bidi="ar-SA"/>
        </w:rPr>
        <w:t>to access information held by government departments, local councils, ministers and other bodies subject to the Act.</w:t>
      </w:r>
    </w:p>
    <w:p w:rsidR="00CB2FA0" w:rsidRP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 xml:space="preserve">The Act allows a department to refuse access, either fully or partially, to certain documents or information. Examples of documents that may not be accessed include: </w:t>
      </w:r>
    </w:p>
    <w:p w:rsidR="00CB2FA0" w:rsidRPr="002434CF" w:rsidRDefault="00CB2FA0" w:rsidP="00943EBA">
      <w:pPr>
        <w:pStyle w:val="ListParagraph"/>
        <w:widowControl/>
        <w:numPr>
          <w:ilvl w:val="0"/>
          <w:numId w:val="27"/>
        </w:numPr>
        <w:tabs>
          <w:tab w:val="left" w:pos="227"/>
          <w:tab w:val="left" w:pos="283"/>
        </w:tabs>
        <w:suppressAutoHyphens/>
        <w:adjustRightInd w:val="0"/>
        <w:spacing w:after="57" w:line="220" w:lineRule="atLeast"/>
        <w:ind w:right="1137"/>
        <w:textAlignment w:val="center"/>
        <w:rPr>
          <w:rFonts w:eastAsiaTheme="minorHAnsi"/>
          <w:color w:val="000000"/>
          <w:sz w:val="20"/>
          <w:szCs w:val="20"/>
          <w:lang w:eastAsia="en-US" w:bidi="ar-SA"/>
        </w:rPr>
      </w:pPr>
      <w:r w:rsidRPr="002434CF">
        <w:rPr>
          <w:rFonts w:eastAsiaTheme="minorHAnsi"/>
          <w:color w:val="000000"/>
          <w:sz w:val="20"/>
          <w:szCs w:val="20"/>
          <w:lang w:eastAsia="en-US" w:bidi="ar-SA"/>
        </w:rPr>
        <w:t>cabinet documents</w:t>
      </w:r>
    </w:p>
    <w:p w:rsidR="00CB2FA0" w:rsidRPr="002434CF" w:rsidRDefault="00CB2FA0" w:rsidP="00943EBA">
      <w:pPr>
        <w:pStyle w:val="ListParagraph"/>
        <w:widowControl/>
        <w:numPr>
          <w:ilvl w:val="0"/>
          <w:numId w:val="27"/>
        </w:numPr>
        <w:tabs>
          <w:tab w:val="left" w:pos="227"/>
          <w:tab w:val="left" w:pos="283"/>
        </w:tabs>
        <w:suppressAutoHyphens/>
        <w:adjustRightInd w:val="0"/>
        <w:spacing w:after="57" w:line="220" w:lineRule="atLeast"/>
        <w:ind w:right="1137"/>
        <w:textAlignment w:val="center"/>
        <w:rPr>
          <w:rFonts w:eastAsiaTheme="minorHAnsi"/>
          <w:color w:val="000000"/>
          <w:sz w:val="20"/>
          <w:szCs w:val="20"/>
          <w:lang w:eastAsia="en-US" w:bidi="ar-SA"/>
        </w:rPr>
      </w:pPr>
      <w:r w:rsidRPr="002434CF">
        <w:rPr>
          <w:rFonts w:eastAsiaTheme="minorHAnsi"/>
          <w:color w:val="000000"/>
          <w:sz w:val="20"/>
          <w:szCs w:val="20"/>
          <w:lang w:eastAsia="en-US" w:bidi="ar-SA"/>
        </w:rPr>
        <w:t>some internal working documents</w:t>
      </w:r>
    </w:p>
    <w:p w:rsidR="00CB2FA0" w:rsidRPr="002434CF" w:rsidRDefault="00CB2FA0" w:rsidP="00943EBA">
      <w:pPr>
        <w:pStyle w:val="ListParagraph"/>
        <w:widowControl/>
        <w:numPr>
          <w:ilvl w:val="0"/>
          <w:numId w:val="27"/>
        </w:numPr>
        <w:tabs>
          <w:tab w:val="left" w:pos="227"/>
          <w:tab w:val="left" w:pos="283"/>
        </w:tabs>
        <w:suppressAutoHyphens/>
        <w:adjustRightInd w:val="0"/>
        <w:spacing w:after="57" w:line="220" w:lineRule="atLeast"/>
        <w:ind w:right="1137"/>
        <w:textAlignment w:val="center"/>
        <w:rPr>
          <w:rFonts w:eastAsiaTheme="minorHAnsi"/>
          <w:color w:val="000000"/>
          <w:sz w:val="20"/>
          <w:szCs w:val="20"/>
          <w:lang w:eastAsia="en-US" w:bidi="ar-SA"/>
        </w:rPr>
      </w:pPr>
      <w:r w:rsidRPr="002434CF">
        <w:rPr>
          <w:rFonts w:eastAsiaTheme="minorHAnsi"/>
          <w:color w:val="000000"/>
          <w:sz w:val="20"/>
          <w:szCs w:val="20"/>
          <w:lang w:eastAsia="en-US" w:bidi="ar-SA"/>
        </w:rPr>
        <w:t>law enforcement documents</w:t>
      </w:r>
    </w:p>
    <w:p w:rsidR="00CB2FA0" w:rsidRPr="002434CF" w:rsidRDefault="00CB2FA0" w:rsidP="00943EBA">
      <w:pPr>
        <w:pStyle w:val="ListParagraph"/>
        <w:widowControl/>
        <w:numPr>
          <w:ilvl w:val="0"/>
          <w:numId w:val="27"/>
        </w:numPr>
        <w:tabs>
          <w:tab w:val="left" w:pos="227"/>
          <w:tab w:val="left" w:pos="283"/>
        </w:tabs>
        <w:suppressAutoHyphens/>
        <w:adjustRightInd w:val="0"/>
        <w:spacing w:after="57" w:line="220" w:lineRule="atLeast"/>
        <w:ind w:right="1137"/>
        <w:textAlignment w:val="center"/>
        <w:rPr>
          <w:rFonts w:eastAsiaTheme="minorHAnsi"/>
          <w:color w:val="000000"/>
          <w:sz w:val="20"/>
          <w:szCs w:val="20"/>
          <w:lang w:eastAsia="en-US" w:bidi="ar-SA"/>
        </w:rPr>
      </w:pPr>
      <w:r w:rsidRPr="002434CF">
        <w:rPr>
          <w:rFonts w:eastAsiaTheme="minorHAnsi"/>
          <w:color w:val="000000"/>
          <w:sz w:val="20"/>
          <w:szCs w:val="20"/>
          <w:lang w:eastAsia="en-US" w:bidi="ar-SA"/>
        </w:rPr>
        <w:t>documents covered by legal professional privilege, such as legal advice</w:t>
      </w:r>
    </w:p>
    <w:p w:rsidR="00CB2FA0" w:rsidRPr="002434CF" w:rsidRDefault="00CB2FA0" w:rsidP="00943EBA">
      <w:pPr>
        <w:pStyle w:val="ListParagraph"/>
        <w:widowControl/>
        <w:numPr>
          <w:ilvl w:val="0"/>
          <w:numId w:val="27"/>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2434CF">
        <w:rPr>
          <w:rFonts w:eastAsiaTheme="minorHAnsi"/>
          <w:color w:val="000000"/>
          <w:sz w:val="20"/>
          <w:szCs w:val="20"/>
          <w:lang w:eastAsia="en-US" w:bidi="ar-SA"/>
        </w:rPr>
        <w:t>and personal information about other people.</w:t>
      </w:r>
    </w:p>
    <w:p w:rsidR="00CB2FA0" w:rsidRPr="00CB2FA0" w:rsidRDefault="00CB2FA0" w:rsidP="00305051">
      <w:pPr>
        <w:widowControl/>
        <w:suppressAutoHyphens/>
        <w:adjustRightInd w:val="0"/>
        <w:spacing w:after="113" w:line="220" w:lineRule="atLeast"/>
        <w:ind w:left="709" w:right="1137"/>
        <w:textAlignment w:val="center"/>
        <w:rPr>
          <w:rFonts w:eastAsiaTheme="minorHAnsi"/>
          <w:color w:val="000000"/>
          <w:spacing w:val="-2"/>
          <w:sz w:val="20"/>
          <w:szCs w:val="20"/>
          <w:lang w:eastAsia="en-US" w:bidi="ar-SA"/>
        </w:rPr>
      </w:pPr>
      <w:r w:rsidRPr="00CB2FA0">
        <w:rPr>
          <w:rFonts w:eastAsiaTheme="minorHAnsi"/>
          <w:color w:val="000000"/>
          <w:spacing w:val="-2"/>
          <w:sz w:val="20"/>
          <w:szCs w:val="20"/>
          <w:lang w:eastAsia="en-US" w:bidi="ar-SA"/>
        </w:rPr>
        <w:t>From 1 September 2017, the Act has been amended to reduce the Freedom of Information (FOI) processing time for requests received from 45 to 30 days. In some cases, this time may be extended.</w:t>
      </w:r>
    </w:p>
    <w:p w:rsidR="00CB2FA0" w:rsidRDefault="00CB2FA0" w:rsidP="00305051">
      <w:pPr>
        <w:widowControl/>
        <w:suppressAutoHyphens/>
        <w:adjustRightInd w:val="0"/>
        <w:spacing w:after="113" w:line="220" w:lineRule="atLeast"/>
        <w:ind w:left="709" w:right="1137"/>
        <w:textAlignment w:val="center"/>
        <w:rPr>
          <w:rFonts w:eastAsiaTheme="minorHAnsi"/>
          <w:color w:val="000000"/>
          <w:spacing w:val="-2"/>
          <w:sz w:val="20"/>
          <w:szCs w:val="20"/>
          <w:lang w:eastAsia="en-US" w:bidi="ar-SA"/>
        </w:rPr>
      </w:pPr>
      <w:r w:rsidRPr="00CB2FA0">
        <w:rPr>
          <w:rFonts w:eastAsiaTheme="minorHAnsi"/>
          <w:color w:val="000000"/>
          <w:spacing w:val="-2"/>
          <w:sz w:val="20"/>
          <w:szCs w:val="20"/>
          <w:lang w:eastAsia="en-US" w:bidi="ar-SA"/>
        </w:rPr>
        <w:t>If an applicant is not satisfied by a decision made by the VPSC, under section 49A of the Act, they have</w:t>
      </w:r>
      <w:r w:rsidR="003C2FCB">
        <w:rPr>
          <w:rFonts w:eastAsiaTheme="minorHAnsi"/>
          <w:color w:val="000000"/>
          <w:spacing w:val="-2"/>
          <w:sz w:val="20"/>
          <w:szCs w:val="20"/>
          <w:lang w:eastAsia="en-US" w:bidi="ar-SA"/>
        </w:rPr>
        <w:t xml:space="preserve"> </w:t>
      </w:r>
      <w:r w:rsidRPr="00CB2FA0">
        <w:rPr>
          <w:rFonts w:eastAsiaTheme="minorHAnsi"/>
          <w:color w:val="000000"/>
          <w:spacing w:val="-2"/>
          <w:sz w:val="20"/>
          <w:szCs w:val="20"/>
          <w:lang w:eastAsia="en-US" w:bidi="ar-SA"/>
        </w:rPr>
        <w:t>the right to seek a review by the Office of the Victorian Information Commissioner (OVIC) within 28 days</w:t>
      </w:r>
      <w:r w:rsidR="003C2FCB">
        <w:rPr>
          <w:rFonts w:eastAsiaTheme="minorHAnsi"/>
          <w:color w:val="000000"/>
          <w:spacing w:val="-2"/>
          <w:sz w:val="20"/>
          <w:szCs w:val="20"/>
          <w:lang w:eastAsia="en-US" w:bidi="ar-SA"/>
        </w:rPr>
        <w:t xml:space="preserve"> </w:t>
      </w:r>
      <w:r w:rsidRPr="00CB2FA0">
        <w:rPr>
          <w:rFonts w:eastAsiaTheme="minorHAnsi"/>
          <w:color w:val="000000"/>
          <w:spacing w:val="-2"/>
          <w:sz w:val="20"/>
          <w:szCs w:val="20"/>
          <w:lang w:eastAsia="en-US" w:bidi="ar-SA"/>
        </w:rPr>
        <w:t>of receiving a decision letter.</w:t>
      </w:r>
    </w:p>
    <w:p w:rsidR="003C2FCB" w:rsidRPr="00CB2FA0" w:rsidRDefault="003C2FCB" w:rsidP="003C2FCB">
      <w:pPr>
        <w:rPr>
          <w:lang w:eastAsia="en-US" w:bidi="ar-SA"/>
        </w:rPr>
      </w:pPr>
    </w:p>
    <w:p w:rsidR="00CB2FA0" w:rsidRDefault="00CB2FA0" w:rsidP="003C2FCB">
      <w:pPr>
        <w:pStyle w:val="Heading4"/>
      </w:pPr>
      <w:r w:rsidRPr="003C2FCB">
        <w:t>Making a request</w:t>
      </w:r>
    </w:p>
    <w:p w:rsidR="003C2FCB" w:rsidRPr="003C2FCB" w:rsidRDefault="003C2FCB" w:rsidP="003C2FCB"/>
    <w:p w:rsidR="00CB2FA0" w:rsidRPr="00CB2FA0" w:rsidRDefault="00CB2FA0" w:rsidP="00305051">
      <w:pPr>
        <w:widowControl/>
        <w:suppressAutoHyphens/>
        <w:adjustRightInd w:val="0"/>
        <w:spacing w:after="85" w:line="220" w:lineRule="atLeast"/>
        <w:ind w:left="709" w:right="1137"/>
        <w:textAlignment w:val="center"/>
        <w:rPr>
          <w:rFonts w:eastAsiaTheme="minorHAnsi"/>
          <w:color w:val="000000"/>
          <w:spacing w:val="-2"/>
          <w:sz w:val="20"/>
          <w:szCs w:val="20"/>
          <w:lang w:eastAsia="en-US" w:bidi="ar-SA"/>
        </w:rPr>
      </w:pPr>
      <w:r w:rsidRPr="00CB2FA0">
        <w:rPr>
          <w:rFonts w:eastAsiaTheme="minorHAnsi"/>
          <w:color w:val="000000"/>
          <w:spacing w:val="-2"/>
          <w:sz w:val="20"/>
          <w:szCs w:val="20"/>
          <w:lang w:eastAsia="en-US" w:bidi="ar-SA"/>
        </w:rPr>
        <w:t>FOI requests can be lodged online at www.foi.vic.gov.au. An application fee of $28.40 applies. Access charges may also be payable if the document pool is large and the search for material time consuming.</w:t>
      </w:r>
    </w:p>
    <w:p w:rsidR="00CB2FA0" w:rsidRPr="00CB2FA0" w:rsidRDefault="00CB2FA0" w:rsidP="00305051">
      <w:pPr>
        <w:widowControl/>
        <w:suppressAutoHyphens/>
        <w:adjustRightInd w:val="0"/>
        <w:spacing w:after="85" w:line="220" w:lineRule="atLeast"/>
        <w:ind w:left="709" w:right="1137"/>
        <w:textAlignment w:val="center"/>
        <w:rPr>
          <w:rFonts w:eastAsiaTheme="minorHAnsi"/>
          <w:color w:val="000000"/>
          <w:spacing w:val="-2"/>
          <w:sz w:val="20"/>
          <w:szCs w:val="20"/>
          <w:lang w:eastAsia="en-US" w:bidi="ar-SA"/>
        </w:rPr>
      </w:pPr>
      <w:r w:rsidRPr="00CB2FA0">
        <w:rPr>
          <w:rFonts w:eastAsiaTheme="minorHAnsi"/>
          <w:color w:val="000000"/>
          <w:spacing w:val="-2"/>
          <w:sz w:val="20"/>
          <w:szCs w:val="20"/>
          <w:lang w:eastAsia="en-US" w:bidi="ar-SA"/>
        </w:rPr>
        <w:t>Access to documents can also be obtained through a written request to the VPSC, as detailed in s17</w:t>
      </w:r>
      <w:r w:rsidR="003C2FCB">
        <w:rPr>
          <w:rFonts w:eastAsiaTheme="minorHAnsi"/>
          <w:color w:val="000000"/>
          <w:spacing w:val="-2"/>
          <w:sz w:val="20"/>
          <w:szCs w:val="20"/>
          <w:lang w:eastAsia="en-US" w:bidi="ar-SA"/>
        </w:rPr>
        <w:t xml:space="preserve"> </w:t>
      </w:r>
      <w:r w:rsidRPr="00CB2FA0">
        <w:rPr>
          <w:rFonts w:eastAsiaTheme="minorHAnsi"/>
          <w:color w:val="000000"/>
          <w:spacing w:val="-2"/>
          <w:sz w:val="20"/>
          <w:szCs w:val="20"/>
          <w:lang w:eastAsia="en-US" w:bidi="ar-SA"/>
        </w:rPr>
        <w:t xml:space="preserve">of the </w:t>
      </w:r>
      <w:r w:rsidRPr="00CB2FA0">
        <w:rPr>
          <w:rFonts w:eastAsiaTheme="minorHAnsi"/>
          <w:i/>
          <w:iCs/>
          <w:color w:val="000000"/>
          <w:spacing w:val="-2"/>
          <w:sz w:val="20"/>
          <w:szCs w:val="20"/>
          <w:lang w:eastAsia="en-US" w:bidi="ar-SA"/>
        </w:rPr>
        <w:t>Freedom of Information Act 1982</w:t>
      </w:r>
      <w:r w:rsidRPr="00CB2FA0">
        <w:rPr>
          <w:rFonts w:eastAsiaTheme="minorHAnsi"/>
          <w:color w:val="000000"/>
          <w:spacing w:val="-2"/>
          <w:sz w:val="20"/>
          <w:szCs w:val="20"/>
          <w:lang w:eastAsia="en-US" w:bidi="ar-SA"/>
        </w:rPr>
        <w:t>.</w:t>
      </w:r>
    </w:p>
    <w:p w:rsidR="00CB2FA0" w:rsidRPr="00CB2FA0" w:rsidRDefault="00CB2FA0" w:rsidP="00305051">
      <w:pPr>
        <w:widowControl/>
        <w:suppressAutoHyphens/>
        <w:adjustRightInd w:val="0"/>
        <w:spacing w:after="85" w:line="220" w:lineRule="atLeast"/>
        <w:ind w:left="709" w:right="1137"/>
        <w:textAlignment w:val="center"/>
        <w:rPr>
          <w:rFonts w:eastAsiaTheme="minorHAnsi"/>
          <w:color w:val="000000"/>
          <w:spacing w:val="-2"/>
          <w:sz w:val="20"/>
          <w:szCs w:val="20"/>
          <w:lang w:eastAsia="en-US" w:bidi="ar-SA"/>
        </w:rPr>
      </w:pPr>
      <w:r w:rsidRPr="00CB2FA0">
        <w:rPr>
          <w:rFonts w:eastAsiaTheme="minorHAnsi"/>
          <w:color w:val="000000"/>
          <w:spacing w:val="-2"/>
          <w:sz w:val="20"/>
          <w:szCs w:val="20"/>
          <w:lang w:eastAsia="en-US" w:bidi="ar-SA"/>
        </w:rPr>
        <w:t>When making an FOI request, applicants should ensure requests are in writing and clearly identify what types of material and documents are being sought.</w:t>
      </w:r>
    </w:p>
    <w:p w:rsidR="00CB2FA0" w:rsidRP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pacing w:val="-2"/>
          <w:sz w:val="20"/>
          <w:szCs w:val="20"/>
          <w:lang w:eastAsia="en-US" w:bidi="ar-SA"/>
        </w:rPr>
        <w:t>Requests for documents in the possession of the VPSC should be addressed to:</w:t>
      </w:r>
    </w:p>
    <w:p w:rsid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Freedom of Information</w:t>
      </w:r>
      <w:r w:rsidRPr="00CB2FA0">
        <w:rPr>
          <w:rFonts w:eastAsiaTheme="minorHAnsi"/>
          <w:color w:val="000000"/>
          <w:sz w:val="20"/>
          <w:szCs w:val="20"/>
          <w:lang w:eastAsia="en-US" w:bidi="ar-SA"/>
        </w:rPr>
        <w:br/>
        <w:t>Victorian Public Sector Commission</w:t>
      </w:r>
      <w:r w:rsidRPr="00CB2FA0">
        <w:rPr>
          <w:rFonts w:eastAsiaTheme="minorHAnsi"/>
          <w:color w:val="000000"/>
          <w:sz w:val="20"/>
          <w:szCs w:val="20"/>
          <w:lang w:eastAsia="en-US" w:bidi="ar-SA"/>
        </w:rPr>
        <w:br/>
        <w:t>3 Treasury Place</w:t>
      </w:r>
      <w:r w:rsidRPr="00CB2FA0">
        <w:rPr>
          <w:rFonts w:eastAsiaTheme="minorHAnsi"/>
          <w:color w:val="000000"/>
          <w:sz w:val="20"/>
          <w:szCs w:val="20"/>
          <w:lang w:eastAsia="en-US" w:bidi="ar-SA"/>
        </w:rPr>
        <w:br/>
        <w:t>East Melbourne VIC 3002</w:t>
      </w:r>
    </w:p>
    <w:p w:rsidR="003C2FCB" w:rsidRPr="00CB2FA0" w:rsidRDefault="003C2FCB" w:rsidP="003C2FCB">
      <w:pPr>
        <w:rPr>
          <w:lang w:eastAsia="en-US" w:bidi="ar-SA"/>
        </w:rPr>
      </w:pPr>
    </w:p>
    <w:p w:rsidR="00CB2FA0" w:rsidRPr="00CB2FA0" w:rsidRDefault="00CB2FA0" w:rsidP="003C2FCB">
      <w:pPr>
        <w:pStyle w:val="Heading4"/>
        <w:rPr>
          <w:lang w:eastAsia="en-US" w:bidi="ar-SA"/>
        </w:rPr>
      </w:pPr>
      <w:r w:rsidRPr="00CB2FA0">
        <w:rPr>
          <w:lang w:eastAsia="en-US" w:bidi="ar-SA"/>
        </w:rPr>
        <w:t>FOI statistics/timeliness</w:t>
      </w:r>
    </w:p>
    <w:p w:rsidR="003C2FCB" w:rsidRDefault="003C2FCB" w:rsidP="003C2FCB">
      <w:pPr>
        <w:rPr>
          <w:lang w:eastAsia="en-US" w:bidi="ar-SA"/>
        </w:rPr>
      </w:pPr>
    </w:p>
    <w:p w:rsidR="00CB2FA0" w:rsidRPr="00CB2FA0" w:rsidRDefault="00CB2FA0" w:rsidP="00305051">
      <w:pPr>
        <w:widowControl/>
        <w:suppressAutoHyphens/>
        <w:adjustRightInd w:val="0"/>
        <w:spacing w:after="85" w:line="220" w:lineRule="atLeast"/>
        <w:ind w:left="709" w:right="1137"/>
        <w:textAlignment w:val="center"/>
        <w:rPr>
          <w:rFonts w:eastAsiaTheme="minorHAnsi"/>
          <w:color w:val="000000"/>
          <w:spacing w:val="-2"/>
          <w:sz w:val="20"/>
          <w:szCs w:val="20"/>
          <w:lang w:eastAsia="en-US" w:bidi="ar-SA"/>
        </w:rPr>
      </w:pPr>
      <w:r w:rsidRPr="00CB2FA0">
        <w:rPr>
          <w:rFonts w:eastAsiaTheme="minorHAnsi"/>
          <w:color w:val="000000"/>
          <w:spacing w:val="-2"/>
          <w:sz w:val="20"/>
          <w:szCs w:val="20"/>
          <w:lang w:eastAsia="en-US" w:bidi="ar-SA"/>
        </w:rPr>
        <w:t>During 2018–19, the VPSC received six applications, of which two requests were transferred to other agencies.</w:t>
      </w:r>
    </w:p>
    <w:p w:rsidR="00CB2FA0" w:rsidRPr="00CB2FA0" w:rsidRDefault="00CB2FA0" w:rsidP="00305051">
      <w:pPr>
        <w:widowControl/>
        <w:suppressAutoHyphens/>
        <w:adjustRightInd w:val="0"/>
        <w:spacing w:after="85" w:line="220" w:lineRule="atLeast"/>
        <w:ind w:left="709" w:right="1137"/>
        <w:textAlignment w:val="center"/>
        <w:rPr>
          <w:rFonts w:eastAsiaTheme="minorHAnsi"/>
          <w:color w:val="000000"/>
          <w:spacing w:val="-2"/>
          <w:sz w:val="20"/>
          <w:szCs w:val="20"/>
          <w:lang w:eastAsia="en-US" w:bidi="ar-SA"/>
        </w:rPr>
      </w:pPr>
      <w:r w:rsidRPr="00CB2FA0">
        <w:rPr>
          <w:rFonts w:eastAsiaTheme="minorHAnsi"/>
          <w:color w:val="000000"/>
          <w:spacing w:val="-2"/>
          <w:sz w:val="20"/>
          <w:szCs w:val="20"/>
          <w:lang w:eastAsia="en-US" w:bidi="ar-SA"/>
        </w:rPr>
        <w:t>The VPSC made five FOI decisions during the 12 months ended 30 June 2019, with one decision being made from an application received in the previous financial year.</w:t>
      </w:r>
    </w:p>
    <w:p w:rsidR="00CB2FA0" w:rsidRPr="00CB2FA0" w:rsidRDefault="00CB2FA0" w:rsidP="00305051">
      <w:pPr>
        <w:widowControl/>
        <w:suppressAutoHyphens/>
        <w:adjustRightInd w:val="0"/>
        <w:spacing w:after="85" w:line="220" w:lineRule="atLeast"/>
        <w:ind w:left="709" w:right="1137"/>
        <w:textAlignment w:val="center"/>
        <w:rPr>
          <w:rFonts w:eastAsiaTheme="minorHAnsi"/>
          <w:color w:val="000000"/>
          <w:spacing w:val="-2"/>
          <w:sz w:val="20"/>
          <w:szCs w:val="20"/>
          <w:lang w:eastAsia="en-US" w:bidi="ar-SA"/>
        </w:rPr>
      </w:pPr>
      <w:r w:rsidRPr="00CB2FA0">
        <w:rPr>
          <w:rFonts w:eastAsiaTheme="minorHAnsi"/>
          <w:color w:val="000000"/>
          <w:spacing w:val="-2"/>
          <w:sz w:val="20"/>
          <w:szCs w:val="20"/>
          <w:lang w:eastAsia="en-US" w:bidi="ar-SA"/>
        </w:rPr>
        <w:t>The average time taken to finalise requests in 2018 19 was 57 days.</w:t>
      </w:r>
    </w:p>
    <w:p w:rsidR="00CB2FA0" w:rsidRDefault="00CB2FA0" w:rsidP="00305051">
      <w:pPr>
        <w:widowControl/>
        <w:suppressAutoHyphens/>
        <w:adjustRightInd w:val="0"/>
        <w:spacing w:after="113" w:line="220" w:lineRule="atLeast"/>
        <w:ind w:left="709" w:right="1137"/>
        <w:textAlignment w:val="center"/>
        <w:rPr>
          <w:rFonts w:eastAsiaTheme="minorHAnsi"/>
          <w:color w:val="000000"/>
          <w:spacing w:val="-2"/>
          <w:sz w:val="20"/>
          <w:szCs w:val="20"/>
          <w:lang w:eastAsia="en-US" w:bidi="ar-SA"/>
        </w:rPr>
      </w:pPr>
      <w:r w:rsidRPr="00CB2FA0">
        <w:rPr>
          <w:rFonts w:eastAsiaTheme="minorHAnsi"/>
          <w:color w:val="000000"/>
          <w:spacing w:val="-2"/>
          <w:sz w:val="20"/>
          <w:szCs w:val="20"/>
          <w:lang w:eastAsia="en-US" w:bidi="ar-SA"/>
        </w:rPr>
        <w:t>During 2018–19, one request was subject to a complaint/internal review by the OVIC.</w:t>
      </w:r>
    </w:p>
    <w:p w:rsidR="003C2FCB" w:rsidRPr="00CB2FA0" w:rsidRDefault="003C2FCB" w:rsidP="003C2FCB">
      <w:pPr>
        <w:rPr>
          <w:lang w:eastAsia="en-US" w:bidi="ar-SA"/>
        </w:rPr>
      </w:pPr>
    </w:p>
    <w:p w:rsidR="00CB2FA0" w:rsidRPr="003C2FCB" w:rsidRDefault="00CB2FA0" w:rsidP="003C2FCB">
      <w:pPr>
        <w:pStyle w:val="Heading4"/>
      </w:pPr>
      <w:r w:rsidRPr="003C2FCB">
        <w:t>Further information</w:t>
      </w:r>
    </w:p>
    <w:p w:rsidR="003C2FCB" w:rsidRPr="00CB2FA0" w:rsidRDefault="003C2FCB" w:rsidP="003C2FCB">
      <w:pPr>
        <w:rPr>
          <w:lang w:eastAsia="en-US" w:bidi="ar-SA"/>
        </w:rPr>
      </w:pPr>
    </w:p>
    <w:p w:rsidR="00CB2FA0" w:rsidRP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Further information regarding the operation and scope of FOI can be obtained from the Act,</w:t>
      </w:r>
      <w:r w:rsidRPr="00CB2FA0">
        <w:rPr>
          <w:rFonts w:eastAsiaTheme="minorHAnsi"/>
          <w:color w:val="000000"/>
          <w:sz w:val="20"/>
          <w:szCs w:val="20"/>
          <w:lang w:eastAsia="en-US" w:bidi="ar-SA"/>
        </w:rPr>
        <w:br/>
        <w:t>regulations made under the Act and www.foi.vic.gov.au.</w:t>
      </w:r>
    </w:p>
    <w:p w:rsidR="00CB2FA0" w:rsidRDefault="00CB2FA0" w:rsidP="003C2FCB">
      <w:pPr>
        <w:pStyle w:val="Heading3"/>
        <w:rPr>
          <w:lang w:eastAsia="en-US" w:bidi="ar-SA"/>
        </w:rPr>
      </w:pPr>
      <w:r w:rsidRPr="00CB2FA0">
        <w:rPr>
          <w:lang w:eastAsia="en-US" w:bidi="ar-SA"/>
        </w:rPr>
        <w:lastRenderedPageBreak/>
        <w:t>Competitive Neutrality Policy</w:t>
      </w:r>
    </w:p>
    <w:p w:rsidR="003C2FCB" w:rsidRPr="00CB2FA0" w:rsidRDefault="003C2FCB" w:rsidP="003C2FCB">
      <w:pPr>
        <w:rPr>
          <w:lang w:eastAsia="en-US" w:bidi="ar-SA"/>
        </w:rPr>
      </w:pPr>
    </w:p>
    <w:p w:rsidR="00CB2FA0" w:rsidRP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w:t>
      </w:r>
      <w:r w:rsidR="003C2FCB">
        <w:rPr>
          <w:rFonts w:eastAsiaTheme="minorHAnsi"/>
          <w:color w:val="000000"/>
          <w:sz w:val="20"/>
          <w:szCs w:val="20"/>
          <w:lang w:eastAsia="en-US" w:bidi="ar-SA"/>
        </w:rPr>
        <w:t xml:space="preserve"> </w:t>
      </w:r>
      <w:r w:rsidRPr="00CB2FA0">
        <w:rPr>
          <w:rFonts w:eastAsiaTheme="minorHAnsi"/>
          <w:color w:val="000000"/>
          <w:sz w:val="20"/>
          <w:szCs w:val="20"/>
          <w:lang w:eastAsia="en-US" w:bidi="ar-SA"/>
        </w:rPr>
        <w:t>as if they were privately owned. Competitive neutrality policy supports fair competition between public</w:t>
      </w:r>
      <w:r w:rsidR="003C2FCB">
        <w:rPr>
          <w:rFonts w:eastAsiaTheme="minorHAnsi"/>
          <w:color w:val="000000"/>
          <w:sz w:val="20"/>
          <w:szCs w:val="20"/>
          <w:lang w:eastAsia="en-US" w:bidi="ar-SA"/>
        </w:rPr>
        <w:t xml:space="preserve"> </w:t>
      </w:r>
      <w:r w:rsidRPr="00CB2FA0">
        <w:rPr>
          <w:rFonts w:eastAsiaTheme="minorHAnsi"/>
          <w:color w:val="000000"/>
          <w:sz w:val="20"/>
          <w:szCs w:val="20"/>
          <w:lang w:eastAsia="en-US" w:bidi="ar-SA"/>
        </w:rPr>
        <w:t>and private businesses and provides government businesses with a tool to enhance decisions on resource allocation. This policy does not override other policy objectives of government and focuses on efficiency</w:t>
      </w:r>
      <w:r w:rsidR="003C2FCB">
        <w:rPr>
          <w:rFonts w:eastAsiaTheme="minorHAnsi"/>
          <w:color w:val="000000"/>
          <w:sz w:val="20"/>
          <w:szCs w:val="20"/>
          <w:lang w:eastAsia="en-US" w:bidi="ar-SA"/>
        </w:rPr>
        <w:t xml:space="preserve"> </w:t>
      </w:r>
      <w:r w:rsidRPr="00CB2FA0">
        <w:rPr>
          <w:rFonts w:eastAsiaTheme="minorHAnsi"/>
          <w:color w:val="000000"/>
          <w:sz w:val="20"/>
          <w:szCs w:val="20"/>
          <w:lang w:eastAsia="en-US" w:bidi="ar-SA"/>
        </w:rPr>
        <w:t>in the provision of service.</w:t>
      </w:r>
    </w:p>
    <w:p w:rsid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 xml:space="preserve">As a portfolio agency, the VPSC’s information on compliance is included in the </w:t>
      </w:r>
      <w:r w:rsidRPr="00CB2FA0">
        <w:rPr>
          <w:rFonts w:eastAsiaTheme="minorHAnsi"/>
          <w:i/>
          <w:iCs/>
          <w:color w:val="000000"/>
          <w:sz w:val="20"/>
          <w:szCs w:val="20"/>
          <w:lang w:eastAsia="en-US" w:bidi="ar-SA"/>
        </w:rPr>
        <w:t>Department of Premier</w:t>
      </w:r>
      <w:r w:rsidR="003C2FCB">
        <w:rPr>
          <w:rFonts w:eastAsiaTheme="minorHAnsi"/>
          <w:i/>
          <w:iCs/>
          <w:color w:val="000000"/>
          <w:sz w:val="20"/>
          <w:szCs w:val="20"/>
          <w:lang w:eastAsia="en-US" w:bidi="ar-SA"/>
        </w:rPr>
        <w:t xml:space="preserve"> </w:t>
      </w:r>
      <w:r w:rsidRPr="00CB2FA0">
        <w:rPr>
          <w:rFonts w:eastAsiaTheme="minorHAnsi"/>
          <w:i/>
          <w:iCs/>
          <w:color w:val="000000"/>
          <w:sz w:val="20"/>
          <w:szCs w:val="20"/>
          <w:lang w:eastAsia="en-US" w:bidi="ar-SA"/>
        </w:rPr>
        <w:t>and Cabinet’s Annual Report</w:t>
      </w:r>
      <w:r w:rsidRPr="00CB2FA0">
        <w:rPr>
          <w:rFonts w:eastAsiaTheme="minorHAnsi"/>
          <w:color w:val="000000"/>
          <w:sz w:val="20"/>
          <w:szCs w:val="20"/>
          <w:lang w:eastAsia="en-US" w:bidi="ar-SA"/>
        </w:rPr>
        <w:t>.</w:t>
      </w:r>
    </w:p>
    <w:p w:rsidR="003C2FCB" w:rsidRPr="00CB2FA0" w:rsidRDefault="003C2FCB" w:rsidP="003C2FCB">
      <w:pPr>
        <w:rPr>
          <w:lang w:eastAsia="en-US" w:bidi="ar-SA"/>
        </w:rPr>
      </w:pPr>
    </w:p>
    <w:p w:rsidR="00CB2FA0" w:rsidRPr="00CB2FA0" w:rsidRDefault="00CB2FA0" w:rsidP="003C2FCB">
      <w:pPr>
        <w:pStyle w:val="Heading3"/>
        <w:ind w:right="1137"/>
        <w:rPr>
          <w:lang w:eastAsia="en-US" w:bidi="ar-SA"/>
        </w:rPr>
      </w:pPr>
      <w:r w:rsidRPr="00CB2FA0">
        <w:rPr>
          <w:lang w:eastAsia="en-US" w:bidi="ar-SA"/>
        </w:rPr>
        <w:t xml:space="preserve">The </w:t>
      </w:r>
      <w:r w:rsidRPr="003C2FCB">
        <w:rPr>
          <w:i/>
          <w:iCs/>
          <w:lang w:eastAsia="en-US" w:bidi="ar-SA"/>
        </w:rPr>
        <w:t xml:space="preserve">Protected Disclosure Act 2012 (formerly </w:t>
      </w:r>
      <w:proofErr w:type="spellStart"/>
      <w:r w:rsidRPr="003C2FCB">
        <w:rPr>
          <w:i/>
          <w:iCs/>
          <w:lang w:eastAsia="en-US" w:bidi="ar-SA"/>
        </w:rPr>
        <w:t>Whistleblowers</w:t>
      </w:r>
      <w:proofErr w:type="spellEnd"/>
      <w:r w:rsidRPr="003C2FCB">
        <w:rPr>
          <w:i/>
          <w:iCs/>
          <w:lang w:eastAsia="en-US" w:bidi="ar-SA"/>
        </w:rPr>
        <w:t xml:space="preserve"> Protection Act 2001)</w:t>
      </w:r>
    </w:p>
    <w:p w:rsidR="003C2FCB" w:rsidRDefault="003C2FCB" w:rsidP="003C2FCB">
      <w:pPr>
        <w:rPr>
          <w:lang w:eastAsia="en-US" w:bidi="ar-SA"/>
        </w:rPr>
      </w:pPr>
    </w:p>
    <w:p w:rsidR="00CB2FA0" w:rsidRP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 xml:space="preserve">The </w:t>
      </w:r>
      <w:r w:rsidRPr="00CB2FA0">
        <w:rPr>
          <w:rFonts w:eastAsiaTheme="minorHAnsi"/>
          <w:i/>
          <w:iCs/>
          <w:color w:val="000000"/>
          <w:sz w:val="20"/>
          <w:szCs w:val="20"/>
          <w:lang w:eastAsia="en-US" w:bidi="ar-SA"/>
        </w:rPr>
        <w:t>Protected Disclosure Act 2012</w:t>
      </w:r>
      <w:r w:rsidRPr="00CB2FA0">
        <w:rPr>
          <w:rFonts w:eastAsiaTheme="minorHAnsi"/>
          <w:color w:val="000000"/>
          <w:sz w:val="20"/>
          <w:szCs w:val="20"/>
          <w:lang w:eastAsia="en-US" w:bidi="ar-SA"/>
        </w:rPr>
        <w:t xml:space="preserve"> encourages and assists people in making disclosures of improper conduct by public officers and public bodies. The Act provides protection to prepare people who make disclosures in accordance with the Act and establishes a system for the matters to be disclosed, investigated and rectifying action to be taken.</w:t>
      </w:r>
    </w:p>
    <w:p w:rsidR="00CB2FA0" w:rsidRP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The VPSC does not tolerate improper conduct of employees, nor the taking of reprisals against those</w:t>
      </w:r>
      <w:r w:rsidR="003C2FCB">
        <w:rPr>
          <w:rFonts w:eastAsiaTheme="minorHAnsi"/>
          <w:color w:val="000000"/>
          <w:sz w:val="20"/>
          <w:szCs w:val="20"/>
          <w:lang w:eastAsia="en-US" w:bidi="ar-SA"/>
        </w:rPr>
        <w:t xml:space="preserve"> </w:t>
      </w:r>
      <w:r w:rsidRPr="00CB2FA0">
        <w:rPr>
          <w:rFonts w:eastAsiaTheme="minorHAnsi"/>
          <w:color w:val="000000"/>
          <w:sz w:val="20"/>
          <w:szCs w:val="20"/>
          <w:lang w:eastAsia="en-US" w:bidi="ar-SA"/>
        </w:rPr>
        <w:t>who come forward to disclose such conduct. It is committed to ensuring transparency and accountability in its administrative and management practices and supports the making of disclosures that reveal corrupt conduct, conduct involving substantial mismanagement of public resources, or conduct involving a substantial risk to public health and safety or the environment.</w:t>
      </w:r>
    </w:p>
    <w:p w:rsid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The VPSC will take all reasonable steps to protect people who make such disclosures from any detrimental action in reprisal for making the disclosure to the extent it is legally possible.</w:t>
      </w:r>
    </w:p>
    <w:p w:rsidR="003C2FCB" w:rsidRPr="00CB2FA0" w:rsidRDefault="003C2FCB" w:rsidP="003C2FCB">
      <w:pPr>
        <w:rPr>
          <w:lang w:eastAsia="en-US" w:bidi="ar-SA"/>
        </w:rPr>
      </w:pPr>
    </w:p>
    <w:p w:rsidR="00CB2FA0" w:rsidRPr="00CB2FA0" w:rsidRDefault="00CB2FA0" w:rsidP="003C2FCB">
      <w:pPr>
        <w:pStyle w:val="Heading4"/>
        <w:rPr>
          <w:lang w:eastAsia="en-US" w:bidi="ar-SA"/>
        </w:rPr>
      </w:pPr>
      <w:r w:rsidRPr="00CB2FA0">
        <w:rPr>
          <w:lang w:eastAsia="en-US" w:bidi="ar-SA"/>
        </w:rPr>
        <w:t>Reporting Procedures</w:t>
      </w:r>
    </w:p>
    <w:p w:rsidR="003C2FCB" w:rsidRDefault="003C2FCB" w:rsidP="003C2FCB">
      <w:pPr>
        <w:rPr>
          <w:lang w:eastAsia="en-US" w:bidi="ar-SA"/>
        </w:rPr>
      </w:pPr>
    </w:p>
    <w:p w:rsidR="00CB2FA0" w:rsidRP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Disclosures of improper conduct or detrimental action by the department or any of its employees and/or officers may be made to the VPSC’s Protected Disclosure Coordinator or alternatively, disclosures may be made directly to the Independent Broad-based Anti-</w:t>
      </w:r>
      <w:proofErr w:type="gramStart"/>
      <w:r w:rsidRPr="00CB2FA0">
        <w:rPr>
          <w:rFonts w:eastAsiaTheme="minorHAnsi"/>
          <w:color w:val="000000"/>
          <w:sz w:val="20"/>
          <w:szCs w:val="20"/>
          <w:lang w:eastAsia="en-US" w:bidi="ar-SA"/>
        </w:rPr>
        <w:t>corruption</w:t>
      </w:r>
      <w:proofErr w:type="gramEnd"/>
      <w:r w:rsidRPr="00CB2FA0">
        <w:rPr>
          <w:rFonts w:eastAsiaTheme="minorHAnsi"/>
          <w:color w:val="000000"/>
          <w:sz w:val="20"/>
          <w:szCs w:val="20"/>
          <w:lang w:eastAsia="en-US" w:bidi="ar-SA"/>
        </w:rPr>
        <w:t xml:space="preserve"> Commission (IBAC):</w:t>
      </w:r>
    </w:p>
    <w:p w:rsid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Level 1, North Tower</w:t>
      </w:r>
      <w:r w:rsidRPr="00CB2FA0">
        <w:rPr>
          <w:rFonts w:eastAsiaTheme="minorHAnsi"/>
          <w:color w:val="000000"/>
          <w:sz w:val="20"/>
          <w:szCs w:val="20"/>
          <w:lang w:eastAsia="en-US" w:bidi="ar-SA"/>
        </w:rPr>
        <w:br/>
        <w:t>459 Collins Street</w:t>
      </w:r>
      <w:r w:rsidRPr="00CB2FA0">
        <w:rPr>
          <w:rFonts w:eastAsiaTheme="minorHAnsi"/>
          <w:color w:val="000000"/>
          <w:sz w:val="20"/>
          <w:szCs w:val="20"/>
          <w:lang w:eastAsia="en-US" w:bidi="ar-SA"/>
        </w:rPr>
        <w:br/>
        <w:t>Melbourne VIC 3000</w:t>
      </w:r>
      <w:r w:rsidRPr="00CB2FA0">
        <w:rPr>
          <w:rFonts w:eastAsiaTheme="minorHAnsi"/>
          <w:color w:val="000000"/>
          <w:sz w:val="20"/>
          <w:szCs w:val="20"/>
          <w:lang w:eastAsia="en-US" w:bidi="ar-SA"/>
        </w:rPr>
        <w:br/>
        <w:t>Phone: 1300 735 135</w:t>
      </w:r>
      <w:r w:rsidRPr="00CB2FA0">
        <w:rPr>
          <w:rFonts w:eastAsiaTheme="minorHAnsi"/>
          <w:color w:val="000000"/>
          <w:sz w:val="20"/>
          <w:szCs w:val="20"/>
          <w:lang w:eastAsia="en-US" w:bidi="ar-SA"/>
        </w:rPr>
        <w:br/>
      </w:r>
      <w:hyperlink r:id="rId12" w:history="1">
        <w:r w:rsidR="003C2FCB" w:rsidRPr="0075150B">
          <w:rPr>
            <w:rStyle w:val="Hyperlink"/>
            <w:rFonts w:eastAsiaTheme="minorHAnsi"/>
            <w:sz w:val="20"/>
            <w:szCs w:val="20"/>
            <w:lang w:eastAsia="en-US" w:bidi="ar-SA"/>
          </w:rPr>
          <w:t>www.ibac.vic.gov.au</w:t>
        </w:r>
      </w:hyperlink>
    </w:p>
    <w:p w:rsidR="003C2FCB" w:rsidRPr="00CB2FA0" w:rsidRDefault="003C2FCB" w:rsidP="003C2FCB">
      <w:pPr>
        <w:rPr>
          <w:lang w:eastAsia="en-US" w:bidi="ar-SA"/>
        </w:rPr>
      </w:pPr>
    </w:p>
    <w:p w:rsidR="00CB2FA0" w:rsidRDefault="00CB2FA0" w:rsidP="003C2FCB">
      <w:pPr>
        <w:pStyle w:val="Heading4"/>
      </w:pPr>
      <w:r w:rsidRPr="003C2FCB">
        <w:t>Further Information</w:t>
      </w:r>
    </w:p>
    <w:p w:rsidR="003C2FCB" w:rsidRPr="003C2FCB" w:rsidRDefault="003C2FCB" w:rsidP="003C2FCB"/>
    <w:p w:rsidR="00CB2FA0" w:rsidRPr="00CB2FA0" w:rsidRDefault="00CB2FA0" w:rsidP="00305051">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 xml:space="preserve">The </w:t>
      </w:r>
      <w:r w:rsidRPr="00CB2FA0">
        <w:rPr>
          <w:rFonts w:eastAsiaTheme="minorHAnsi"/>
          <w:i/>
          <w:iCs/>
          <w:color w:val="000000"/>
          <w:sz w:val="20"/>
          <w:szCs w:val="20"/>
          <w:lang w:eastAsia="en-US" w:bidi="ar-SA"/>
        </w:rPr>
        <w:t>Protected Disclosure Policy and Procedures</w:t>
      </w:r>
      <w:r w:rsidRPr="00CB2FA0">
        <w:rPr>
          <w:rFonts w:eastAsiaTheme="minorHAnsi"/>
          <w:color w:val="000000"/>
          <w:sz w:val="20"/>
          <w:szCs w:val="20"/>
          <w:lang w:eastAsia="en-US" w:bidi="ar-SA"/>
        </w:rPr>
        <w:t>, which outline the procedure for reporting disclosures</w:t>
      </w:r>
      <w:r w:rsidRPr="00CB2FA0">
        <w:rPr>
          <w:rFonts w:eastAsiaTheme="minorHAnsi"/>
          <w:color w:val="000000"/>
          <w:sz w:val="20"/>
          <w:szCs w:val="20"/>
          <w:lang w:eastAsia="en-US" w:bidi="ar-SA"/>
        </w:rPr>
        <w:br/>
        <w:t>of improper conduct or detrimental action by the VPSC or any of its employees and officers, are available</w:t>
      </w:r>
      <w:r w:rsidRPr="00CB2FA0">
        <w:rPr>
          <w:rFonts w:eastAsiaTheme="minorHAnsi"/>
          <w:color w:val="000000"/>
          <w:sz w:val="20"/>
          <w:szCs w:val="20"/>
          <w:lang w:eastAsia="en-US" w:bidi="ar-SA"/>
        </w:rPr>
        <w:br/>
        <w:t>on the VPSC website.</w:t>
      </w:r>
    </w:p>
    <w:p w:rsidR="00CB2FA0" w:rsidRPr="00CB2FA0" w:rsidRDefault="00CB2FA0" w:rsidP="003C2FCB">
      <w:pPr>
        <w:rPr>
          <w:lang w:eastAsia="en-US" w:bidi="ar-SA"/>
        </w:rPr>
      </w:pPr>
    </w:p>
    <w:p w:rsidR="00CB2FA0" w:rsidRDefault="00CB2FA0" w:rsidP="003C2FCB">
      <w:pPr>
        <w:pStyle w:val="Heading4"/>
        <w:rPr>
          <w:lang w:eastAsia="en-US" w:bidi="ar-SA"/>
        </w:rPr>
      </w:pPr>
      <w:r w:rsidRPr="00CB2FA0">
        <w:rPr>
          <w:lang w:eastAsia="en-US" w:bidi="ar-SA"/>
        </w:rPr>
        <w:t xml:space="preserve">Disclosures under the </w:t>
      </w:r>
      <w:r w:rsidRPr="003C2FCB">
        <w:rPr>
          <w:i/>
          <w:iCs/>
          <w:lang w:eastAsia="en-US" w:bidi="ar-SA"/>
        </w:rPr>
        <w:t>Protected Disclosure Act 2012</w:t>
      </w:r>
    </w:p>
    <w:p w:rsidR="003C2FCB" w:rsidRPr="00CB2FA0" w:rsidRDefault="003C2FCB" w:rsidP="003C2FCB">
      <w:pPr>
        <w:rPr>
          <w:lang w:eastAsia="en-US" w:bidi="ar-SA"/>
        </w:rPr>
      </w:pPr>
    </w:p>
    <w:p w:rsidR="00CB2FA0" w:rsidRDefault="00CB2FA0" w:rsidP="00305051">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The table below indicates the number of disclosures made by an individual to the VPSC</w:t>
      </w:r>
      <w:r w:rsidR="003C2FCB">
        <w:rPr>
          <w:rFonts w:eastAsiaTheme="minorHAnsi"/>
          <w:color w:val="000000"/>
          <w:sz w:val="20"/>
          <w:szCs w:val="20"/>
          <w:lang w:eastAsia="en-US" w:bidi="ar-SA"/>
        </w:rPr>
        <w:t xml:space="preserve"> </w:t>
      </w:r>
      <w:r w:rsidRPr="00CB2FA0">
        <w:rPr>
          <w:rFonts w:eastAsiaTheme="minorHAnsi"/>
          <w:color w:val="000000"/>
          <w:sz w:val="20"/>
          <w:szCs w:val="20"/>
          <w:lang w:eastAsia="en-US" w:bidi="ar-SA"/>
        </w:rPr>
        <w:t>and notified to the IBAC.</w:t>
      </w:r>
    </w:p>
    <w:p w:rsidR="003C2FCB" w:rsidRPr="00CB2FA0" w:rsidRDefault="003C2FCB" w:rsidP="003C2FCB">
      <w:pPr>
        <w:rPr>
          <w:lang w:eastAsia="en-US" w:bidi="ar-SA"/>
        </w:rPr>
      </w:pPr>
    </w:p>
    <w:tbl>
      <w:tblPr>
        <w:tblStyle w:val="TableGrid"/>
        <w:tblW w:w="0" w:type="auto"/>
        <w:tblInd w:w="742" w:type="dxa"/>
        <w:tblLayout w:type="fixed"/>
        <w:tblLook w:val="0000" w:firstRow="0" w:lastRow="0" w:firstColumn="0" w:lastColumn="0" w:noHBand="0" w:noVBand="0"/>
      </w:tblPr>
      <w:tblGrid>
        <w:gridCol w:w="5632"/>
        <w:gridCol w:w="1418"/>
        <w:gridCol w:w="1417"/>
        <w:gridCol w:w="1418"/>
      </w:tblGrid>
      <w:tr w:rsidR="003C2FCB" w:rsidRPr="003C2FCB" w:rsidTr="003C2FCB">
        <w:trPr>
          <w:trHeight w:val="60"/>
        </w:trPr>
        <w:tc>
          <w:tcPr>
            <w:tcW w:w="5632" w:type="dxa"/>
          </w:tcPr>
          <w:p w:rsidR="00CB2FA0" w:rsidRPr="003C2FCB" w:rsidRDefault="00CB2FA0" w:rsidP="00CB2FA0">
            <w:pPr>
              <w:widowControl/>
              <w:adjustRightInd w:val="0"/>
              <w:rPr>
                <w:rFonts w:eastAsiaTheme="minorHAnsi"/>
                <w:sz w:val="20"/>
                <w:szCs w:val="20"/>
                <w:lang w:eastAsia="en-US" w:bidi="ar-SA"/>
              </w:rPr>
            </w:pPr>
          </w:p>
        </w:tc>
        <w:tc>
          <w:tcPr>
            <w:tcW w:w="1418" w:type="dxa"/>
          </w:tcPr>
          <w:p w:rsidR="00CB2FA0" w:rsidRPr="003C2FCB" w:rsidRDefault="00CB2FA0" w:rsidP="00CB2FA0">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3C2FCB">
              <w:rPr>
                <w:rFonts w:eastAsiaTheme="minorHAnsi"/>
                <w:b/>
                <w:bCs/>
                <w:sz w:val="20"/>
                <w:szCs w:val="20"/>
                <w:lang w:eastAsia="en-US" w:bidi="ar-SA"/>
              </w:rPr>
              <w:t>2018–19</w:t>
            </w:r>
          </w:p>
        </w:tc>
        <w:tc>
          <w:tcPr>
            <w:tcW w:w="1417" w:type="dxa"/>
          </w:tcPr>
          <w:p w:rsidR="00CB2FA0" w:rsidRPr="003C2FCB" w:rsidRDefault="00CB2FA0" w:rsidP="00CB2FA0">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3C2FCB">
              <w:rPr>
                <w:rFonts w:eastAsiaTheme="minorHAnsi"/>
                <w:b/>
                <w:bCs/>
                <w:sz w:val="20"/>
                <w:szCs w:val="20"/>
                <w:lang w:eastAsia="en-US" w:bidi="ar-SA"/>
              </w:rPr>
              <w:t>2017–18</w:t>
            </w:r>
          </w:p>
        </w:tc>
        <w:tc>
          <w:tcPr>
            <w:tcW w:w="1418" w:type="dxa"/>
          </w:tcPr>
          <w:p w:rsidR="00CB2FA0" w:rsidRPr="003C2FCB" w:rsidRDefault="00CB2FA0" w:rsidP="00CB2FA0">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3C2FCB">
              <w:rPr>
                <w:rFonts w:eastAsiaTheme="minorHAnsi"/>
                <w:b/>
                <w:bCs/>
                <w:sz w:val="20"/>
                <w:szCs w:val="20"/>
                <w:lang w:eastAsia="en-US" w:bidi="ar-SA"/>
              </w:rPr>
              <w:t>2016–17</w:t>
            </w:r>
          </w:p>
        </w:tc>
      </w:tr>
      <w:tr w:rsidR="003C2FCB" w:rsidRPr="003C2FCB" w:rsidTr="003C2FCB">
        <w:trPr>
          <w:trHeight w:val="60"/>
        </w:trPr>
        <w:tc>
          <w:tcPr>
            <w:tcW w:w="5632" w:type="dxa"/>
          </w:tcPr>
          <w:p w:rsidR="00CB2FA0" w:rsidRPr="003C2FCB"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Assessable disclosures</w:t>
            </w:r>
          </w:p>
        </w:tc>
        <w:tc>
          <w:tcPr>
            <w:tcW w:w="1418" w:type="dxa"/>
          </w:tcPr>
          <w:p w:rsidR="00CB2FA0" w:rsidRPr="003C2FCB" w:rsidRDefault="00CB2FA0" w:rsidP="00CB2FA0">
            <w:pPr>
              <w:widowControl/>
              <w:suppressAutoHyphens/>
              <w:adjustRightInd w:val="0"/>
              <w:spacing w:after="113" w:line="220" w:lineRule="atLeast"/>
              <w:jc w:val="right"/>
              <w:textAlignment w:val="center"/>
              <w:rPr>
                <w:rFonts w:eastAsiaTheme="minorHAnsi"/>
                <w:sz w:val="20"/>
                <w:szCs w:val="20"/>
                <w:lang w:eastAsia="en-US" w:bidi="ar-SA"/>
              </w:rPr>
            </w:pPr>
            <w:r w:rsidRPr="003C2FCB">
              <w:rPr>
                <w:rFonts w:eastAsiaTheme="minorHAnsi"/>
                <w:sz w:val="20"/>
                <w:szCs w:val="20"/>
                <w:lang w:eastAsia="en-US" w:bidi="ar-SA"/>
              </w:rPr>
              <w:t>0</w:t>
            </w:r>
          </w:p>
        </w:tc>
        <w:tc>
          <w:tcPr>
            <w:tcW w:w="1417" w:type="dxa"/>
          </w:tcPr>
          <w:p w:rsidR="00CB2FA0" w:rsidRPr="003C2FCB" w:rsidRDefault="00CB2FA0" w:rsidP="00CB2FA0">
            <w:pPr>
              <w:widowControl/>
              <w:suppressAutoHyphens/>
              <w:adjustRightInd w:val="0"/>
              <w:spacing w:after="113" w:line="220" w:lineRule="atLeast"/>
              <w:jc w:val="right"/>
              <w:textAlignment w:val="center"/>
              <w:rPr>
                <w:rFonts w:eastAsiaTheme="minorHAnsi"/>
                <w:sz w:val="20"/>
                <w:szCs w:val="20"/>
                <w:lang w:eastAsia="en-US" w:bidi="ar-SA"/>
              </w:rPr>
            </w:pPr>
            <w:r w:rsidRPr="003C2FCB">
              <w:rPr>
                <w:rFonts w:eastAsiaTheme="minorHAnsi"/>
                <w:sz w:val="20"/>
                <w:szCs w:val="20"/>
                <w:lang w:eastAsia="en-US" w:bidi="ar-SA"/>
              </w:rPr>
              <w:t>0</w:t>
            </w:r>
          </w:p>
        </w:tc>
        <w:tc>
          <w:tcPr>
            <w:tcW w:w="1418" w:type="dxa"/>
          </w:tcPr>
          <w:p w:rsidR="00CB2FA0" w:rsidRPr="003C2FCB" w:rsidRDefault="00CB2FA0" w:rsidP="00CB2FA0">
            <w:pPr>
              <w:widowControl/>
              <w:suppressAutoHyphens/>
              <w:adjustRightInd w:val="0"/>
              <w:spacing w:after="113" w:line="220" w:lineRule="atLeast"/>
              <w:jc w:val="right"/>
              <w:textAlignment w:val="center"/>
              <w:rPr>
                <w:rFonts w:eastAsiaTheme="minorHAnsi"/>
                <w:sz w:val="20"/>
                <w:szCs w:val="20"/>
                <w:lang w:eastAsia="en-US" w:bidi="ar-SA"/>
              </w:rPr>
            </w:pPr>
            <w:r w:rsidRPr="003C2FCB">
              <w:rPr>
                <w:rFonts w:eastAsiaTheme="minorHAnsi"/>
                <w:sz w:val="20"/>
                <w:szCs w:val="20"/>
                <w:lang w:eastAsia="en-US" w:bidi="ar-SA"/>
              </w:rPr>
              <w:t>0</w:t>
            </w:r>
          </w:p>
        </w:tc>
      </w:tr>
    </w:tbl>
    <w:p w:rsidR="00CB2FA0" w:rsidRPr="00CB2FA0" w:rsidRDefault="00CB2FA0" w:rsidP="00CB2FA0">
      <w:pPr>
        <w:widowControl/>
        <w:suppressAutoHyphens/>
        <w:adjustRightInd w:val="0"/>
        <w:spacing w:after="227" w:line="220" w:lineRule="atLeast"/>
        <w:textAlignment w:val="center"/>
        <w:rPr>
          <w:rFonts w:eastAsiaTheme="minorHAnsi"/>
          <w:color w:val="000000"/>
          <w:sz w:val="20"/>
          <w:szCs w:val="20"/>
          <w:lang w:eastAsia="en-US" w:bidi="ar-SA"/>
        </w:rPr>
      </w:pPr>
    </w:p>
    <w:p w:rsidR="00CB2FA0" w:rsidRPr="00CB2FA0" w:rsidRDefault="00CB2FA0" w:rsidP="003C2FCB">
      <w:pPr>
        <w:pStyle w:val="Heading3"/>
        <w:ind w:left="709" w:right="1137"/>
        <w:rPr>
          <w:lang w:eastAsia="en-US" w:bidi="ar-SA"/>
        </w:rPr>
      </w:pPr>
      <w:r w:rsidRPr="00CB2FA0">
        <w:rPr>
          <w:lang w:eastAsia="en-US" w:bidi="ar-SA"/>
        </w:rPr>
        <w:t>The Carers Recognition Act 2012</w:t>
      </w:r>
    </w:p>
    <w:p w:rsidR="00CB2FA0" w:rsidRDefault="00CB2FA0" w:rsidP="003C2FCB">
      <w:pPr>
        <w:widowControl/>
        <w:suppressAutoHyphens/>
        <w:adjustRightInd w:val="0"/>
        <w:spacing w:after="113" w:line="220" w:lineRule="atLeast"/>
        <w:ind w:left="709" w:right="1137"/>
        <w:textAlignment w:val="center"/>
        <w:rPr>
          <w:rFonts w:eastAsiaTheme="minorHAnsi"/>
          <w:color w:val="000000"/>
          <w:spacing w:val="-2"/>
          <w:sz w:val="20"/>
          <w:szCs w:val="20"/>
          <w:lang w:eastAsia="en-US" w:bidi="ar-SA"/>
        </w:rPr>
      </w:pPr>
      <w:r w:rsidRPr="00CB2FA0">
        <w:rPr>
          <w:rFonts w:eastAsiaTheme="minorHAnsi"/>
          <w:color w:val="000000"/>
          <w:spacing w:val="-2"/>
          <w:sz w:val="20"/>
          <w:szCs w:val="20"/>
          <w:lang w:eastAsia="en-US" w:bidi="ar-SA"/>
        </w:rPr>
        <w:t>The VPSC has taken all practical measures to comply with its obligations under the Act. This includes considering the carer relationship principles set out in the Act when setting policies and providing services</w:t>
      </w:r>
      <w:r w:rsidRPr="00CB2FA0">
        <w:rPr>
          <w:rFonts w:eastAsiaTheme="minorHAnsi"/>
          <w:color w:val="000000"/>
          <w:spacing w:val="-2"/>
          <w:sz w:val="20"/>
          <w:szCs w:val="20"/>
          <w:lang w:eastAsia="en-US" w:bidi="ar-SA"/>
        </w:rPr>
        <w:br/>
        <w:t>(for example, reviewing our employment policies such as flexible working arrangements and leave provisions</w:t>
      </w:r>
      <w:r w:rsidRPr="00CB2FA0">
        <w:rPr>
          <w:rFonts w:eastAsiaTheme="minorHAnsi"/>
          <w:color w:val="000000"/>
          <w:spacing w:val="-2"/>
          <w:sz w:val="20"/>
          <w:szCs w:val="20"/>
          <w:lang w:eastAsia="en-US" w:bidi="ar-SA"/>
        </w:rPr>
        <w:br/>
        <w:t>to ensure these comply with the statement of principles in the Act).</w:t>
      </w:r>
    </w:p>
    <w:p w:rsidR="003C2FCB" w:rsidRPr="00CB2FA0" w:rsidRDefault="003C2FCB" w:rsidP="003C2FCB">
      <w:pPr>
        <w:rPr>
          <w:lang w:eastAsia="en-US" w:bidi="ar-SA"/>
        </w:rPr>
      </w:pPr>
    </w:p>
    <w:p w:rsidR="00CB2FA0" w:rsidRDefault="00CB2FA0" w:rsidP="003C2FCB">
      <w:pPr>
        <w:pStyle w:val="Heading3"/>
      </w:pPr>
      <w:r w:rsidRPr="003C2FCB">
        <w:lastRenderedPageBreak/>
        <w:t>Compliance with the Disability Act 2006</w:t>
      </w:r>
    </w:p>
    <w:p w:rsidR="003C2FCB" w:rsidRPr="003C2FCB" w:rsidRDefault="003C2FCB" w:rsidP="003C2FCB"/>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 xml:space="preserve">The </w:t>
      </w:r>
      <w:r w:rsidRPr="00CB2FA0">
        <w:rPr>
          <w:rFonts w:eastAsiaTheme="minorHAnsi"/>
          <w:i/>
          <w:iCs/>
          <w:color w:val="000000"/>
          <w:sz w:val="20"/>
          <w:szCs w:val="20"/>
          <w:lang w:eastAsia="en-US" w:bidi="ar-SA"/>
        </w:rPr>
        <w:t>Disability Act 2006</w:t>
      </w:r>
      <w:r w:rsidRPr="00CB2FA0">
        <w:rPr>
          <w:rFonts w:eastAsiaTheme="minorHAnsi"/>
          <w:color w:val="000000"/>
          <w:sz w:val="20"/>
          <w:szCs w:val="20"/>
          <w:lang w:eastAsia="en-US" w:bidi="ar-SA"/>
        </w:rPr>
        <w:t xml:space="preserve"> reaffirms and strengthens the rights of people with a disability and recognises that this requires support across the government sector and within the community.</w:t>
      </w: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The Act requires that public sector bodies prepare a disability action plan and report on its implementation</w:t>
      </w:r>
      <w:r w:rsidRPr="00CB2FA0">
        <w:rPr>
          <w:rFonts w:eastAsiaTheme="minorHAnsi"/>
          <w:color w:val="000000"/>
          <w:sz w:val="20"/>
          <w:szCs w:val="20"/>
          <w:lang w:eastAsia="en-US" w:bidi="ar-SA"/>
        </w:rPr>
        <w:br/>
        <w:t>in their annual report.</w:t>
      </w: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A disability action plan is a strategic plan which helps an organisation to remove barriers that prevent people with a disability from using the organisation’s goods, services and facilities, and from gaining and keeping employment. Disability action planning also strives to promote inclusion and participation in the community and achieve changes in attitudes and practices that may result in discrimination.</w:t>
      </w: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i/>
          <w:iCs/>
          <w:color w:val="000000"/>
          <w:sz w:val="20"/>
          <w:szCs w:val="20"/>
          <w:lang w:eastAsia="en-US" w:bidi="ar-SA"/>
        </w:rPr>
        <w:t>Absolutely everyone: state disability plan for 2017–2020</w:t>
      </w:r>
      <w:r w:rsidRPr="00CB2FA0">
        <w:rPr>
          <w:rFonts w:eastAsiaTheme="minorHAnsi"/>
          <w:color w:val="000000"/>
          <w:sz w:val="20"/>
          <w:szCs w:val="20"/>
          <w:lang w:eastAsia="en-US" w:bidi="ar-SA"/>
        </w:rPr>
        <w:t xml:space="preserve"> is the Victorian government’s framework for enabling people with a disability to participate and contribute to the social, economic and civic life of their community. Over time the government will consider ways to align disability action plans to the state plan.</w:t>
      </w: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 xml:space="preserve">The </w:t>
      </w:r>
      <w:r w:rsidRPr="00CB2FA0">
        <w:rPr>
          <w:rFonts w:eastAsiaTheme="minorHAnsi"/>
          <w:i/>
          <w:iCs/>
          <w:color w:val="000000"/>
          <w:sz w:val="20"/>
          <w:szCs w:val="20"/>
          <w:lang w:eastAsia="en-US" w:bidi="ar-SA"/>
        </w:rPr>
        <w:t>VPSC Accessibility Action Plan 2019–2022</w:t>
      </w:r>
      <w:r w:rsidRPr="00CB2FA0">
        <w:rPr>
          <w:rFonts w:eastAsiaTheme="minorHAnsi"/>
          <w:color w:val="000000"/>
          <w:sz w:val="20"/>
          <w:szCs w:val="20"/>
          <w:lang w:eastAsia="en-US" w:bidi="ar-SA"/>
        </w:rPr>
        <w:t xml:space="preserve"> has also been recently finalised and will be implemented</w:t>
      </w:r>
      <w:r w:rsidR="003C2FCB">
        <w:rPr>
          <w:rFonts w:eastAsiaTheme="minorHAnsi"/>
          <w:color w:val="000000"/>
          <w:sz w:val="20"/>
          <w:szCs w:val="20"/>
          <w:lang w:eastAsia="en-US" w:bidi="ar-SA"/>
        </w:rPr>
        <w:t xml:space="preserve"> </w:t>
      </w:r>
      <w:r w:rsidRPr="00CB2FA0">
        <w:rPr>
          <w:rFonts w:eastAsiaTheme="minorHAnsi"/>
          <w:color w:val="000000"/>
          <w:sz w:val="20"/>
          <w:szCs w:val="20"/>
          <w:lang w:eastAsia="en-US" w:bidi="ar-SA"/>
        </w:rPr>
        <w:t>over the next three-year period. This plan draws upon the work of the VPSC in leading the development</w:t>
      </w:r>
      <w:r w:rsidR="003C2FCB">
        <w:rPr>
          <w:rFonts w:eastAsiaTheme="minorHAnsi"/>
          <w:color w:val="000000"/>
          <w:sz w:val="20"/>
          <w:szCs w:val="20"/>
          <w:lang w:eastAsia="en-US" w:bidi="ar-SA"/>
        </w:rPr>
        <w:t xml:space="preserve"> </w:t>
      </w:r>
      <w:r w:rsidRPr="00CB2FA0">
        <w:rPr>
          <w:rFonts w:eastAsiaTheme="minorHAnsi"/>
          <w:color w:val="000000"/>
          <w:sz w:val="20"/>
          <w:szCs w:val="20"/>
          <w:lang w:eastAsia="en-US" w:bidi="ar-SA"/>
        </w:rPr>
        <w:t xml:space="preserve">and introduction of </w:t>
      </w:r>
      <w:r w:rsidRPr="00CB2FA0">
        <w:rPr>
          <w:rFonts w:eastAsiaTheme="minorHAnsi"/>
          <w:i/>
          <w:iCs/>
          <w:color w:val="000000"/>
          <w:sz w:val="20"/>
          <w:szCs w:val="20"/>
          <w:lang w:eastAsia="en-US" w:bidi="ar-SA"/>
        </w:rPr>
        <w:t>Getting to Work: Victorian public sector disability employment action plan 2018–2025</w:t>
      </w:r>
      <w:r w:rsidRPr="00CB2FA0">
        <w:rPr>
          <w:rFonts w:eastAsiaTheme="minorHAnsi"/>
          <w:color w:val="000000"/>
          <w:sz w:val="20"/>
          <w:szCs w:val="20"/>
          <w:lang w:eastAsia="en-US" w:bidi="ar-SA"/>
        </w:rPr>
        <w:t>.</w:t>
      </w: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Utilising the initiatives in this plan, we seek to increase our efforts to attract and retain talented employees from all abilities and backgrounds and to provide a workplace environment and culture that is genuinely accessible and inclusive.</w:t>
      </w:r>
    </w:p>
    <w:p w:rsidR="00CB2FA0" w:rsidRPr="00CB2FA0" w:rsidRDefault="00CB2FA0" w:rsidP="003C2FCB">
      <w:pPr>
        <w:rPr>
          <w:lang w:eastAsia="en-US" w:bidi="ar-SA"/>
        </w:rPr>
      </w:pPr>
    </w:p>
    <w:p w:rsidR="00CB2FA0" w:rsidRDefault="00CB2FA0" w:rsidP="003C2FCB">
      <w:pPr>
        <w:pStyle w:val="Heading3"/>
      </w:pPr>
      <w:r w:rsidRPr="003C2FCB">
        <w:t>Other Information</w:t>
      </w:r>
    </w:p>
    <w:p w:rsidR="003C2FCB" w:rsidRPr="003C2FCB" w:rsidRDefault="003C2FCB" w:rsidP="003C2FCB"/>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 xml:space="preserve">In compliance with the requirements of the </w:t>
      </w:r>
      <w:r w:rsidRPr="00CB2FA0">
        <w:rPr>
          <w:rFonts w:eastAsiaTheme="minorHAnsi"/>
          <w:i/>
          <w:iCs/>
          <w:color w:val="000000"/>
          <w:sz w:val="20"/>
          <w:szCs w:val="20"/>
          <w:lang w:eastAsia="en-US" w:bidi="ar-SA"/>
        </w:rPr>
        <w:t xml:space="preserve">Standing Directions 2018 under the Financial Management </w:t>
      </w:r>
      <w:r w:rsidRPr="00CB2FA0">
        <w:rPr>
          <w:rFonts w:eastAsiaTheme="minorHAnsi"/>
          <w:i/>
          <w:iCs/>
          <w:color w:val="000000"/>
          <w:sz w:val="20"/>
          <w:szCs w:val="20"/>
          <w:lang w:eastAsia="en-US" w:bidi="ar-SA"/>
        </w:rPr>
        <w:br/>
        <w:t>Act 1994</w:t>
      </w:r>
      <w:r w:rsidRPr="00CB2FA0">
        <w:rPr>
          <w:rFonts w:eastAsiaTheme="minorHAnsi"/>
          <w:color w:val="000000"/>
          <w:sz w:val="20"/>
          <w:szCs w:val="20"/>
          <w:lang w:eastAsia="en-US" w:bidi="ar-SA"/>
        </w:rPr>
        <w:t xml:space="preserve">, details in respect to the terms listed below have now been retained by the department </w:t>
      </w:r>
      <w:r w:rsidRPr="00CB2FA0">
        <w:rPr>
          <w:rFonts w:eastAsiaTheme="minorHAnsi"/>
          <w:color w:val="000000"/>
          <w:sz w:val="20"/>
          <w:szCs w:val="20"/>
          <w:lang w:eastAsia="en-US" w:bidi="ar-SA"/>
        </w:rPr>
        <w:br/>
        <w:t xml:space="preserve">and are available on request, subject to the provisions of the </w:t>
      </w:r>
      <w:r w:rsidRPr="00CB2FA0">
        <w:rPr>
          <w:rFonts w:eastAsiaTheme="minorHAnsi"/>
          <w:i/>
          <w:iCs/>
          <w:color w:val="000000"/>
          <w:sz w:val="20"/>
          <w:szCs w:val="20"/>
          <w:lang w:eastAsia="en-US" w:bidi="ar-SA"/>
        </w:rPr>
        <w:t>Freedom of Information Act 1982</w:t>
      </w:r>
      <w:r w:rsidRPr="00CB2FA0">
        <w:rPr>
          <w:rFonts w:eastAsiaTheme="minorHAnsi"/>
          <w:color w:val="000000"/>
          <w:sz w:val="20"/>
          <w:szCs w:val="20"/>
          <w:lang w:eastAsia="en-US" w:bidi="ar-SA"/>
        </w:rPr>
        <w:t>.</w:t>
      </w:r>
    </w:p>
    <w:p w:rsidR="00CB2FA0" w:rsidRPr="003C2FCB" w:rsidRDefault="00CB2FA0" w:rsidP="00943EBA">
      <w:pPr>
        <w:pStyle w:val="ListParagraph"/>
        <w:widowControl/>
        <w:numPr>
          <w:ilvl w:val="0"/>
          <w:numId w:val="2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3C2FCB">
        <w:rPr>
          <w:rFonts w:eastAsiaTheme="minorHAnsi"/>
          <w:color w:val="000000"/>
          <w:sz w:val="20"/>
          <w:szCs w:val="20"/>
          <w:lang w:eastAsia="en-US" w:bidi="ar-SA"/>
        </w:rPr>
        <w:t>A statement that declarations of pecuniary interest have been duly completed by all relevant officers.</w:t>
      </w:r>
    </w:p>
    <w:p w:rsidR="00CB2FA0" w:rsidRPr="003C2FCB" w:rsidRDefault="00CB2FA0" w:rsidP="00943EBA">
      <w:pPr>
        <w:pStyle w:val="ListParagraph"/>
        <w:widowControl/>
        <w:numPr>
          <w:ilvl w:val="0"/>
          <w:numId w:val="2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3C2FCB">
        <w:rPr>
          <w:rFonts w:eastAsiaTheme="minorHAnsi"/>
          <w:color w:val="000000"/>
          <w:sz w:val="20"/>
          <w:szCs w:val="20"/>
          <w:lang w:eastAsia="en-US" w:bidi="ar-SA"/>
        </w:rPr>
        <w:t>Details of shares held by a senior officer as nominee or held beneficially in a statutory authority</w:t>
      </w:r>
      <w:r w:rsidRPr="003C2FCB">
        <w:rPr>
          <w:rFonts w:eastAsiaTheme="minorHAnsi"/>
          <w:color w:val="000000"/>
          <w:sz w:val="20"/>
          <w:szCs w:val="20"/>
          <w:lang w:eastAsia="en-US" w:bidi="ar-SA"/>
        </w:rPr>
        <w:br/>
        <w:t>or subsidiary.</w:t>
      </w:r>
    </w:p>
    <w:p w:rsidR="00CB2FA0" w:rsidRPr="003C2FCB" w:rsidRDefault="00CB2FA0" w:rsidP="00943EBA">
      <w:pPr>
        <w:pStyle w:val="ListParagraph"/>
        <w:widowControl/>
        <w:numPr>
          <w:ilvl w:val="0"/>
          <w:numId w:val="2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3C2FCB">
        <w:rPr>
          <w:rFonts w:eastAsiaTheme="minorHAnsi"/>
          <w:color w:val="000000"/>
          <w:sz w:val="20"/>
          <w:szCs w:val="20"/>
          <w:lang w:eastAsia="en-US" w:bidi="ar-SA"/>
        </w:rPr>
        <w:t>Details of publications produced by the entity, about the entity, and the places where publications</w:t>
      </w:r>
      <w:r w:rsidRPr="003C2FCB">
        <w:rPr>
          <w:rFonts w:eastAsiaTheme="minorHAnsi"/>
          <w:color w:val="000000"/>
          <w:sz w:val="20"/>
          <w:szCs w:val="20"/>
          <w:lang w:eastAsia="en-US" w:bidi="ar-SA"/>
        </w:rPr>
        <w:br/>
        <w:t>can be obtained.</w:t>
      </w:r>
    </w:p>
    <w:p w:rsidR="00CB2FA0" w:rsidRPr="003C2FCB" w:rsidRDefault="00CB2FA0" w:rsidP="00943EBA">
      <w:pPr>
        <w:pStyle w:val="ListParagraph"/>
        <w:widowControl/>
        <w:numPr>
          <w:ilvl w:val="0"/>
          <w:numId w:val="2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3C2FCB">
        <w:rPr>
          <w:rFonts w:eastAsiaTheme="minorHAnsi"/>
          <w:color w:val="000000"/>
          <w:sz w:val="20"/>
          <w:szCs w:val="20"/>
          <w:lang w:eastAsia="en-US" w:bidi="ar-SA"/>
        </w:rPr>
        <w:t>Details of changes in prices, fees, charges, rates and levies charged by the entity.</w:t>
      </w:r>
    </w:p>
    <w:p w:rsidR="00CB2FA0" w:rsidRPr="003C2FCB" w:rsidRDefault="00CB2FA0" w:rsidP="00943EBA">
      <w:pPr>
        <w:pStyle w:val="ListParagraph"/>
        <w:widowControl/>
        <w:numPr>
          <w:ilvl w:val="0"/>
          <w:numId w:val="2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3C2FCB">
        <w:rPr>
          <w:rFonts w:eastAsiaTheme="minorHAnsi"/>
          <w:color w:val="000000"/>
          <w:sz w:val="20"/>
          <w:szCs w:val="20"/>
          <w:lang w:eastAsia="en-US" w:bidi="ar-SA"/>
        </w:rPr>
        <w:t>Details of any major external reviews carried out by the entity.</w:t>
      </w:r>
    </w:p>
    <w:p w:rsidR="00CB2FA0" w:rsidRPr="003C2FCB" w:rsidRDefault="00CB2FA0" w:rsidP="00943EBA">
      <w:pPr>
        <w:pStyle w:val="ListParagraph"/>
        <w:widowControl/>
        <w:numPr>
          <w:ilvl w:val="0"/>
          <w:numId w:val="2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3C2FCB">
        <w:rPr>
          <w:rFonts w:eastAsiaTheme="minorHAnsi"/>
          <w:color w:val="000000"/>
          <w:sz w:val="20"/>
          <w:szCs w:val="20"/>
          <w:lang w:eastAsia="en-US" w:bidi="ar-SA"/>
        </w:rPr>
        <w:t>Details of any major research and development activities undertaken by the entity.</w:t>
      </w:r>
    </w:p>
    <w:p w:rsidR="00CB2FA0" w:rsidRPr="003C2FCB" w:rsidRDefault="00CB2FA0" w:rsidP="00943EBA">
      <w:pPr>
        <w:pStyle w:val="ListParagraph"/>
        <w:widowControl/>
        <w:numPr>
          <w:ilvl w:val="0"/>
          <w:numId w:val="2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3C2FCB">
        <w:rPr>
          <w:rFonts w:eastAsiaTheme="minorHAnsi"/>
          <w:color w:val="000000"/>
          <w:sz w:val="20"/>
          <w:szCs w:val="20"/>
          <w:lang w:eastAsia="en-US" w:bidi="ar-SA"/>
        </w:rPr>
        <w:t>Details of overseas visits undertaken including a summary of the objectives and outcomes of each visit.</w:t>
      </w:r>
    </w:p>
    <w:p w:rsidR="00CB2FA0" w:rsidRPr="003C2FCB" w:rsidRDefault="00CB2FA0" w:rsidP="00943EBA">
      <w:pPr>
        <w:pStyle w:val="ListParagraph"/>
        <w:widowControl/>
        <w:numPr>
          <w:ilvl w:val="0"/>
          <w:numId w:val="2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3C2FCB">
        <w:rPr>
          <w:rFonts w:eastAsiaTheme="minorHAnsi"/>
          <w:color w:val="000000"/>
          <w:sz w:val="20"/>
          <w:szCs w:val="20"/>
          <w:lang w:eastAsia="en-US" w:bidi="ar-SA"/>
        </w:rPr>
        <w:t>Details of major promotional, public relations and marketing activities undertaken by the entity to develop community awareness of the entity and the services it provides.</w:t>
      </w:r>
    </w:p>
    <w:p w:rsidR="00CB2FA0" w:rsidRPr="003C2FCB" w:rsidRDefault="00CB2FA0" w:rsidP="00943EBA">
      <w:pPr>
        <w:pStyle w:val="ListParagraph"/>
        <w:widowControl/>
        <w:numPr>
          <w:ilvl w:val="0"/>
          <w:numId w:val="2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3C2FCB">
        <w:rPr>
          <w:rFonts w:eastAsiaTheme="minorHAnsi"/>
          <w:color w:val="000000"/>
          <w:sz w:val="20"/>
          <w:szCs w:val="20"/>
          <w:lang w:eastAsia="en-US" w:bidi="ar-SA"/>
        </w:rPr>
        <w:t>Details of assessments and measures undertaken to improve the occupational health and safety</w:t>
      </w:r>
      <w:r w:rsidRPr="003C2FCB">
        <w:rPr>
          <w:rFonts w:eastAsiaTheme="minorHAnsi"/>
          <w:color w:val="000000"/>
          <w:sz w:val="20"/>
          <w:szCs w:val="20"/>
          <w:lang w:eastAsia="en-US" w:bidi="ar-SA"/>
        </w:rPr>
        <w:br/>
        <w:t>of employees.</w:t>
      </w:r>
    </w:p>
    <w:p w:rsidR="00CB2FA0" w:rsidRPr="003C2FCB" w:rsidRDefault="00CB2FA0" w:rsidP="00943EBA">
      <w:pPr>
        <w:pStyle w:val="ListParagraph"/>
        <w:widowControl/>
        <w:numPr>
          <w:ilvl w:val="0"/>
          <w:numId w:val="2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3C2FCB">
        <w:rPr>
          <w:rFonts w:eastAsiaTheme="minorHAnsi"/>
          <w:color w:val="000000"/>
          <w:sz w:val="20"/>
          <w:szCs w:val="20"/>
          <w:lang w:eastAsia="en-US" w:bidi="ar-SA"/>
        </w:rPr>
        <w:t>A general statement on industrial relations within the entity and details of time lost through industrial action and disputes.</w:t>
      </w:r>
    </w:p>
    <w:p w:rsidR="00CB2FA0" w:rsidRPr="003C2FCB" w:rsidRDefault="00CB2FA0" w:rsidP="00943EBA">
      <w:pPr>
        <w:pStyle w:val="ListParagraph"/>
        <w:widowControl/>
        <w:numPr>
          <w:ilvl w:val="0"/>
          <w:numId w:val="28"/>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3C2FCB">
        <w:rPr>
          <w:rFonts w:eastAsiaTheme="minorHAnsi"/>
          <w:color w:val="000000"/>
          <w:sz w:val="20"/>
          <w:szCs w:val="20"/>
          <w:lang w:eastAsia="en-US" w:bidi="ar-SA"/>
        </w:rPr>
        <w:t>A list of major committees sponsored by the entity, the purposes of each committee, and the extent</w:t>
      </w:r>
      <w:r w:rsidRPr="003C2FCB">
        <w:rPr>
          <w:rFonts w:eastAsiaTheme="minorHAnsi"/>
          <w:color w:val="000000"/>
          <w:sz w:val="20"/>
          <w:szCs w:val="20"/>
          <w:lang w:eastAsia="en-US" w:bidi="ar-SA"/>
        </w:rPr>
        <w:br/>
        <w:t>to which the purposes have been achieved.</w:t>
      </w:r>
    </w:p>
    <w:p w:rsidR="00CB2FA0" w:rsidRPr="00CB2FA0" w:rsidRDefault="00CB2FA0" w:rsidP="003C2FCB">
      <w:pPr>
        <w:rPr>
          <w:lang w:eastAsia="en-US" w:bidi="ar-SA"/>
        </w:rPr>
      </w:pPr>
    </w:p>
    <w:p w:rsidR="00CB2FA0" w:rsidRPr="00CB2FA0" w:rsidRDefault="00CB2FA0" w:rsidP="003C2FCB">
      <w:pPr>
        <w:pStyle w:val="Heading3"/>
        <w:rPr>
          <w:lang w:eastAsia="en-US" w:bidi="ar-SA"/>
        </w:rPr>
      </w:pPr>
      <w:r w:rsidRPr="00CB2FA0">
        <w:rPr>
          <w:lang w:eastAsia="en-US" w:bidi="ar-SA"/>
        </w:rPr>
        <w:t>Attestation for financial management compliance with Standing Directions 5.1.4</w:t>
      </w:r>
    </w:p>
    <w:p w:rsidR="003C2FCB" w:rsidRDefault="003C2FCB" w:rsidP="003C2FCB">
      <w:pPr>
        <w:rPr>
          <w:lang w:eastAsia="en-US" w:bidi="ar-SA"/>
        </w:rPr>
      </w:pPr>
    </w:p>
    <w:p w:rsidR="00CB2FA0" w:rsidRDefault="00CB2FA0" w:rsidP="003C2FCB">
      <w:pPr>
        <w:pStyle w:val="Heading4"/>
        <w:rPr>
          <w:lang w:eastAsia="en-US" w:bidi="ar-SA"/>
        </w:rPr>
      </w:pPr>
      <w:r w:rsidRPr="00CB2FA0">
        <w:rPr>
          <w:lang w:eastAsia="en-US" w:bidi="ar-SA"/>
        </w:rPr>
        <w:t>Financial Management Compliance Attestation Statement</w:t>
      </w:r>
    </w:p>
    <w:p w:rsidR="003C2FCB" w:rsidRPr="00CB2FA0" w:rsidRDefault="003C2FCB" w:rsidP="003C2FCB">
      <w:pPr>
        <w:rPr>
          <w:lang w:eastAsia="en-US" w:bidi="ar-SA"/>
        </w:rPr>
      </w:pP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 xml:space="preserve">The Victorian Public Sector Commission has not identified any Material Compliance </w:t>
      </w:r>
      <w:proofErr w:type="gramStart"/>
      <w:r w:rsidRPr="00CB2FA0">
        <w:rPr>
          <w:rFonts w:eastAsiaTheme="minorHAnsi"/>
          <w:color w:val="000000"/>
          <w:sz w:val="20"/>
          <w:szCs w:val="20"/>
          <w:lang w:eastAsia="en-US" w:bidi="ar-SA"/>
        </w:rPr>
        <w:t>Deficiencies</w:t>
      </w:r>
      <w:proofErr w:type="gramEnd"/>
      <w:r w:rsidRPr="00CB2FA0">
        <w:rPr>
          <w:rFonts w:eastAsiaTheme="minorHAnsi"/>
          <w:color w:val="000000"/>
          <w:sz w:val="20"/>
          <w:szCs w:val="20"/>
          <w:lang w:eastAsia="en-US" w:bidi="ar-SA"/>
        </w:rPr>
        <w:t xml:space="preserve"> or the financial year ended 30 June 2019.</w:t>
      </w: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I, Paul Grimes, certify that the Victorian Public Sector Commission has complied with the</w:t>
      </w:r>
      <w:r w:rsidR="003C2FCB">
        <w:rPr>
          <w:rFonts w:eastAsiaTheme="minorHAnsi"/>
          <w:color w:val="000000"/>
          <w:sz w:val="20"/>
          <w:szCs w:val="20"/>
          <w:lang w:eastAsia="en-US" w:bidi="ar-SA"/>
        </w:rPr>
        <w:t xml:space="preserve"> </w:t>
      </w:r>
      <w:r w:rsidRPr="00CB2FA0">
        <w:rPr>
          <w:rFonts w:eastAsiaTheme="minorHAnsi"/>
          <w:color w:val="000000"/>
          <w:sz w:val="20"/>
          <w:szCs w:val="20"/>
          <w:lang w:eastAsia="en-US" w:bidi="ar-SA"/>
        </w:rPr>
        <w:t xml:space="preserve">applicable Standing Directions of the Minister for </w:t>
      </w:r>
      <w:r w:rsidRPr="00CB2FA0">
        <w:rPr>
          <w:rFonts w:eastAsiaTheme="minorHAnsi"/>
          <w:i/>
          <w:iCs/>
          <w:color w:val="000000"/>
          <w:sz w:val="20"/>
          <w:szCs w:val="20"/>
          <w:lang w:eastAsia="en-US" w:bidi="ar-SA"/>
        </w:rPr>
        <w:t>Finance under the Financial Management Act 1994</w:t>
      </w:r>
      <w:r w:rsidR="003C2FCB">
        <w:rPr>
          <w:rFonts w:eastAsiaTheme="minorHAnsi"/>
          <w:i/>
          <w:iCs/>
          <w:color w:val="000000"/>
          <w:sz w:val="20"/>
          <w:szCs w:val="20"/>
          <w:lang w:eastAsia="en-US" w:bidi="ar-SA"/>
        </w:rPr>
        <w:t xml:space="preserve"> </w:t>
      </w:r>
      <w:r w:rsidRPr="00CB2FA0">
        <w:rPr>
          <w:rFonts w:eastAsiaTheme="minorHAnsi"/>
          <w:color w:val="000000"/>
          <w:sz w:val="20"/>
          <w:szCs w:val="20"/>
          <w:lang w:eastAsia="en-US" w:bidi="ar-SA"/>
        </w:rPr>
        <w:t>and Instructions.</w:t>
      </w: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CB2FA0" w:rsidRPr="00CB2FA0" w:rsidRDefault="00CB2FA0" w:rsidP="003C2FCB">
      <w:pPr>
        <w:widowControl/>
        <w:suppressAutoHyphens/>
        <w:adjustRightInd w:val="0"/>
        <w:spacing w:after="57" w:line="220" w:lineRule="atLeast"/>
        <w:ind w:left="709" w:right="1137"/>
        <w:textAlignment w:val="center"/>
        <w:rPr>
          <w:rFonts w:eastAsiaTheme="minorHAnsi"/>
          <w:color w:val="EC008B"/>
          <w:sz w:val="20"/>
          <w:szCs w:val="20"/>
          <w:lang w:eastAsia="en-US" w:bidi="ar-SA"/>
        </w:rPr>
      </w:pP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Dr Paul Grimes PSM</w:t>
      </w:r>
      <w:r w:rsidRPr="00CB2FA0">
        <w:rPr>
          <w:rFonts w:eastAsiaTheme="minorHAnsi"/>
          <w:color w:val="000000"/>
          <w:sz w:val="20"/>
          <w:szCs w:val="20"/>
          <w:lang w:eastAsia="en-US" w:bidi="ar-SA"/>
        </w:rPr>
        <w:br/>
        <w:t>Commissioner</w:t>
      </w:r>
      <w:r w:rsidRPr="00CB2FA0">
        <w:rPr>
          <w:rFonts w:eastAsiaTheme="minorHAnsi"/>
          <w:color w:val="000000"/>
          <w:sz w:val="20"/>
          <w:szCs w:val="20"/>
          <w:lang w:eastAsia="en-US" w:bidi="ar-SA"/>
        </w:rPr>
        <w:br/>
        <w:t xml:space="preserve">Victorian Public Sector Commission </w:t>
      </w:r>
    </w:p>
    <w:p w:rsidR="00CB2FA0" w:rsidRPr="00CB2FA0" w:rsidRDefault="00CB2FA0" w:rsidP="003C2FCB">
      <w:pPr>
        <w:rPr>
          <w:lang w:eastAsia="en-US" w:bidi="ar-SA"/>
        </w:rPr>
      </w:pPr>
    </w:p>
    <w:p w:rsidR="00CB2FA0" w:rsidRP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16 September 2019</w:t>
      </w: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3C2FCB" w:rsidRDefault="003C2FCB" w:rsidP="003C2FCB">
      <w:pPr>
        <w:widowControl/>
        <w:suppressAutoHyphens/>
        <w:adjustRightInd w:val="0"/>
        <w:spacing w:before="283" w:after="227" w:line="400" w:lineRule="atLeast"/>
        <w:ind w:left="709" w:right="1137"/>
        <w:textAlignment w:val="center"/>
        <w:rPr>
          <w:rFonts w:eastAsiaTheme="minorHAnsi"/>
          <w:color w:val="000000"/>
          <w:sz w:val="20"/>
          <w:szCs w:val="20"/>
          <w:lang w:eastAsia="en-US" w:bidi="ar-SA"/>
        </w:rPr>
      </w:pPr>
    </w:p>
    <w:p w:rsidR="00CB2FA0" w:rsidRDefault="00CB2FA0" w:rsidP="003C2FCB">
      <w:pPr>
        <w:pStyle w:val="Heading2"/>
        <w:rPr>
          <w:lang w:eastAsia="en-US" w:bidi="ar-SA"/>
        </w:rPr>
      </w:pPr>
      <w:bookmarkStart w:id="33" w:name="_Toc23329733"/>
      <w:r w:rsidRPr="00CB2FA0">
        <w:rPr>
          <w:lang w:eastAsia="en-US" w:bidi="ar-SA"/>
        </w:rPr>
        <w:lastRenderedPageBreak/>
        <w:t>Disclosure Index</w:t>
      </w:r>
      <w:bookmarkEnd w:id="33"/>
    </w:p>
    <w:p w:rsidR="003C2FCB" w:rsidRPr="00CB2FA0" w:rsidRDefault="003C2FCB" w:rsidP="003C2FCB">
      <w:pPr>
        <w:rPr>
          <w:lang w:eastAsia="en-US" w:bidi="ar-SA"/>
        </w:rPr>
      </w:pPr>
    </w:p>
    <w:p w:rsidR="00CB2FA0" w:rsidRDefault="00CB2FA0" w:rsidP="003C2FC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This annual report of the VPSC is prepared in accordance with all relevant Victorian legislations and pronouncements. This index has been prepared to facilitate identification of compliance with statutory disclosure and other requirements.</w:t>
      </w:r>
    </w:p>
    <w:tbl>
      <w:tblPr>
        <w:tblStyle w:val="TableGrid"/>
        <w:tblpPr w:leftFromText="180" w:rightFromText="180" w:vertAnchor="text" w:horzAnchor="page" w:tblpX="694" w:tblpY="158"/>
        <w:tblW w:w="0" w:type="auto"/>
        <w:tblLayout w:type="fixed"/>
        <w:tblLook w:val="0000" w:firstRow="0" w:lastRow="0" w:firstColumn="0" w:lastColumn="0" w:noHBand="0" w:noVBand="0"/>
      </w:tblPr>
      <w:tblGrid>
        <w:gridCol w:w="1356"/>
        <w:gridCol w:w="7853"/>
        <w:gridCol w:w="851"/>
      </w:tblGrid>
      <w:tr w:rsidR="003C2FCB" w:rsidRPr="003C2FCB" w:rsidTr="003C2FCB">
        <w:trPr>
          <w:trHeight w:val="60"/>
        </w:trPr>
        <w:tc>
          <w:tcPr>
            <w:tcW w:w="1356" w:type="dxa"/>
          </w:tcPr>
          <w:p w:rsidR="003C2FCB" w:rsidRPr="003C2FCB" w:rsidRDefault="003C2FCB" w:rsidP="003C2FCB">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3C2FCB">
              <w:rPr>
                <w:rFonts w:eastAsiaTheme="minorHAnsi"/>
                <w:b/>
                <w:bCs/>
                <w:sz w:val="20"/>
                <w:szCs w:val="20"/>
                <w:lang w:eastAsia="en-US" w:bidi="ar-SA"/>
              </w:rPr>
              <w:t>Legislation</w:t>
            </w:r>
          </w:p>
        </w:tc>
        <w:tc>
          <w:tcPr>
            <w:tcW w:w="7853" w:type="dxa"/>
          </w:tcPr>
          <w:p w:rsidR="003C2FCB" w:rsidRPr="003C2FCB" w:rsidRDefault="003C2FCB" w:rsidP="003C2FCB">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3C2FCB">
              <w:rPr>
                <w:rFonts w:eastAsiaTheme="minorHAnsi"/>
                <w:b/>
                <w:bCs/>
                <w:sz w:val="20"/>
                <w:szCs w:val="20"/>
                <w:lang w:eastAsia="en-US" w:bidi="ar-SA"/>
              </w:rPr>
              <w:t>Requirements</w:t>
            </w:r>
          </w:p>
        </w:tc>
        <w:tc>
          <w:tcPr>
            <w:tcW w:w="851" w:type="dxa"/>
          </w:tcPr>
          <w:p w:rsidR="003C2FCB" w:rsidRPr="003C2FCB" w:rsidRDefault="003C2FCB" w:rsidP="003C2FCB">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3C2FCB">
              <w:rPr>
                <w:rFonts w:eastAsiaTheme="minorHAnsi"/>
                <w:b/>
                <w:bCs/>
                <w:sz w:val="20"/>
                <w:szCs w:val="20"/>
                <w:lang w:eastAsia="en-US" w:bidi="ar-SA"/>
              </w:rPr>
              <w:t xml:space="preserve">Page </w:t>
            </w:r>
          </w:p>
        </w:tc>
      </w:tr>
      <w:tr w:rsidR="003C2FCB" w:rsidRPr="003C2FCB" w:rsidTr="003C2FCB">
        <w:trPr>
          <w:trHeight w:val="60"/>
        </w:trPr>
        <w:tc>
          <w:tcPr>
            <w:tcW w:w="10060" w:type="dxa"/>
            <w:gridSpan w:val="3"/>
          </w:tcPr>
          <w:p w:rsidR="003C2FCB" w:rsidRPr="003C2FCB" w:rsidRDefault="003C2FCB" w:rsidP="003C2FCB">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3C2FCB">
              <w:rPr>
                <w:rFonts w:eastAsiaTheme="minorHAnsi"/>
                <w:b/>
                <w:bCs/>
                <w:sz w:val="20"/>
                <w:szCs w:val="20"/>
                <w:lang w:eastAsia="en-US" w:bidi="ar-SA"/>
              </w:rPr>
              <w:t>Charter and purpose</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Manner of establishment and relevant Ministers</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6,18</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Purpose, functions, powers and duties</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6</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Nature and range of services provided</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6-16</w:t>
            </w:r>
          </w:p>
        </w:tc>
      </w:tr>
      <w:tr w:rsidR="003C2FCB" w:rsidRPr="003C2FCB" w:rsidTr="003C2FCB">
        <w:trPr>
          <w:trHeight w:val="60"/>
        </w:trPr>
        <w:tc>
          <w:tcPr>
            <w:tcW w:w="10060" w:type="dxa"/>
            <w:gridSpan w:val="3"/>
          </w:tcPr>
          <w:p w:rsidR="003C2FCB" w:rsidRPr="003C2FCB" w:rsidRDefault="003C2FCB" w:rsidP="003C2FCB">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3C2FCB">
              <w:rPr>
                <w:rFonts w:eastAsiaTheme="minorHAnsi"/>
                <w:b/>
                <w:bCs/>
                <w:sz w:val="20"/>
                <w:szCs w:val="20"/>
                <w:lang w:eastAsia="en-US" w:bidi="ar-SA"/>
              </w:rPr>
              <w:t xml:space="preserve">Management and Structure </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Organisational Structure</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19</w:t>
            </w:r>
          </w:p>
        </w:tc>
      </w:tr>
      <w:tr w:rsidR="003C2FCB" w:rsidRPr="003C2FCB" w:rsidTr="003C2FCB">
        <w:trPr>
          <w:trHeight w:val="60"/>
        </w:trPr>
        <w:tc>
          <w:tcPr>
            <w:tcW w:w="10060" w:type="dxa"/>
            <w:gridSpan w:val="3"/>
          </w:tcPr>
          <w:p w:rsidR="003C2FCB" w:rsidRPr="003C2FCB" w:rsidRDefault="003C2FCB" w:rsidP="003C2FCB">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3C2FCB">
              <w:rPr>
                <w:rFonts w:eastAsiaTheme="minorHAnsi"/>
                <w:b/>
                <w:bCs/>
                <w:sz w:val="20"/>
                <w:szCs w:val="20"/>
                <w:lang w:eastAsia="en-US" w:bidi="ar-SA"/>
              </w:rPr>
              <w:t>Financial and Other Information</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10A</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Disclosure Index</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36-37</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15E</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Executive officer disclosures</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25</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Employment and conduct principles</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21</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Occupational health and safety policy</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21</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Summary of the financial results for the year</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17</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Significant changes in the financial position and major changes affecting performance during the year</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17</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Subsequent events</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17</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 xml:space="preserve">Application and operation of the </w:t>
            </w:r>
            <w:r w:rsidRPr="003C2FCB">
              <w:rPr>
                <w:rFonts w:eastAsiaTheme="minorHAnsi"/>
                <w:i/>
                <w:iCs/>
                <w:sz w:val="20"/>
                <w:szCs w:val="20"/>
                <w:lang w:eastAsia="en-US" w:bidi="ar-SA"/>
              </w:rPr>
              <w:t>Freedom of Information Act 1982</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31</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Compliance with building and maintenance provisions of</w:t>
            </w:r>
            <w:r w:rsidRPr="003C2FCB">
              <w:rPr>
                <w:rFonts w:eastAsiaTheme="minorHAnsi"/>
                <w:i/>
                <w:iCs/>
                <w:sz w:val="20"/>
                <w:szCs w:val="20"/>
                <w:lang w:eastAsia="en-US" w:bidi="ar-SA"/>
              </w:rPr>
              <w:t xml:space="preserve"> Building Act 1993</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31</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Statement on National Competition Policy</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32</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Application and operation of the</w:t>
            </w:r>
            <w:r w:rsidRPr="003C2FCB">
              <w:rPr>
                <w:rFonts w:eastAsiaTheme="minorHAnsi"/>
                <w:i/>
                <w:iCs/>
                <w:sz w:val="20"/>
                <w:szCs w:val="20"/>
                <w:lang w:eastAsia="en-US" w:bidi="ar-SA"/>
              </w:rPr>
              <w:t xml:space="preserve"> Protected Disclosure Act 2012</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32</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 xml:space="preserve">Application and operation of the </w:t>
            </w:r>
            <w:r w:rsidRPr="003C2FCB">
              <w:rPr>
                <w:rFonts w:eastAsiaTheme="minorHAnsi"/>
                <w:i/>
                <w:iCs/>
                <w:sz w:val="20"/>
                <w:szCs w:val="20"/>
                <w:lang w:eastAsia="en-US" w:bidi="ar-SA"/>
              </w:rPr>
              <w:t>Carers Recognition Act 2012</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33</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Details of Consultancies over $10 000</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27</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Details of Consultancies under $10 000</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27</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Disclosure of government advertising expenditure</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28</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Disclosure of ICT Expenditure</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28</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22H</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Statement of availability of other information</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34</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24D</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Reporting of office-based environmental impacts</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29-30</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25D</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Local Jobs First</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26</w:t>
            </w:r>
          </w:p>
        </w:tc>
      </w:tr>
      <w:tr w:rsidR="003C2FCB" w:rsidRPr="003C2FCB" w:rsidTr="003C2FCB">
        <w:trPr>
          <w:trHeight w:val="60"/>
        </w:trPr>
        <w:tc>
          <w:tcPr>
            <w:tcW w:w="1356"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FRD 29C</w:t>
            </w:r>
          </w:p>
        </w:tc>
        <w:tc>
          <w:tcPr>
            <w:tcW w:w="7853"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Workforce Data disclosures</w:t>
            </w:r>
          </w:p>
        </w:tc>
        <w:tc>
          <w:tcPr>
            <w:tcW w:w="851" w:type="dxa"/>
          </w:tcPr>
          <w:p w:rsidR="003C2FCB" w:rsidRPr="003C2FCB" w:rsidRDefault="003C2FCB" w:rsidP="003C2FCB">
            <w:pPr>
              <w:widowControl/>
              <w:suppressAutoHyphens/>
              <w:adjustRightInd w:val="0"/>
              <w:spacing w:after="113" w:line="220" w:lineRule="atLeast"/>
              <w:textAlignment w:val="center"/>
              <w:rPr>
                <w:rFonts w:eastAsiaTheme="minorHAnsi"/>
                <w:sz w:val="20"/>
                <w:szCs w:val="20"/>
                <w:lang w:eastAsia="en-US" w:bidi="ar-SA"/>
              </w:rPr>
            </w:pPr>
            <w:r w:rsidRPr="003C2FCB">
              <w:rPr>
                <w:rFonts w:eastAsiaTheme="minorHAnsi"/>
                <w:sz w:val="20"/>
                <w:szCs w:val="20"/>
                <w:lang w:eastAsia="en-US" w:bidi="ar-SA"/>
              </w:rPr>
              <w:t>22-24</w:t>
            </w:r>
          </w:p>
        </w:tc>
      </w:tr>
    </w:tbl>
    <w:p w:rsidR="003C2FCB" w:rsidRPr="00CB2FA0" w:rsidRDefault="003C2FCB" w:rsidP="003C2FCB">
      <w:pPr>
        <w:rPr>
          <w:lang w:eastAsia="en-US" w:bidi="ar-SA"/>
        </w:rPr>
      </w:pPr>
    </w:p>
    <w:p w:rsidR="00CB2FA0" w:rsidRDefault="00CB2FA0"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p w:rsidR="00D56B89" w:rsidRPr="00CB2FA0" w:rsidRDefault="00D56B89" w:rsidP="00CB2FA0">
      <w:pPr>
        <w:widowControl/>
        <w:suppressAutoHyphens/>
        <w:adjustRightInd w:val="0"/>
        <w:spacing w:after="397" w:line="220" w:lineRule="atLeast"/>
        <w:textAlignment w:val="center"/>
        <w:rPr>
          <w:rFonts w:eastAsiaTheme="minorHAnsi"/>
          <w:color w:val="000000"/>
          <w:sz w:val="20"/>
          <w:szCs w:val="20"/>
          <w:lang w:eastAsia="en-US" w:bidi="ar-SA"/>
        </w:rPr>
      </w:pPr>
    </w:p>
    <w:tbl>
      <w:tblPr>
        <w:tblStyle w:val="TableGrid"/>
        <w:tblW w:w="0" w:type="auto"/>
        <w:tblInd w:w="728" w:type="dxa"/>
        <w:tblLayout w:type="fixed"/>
        <w:tblLook w:val="0000" w:firstRow="0" w:lastRow="0" w:firstColumn="0" w:lastColumn="0" w:noHBand="0" w:noVBand="0"/>
      </w:tblPr>
      <w:tblGrid>
        <w:gridCol w:w="1356"/>
        <w:gridCol w:w="7409"/>
        <w:gridCol w:w="1275"/>
      </w:tblGrid>
      <w:tr w:rsidR="00D56B89" w:rsidRPr="00D56B89" w:rsidTr="00D56B89">
        <w:trPr>
          <w:trHeight w:val="60"/>
        </w:trPr>
        <w:tc>
          <w:tcPr>
            <w:tcW w:w="1356" w:type="dxa"/>
          </w:tcPr>
          <w:p w:rsidR="00CB2FA0" w:rsidRPr="00D56B89" w:rsidRDefault="00CB2FA0" w:rsidP="00CB2FA0">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D56B89">
              <w:rPr>
                <w:rFonts w:eastAsiaTheme="minorHAnsi"/>
                <w:b/>
                <w:bCs/>
                <w:sz w:val="20"/>
                <w:szCs w:val="20"/>
                <w:lang w:eastAsia="en-US" w:bidi="ar-SA"/>
              </w:rPr>
              <w:lastRenderedPageBreak/>
              <w:t>Legislation</w:t>
            </w:r>
          </w:p>
        </w:tc>
        <w:tc>
          <w:tcPr>
            <w:tcW w:w="7409" w:type="dxa"/>
          </w:tcPr>
          <w:p w:rsidR="00CB2FA0" w:rsidRPr="00D56B89" w:rsidRDefault="00CB2FA0" w:rsidP="00CB2FA0">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D56B89">
              <w:rPr>
                <w:rFonts w:eastAsiaTheme="minorHAnsi"/>
                <w:b/>
                <w:bCs/>
                <w:sz w:val="20"/>
                <w:szCs w:val="20"/>
                <w:lang w:eastAsia="en-US" w:bidi="ar-SA"/>
              </w:rPr>
              <w:t>Requirements</w:t>
            </w:r>
          </w:p>
        </w:tc>
        <w:tc>
          <w:tcPr>
            <w:tcW w:w="1275" w:type="dxa"/>
          </w:tcPr>
          <w:p w:rsidR="00CB2FA0" w:rsidRPr="00D56B89" w:rsidRDefault="00CB2FA0" w:rsidP="00CB2FA0">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D56B89">
              <w:rPr>
                <w:rFonts w:eastAsiaTheme="minorHAnsi"/>
                <w:b/>
                <w:bCs/>
                <w:sz w:val="20"/>
                <w:szCs w:val="20"/>
                <w:lang w:eastAsia="en-US" w:bidi="ar-SA"/>
              </w:rPr>
              <w:t xml:space="preserve">Page </w:t>
            </w:r>
          </w:p>
        </w:tc>
      </w:tr>
      <w:tr w:rsidR="00D56B89" w:rsidRPr="00D56B89" w:rsidTr="00D56B89">
        <w:trPr>
          <w:trHeight w:val="60"/>
        </w:trPr>
        <w:tc>
          <w:tcPr>
            <w:tcW w:w="10040" w:type="dxa"/>
            <w:gridSpan w:val="3"/>
          </w:tcPr>
          <w:p w:rsidR="00CB2FA0" w:rsidRPr="00D56B89" w:rsidRDefault="00CB2FA0" w:rsidP="00CB2FA0">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D56B89">
              <w:rPr>
                <w:rFonts w:eastAsiaTheme="minorHAnsi"/>
                <w:b/>
                <w:bCs/>
                <w:sz w:val="20"/>
                <w:szCs w:val="20"/>
                <w:lang w:eastAsia="en-US" w:bidi="ar-SA"/>
              </w:rPr>
              <w:t>Compliance attestation and declaration</w:t>
            </w:r>
          </w:p>
        </w:tc>
      </w:tr>
      <w:tr w:rsidR="00D56B89" w:rsidRPr="00D56B89" w:rsidTr="00D56B89">
        <w:trPr>
          <w:trHeight w:val="60"/>
        </w:trPr>
        <w:tc>
          <w:tcPr>
            <w:tcW w:w="1356"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SD 5.1.4</w:t>
            </w:r>
          </w:p>
        </w:tc>
        <w:tc>
          <w:tcPr>
            <w:tcW w:w="7409"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Attestation for compliance with Ministerial Standing Direction</w:t>
            </w:r>
          </w:p>
        </w:tc>
        <w:tc>
          <w:tcPr>
            <w:tcW w:w="1275"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35</w:t>
            </w:r>
          </w:p>
        </w:tc>
      </w:tr>
      <w:tr w:rsidR="00D56B89" w:rsidRPr="00D56B89" w:rsidTr="00D56B89">
        <w:trPr>
          <w:trHeight w:val="60"/>
        </w:trPr>
        <w:tc>
          <w:tcPr>
            <w:tcW w:w="1356"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SD 5.2.3</w:t>
            </w:r>
          </w:p>
        </w:tc>
        <w:tc>
          <w:tcPr>
            <w:tcW w:w="7409"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Declaration in operation of reports</w:t>
            </w:r>
          </w:p>
        </w:tc>
        <w:tc>
          <w:tcPr>
            <w:tcW w:w="1275"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Inside cover page</w:t>
            </w:r>
          </w:p>
        </w:tc>
      </w:tr>
      <w:tr w:rsidR="00D56B89" w:rsidRPr="00D56B89" w:rsidTr="00D56B89">
        <w:trPr>
          <w:trHeight w:val="60"/>
        </w:trPr>
        <w:tc>
          <w:tcPr>
            <w:tcW w:w="1356"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SD 5.2.2</w:t>
            </w:r>
          </w:p>
        </w:tc>
        <w:tc>
          <w:tcPr>
            <w:tcW w:w="7409"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Declaration in financial statements</w:t>
            </w:r>
          </w:p>
        </w:tc>
        <w:tc>
          <w:tcPr>
            <w:tcW w:w="1275"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68</w:t>
            </w:r>
          </w:p>
        </w:tc>
      </w:tr>
      <w:tr w:rsidR="00D56B89" w:rsidRPr="00D56B89" w:rsidTr="00D56B89">
        <w:trPr>
          <w:trHeight w:val="60"/>
        </w:trPr>
        <w:tc>
          <w:tcPr>
            <w:tcW w:w="1356"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FRD 110a</w:t>
            </w:r>
          </w:p>
        </w:tc>
        <w:tc>
          <w:tcPr>
            <w:tcW w:w="7409"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Balance Sheet</w:t>
            </w:r>
          </w:p>
        </w:tc>
        <w:tc>
          <w:tcPr>
            <w:tcW w:w="1275"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40</w:t>
            </w:r>
          </w:p>
        </w:tc>
      </w:tr>
      <w:tr w:rsidR="00D56B89" w:rsidRPr="00D56B89" w:rsidTr="00D56B89">
        <w:trPr>
          <w:trHeight w:val="60"/>
        </w:trPr>
        <w:tc>
          <w:tcPr>
            <w:tcW w:w="1356"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FRD 110a</w:t>
            </w:r>
          </w:p>
        </w:tc>
        <w:tc>
          <w:tcPr>
            <w:tcW w:w="7409"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Cash Flow Statement</w:t>
            </w:r>
          </w:p>
        </w:tc>
        <w:tc>
          <w:tcPr>
            <w:tcW w:w="1275"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41</w:t>
            </w:r>
          </w:p>
        </w:tc>
      </w:tr>
      <w:tr w:rsidR="00D56B89" w:rsidRPr="00D56B89" w:rsidTr="00D56B89">
        <w:trPr>
          <w:trHeight w:val="60"/>
        </w:trPr>
        <w:tc>
          <w:tcPr>
            <w:tcW w:w="10040" w:type="dxa"/>
            <w:gridSpan w:val="3"/>
          </w:tcPr>
          <w:p w:rsidR="00CB2FA0" w:rsidRPr="00D56B89" w:rsidRDefault="00CB2FA0" w:rsidP="00CB2FA0">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D56B89">
              <w:rPr>
                <w:rFonts w:eastAsiaTheme="minorHAnsi"/>
                <w:b/>
                <w:bCs/>
                <w:sz w:val="20"/>
                <w:szCs w:val="20"/>
                <w:lang w:eastAsia="en-US" w:bidi="ar-SA"/>
              </w:rPr>
              <w:t>Other Requirements Under Standing Directions 5.2</w:t>
            </w:r>
          </w:p>
        </w:tc>
      </w:tr>
      <w:tr w:rsidR="00D56B89" w:rsidRPr="00D56B89" w:rsidTr="00D56B89">
        <w:trPr>
          <w:trHeight w:val="60"/>
        </w:trPr>
        <w:tc>
          <w:tcPr>
            <w:tcW w:w="1356"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SD 5.2.1 a</w:t>
            </w:r>
          </w:p>
        </w:tc>
        <w:tc>
          <w:tcPr>
            <w:tcW w:w="7409"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Compliance with Australian accounting standards and other authoritative pronouncements</w:t>
            </w:r>
          </w:p>
        </w:tc>
        <w:tc>
          <w:tcPr>
            <w:tcW w:w="1275"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43</w:t>
            </w:r>
          </w:p>
        </w:tc>
      </w:tr>
      <w:tr w:rsidR="00D56B89" w:rsidRPr="00D56B89" w:rsidTr="00D56B89">
        <w:trPr>
          <w:trHeight w:val="60"/>
        </w:trPr>
        <w:tc>
          <w:tcPr>
            <w:tcW w:w="1356"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SD 5.2.1 a</w:t>
            </w:r>
          </w:p>
        </w:tc>
        <w:tc>
          <w:tcPr>
            <w:tcW w:w="7409"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Compliance with Standing directions</w:t>
            </w:r>
          </w:p>
        </w:tc>
        <w:tc>
          <w:tcPr>
            <w:tcW w:w="1275"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35</w:t>
            </w:r>
          </w:p>
        </w:tc>
      </w:tr>
      <w:tr w:rsidR="00D56B89" w:rsidRPr="00D56B89" w:rsidTr="00D56B89">
        <w:trPr>
          <w:trHeight w:val="60"/>
        </w:trPr>
        <w:tc>
          <w:tcPr>
            <w:tcW w:w="10040" w:type="dxa"/>
            <w:gridSpan w:val="3"/>
          </w:tcPr>
          <w:p w:rsidR="00CB2FA0" w:rsidRPr="00D56B89" w:rsidRDefault="00CB2FA0" w:rsidP="00CB2FA0">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D56B89">
              <w:rPr>
                <w:rFonts w:eastAsiaTheme="minorHAnsi"/>
                <w:b/>
                <w:bCs/>
                <w:sz w:val="20"/>
                <w:szCs w:val="20"/>
                <w:lang w:eastAsia="en-US" w:bidi="ar-SA"/>
              </w:rPr>
              <w:t>Other disclosures as required by FRDs in notes to the financial statements</w:t>
            </w:r>
          </w:p>
        </w:tc>
      </w:tr>
      <w:tr w:rsidR="00D56B89" w:rsidRPr="00D56B89" w:rsidTr="00D56B89">
        <w:trPr>
          <w:trHeight w:val="60"/>
        </w:trPr>
        <w:tc>
          <w:tcPr>
            <w:tcW w:w="1356"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FRD 110a</w:t>
            </w:r>
          </w:p>
        </w:tc>
        <w:tc>
          <w:tcPr>
            <w:tcW w:w="7409"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Balance Sheet</w:t>
            </w:r>
          </w:p>
        </w:tc>
        <w:tc>
          <w:tcPr>
            <w:tcW w:w="1275"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40</w:t>
            </w:r>
          </w:p>
        </w:tc>
      </w:tr>
      <w:tr w:rsidR="00D56B89" w:rsidRPr="00D56B89" w:rsidTr="00D56B89">
        <w:trPr>
          <w:trHeight w:val="60"/>
        </w:trPr>
        <w:tc>
          <w:tcPr>
            <w:tcW w:w="1356"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FRD 110a</w:t>
            </w:r>
          </w:p>
        </w:tc>
        <w:tc>
          <w:tcPr>
            <w:tcW w:w="7409"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Cash Flow Statement</w:t>
            </w:r>
          </w:p>
        </w:tc>
        <w:tc>
          <w:tcPr>
            <w:tcW w:w="1275" w:type="dxa"/>
          </w:tcPr>
          <w:p w:rsidR="00CB2FA0" w:rsidRPr="00D56B89" w:rsidRDefault="00CB2FA0" w:rsidP="00CB2FA0">
            <w:pPr>
              <w:widowControl/>
              <w:suppressAutoHyphens/>
              <w:adjustRightInd w:val="0"/>
              <w:spacing w:after="113" w:line="220" w:lineRule="atLeast"/>
              <w:textAlignment w:val="center"/>
              <w:rPr>
                <w:rFonts w:eastAsiaTheme="minorHAnsi"/>
                <w:sz w:val="20"/>
                <w:szCs w:val="20"/>
                <w:lang w:eastAsia="en-US" w:bidi="ar-SA"/>
              </w:rPr>
            </w:pPr>
            <w:r w:rsidRPr="00D56B89">
              <w:rPr>
                <w:rFonts w:eastAsiaTheme="minorHAnsi"/>
                <w:sz w:val="20"/>
                <w:szCs w:val="20"/>
                <w:lang w:eastAsia="en-US" w:bidi="ar-SA"/>
              </w:rPr>
              <w:t>41</w:t>
            </w:r>
          </w:p>
        </w:tc>
      </w:tr>
    </w:tbl>
    <w:p w:rsidR="00CB2FA0" w:rsidRPr="00CB2FA0" w:rsidRDefault="00CB2FA0" w:rsidP="00D56B89">
      <w:pPr>
        <w:rPr>
          <w:lang w:eastAsia="en-US" w:bidi="ar-SA"/>
        </w:rPr>
      </w:pPr>
    </w:p>
    <w:p w:rsidR="00CB2FA0" w:rsidRDefault="00CB2FA0" w:rsidP="00D56B89">
      <w:pPr>
        <w:pStyle w:val="Heading4"/>
        <w:rPr>
          <w:lang w:eastAsia="en-US" w:bidi="ar-SA"/>
        </w:rPr>
      </w:pPr>
      <w:r w:rsidRPr="00CB2FA0">
        <w:rPr>
          <w:lang w:eastAsia="en-US" w:bidi="ar-SA"/>
        </w:rPr>
        <w:t>Legislation Page</w:t>
      </w:r>
    </w:p>
    <w:p w:rsidR="00D56B89" w:rsidRPr="00CB2FA0" w:rsidRDefault="00D56B89" w:rsidP="00D56B89">
      <w:pPr>
        <w:rPr>
          <w:lang w:eastAsia="en-US" w:bidi="ar-SA"/>
        </w:rPr>
      </w:pPr>
    </w:p>
    <w:tbl>
      <w:tblPr>
        <w:tblStyle w:val="TableGrid"/>
        <w:tblW w:w="0" w:type="auto"/>
        <w:tblInd w:w="704" w:type="dxa"/>
        <w:tblLayout w:type="fixed"/>
        <w:tblLook w:val="0000" w:firstRow="0" w:lastRow="0" w:firstColumn="0" w:lastColumn="0" w:noHBand="0" w:noVBand="0"/>
      </w:tblPr>
      <w:tblGrid>
        <w:gridCol w:w="8789"/>
        <w:gridCol w:w="1275"/>
      </w:tblGrid>
      <w:tr w:rsidR="00CB2FA0" w:rsidRPr="00CB2FA0" w:rsidTr="00D56B89">
        <w:trPr>
          <w:trHeight w:val="113"/>
        </w:trPr>
        <w:tc>
          <w:tcPr>
            <w:tcW w:w="8789"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i/>
                <w:iCs/>
                <w:color w:val="000000"/>
                <w:sz w:val="20"/>
                <w:szCs w:val="20"/>
                <w:lang w:eastAsia="en-US" w:bidi="ar-SA"/>
              </w:rPr>
              <w:t>Freedom of Information Act 1992</w:t>
            </w:r>
          </w:p>
        </w:tc>
        <w:tc>
          <w:tcPr>
            <w:tcW w:w="1275"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Page 31</w:t>
            </w:r>
          </w:p>
        </w:tc>
      </w:tr>
      <w:tr w:rsidR="00CB2FA0" w:rsidRPr="00CB2FA0" w:rsidTr="00D56B89">
        <w:trPr>
          <w:trHeight w:val="113"/>
        </w:trPr>
        <w:tc>
          <w:tcPr>
            <w:tcW w:w="8789"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i/>
                <w:iCs/>
                <w:color w:val="000000"/>
                <w:sz w:val="20"/>
                <w:szCs w:val="20"/>
                <w:lang w:eastAsia="en-US" w:bidi="ar-SA"/>
              </w:rPr>
              <w:t>Building Act 1993</w:t>
            </w:r>
          </w:p>
        </w:tc>
        <w:tc>
          <w:tcPr>
            <w:tcW w:w="1275"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Page 31</w:t>
            </w:r>
          </w:p>
        </w:tc>
      </w:tr>
      <w:tr w:rsidR="00CB2FA0" w:rsidRPr="00CB2FA0" w:rsidTr="00D56B89">
        <w:trPr>
          <w:trHeight w:val="113"/>
        </w:trPr>
        <w:tc>
          <w:tcPr>
            <w:tcW w:w="8789"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i/>
                <w:iCs/>
                <w:color w:val="000000"/>
                <w:sz w:val="20"/>
                <w:szCs w:val="20"/>
                <w:lang w:eastAsia="en-US" w:bidi="ar-SA"/>
              </w:rPr>
              <w:t>Protected Disclosure Act 2012</w:t>
            </w:r>
          </w:p>
        </w:tc>
        <w:tc>
          <w:tcPr>
            <w:tcW w:w="1275"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Page 32</w:t>
            </w:r>
          </w:p>
        </w:tc>
      </w:tr>
      <w:tr w:rsidR="00CB2FA0" w:rsidRPr="00CB2FA0" w:rsidTr="00D56B89">
        <w:trPr>
          <w:trHeight w:val="113"/>
        </w:trPr>
        <w:tc>
          <w:tcPr>
            <w:tcW w:w="8789"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i/>
                <w:iCs/>
                <w:color w:val="000000"/>
                <w:sz w:val="20"/>
                <w:szCs w:val="20"/>
                <w:lang w:eastAsia="en-US" w:bidi="ar-SA"/>
              </w:rPr>
              <w:t>Carers Recognition Act 2012</w:t>
            </w:r>
          </w:p>
        </w:tc>
        <w:tc>
          <w:tcPr>
            <w:tcW w:w="1275"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Page 33</w:t>
            </w:r>
          </w:p>
        </w:tc>
      </w:tr>
      <w:tr w:rsidR="00CB2FA0" w:rsidRPr="00CB2FA0" w:rsidTr="00D56B89">
        <w:trPr>
          <w:trHeight w:val="113"/>
        </w:trPr>
        <w:tc>
          <w:tcPr>
            <w:tcW w:w="8789"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i/>
                <w:iCs/>
                <w:color w:val="000000"/>
                <w:sz w:val="20"/>
                <w:szCs w:val="20"/>
                <w:lang w:eastAsia="en-US" w:bidi="ar-SA"/>
              </w:rPr>
              <w:t>Disability Act 2006</w:t>
            </w:r>
          </w:p>
        </w:tc>
        <w:tc>
          <w:tcPr>
            <w:tcW w:w="1275"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Page 33</w:t>
            </w:r>
          </w:p>
        </w:tc>
      </w:tr>
      <w:tr w:rsidR="00CB2FA0" w:rsidRPr="00CB2FA0" w:rsidTr="00D56B89">
        <w:trPr>
          <w:trHeight w:val="113"/>
        </w:trPr>
        <w:tc>
          <w:tcPr>
            <w:tcW w:w="8789"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i/>
                <w:iCs/>
                <w:color w:val="000000"/>
                <w:sz w:val="20"/>
                <w:szCs w:val="20"/>
                <w:lang w:eastAsia="en-US" w:bidi="ar-SA"/>
              </w:rPr>
              <w:t>Local Jobs Act 2003</w:t>
            </w:r>
          </w:p>
        </w:tc>
        <w:tc>
          <w:tcPr>
            <w:tcW w:w="1275"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Page 26</w:t>
            </w:r>
          </w:p>
        </w:tc>
      </w:tr>
      <w:tr w:rsidR="00CB2FA0" w:rsidRPr="00CB2FA0" w:rsidTr="00D56B89">
        <w:trPr>
          <w:trHeight w:val="113"/>
        </w:trPr>
        <w:tc>
          <w:tcPr>
            <w:tcW w:w="8789"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i/>
                <w:iCs/>
                <w:color w:val="000000"/>
                <w:sz w:val="20"/>
                <w:szCs w:val="20"/>
                <w:lang w:eastAsia="en-US" w:bidi="ar-SA"/>
              </w:rPr>
              <w:t>Financial Management Act 1994</w:t>
            </w:r>
          </w:p>
        </w:tc>
        <w:tc>
          <w:tcPr>
            <w:tcW w:w="1275" w:type="dxa"/>
          </w:tcPr>
          <w:p w:rsidR="00CB2FA0" w:rsidRPr="00CB2FA0" w:rsidRDefault="00CB2FA0" w:rsidP="00CB2FA0">
            <w:pPr>
              <w:widowControl/>
              <w:suppressAutoHyphens/>
              <w:adjustRightInd w:val="0"/>
              <w:spacing w:after="113" w:line="220" w:lineRule="atLeast"/>
              <w:textAlignment w:val="center"/>
              <w:rPr>
                <w:rFonts w:eastAsiaTheme="minorHAnsi"/>
                <w:color w:val="000000"/>
                <w:sz w:val="20"/>
                <w:szCs w:val="20"/>
                <w:lang w:eastAsia="en-US" w:bidi="ar-SA"/>
              </w:rPr>
            </w:pPr>
            <w:r w:rsidRPr="00CB2FA0">
              <w:rPr>
                <w:rFonts w:eastAsiaTheme="minorHAnsi"/>
                <w:color w:val="000000"/>
                <w:sz w:val="20"/>
                <w:szCs w:val="20"/>
                <w:lang w:eastAsia="en-US" w:bidi="ar-SA"/>
              </w:rPr>
              <w:t>Page 35</w:t>
            </w:r>
          </w:p>
        </w:tc>
      </w:tr>
    </w:tbl>
    <w:p w:rsidR="00CB2FA0" w:rsidRPr="00CB2FA0" w:rsidRDefault="00CB2FA0" w:rsidP="00CB2FA0">
      <w:pPr>
        <w:widowControl/>
        <w:suppressAutoHyphens/>
        <w:adjustRightInd w:val="0"/>
        <w:spacing w:after="113" w:line="220" w:lineRule="atLeast"/>
        <w:textAlignment w:val="center"/>
        <w:rPr>
          <w:rFonts w:ascii="HelveticaNeueLT Std Lt" w:eastAsiaTheme="minorHAnsi" w:hAnsi="HelveticaNeueLT Std Lt" w:cs="HelveticaNeueLT Std Lt"/>
          <w:i/>
          <w:iCs/>
          <w:color w:val="000000"/>
          <w:sz w:val="36"/>
          <w:szCs w:val="36"/>
          <w:lang w:eastAsia="en-US" w:bidi="ar-SA"/>
        </w:rPr>
      </w:pPr>
    </w:p>
    <w:p w:rsidR="00CB2FA0" w:rsidRPr="00CB2FA0" w:rsidRDefault="00CB2FA0" w:rsidP="00CB2FA0">
      <w:pPr>
        <w:widowControl/>
        <w:suppressAutoHyphens/>
        <w:adjustRightInd w:val="0"/>
        <w:spacing w:after="113" w:line="220" w:lineRule="atLeast"/>
        <w:ind w:left="709" w:right="995"/>
        <w:textAlignment w:val="center"/>
        <w:rPr>
          <w:rFonts w:eastAsiaTheme="minorHAnsi"/>
          <w:color w:val="000000"/>
          <w:sz w:val="20"/>
          <w:szCs w:val="20"/>
          <w:lang w:eastAsia="en-US" w:bidi="ar-SA"/>
        </w:rPr>
        <w:sectPr w:rsidR="00CB2FA0" w:rsidRPr="00CB2FA0">
          <w:pgSz w:w="11910" w:h="16840"/>
          <w:pgMar w:top="560" w:right="0" w:bottom="680" w:left="0" w:header="0" w:footer="490" w:gutter="0"/>
          <w:cols w:space="720"/>
        </w:sectPr>
      </w:pPr>
    </w:p>
    <w:p w:rsidR="00E55F38" w:rsidRDefault="00E55F38" w:rsidP="00E55F38">
      <w:pPr>
        <w:pStyle w:val="Heading1"/>
      </w:pPr>
      <w:bookmarkStart w:id="34" w:name="_Toc23329734"/>
      <w:r>
        <w:lastRenderedPageBreak/>
        <w:t>VPSC Financial Statements for the year ended 30 June 2019</w:t>
      </w:r>
      <w:bookmarkEnd w:id="34"/>
    </w:p>
    <w:p w:rsidR="00E55F38" w:rsidRDefault="00E55F38" w:rsidP="00E55F38"/>
    <w:p w:rsidR="00E55F38" w:rsidRDefault="00E55F38" w:rsidP="00E55F38">
      <w:pPr>
        <w:pStyle w:val="Heading2"/>
        <w:rPr>
          <w:lang w:eastAsia="en-US" w:bidi="ar-SA"/>
        </w:rPr>
      </w:pPr>
      <w:bookmarkStart w:id="35" w:name="_Toc23329735"/>
      <w:r w:rsidRPr="00E55F38">
        <w:rPr>
          <w:lang w:eastAsia="en-US" w:bidi="ar-SA"/>
        </w:rPr>
        <w:t>Comprehensive operating statement</w:t>
      </w:r>
      <w:r w:rsidRPr="00E55F38">
        <w:rPr>
          <w:lang w:eastAsia="en-US" w:bidi="ar-SA"/>
        </w:rPr>
        <w:br/>
        <w:t>for the financial year ended 30 June 2019</w:t>
      </w:r>
      <w:bookmarkEnd w:id="35"/>
    </w:p>
    <w:p w:rsidR="00E55F38" w:rsidRPr="00E55F38" w:rsidRDefault="00E55F38" w:rsidP="00E55F38">
      <w:pPr>
        <w:rPr>
          <w:lang w:eastAsia="en-US" w:bidi="ar-SA"/>
        </w:rPr>
      </w:pPr>
    </w:p>
    <w:tbl>
      <w:tblPr>
        <w:tblStyle w:val="TableGrid"/>
        <w:tblW w:w="0" w:type="auto"/>
        <w:tblInd w:w="742" w:type="dxa"/>
        <w:tblLayout w:type="fixed"/>
        <w:tblLook w:val="0000" w:firstRow="0" w:lastRow="0" w:firstColumn="0" w:lastColumn="0" w:noHBand="0" w:noVBand="0"/>
      </w:tblPr>
      <w:tblGrid>
        <w:gridCol w:w="6199"/>
        <w:gridCol w:w="851"/>
        <w:gridCol w:w="1559"/>
        <w:gridCol w:w="1417"/>
      </w:tblGrid>
      <w:tr w:rsidR="00E55F38" w:rsidRPr="00E55F38" w:rsidTr="00AB27D1">
        <w:trPr>
          <w:trHeight w:val="382"/>
        </w:trPr>
        <w:tc>
          <w:tcPr>
            <w:tcW w:w="6199" w:type="dxa"/>
          </w:tcPr>
          <w:p w:rsidR="00E55F38" w:rsidRPr="00E55F38" w:rsidRDefault="00E55F38" w:rsidP="00E55F38">
            <w:pPr>
              <w:widowControl/>
              <w:adjustRightInd w:val="0"/>
              <w:rPr>
                <w:rFonts w:eastAsiaTheme="minorHAnsi"/>
                <w:sz w:val="20"/>
                <w:szCs w:val="20"/>
                <w:lang w:eastAsia="en-US" w:bidi="ar-SA"/>
              </w:rPr>
            </w:pPr>
          </w:p>
        </w:tc>
        <w:tc>
          <w:tcPr>
            <w:tcW w:w="851" w:type="dxa"/>
          </w:tcPr>
          <w:p w:rsidR="00E55F38" w:rsidRPr="00E55F38" w:rsidRDefault="00E55F38" w:rsidP="00E55F38">
            <w:pPr>
              <w:widowControl/>
              <w:adjustRightInd w:val="0"/>
              <w:rPr>
                <w:rFonts w:eastAsiaTheme="minorHAnsi"/>
                <w:sz w:val="20"/>
                <w:szCs w:val="20"/>
                <w:lang w:eastAsia="en-US" w:bidi="ar-SA"/>
              </w:rPr>
            </w:pPr>
          </w:p>
        </w:tc>
        <w:tc>
          <w:tcPr>
            <w:tcW w:w="1559" w:type="dxa"/>
          </w:tcPr>
          <w:p w:rsidR="00E55F38" w:rsidRPr="00E55F38" w:rsidRDefault="00E55F38" w:rsidP="00AB27D1">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55F38">
              <w:rPr>
                <w:rFonts w:eastAsiaTheme="minorHAnsi"/>
                <w:b/>
                <w:bCs/>
                <w:sz w:val="20"/>
                <w:szCs w:val="20"/>
                <w:lang w:eastAsia="en-US" w:bidi="ar-SA"/>
              </w:rPr>
              <w:t>2019</w:t>
            </w:r>
          </w:p>
        </w:tc>
        <w:tc>
          <w:tcPr>
            <w:tcW w:w="1417" w:type="dxa"/>
          </w:tcPr>
          <w:p w:rsidR="00E55F38" w:rsidRPr="00E55F38" w:rsidRDefault="00E55F38" w:rsidP="00AB27D1">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55F38">
              <w:rPr>
                <w:rFonts w:eastAsiaTheme="minorHAnsi"/>
                <w:b/>
                <w:bCs/>
                <w:sz w:val="20"/>
                <w:szCs w:val="20"/>
                <w:lang w:eastAsia="en-US" w:bidi="ar-SA"/>
              </w:rPr>
              <w:t>2018</w:t>
            </w:r>
          </w:p>
        </w:tc>
      </w:tr>
      <w:tr w:rsidR="00E55F38" w:rsidRPr="00E55F38" w:rsidTr="00AB27D1">
        <w:trPr>
          <w:trHeight w:val="60"/>
        </w:trPr>
        <w:tc>
          <w:tcPr>
            <w:tcW w:w="6199" w:type="dxa"/>
          </w:tcPr>
          <w:p w:rsidR="00E55F38" w:rsidRPr="00E55F38" w:rsidRDefault="00E55F38" w:rsidP="00E55F38">
            <w:pPr>
              <w:widowControl/>
              <w:adjustRightInd w:val="0"/>
              <w:rPr>
                <w:rFonts w:eastAsiaTheme="minorHAnsi"/>
                <w:sz w:val="20"/>
                <w:szCs w:val="20"/>
                <w:lang w:eastAsia="en-US" w:bidi="ar-SA"/>
              </w:rPr>
            </w:pPr>
          </w:p>
        </w:tc>
        <w:tc>
          <w:tcPr>
            <w:tcW w:w="851" w:type="dxa"/>
          </w:tcPr>
          <w:p w:rsidR="00E55F38" w:rsidRPr="00E55F38" w:rsidRDefault="00E55F38" w:rsidP="00E55F3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E55F38">
              <w:rPr>
                <w:rFonts w:eastAsiaTheme="minorHAnsi"/>
                <w:b/>
                <w:bCs/>
                <w:sz w:val="20"/>
                <w:szCs w:val="20"/>
                <w:lang w:eastAsia="en-US" w:bidi="ar-SA"/>
              </w:rPr>
              <w:t>Notes</w:t>
            </w:r>
          </w:p>
        </w:tc>
        <w:tc>
          <w:tcPr>
            <w:tcW w:w="1559" w:type="dxa"/>
          </w:tcPr>
          <w:p w:rsidR="00E55F38" w:rsidRPr="00AB27D1" w:rsidRDefault="00E55F38" w:rsidP="00AB27D1">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B27D1">
              <w:rPr>
                <w:rFonts w:eastAsiaTheme="minorHAnsi"/>
                <w:b/>
                <w:bCs/>
                <w:sz w:val="20"/>
                <w:szCs w:val="20"/>
                <w:lang w:eastAsia="en-US" w:bidi="ar-SA"/>
              </w:rPr>
              <w:t>$</w:t>
            </w:r>
          </w:p>
        </w:tc>
        <w:tc>
          <w:tcPr>
            <w:tcW w:w="1417" w:type="dxa"/>
          </w:tcPr>
          <w:p w:rsidR="00E55F38" w:rsidRPr="00E55F38" w:rsidRDefault="00E55F38" w:rsidP="00AB27D1">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55F38">
              <w:rPr>
                <w:rFonts w:eastAsiaTheme="minorHAnsi"/>
                <w:b/>
                <w:bCs/>
                <w:sz w:val="20"/>
                <w:szCs w:val="20"/>
                <w:lang w:eastAsia="en-US" w:bidi="ar-SA"/>
              </w:rPr>
              <w:t>$</w:t>
            </w:r>
          </w:p>
        </w:tc>
      </w:tr>
      <w:tr w:rsidR="00E55F38" w:rsidRPr="00E55F38" w:rsidTr="00E55F38">
        <w:trPr>
          <w:trHeight w:val="60"/>
        </w:trPr>
        <w:tc>
          <w:tcPr>
            <w:tcW w:w="10026" w:type="dxa"/>
            <w:gridSpan w:val="4"/>
          </w:tcPr>
          <w:p w:rsidR="00E55F38" w:rsidRPr="00E55F38" w:rsidRDefault="00E55F38" w:rsidP="00AB27D1">
            <w:pPr>
              <w:pStyle w:val="Heading4"/>
              <w:ind w:left="-3"/>
              <w:rPr>
                <w:lang w:eastAsia="en-US" w:bidi="ar-SA"/>
              </w:rPr>
            </w:pPr>
            <w:r w:rsidRPr="00E55F38">
              <w:rPr>
                <w:lang w:eastAsia="en-US" w:bidi="ar-SA"/>
              </w:rPr>
              <w:t>Continuing operations</w:t>
            </w:r>
          </w:p>
        </w:tc>
      </w:tr>
      <w:tr w:rsidR="00E55F38" w:rsidRPr="00E55F38" w:rsidTr="00E55F38">
        <w:trPr>
          <w:trHeight w:val="60"/>
        </w:trPr>
        <w:tc>
          <w:tcPr>
            <w:tcW w:w="10026" w:type="dxa"/>
            <w:gridSpan w:val="4"/>
          </w:tcPr>
          <w:p w:rsidR="00E55F38" w:rsidRPr="00AB27D1" w:rsidRDefault="00E55F38" w:rsidP="00AB27D1">
            <w:pPr>
              <w:widowControl/>
              <w:suppressAutoHyphens/>
              <w:adjustRightInd w:val="0"/>
              <w:spacing w:after="113" w:line="220" w:lineRule="atLeast"/>
              <w:textAlignment w:val="center"/>
              <w:rPr>
                <w:rFonts w:eastAsiaTheme="minorHAnsi"/>
                <w:b/>
                <w:bCs/>
                <w:sz w:val="20"/>
                <w:szCs w:val="20"/>
                <w:lang w:eastAsia="en-US" w:bidi="ar-SA"/>
              </w:rPr>
            </w:pPr>
            <w:r w:rsidRPr="00AB27D1">
              <w:rPr>
                <w:rFonts w:eastAsiaTheme="minorHAnsi"/>
                <w:b/>
                <w:bCs/>
                <w:sz w:val="20"/>
                <w:szCs w:val="20"/>
                <w:lang w:eastAsia="en-US" w:bidi="ar-SA"/>
              </w:rPr>
              <w:t>Income from transactions</w:t>
            </w:r>
          </w:p>
        </w:tc>
      </w:tr>
      <w:tr w:rsidR="00E55F38" w:rsidRPr="00E55F38" w:rsidTr="00AB27D1">
        <w:trPr>
          <w:trHeight w:val="60"/>
        </w:trPr>
        <w:tc>
          <w:tcPr>
            <w:tcW w:w="6199" w:type="dxa"/>
          </w:tcPr>
          <w:p w:rsidR="00E55F38" w:rsidRPr="00E55F38"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E55F38">
              <w:rPr>
                <w:rFonts w:eastAsiaTheme="minorHAnsi"/>
                <w:sz w:val="20"/>
                <w:szCs w:val="20"/>
                <w:lang w:eastAsia="en-US" w:bidi="ar-SA"/>
              </w:rPr>
              <w:t>Grants</w:t>
            </w:r>
          </w:p>
        </w:tc>
        <w:tc>
          <w:tcPr>
            <w:tcW w:w="851" w:type="dxa"/>
          </w:tcPr>
          <w:p w:rsidR="00E55F38" w:rsidRPr="00E55F38"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E55F38">
              <w:rPr>
                <w:rFonts w:eastAsiaTheme="minorHAnsi"/>
                <w:sz w:val="20"/>
                <w:szCs w:val="20"/>
                <w:lang w:eastAsia="en-US" w:bidi="ar-SA"/>
              </w:rPr>
              <w:t>2.2</w:t>
            </w:r>
          </w:p>
        </w:tc>
        <w:tc>
          <w:tcPr>
            <w:tcW w:w="1559"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13,990,880</w:t>
            </w:r>
          </w:p>
        </w:tc>
        <w:tc>
          <w:tcPr>
            <w:tcW w:w="1417"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13,797,768</w:t>
            </w:r>
          </w:p>
        </w:tc>
      </w:tr>
      <w:tr w:rsidR="00E55F38" w:rsidRPr="00E55F38" w:rsidTr="00AB27D1">
        <w:trPr>
          <w:trHeight w:val="60"/>
        </w:trPr>
        <w:tc>
          <w:tcPr>
            <w:tcW w:w="6199" w:type="dxa"/>
          </w:tcPr>
          <w:p w:rsidR="00E55F38" w:rsidRPr="00E55F38"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E55F38">
              <w:rPr>
                <w:rFonts w:eastAsiaTheme="minorHAnsi"/>
                <w:sz w:val="20"/>
                <w:szCs w:val="20"/>
                <w:lang w:eastAsia="en-US" w:bidi="ar-SA"/>
              </w:rPr>
              <w:t>Provision of services</w:t>
            </w:r>
          </w:p>
        </w:tc>
        <w:tc>
          <w:tcPr>
            <w:tcW w:w="851" w:type="dxa"/>
          </w:tcPr>
          <w:p w:rsidR="00E55F38" w:rsidRPr="00E55F38"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E55F38">
              <w:rPr>
                <w:rFonts w:eastAsiaTheme="minorHAnsi"/>
                <w:sz w:val="20"/>
                <w:szCs w:val="20"/>
                <w:lang w:eastAsia="en-US" w:bidi="ar-SA"/>
              </w:rPr>
              <w:t>2.3</w:t>
            </w:r>
          </w:p>
        </w:tc>
        <w:tc>
          <w:tcPr>
            <w:tcW w:w="1559"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3,794,905</w:t>
            </w:r>
          </w:p>
        </w:tc>
        <w:tc>
          <w:tcPr>
            <w:tcW w:w="1417"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3,313,300</w:t>
            </w:r>
          </w:p>
        </w:tc>
      </w:tr>
      <w:tr w:rsidR="00E55F38" w:rsidRPr="00E55F38" w:rsidTr="00AB27D1">
        <w:trPr>
          <w:trHeight w:val="60"/>
        </w:trPr>
        <w:tc>
          <w:tcPr>
            <w:tcW w:w="6199" w:type="dxa"/>
          </w:tcPr>
          <w:p w:rsidR="00E55F38" w:rsidRPr="00E55F38"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E55F38">
              <w:rPr>
                <w:rFonts w:eastAsiaTheme="minorHAnsi"/>
                <w:sz w:val="20"/>
                <w:szCs w:val="20"/>
                <w:lang w:eastAsia="en-US" w:bidi="ar-SA"/>
              </w:rPr>
              <w:t>Other operating income</w:t>
            </w:r>
          </w:p>
        </w:tc>
        <w:tc>
          <w:tcPr>
            <w:tcW w:w="851" w:type="dxa"/>
          </w:tcPr>
          <w:p w:rsidR="00E55F38" w:rsidRPr="00E55F38" w:rsidRDefault="00E55F38" w:rsidP="00E55F38">
            <w:pPr>
              <w:widowControl/>
              <w:adjustRightInd w:val="0"/>
              <w:rPr>
                <w:rFonts w:eastAsiaTheme="minorHAnsi"/>
                <w:sz w:val="20"/>
                <w:szCs w:val="20"/>
                <w:lang w:eastAsia="en-US" w:bidi="ar-SA"/>
              </w:rPr>
            </w:pPr>
          </w:p>
        </w:tc>
        <w:tc>
          <w:tcPr>
            <w:tcW w:w="1559"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6,600</w:t>
            </w:r>
          </w:p>
        </w:tc>
        <w:tc>
          <w:tcPr>
            <w:tcW w:w="1417"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1,200</w:t>
            </w:r>
          </w:p>
        </w:tc>
      </w:tr>
      <w:tr w:rsidR="00E55F38" w:rsidRPr="00E55F38" w:rsidTr="00AB27D1">
        <w:trPr>
          <w:trHeight w:val="60"/>
        </w:trPr>
        <w:tc>
          <w:tcPr>
            <w:tcW w:w="6199" w:type="dxa"/>
          </w:tcPr>
          <w:p w:rsidR="00E55F38" w:rsidRPr="00E55F38"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E55F38">
              <w:rPr>
                <w:rFonts w:eastAsiaTheme="minorHAnsi"/>
                <w:sz w:val="20"/>
                <w:szCs w:val="20"/>
                <w:lang w:eastAsia="en-US" w:bidi="ar-SA"/>
              </w:rPr>
              <w:t>Total income from transactions</w:t>
            </w:r>
          </w:p>
        </w:tc>
        <w:tc>
          <w:tcPr>
            <w:tcW w:w="851" w:type="dxa"/>
          </w:tcPr>
          <w:p w:rsidR="00E55F38" w:rsidRPr="00E55F38" w:rsidRDefault="00E55F38" w:rsidP="00E55F38">
            <w:pPr>
              <w:widowControl/>
              <w:adjustRightInd w:val="0"/>
              <w:rPr>
                <w:rFonts w:eastAsiaTheme="minorHAnsi"/>
                <w:sz w:val="20"/>
                <w:szCs w:val="20"/>
                <w:lang w:eastAsia="en-US" w:bidi="ar-SA"/>
              </w:rPr>
            </w:pPr>
          </w:p>
        </w:tc>
        <w:tc>
          <w:tcPr>
            <w:tcW w:w="1559"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17,792,385</w:t>
            </w:r>
          </w:p>
        </w:tc>
        <w:tc>
          <w:tcPr>
            <w:tcW w:w="1417"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17,112,268</w:t>
            </w:r>
          </w:p>
        </w:tc>
      </w:tr>
      <w:tr w:rsidR="00E55F38" w:rsidRPr="00E55F38" w:rsidTr="00E55F38">
        <w:trPr>
          <w:trHeight w:val="60"/>
        </w:trPr>
        <w:tc>
          <w:tcPr>
            <w:tcW w:w="10026" w:type="dxa"/>
            <w:gridSpan w:val="4"/>
          </w:tcPr>
          <w:p w:rsidR="00E55F38" w:rsidRPr="00AB27D1" w:rsidRDefault="00E55F38" w:rsidP="00AB27D1">
            <w:pPr>
              <w:widowControl/>
              <w:suppressAutoHyphens/>
              <w:adjustRightInd w:val="0"/>
              <w:spacing w:after="113" w:line="220" w:lineRule="atLeast"/>
              <w:textAlignment w:val="center"/>
              <w:rPr>
                <w:rFonts w:eastAsiaTheme="minorHAnsi"/>
                <w:b/>
                <w:bCs/>
                <w:sz w:val="20"/>
                <w:szCs w:val="20"/>
                <w:lang w:eastAsia="en-US" w:bidi="ar-SA"/>
              </w:rPr>
            </w:pPr>
            <w:r w:rsidRPr="00AB27D1">
              <w:rPr>
                <w:rFonts w:eastAsiaTheme="minorHAnsi"/>
                <w:b/>
                <w:bCs/>
                <w:sz w:val="20"/>
                <w:szCs w:val="20"/>
                <w:lang w:eastAsia="en-US" w:bidi="ar-SA"/>
              </w:rPr>
              <w:t>Expenses from transactions</w:t>
            </w:r>
          </w:p>
        </w:tc>
      </w:tr>
      <w:tr w:rsidR="00E55F38" w:rsidRPr="00E55F38" w:rsidTr="00AB27D1">
        <w:trPr>
          <w:trHeight w:val="60"/>
        </w:trPr>
        <w:tc>
          <w:tcPr>
            <w:tcW w:w="6199" w:type="dxa"/>
          </w:tcPr>
          <w:p w:rsidR="00E55F38" w:rsidRPr="00E55F38"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E55F38">
              <w:rPr>
                <w:rFonts w:eastAsiaTheme="minorHAnsi"/>
                <w:sz w:val="20"/>
                <w:szCs w:val="20"/>
                <w:lang w:eastAsia="en-US" w:bidi="ar-SA"/>
              </w:rPr>
              <w:t>Employee benefits expenses</w:t>
            </w:r>
          </w:p>
        </w:tc>
        <w:tc>
          <w:tcPr>
            <w:tcW w:w="851" w:type="dxa"/>
          </w:tcPr>
          <w:p w:rsidR="00E55F38" w:rsidRPr="00E55F38"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E55F38">
              <w:rPr>
                <w:rFonts w:eastAsiaTheme="minorHAnsi"/>
                <w:sz w:val="20"/>
                <w:szCs w:val="20"/>
                <w:lang w:eastAsia="en-US" w:bidi="ar-SA"/>
              </w:rPr>
              <w:t>3.2.1</w:t>
            </w:r>
          </w:p>
        </w:tc>
        <w:tc>
          <w:tcPr>
            <w:tcW w:w="1559"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12,095,610</w:t>
            </w:r>
          </w:p>
        </w:tc>
        <w:tc>
          <w:tcPr>
            <w:tcW w:w="1417"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8,891,605</w:t>
            </w:r>
          </w:p>
        </w:tc>
      </w:tr>
      <w:tr w:rsidR="00E55F38" w:rsidRPr="00E55F38" w:rsidTr="00AB27D1">
        <w:trPr>
          <w:trHeight w:val="60"/>
        </w:trPr>
        <w:tc>
          <w:tcPr>
            <w:tcW w:w="6199" w:type="dxa"/>
          </w:tcPr>
          <w:p w:rsidR="00E55F38" w:rsidRPr="00E55F38"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E55F38">
              <w:rPr>
                <w:rFonts w:eastAsiaTheme="minorHAnsi"/>
                <w:sz w:val="20"/>
                <w:szCs w:val="20"/>
                <w:lang w:eastAsia="en-US" w:bidi="ar-SA"/>
              </w:rPr>
              <w:t>Depreciation</w:t>
            </w:r>
          </w:p>
        </w:tc>
        <w:tc>
          <w:tcPr>
            <w:tcW w:w="851" w:type="dxa"/>
          </w:tcPr>
          <w:p w:rsidR="00E55F38" w:rsidRPr="00E55F38"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E55F38">
              <w:rPr>
                <w:rFonts w:eastAsiaTheme="minorHAnsi"/>
                <w:sz w:val="20"/>
                <w:szCs w:val="20"/>
                <w:lang w:eastAsia="en-US" w:bidi="ar-SA"/>
              </w:rPr>
              <w:t>4.3</w:t>
            </w:r>
          </w:p>
        </w:tc>
        <w:tc>
          <w:tcPr>
            <w:tcW w:w="1559"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215,573</w:t>
            </w:r>
          </w:p>
        </w:tc>
        <w:tc>
          <w:tcPr>
            <w:tcW w:w="1417"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80,903</w:t>
            </w:r>
          </w:p>
        </w:tc>
      </w:tr>
      <w:tr w:rsidR="00E55F38" w:rsidRPr="00E55F38" w:rsidTr="00AB27D1">
        <w:trPr>
          <w:trHeight w:val="60"/>
        </w:trPr>
        <w:tc>
          <w:tcPr>
            <w:tcW w:w="6199" w:type="dxa"/>
          </w:tcPr>
          <w:p w:rsidR="00E55F38" w:rsidRPr="00E55F38"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E55F38">
              <w:rPr>
                <w:rFonts w:eastAsiaTheme="minorHAnsi"/>
                <w:sz w:val="20"/>
                <w:szCs w:val="20"/>
                <w:lang w:eastAsia="en-US" w:bidi="ar-SA"/>
              </w:rPr>
              <w:t>Interest expense</w:t>
            </w:r>
          </w:p>
        </w:tc>
        <w:tc>
          <w:tcPr>
            <w:tcW w:w="851" w:type="dxa"/>
          </w:tcPr>
          <w:p w:rsidR="00E55F38" w:rsidRPr="00E55F38" w:rsidRDefault="00E55F38" w:rsidP="00E55F38">
            <w:pPr>
              <w:widowControl/>
              <w:adjustRightInd w:val="0"/>
              <w:rPr>
                <w:rFonts w:eastAsiaTheme="minorHAnsi"/>
                <w:sz w:val="20"/>
                <w:szCs w:val="20"/>
                <w:lang w:eastAsia="en-US" w:bidi="ar-SA"/>
              </w:rPr>
            </w:pPr>
          </w:p>
        </w:tc>
        <w:tc>
          <w:tcPr>
            <w:tcW w:w="1559"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2,567</w:t>
            </w:r>
          </w:p>
        </w:tc>
        <w:tc>
          <w:tcPr>
            <w:tcW w:w="1417"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6</w:t>
            </w:r>
          </w:p>
        </w:tc>
      </w:tr>
      <w:tr w:rsidR="00E55F38" w:rsidRPr="00E55F38" w:rsidTr="00AB27D1">
        <w:trPr>
          <w:trHeight w:val="60"/>
        </w:trPr>
        <w:tc>
          <w:tcPr>
            <w:tcW w:w="6199" w:type="dxa"/>
          </w:tcPr>
          <w:p w:rsidR="00E55F38" w:rsidRPr="00E55F38"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E55F38">
              <w:rPr>
                <w:rFonts w:eastAsiaTheme="minorHAnsi"/>
                <w:sz w:val="20"/>
                <w:szCs w:val="20"/>
                <w:lang w:eastAsia="en-US" w:bidi="ar-SA"/>
              </w:rPr>
              <w:t>Capital asset charge</w:t>
            </w:r>
          </w:p>
        </w:tc>
        <w:tc>
          <w:tcPr>
            <w:tcW w:w="851" w:type="dxa"/>
          </w:tcPr>
          <w:p w:rsidR="00E55F38" w:rsidRPr="00E55F38"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E55F38">
              <w:rPr>
                <w:rFonts w:eastAsiaTheme="minorHAnsi"/>
                <w:sz w:val="20"/>
                <w:szCs w:val="20"/>
                <w:lang w:eastAsia="en-US" w:bidi="ar-SA"/>
              </w:rPr>
              <w:t>3.3</w:t>
            </w:r>
          </w:p>
        </w:tc>
        <w:tc>
          <w:tcPr>
            <w:tcW w:w="1559"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69,008</w:t>
            </w:r>
          </w:p>
        </w:tc>
        <w:tc>
          <w:tcPr>
            <w:tcW w:w="1417"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69,008</w:t>
            </w:r>
          </w:p>
        </w:tc>
      </w:tr>
      <w:tr w:rsidR="00E55F38" w:rsidRPr="00E55F38" w:rsidTr="00AB27D1">
        <w:trPr>
          <w:trHeight w:val="60"/>
        </w:trPr>
        <w:tc>
          <w:tcPr>
            <w:tcW w:w="6199" w:type="dxa"/>
          </w:tcPr>
          <w:p w:rsidR="00E55F38" w:rsidRPr="00E55F38"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E55F38">
              <w:rPr>
                <w:rFonts w:eastAsiaTheme="minorHAnsi"/>
                <w:sz w:val="20"/>
                <w:szCs w:val="20"/>
                <w:lang w:eastAsia="en-US" w:bidi="ar-SA"/>
              </w:rPr>
              <w:t>Other operating expenses</w:t>
            </w:r>
          </w:p>
        </w:tc>
        <w:tc>
          <w:tcPr>
            <w:tcW w:w="851" w:type="dxa"/>
          </w:tcPr>
          <w:p w:rsidR="00E55F38" w:rsidRPr="00E55F38"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E55F38">
              <w:rPr>
                <w:rFonts w:eastAsiaTheme="minorHAnsi"/>
                <w:sz w:val="20"/>
                <w:szCs w:val="20"/>
                <w:lang w:eastAsia="en-US" w:bidi="ar-SA"/>
              </w:rPr>
              <w:t>3.4</w:t>
            </w:r>
          </w:p>
        </w:tc>
        <w:tc>
          <w:tcPr>
            <w:tcW w:w="1559"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7,051,518</w:t>
            </w:r>
          </w:p>
        </w:tc>
        <w:tc>
          <w:tcPr>
            <w:tcW w:w="1417"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5,252,286</w:t>
            </w:r>
          </w:p>
        </w:tc>
      </w:tr>
      <w:tr w:rsidR="00E55F38" w:rsidRPr="00E55F38" w:rsidTr="00AB27D1">
        <w:trPr>
          <w:trHeight w:val="60"/>
        </w:trPr>
        <w:tc>
          <w:tcPr>
            <w:tcW w:w="6199" w:type="dxa"/>
          </w:tcPr>
          <w:p w:rsidR="00E55F38" w:rsidRPr="00AB27D1" w:rsidRDefault="00E55F38" w:rsidP="00E55F38">
            <w:pPr>
              <w:widowControl/>
              <w:suppressAutoHyphens/>
              <w:adjustRightInd w:val="0"/>
              <w:spacing w:after="113" w:line="220" w:lineRule="atLeast"/>
              <w:textAlignment w:val="center"/>
              <w:rPr>
                <w:rFonts w:eastAsiaTheme="minorHAnsi"/>
                <w:b/>
                <w:bCs/>
                <w:sz w:val="20"/>
                <w:szCs w:val="20"/>
                <w:lang w:eastAsia="en-US" w:bidi="ar-SA"/>
              </w:rPr>
            </w:pPr>
            <w:r w:rsidRPr="00AB27D1">
              <w:rPr>
                <w:rFonts w:eastAsiaTheme="minorHAnsi"/>
                <w:b/>
                <w:bCs/>
                <w:sz w:val="20"/>
                <w:szCs w:val="20"/>
                <w:lang w:eastAsia="en-US" w:bidi="ar-SA"/>
              </w:rPr>
              <w:t>Total expenses from transactions</w:t>
            </w:r>
          </w:p>
        </w:tc>
        <w:tc>
          <w:tcPr>
            <w:tcW w:w="851" w:type="dxa"/>
          </w:tcPr>
          <w:p w:rsidR="00E55F38" w:rsidRPr="00AB27D1" w:rsidRDefault="00E55F38" w:rsidP="00E55F38">
            <w:pPr>
              <w:widowControl/>
              <w:adjustRightInd w:val="0"/>
              <w:rPr>
                <w:rFonts w:eastAsiaTheme="minorHAnsi"/>
                <w:b/>
                <w:bCs/>
                <w:sz w:val="20"/>
                <w:szCs w:val="20"/>
                <w:lang w:eastAsia="en-US" w:bidi="ar-SA"/>
              </w:rPr>
            </w:pPr>
          </w:p>
        </w:tc>
        <w:tc>
          <w:tcPr>
            <w:tcW w:w="1559" w:type="dxa"/>
          </w:tcPr>
          <w:p w:rsidR="00E55F38" w:rsidRPr="00AB27D1" w:rsidRDefault="00E55F38" w:rsidP="00AB27D1">
            <w:pPr>
              <w:widowControl/>
              <w:suppressAutoHyphens/>
              <w:adjustRightInd w:val="0"/>
              <w:spacing w:after="113" w:line="220" w:lineRule="atLeast"/>
              <w:jc w:val="center"/>
              <w:textAlignment w:val="center"/>
              <w:rPr>
                <w:rFonts w:eastAsiaTheme="minorHAnsi"/>
                <w:b/>
                <w:bCs/>
                <w:sz w:val="20"/>
                <w:szCs w:val="20"/>
                <w:lang w:eastAsia="en-US" w:bidi="ar-SA"/>
              </w:rPr>
            </w:pPr>
            <w:r w:rsidRPr="00AB27D1">
              <w:rPr>
                <w:rFonts w:eastAsiaTheme="minorHAnsi"/>
                <w:b/>
                <w:bCs/>
                <w:sz w:val="20"/>
                <w:szCs w:val="20"/>
                <w:lang w:eastAsia="en-US" w:bidi="ar-SA"/>
              </w:rPr>
              <w:t>19,434,276</w:t>
            </w:r>
          </w:p>
        </w:tc>
        <w:tc>
          <w:tcPr>
            <w:tcW w:w="1417" w:type="dxa"/>
          </w:tcPr>
          <w:p w:rsidR="00E55F38" w:rsidRPr="00AB27D1" w:rsidRDefault="00E55F38" w:rsidP="00AB27D1">
            <w:pPr>
              <w:widowControl/>
              <w:suppressAutoHyphens/>
              <w:adjustRightInd w:val="0"/>
              <w:spacing w:after="113" w:line="220" w:lineRule="atLeast"/>
              <w:jc w:val="center"/>
              <w:textAlignment w:val="center"/>
              <w:rPr>
                <w:rFonts w:eastAsiaTheme="minorHAnsi"/>
                <w:b/>
                <w:bCs/>
                <w:sz w:val="20"/>
                <w:szCs w:val="20"/>
                <w:lang w:eastAsia="en-US" w:bidi="ar-SA"/>
              </w:rPr>
            </w:pPr>
            <w:r w:rsidRPr="00AB27D1">
              <w:rPr>
                <w:rFonts w:eastAsiaTheme="minorHAnsi"/>
                <w:b/>
                <w:bCs/>
                <w:sz w:val="20"/>
                <w:szCs w:val="20"/>
                <w:lang w:eastAsia="en-US" w:bidi="ar-SA"/>
              </w:rPr>
              <w:t>14,293,808</w:t>
            </w:r>
          </w:p>
        </w:tc>
      </w:tr>
      <w:tr w:rsidR="00E55F38" w:rsidRPr="00E55F38" w:rsidTr="00AB27D1">
        <w:trPr>
          <w:trHeight w:val="60"/>
        </w:trPr>
        <w:tc>
          <w:tcPr>
            <w:tcW w:w="6199" w:type="dxa"/>
          </w:tcPr>
          <w:p w:rsidR="00E55F38" w:rsidRPr="00E55F38" w:rsidRDefault="00E55F38" w:rsidP="00AB27D1">
            <w:pPr>
              <w:pStyle w:val="Heading4"/>
              <w:ind w:left="0"/>
              <w:rPr>
                <w:lang w:eastAsia="en-US" w:bidi="ar-SA"/>
              </w:rPr>
            </w:pPr>
            <w:r w:rsidRPr="00E55F38">
              <w:rPr>
                <w:lang w:eastAsia="en-US" w:bidi="ar-SA"/>
              </w:rPr>
              <w:t>Net result from transactions (net operating balance)</w:t>
            </w:r>
          </w:p>
        </w:tc>
        <w:tc>
          <w:tcPr>
            <w:tcW w:w="851" w:type="dxa"/>
          </w:tcPr>
          <w:p w:rsidR="00E55F38" w:rsidRPr="00E55F38" w:rsidRDefault="00E55F38" w:rsidP="00AB27D1">
            <w:pPr>
              <w:pStyle w:val="Heading4"/>
              <w:ind w:left="0"/>
              <w:rPr>
                <w:lang w:eastAsia="en-US" w:bidi="ar-SA"/>
              </w:rPr>
            </w:pPr>
          </w:p>
        </w:tc>
        <w:tc>
          <w:tcPr>
            <w:tcW w:w="1559" w:type="dxa"/>
          </w:tcPr>
          <w:p w:rsidR="00E55F38" w:rsidRPr="00E55F38" w:rsidRDefault="00E55F38" w:rsidP="00AB27D1">
            <w:pPr>
              <w:pStyle w:val="Heading4"/>
              <w:ind w:left="0"/>
              <w:rPr>
                <w:lang w:eastAsia="en-US" w:bidi="ar-SA"/>
              </w:rPr>
            </w:pPr>
            <w:r w:rsidRPr="00E55F38">
              <w:rPr>
                <w:lang w:eastAsia="en-US" w:bidi="ar-SA"/>
              </w:rPr>
              <w:t>(1,641,891)</w:t>
            </w:r>
          </w:p>
        </w:tc>
        <w:tc>
          <w:tcPr>
            <w:tcW w:w="1417" w:type="dxa"/>
          </w:tcPr>
          <w:p w:rsidR="00E55F38" w:rsidRPr="00E55F38" w:rsidRDefault="00E55F38" w:rsidP="00AB27D1">
            <w:pPr>
              <w:pStyle w:val="Heading4"/>
              <w:ind w:left="0"/>
              <w:rPr>
                <w:lang w:eastAsia="en-US" w:bidi="ar-SA"/>
              </w:rPr>
            </w:pPr>
            <w:r w:rsidRPr="00E55F38">
              <w:rPr>
                <w:lang w:eastAsia="en-US" w:bidi="ar-SA"/>
              </w:rPr>
              <w:t>2,818,460</w:t>
            </w:r>
          </w:p>
        </w:tc>
      </w:tr>
      <w:tr w:rsidR="00E55F38" w:rsidRPr="00E55F38" w:rsidTr="00AB27D1">
        <w:trPr>
          <w:trHeight w:val="60"/>
        </w:trPr>
        <w:tc>
          <w:tcPr>
            <w:tcW w:w="6199" w:type="dxa"/>
          </w:tcPr>
          <w:p w:rsidR="00E55F38" w:rsidRPr="00E55F38"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E55F38">
              <w:rPr>
                <w:rFonts w:eastAsiaTheme="minorHAnsi"/>
                <w:sz w:val="20"/>
                <w:szCs w:val="20"/>
                <w:lang w:eastAsia="en-US" w:bidi="ar-SA"/>
              </w:rPr>
              <w:t>Other economic flows included in net result</w:t>
            </w:r>
          </w:p>
        </w:tc>
        <w:tc>
          <w:tcPr>
            <w:tcW w:w="851" w:type="dxa"/>
          </w:tcPr>
          <w:p w:rsidR="00E55F38" w:rsidRPr="00E55F38" w:rsidRDefault="00E55F38" w:rsidP="00E55F38">
            <w:pPr>
              <w:widowControl/>
              <w:adjustRightInd w:val="0"/>
              <w:rPr>
                <w:rFonts w:eastAsiaTheme="minorHAnsi"/>
                <w:sz w:val="20"/>
                <w:szCs w:val="20"/>
                <w:lang w:eastAsia="en-US" w:bidi="ar-SA"/>
              </w:rPr>
            </w:pPr>
          </w:p>
        </w:tc>
        <w:tc>
          <w:tcPr>
            <w:tcW w:w="1559" w:type="dxa"/>
          </w:tcPr>
          <w:p w:rsidR="00E55F38" w:rsidRPr="00E55F38" w:rsidRDefault="00E55F38" w:rsidP="00AB27D1">
            <w:pPr>
              <w:widowControl/>
              <w:adjustRightInd w:val="0"/>
              <w:jc w:val="center"/>
              <w:rPr>
                <w:rFonts w:eastAsiaTheme="minorHAnsi"/>
                <w:sz w:val="20"/>
                <w:szCs w:val="20"/>
                <w:lang w:eastAsia="en-US" w:bidi="ar-SA"/>
              </w:rPr>
            </w:pPr>
          </w:p>
        </w:tc>
        <w:tc>
          <w:tcPr>
            <w:tcW w:w="1417" w:type="dxa"/>
          </w:tcPr>
          <w:p w:rsidR="00E55F38" w:rsidRPr="00E55F38" w:rsidRDefault="00E55F38" w:rsidP="00AB27D1">
            <w:pPr>
              <w:widowControl/>
              <w:adjustRightInd w:val="0"/>
              <w:jc w:val="center"/>
              <w:rPr>
                <w:rFonts w:eastAsiaTheme="minorHAnsi"/>
                <w:sz w:val="20"/>
                <w:szCs w:val="20"/>
                <w:lang w:eastAsia="en-US" w:bidi="ar-SA"/>
              </w:rPr>
            </w:pPr>
          </w:p>
        </w:tc>
      </w:tr>
      <w:tr w:rsidR="00E55F38" w:rsidRPr="00E55F38" w:rsidTr="00AB27D1">
        <w:trPr>
          <w:trHeight w:val="60"/>
        </w:trPr>
        <w:tc>
          <w:tcPr>
            <w:tcW w:w="6199" w:type="dxa"/>
          </w:tcPr>
          <w:p w:rsidR="00E55F38" w:rsidRPr="00E55F38"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E55F38">
              <w:rPr>
                <w:rFonts w:eastAsiaTheme="minorHAnsi"/>
                <w:sz w:val="20"/>
                <w:szCs w:val="20"/>
                <w:lang w:eastAsia="en-US" w:bidi="ar-SA"/>
              </w:rPr>
              <w:t>Net gain/(loss) on disposal of property, plant and equipment</w:t>
            </w:r>
          </w:p>
        </w:tc>
        <w:tc>
          <w:tcPr>
            <w:tcW w:w="851" w:type="dxa"/>
          </w:tcPr>
          <w:p w:rsidR="00E55F38" w:rsidRPr="00E55F38" w:rsidRDefault="00E55F38" w:rsidP="00E55F38">
            <w:pPr>
              <w:widowControl/>
              <w:adjustRightInd w:val="0"/>
              <w:rPr>
                <w:rFonts w:eastAsiaTheme="minorHAnsi"/>
                <w:sz w:val="20"/>
                <w:szCs w:val="20"/>
                <w:lang w:eastAsia="en-US" w:bidi="ar-SA"/>
              </w:rPr>
            </w:pPr>
          </w:p>
        </w:tc>
        <w:tc>
          <w:tcPr>
            <w:tcW w:w="1559"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(4,309)</w:t>
            </w:r>
          </w:p>
        </w:tc>
        <w:tc>
          <w:tcPr>
            <w:tcW w:w="1417"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(2,967)</w:t>
            </w:r>
          </w:p>
        </w:tc>
      </w:tr>
      <w:tr w:rsidR="00E55F38" w:rsidRPr="00E55F38" w:rsidTr="00AB27D1">
        <w:trPr>
          <w:trHeight w:val="60"/>
        </w:trPr>
        <w:tc>
          <w:tcPr>
            <w:tcW w:w="6199" w:type="dxa"/>
          </w:tcPr>
          <w:p w:rsidR="00E55F38" w:rsidRPr="00E55F38"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E55F38">
              <w:rPr>
                <w:rFonts w:eastAsiaTheme="minorHAnsi"/>
                <w:sz w:val="20"/>
                <w:szCs w:val="20"/>
                <w:lang w:eastAsia="en-US" w:bidi="ar-SA"/>
              </w:rPr>
              <w:t>Net gain/(loss) arising from revaluation of leave liabilities</w:t>
            </w:r>
          </w:p>
        </w:tc>
        <w:tc>
          <w:tcPr>
            <w:tcW w:w="851" w:type="dxa"/>
          </w:tcPr>
          <w:p w:rsidR="00E55F38" w:rsidRPr="00E55F38" w:rsidRDefault="00E55F38" w:rsidP="00E55F38">
            <w:pPr>
              <w:widowControl/>
              <w:adjustRightInd w:val="0"/>
              <w:rPr>
                <w:rFonts w:eastAsiaTheme="minorHAnsi"/>
                <w:sz w:val="20"/>
                <w:szCs w:val="20"/>
                <w:lang w:eastAsia="en-US" w:bidi="ar-SA"/>
              </w:rPr>
            </w:pPr>
          </w:p>
        </w:tc>
        <w:tc>
          <w:tcPr>
            <w:tcW w:w="1559"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(86,518)</w:t>
            </w:r>
          </w:p>
        </w:tc>
        <w:tc>
          <w:tcPr>
            <w:tcW w:w="1417" w:type="dxa"/>
          </w:tcPr>
          <w:p w:rsidR="00E55F38" w:rsidRPr="00E55F38" w:rsidRDefault="00E55F38" w:rsidP="00AB27D1">
            <w:pPr>
              <w:widowControl/>
              <w:suppressAutoHyphens/>
              <w:adjustRightInd w:val="0"/>
              <w:spacing w:after="113" w:line="220" w:lineRule="atLeast"/>
              <w:jc w:val="center"/>
              <w:textAlignment w:val="center"/>
              <w:rPr>
                <w:rFonts w:eastAsiaTheme="minorHAnsi"/>
                <w:sz w:val="20"/>
                <w:szCs w:val="20"/>
                <w:lang w:eastAsia="en-US" w:bidi="ar-SA"/>
              </w:rPr>
            </w:pPr>
            <w:r w:rsidRPr="00E55F38">
              <w:rPr>
                <w:rFonts w:eastAsiaTheme="minorHAnsi"/>
                <w:sz w:val="20"/>
                <w:szCs w:val="20"/>
                <w:lang w:eastAsia="en-US" w:bidi="ar-SA"/>
              </w:rPr>
              <w:t>1,794</w:t>
            </w:r>
          </w:p>
        </w:tc>
      </w:tr>
      <w:tr w:rsidR="00E55F38" w:rsidRPr="00AB27D1" w:rsidTr="00AB27D1">
        <w:trPr>
          <w:trHeight w:val="60"/>
        </w:trPr>
        <w:tc>
          <w:tcPr>
            <w:tcW w:w="6199" w:type="dxa"/>
          </w:tcPr>
          <w:p w:rsidR="00E55F38" w:rsidRPr="00AB27D1" w:rsidRDefault="00E55F38" w:rsidP="00E55F38">
            <w:pPr>
              <w:widowControl/>
              <w:suppressAutoHyphens/>
              <w:adjustRightInd w:val="0"/>
              <w:spacing w:after="113" w:line="220" w:lineRule="atLeast"/>
              <w:textAlignment w:val="center"/>
              <w:rPr>
                <w:rFonts w:eastAsiaTheme="minorHAnsi"/>
                <w:b/>
                <w:bCs/>
                <w:sz w:val="20"/>
                <w:szCs w:val="20"/>
                <w:lang w:eastAsia="en-US" w:bidi="ar-SA"/>
              </w:rPr>
            </w:pPr>
            <w:r w:rsidRPr="00AB27D1">
              <w:rPr>
                <w:rFonts w:eastAsiaTheme="minorHAnsi"/>
                <w:b/>
                <w:bCs/>
                <w:sz w:val="20"/>
                <w:szCs w:val="20"/>
                <w:lang w:eastAsia="en-US" w:bidi="ar-SA"/>
              </w:rPr>
              <w:t>Total other economic flows included in net result</w:t>
            </w:r>
          </w:p>
        </w:tc>
        <w:tc>
          <w:tcPr>
            <w:tcW w:w="851" w:type="dxa"/>
          </w:tcPr>
          <w:p w:rsidR="00E55F38" w:rsidRPr="00AB27D1" w:rsidRDefault="00E55F38" w:rsidP="00E55F38">
            <w:pPr>
              <w:widowControl/>
              <w:adjustRightInd w:val="0"/>
              <w:rPr>
                <w:rFonts w:eastAsiaTheme="minorHAnsi"/>
                <w:b/>
                <w:bCs/>
                <w:sz w:val="20"/>
                <w:szCs w:val="20"/>
                <w:lang w:eastAsia="en-US" w:bidi="ar-SA"/>
              </w:rPr>
            </w:pPr>
          </w:p>
        </w:tc>
        <w:tc>
          <w:tcPr>
            <w:tcW w:w="1559" w:type="dxa"/>
          </w:tcPr>
          <w:p w:rsidR="00E55F38" w:rsidRPr="00AB27D1" w:rsidRDefault="00E55F38" w:rsidP="00AB27D1">
            <w:pPr>
              <w:widowControl/>
              <w:suppressAutoHyphens/>
              <w:adjustRightInd w:val="0"/>
              <w:spacing w:after="113" w:line="220" w:lineRule="atLeast"/>
              <w:jc w:val="center"/>
              <w:textAlignment w:val="center"/>
              <w:rPr>
                <w:rFonts w:eastAsiaTheme="minorHAnsi"/>
                <w:b/>
                <w:bCs/>
                <w:sz w:val="20"/>
                <w:szCs w:val="20"/>
                <w:lang w:eastAsia="en-US" w:bidi="ar-SA"/>
              </w:rPr>
            </w:pPr>
            <w:r w:rsidRPr="00AB27D1">
              <w:rPr>
                <w:rFonts w:eastAsiaTheme="minorHAnsi"/>
                <w:b/>
                <w:bCs/>
                <w:sz w:val="20"/>
                <w:szCs w:val="20"/>
                <w:lang w:eastAsia="en-US" w:bidi="ar-SA"/>
              </w:rPr>
              <w:t>(90,827)</w:t>
            </w:r>
          </w:p>
        </w:tc>
        <w:tc>
          <w:tcPr>
            <w:tcW w:w="1417" w:type="dxa"/>
          </w:tcPr>
          <w:p w:rsidR="00E55F38" w:rsidRPr="00AB27D1" w:rsidRDefault="00E55F38" w:rsidP="00AB27D1">
            <w:pPr>
              <w:widowControl/>
              <w:suppressAutoHyphens/>
              <w:adjustRightInd w:val="0"/>
              <w:spacing w:after="113" w:line="220" w:lineRule="atLeast"/>
              <w:jc w:val="center"/>
              <w:textAlignment w:val="center"/>
              <w:rPr>
                <w:rFonts w:eastAsiaTheme="minorHAnsi"/>
                <w:b/>
                <w:bCs/>
                <w:sz w:val="20"/>
                <w:szCs w:val="20"/>
                <w:lang w:eastAsia="en-US" w:bidi="ar-SA"/>
              </w:rPr>
            </w:pPr>
            <w:r w:rsidRPr="00AB27D1">
              <w:rPr>
                <w:rFonts w:eastAsiaTheme="minorHAnsi"/>
                <w:b/>
                <w:bCs/>
                <w:sz w:val="20"/>
                <w:szCs w:val="20"/>
                <w:lang w:eastAsia="en-US" w:bidi="ar-SA"/>
              </w:rPr>
              <w:t>(1,173)</w:t>
            </w:r>
          </w:p>
        </w:tc>
      </w:tr>
      <w:tr w:rsidR="00E55F38" w:rsidRPr="00E55F38" w:rsidTr="00AB27D1">
        <w:trPr>
          <w:trHeight w:val="60"/>
        </w:trPr>
        <w:tc>
          <w:tcPr>
            <w:tcW w:w="6199" w:type="dxa"/>
          </w:tcPr>
          <w:p w:rsidR="00E55F38" w:rsidRPr="00E55F38" w:rsidRDefault="00E55F38" w:rsidP="00AB27D1">
            <w:pPr>
              <w:pStyle w:val="Heading4"/>
              <w:ind w:left="0"/>
              <w:rPr>
                <w:lang w:eastAsia="en-US" w:bidi="ar-SA"/>
              </w:rPr>
            </w:pPr>
            <w:r w:rsidRPr="00E55F38">
              <w:rPr>
                <w:lang w:eastAsia="en-US" w:bidi="ar-SA"/>
              </w:rPr>
              <w:t>Net result</w:t>
            </w:r>
          </w:p>
        </w:tc>
        <w:tc>
          <w:tcPr>
            <w:tcW w:w="851" w:type="dxa"/>
          </w:tcPr>
          <w:p w:rsidR="00E55F38" w:rsidRPr="00E55F38" w:rsidRDefault="00E55F38" w:rsidP="00AB27D1">
            <w:pPr>
              <w:pStyle w:val="Heading4"/>
              <w:ind w:left="0"/>
              <w:rPr>
                <w:lang w:eastAsia="en-US" w:bidi="ar-SA"/>
              </w:rPr>
            </w:pPr>
          </w:p>
        </w:tc>
        <w:tc>
          <w:tcPr>
            <w:tcW w:w="1559" w:type="dxa"/>
          </w:tcPr>
          <w:p w:rsidR="00E55F38" w:rsidRPr="00E55F38" w:rsidRDefault="00E55F38" w:rsidP="00AB27D1">
            <w:pPr>
              <w:pStyle w:val="Heading4"/>
              <w:ind w:left="0"/>
              <w:rPr>
                <w:lang w:eastAsia="en-US" w:bidi="ar-SA"/>
              </w:rPr>
            </w:pPr>
            <w:r w:rsidRPr="00E55F38">
              <w:rPr>
                <w:lang w:eastAsia="en-US" w:bidi="ar-SA"/>
              </w:rPr>
              <w:t>(1,732,718)</w:t>
            </w:r>
          </w:p>
        </w:tc>
        <w:tc>
          <w:tcPr>
            <w:tcW w:w="1417" w:type="dxa"/>
          </w:tcPr>
          <w:p w:rsidR="00E55F38" w:rsidRPr="00E55F38" w:rsidRDefault="00E55F38" w:rsidP="00AB27D1">
            <w:pPr>
              <w:pStyle w:val="Heading4"/>
              <w:ind w:left="0"/>
              <w:rPr>
                <w:lang w:eastAsia="en-US" w:bidi="ar-SA"/>
              </w:rPr>
            </w:pPr>
            <w:r w:rsidRPr="00E55F38">
              <w:rPr>
                <w:lang w:eastAsia="en-US" w:bidi="ar-SA"/>
              </w:rPr>
              <w:t>2,817,287</w:t>
            </w:r>
          </w:p>
        </w:tc>
      </w:tr>
      <w:tr w:rsidR="00E55F38" w:rsidRPr="00E55F38" w:rsidTr="00AB27D1">
        <w:trPr>
          <w:trHeight w:val="60"/>
        </w:trPr>
        <w:tc>
          <w:tcPr>
            <w:tcW w:w="6199" w:type="dxa"/>
          </w:tcPr>
          <w:p w:rsidR="00E55F38" w:rsidRPr="00E55F38" w:rsidRDefault="00E55F38" w:rsidP="00AB27D1">
            <w:pPr>
              <w:pStyle w:val="Heading4"/>
              <w:ind w:left="0"/>
              <w:rPr>
                <w:lang w:eastAsia="en-US" w:bidi="ar-SA"/>
              </w:rPr>
            </w:pPr>
            <w:r w:rsidRPr="00E55F38">
              <w:rPr>
                <w:lang w:eastAsia="en-US" w:bidi="ar-SA"/>
              </w:rPr>
              <w:t>Comprehensive result</w:t>
            </w:r>
          </w:p>
        </w:tc>
        <w:tc>
          <w:tcPr>
            <w:tcW w:w="851" w:type="dxa"/>
          </w:tcPr>
          <w:p w:rsidR="00E55F38" w:rsidRPr="00E55F38" w:rsidRDefault="00E55F38" w:rsidP="00AB27D1">
            <w:pPr>
              <w:pStyle w:val="Heading4"/>
              <w:ind w:left="0"/>
              <w:rPr>
                <w:lang w:eastAsia="en-US" w:bidi="ar-SA"/>
              </w:rPr>
            </w:pPr>
          </w:p>
        </w:tc>
        <w:tc>
          <w:tcPr>
            <w:tcW w:w="1559" w:type="dxa"/>
          </w:tcPr>
          <w:p w:rsidR="00E55F38" w:rsidRPr="00E55F38" w:rsidRDefault="00E55F38" w:rsidP="00AB27D1">
            <w:pPr>
              <w:pStyle w:val="Heading4"/>
              <w:ind w:left="0"/>
              <w:rPr>
                <w:lang w:eastAsia="en-US" w:bidi="ar-SA"/>
              </w:rPr>
            </w:pPr>
            <w:r w:rsidRPr="00E55F38">
              <w:rPr>
                <w:lang w:eastAsia="en-US" w:bidi="ar-SA"/>
              </w:rPr>
              <w:t>(1,732,718)</w:t>
            </w:r>
          </w:p>
        </w:tc>
        <w:tc>
          <w:tcPr>
            <w:tcW w:w="1417" w:type="dxa"/>
          </w:tcPr>
          <w:p w:rsidR="00E55F38" w:rsidRPr="00E55F38" w:rsidRDefault="00E55F38" w:rsidP="00AB27D1">
            <w:pPr>
              <w:pStyle w:val="Heading4"/>
              <w:ind w:left="0"/>
              <w:rPr>
                <w:lang w:eastAsia="en-US" w:bidi="ar-SA"/>
              </w:rPr>
            </w:pPr>
            <w:r w:rsidRPr="00E55F38">
              <w:rPr>
                <w:lang w:eastAsia="en-US" w:bidi="ar-SA"/>
              </w:rPr>
              <w:t>2,817,287</w:t>
            </w:r>
          </w:p>
        </w:tc>
      </w:tr>
    </w:tbl>
    <w:p w:rsidR="00E55F38" w:rsidRPr="00E55F38" w:rsidRDefault="00E55F38" w:rsidP="00AB27D1">
      <w:pPr>
        <w:rPr>
          <w:lang w:eastAsia="en-US" w:bidi="ar-SA"/>
        </w:rPr>
      </w:pPr>
    </w:p>
    <w:p w:rsidR="00E55F38" w:rsidRDefault="00E55F38" w:rsidP="00AB27D1">
      <w:pPr>
        <w:widowControl/>
        <w:suppressAutoHyphens/>
        <w:adjustRightInd w:val="0"/>
        <w:spacing w:after="113" w:line="200" w:lineRule="atLeast"/>
        <w:ind w:left="709"/>
        <w:textAlignment w:val="center"/>
        <w:rPr>
          <w:rFonts w:eastAsiaTheme="minorHAnsi"/>
          <w:i/>
          <w:iCs/>
          <w:color w:val="000000"/>
          <w:sz w:val="20"/>
          <w:szCs w:val="20"/>
          <w:lang w:eastAsia="en-US" w:bidi="ar-SA"/>
        </w:rPr>
      </w:pPr>
      <w:r w:rsidRPr="00AB27D1">
        <w:rPr>
          <w:rFonts w:eastAsiaTheme="minorHAnsi"/>
          <w:i/>
          <w:iCs/>
          <w:color w:val="000000"/>
          <w:sz w:val="20"/>
          <w:szCs w:val="20"/>
          <w:lang w:eastAsia="en-US" w:bidi="ar-SA"/>
        </w:rPr>
        <w:t>The accompanying notes form part of these financial statements.</w:t>
      </w: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AB27D1" w:rsidRDefault="00AB27D1" w:rsidP="00AB27D1">
      <w:pPr>
        <w:rPr>
          <w:lang w:eastAsia="en-US" w:bidi="ar-SA"/>
        </w:rPr>
      </w:pPr>
    </w:p>
    <w:p w:rsidR="00E55F38" w:rsidRDefault="00E55F38" w:rsidP="00AB27D1">
      <w:pPr>
        <w:pStyle w:val="Heading2"/>
        <w:rPr>
          <w:lang w:eastAsia="en-US" w:bidi="ar-SA"/>
        </w:rPr>
      </w:pPr>
      <w:bookmarkStart w:id="36" w:name="_Toc23329736"/>
      <w:r w:rsidRPr="00E55F38">
        <w:rPr>
          <w:lang w:eastAsia="en-US" w:bidi="ar-SA"/>
        </w:rPr>
        <w:lastRenderedPageBreak/>
        <w:t>Balance sheet as at 30 June 2019</w:t>
      </w:r>
      <w:bookmarkEnd w:id="36"/>
    </w:p>
    <w:p w:rsidR="00AB27D1" w:rsidRPr="00E55F38" w:rsidRDefault="00AB27D1" w:rsidP="00AB27D1">
      <w:pPr>
        <w:rPr>
          <w:lang w:eastAsia="en-US" w:bidi="ar-SA"/>
        </w:rPr>
      </w:pPr>
    </w:p>
    <w:tbl>
      <w:tblPr>
        <w:tblStyle w:val="TableGrid"/>
        <w:tblW w:w="0" w:type="auto"/>
        <w:tblInd w:w="689" w:type="dxa"/>
        <w:tblLayout w:type="fixed"/>
        <w:tblLook w:val="0000" w:firstRow="0" w:lastRow="0" w:firstColumn="0" w:lastColumn="0" w:noHBand="0" w:noVBand="0"/>
      </w:tblPr>
      <w:tblGrid>
        <w:gridCol w:w="5130"/>
        <w:gridCol w:w="1689"/>
        <w:gridCol w:w="1559"/>
        <w:gridCol w:w="1985"/>
      </w:tblGrid>
      <w:tr w:rsidR="00AB27D1" w:rsidRPr="00AB27D1" w:rsidTr="00AB27D1">
        <w:trPr>
          <w:trHeight w:val="60"/>
        </w:trPr>
        <w:tc>
          <w:tcPr>
            <w:tcW w:w="5130" w:type="dxa"/>
          </w:tcPr>
          <w:p w:rsidR="00E55F38" w:rsidRPr="00AB27D1" w:rsidRDefault="00E55F38" w:rsidP="00E55F38">
            <w:pPr>
              <w:widowControl/>
              <w:adjustRightInd w:val="0"/>
              <w:rPr>
                <w:rFonts w:eastAsiaTheme="minorHAnsi"/>
                <w:sz w:val="20"/>
                <w:szCs w:val="20"/>
                <w:lang w:eastAsia="en-US" w:bidi="ar-SA"/>
              </w:rPr>
            </w:pP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AB27D1">
              <w:rPr>
                <w:rFonts w:eastAsiaTheme="minorHAnsi"/>
                <w:b/>
                <w:bCs/>
                <w:sz w:val="20"/>
                <w:szCs w:val="20"/>
                <w:lang w:eastAsia="en-US" w:bidi="ar-SA"/>
              </w:rPr>
              <w:t>2019</w:t>
            </w:r>
          </w:p>
        </w:tc>
        <w:tc>
          <w:tcPr>
            <w:tcW w:w="1985" w:type="dxa"/>
          </w:tcPr>
          <w:p w:rsidR="00E55F38" w:rsidRPr="00AB27D1" w:rsidRDefault="00E55F38" w:rsidP="00E55F3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AB27D1">
              <w:rPr>
                <w:rFonts w:eastAsiaTheme="minorHAnsi"/>
                <w:b/>
                <w:bCs/>
                <w:sz w:val="20"/>
                <w:szCs w:val="20"/>
                <w:lang w:eastAsia="en-US" w:bidi="ar-SA"/>
              </w:rPr>
              <w:t>2018</w:t>
            </w:r>
          </w:p>
        </w:tc>
      </w:tr>
      <w:tr w:rsidR="00AB27D1" w:rsidRPr="00AB27D1" w:rsidTr="00AB27D1">
        <w:trPr>
          <w:trHeight w:val="60"/>
        </w:trPr>
        <w:tc>
          <w:tcPr>
            <w:tcW w:w="5130" w:type="dxa"/>
          </w:tcPr>
          <w:p w:rsidR="00E55F38" w:rsidRPr="00AB27D1" w:rsidRDefault="00E55F38" w:rsidP="00E55F38">
            <w:pPr>
              <w:widowControl/>
              <w:adjustRightInd w:val="0"/>
              <w:rPr>
                <w:rFonts w:eastAsiaTheme="minorHAnsi"/>
                <w:sz w:val="20"/>
                <w:szCs w:val="20"/>
                <w:lang w:eastAsia="en-US" w:bidi="ar-SA"/>
              </w:rPr>
            </w:pPr>
          </w:p>
        </w:tc>
        <w:tc>
          <w:tcPr>
            <w:tcW w:w="1689" w:type="dxa"/>
          </w:tcPr>
          <w:p w:rsidR="00E55F38" w:rsidRPr="00AB27D1" w:rsidRDefault="00E55F38" w:rsidP="00E55F3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AB27D1">
              <w:rPr>
                <w:rFonts w:eastAsiaTheme="minorHAnsi"/>
                <w:b/>
                <w:bCs/>
                <w:sz w:val="20"/>
                <w:szCs w:val="20"/>
                <w:lang w:eastAsia="en-US" w:bidi="ar-SA"/>
              </w:rPr>
              <w:t>Notes</w:t>
            </w:r>
          </w:p>
        </w:tc>
        <w:tc>
          <w:tcPr>
            <w:tcW w:w="1559" w:type="dxa"/>
          </w:tcPr>
          <w:p w:rsidR="00E55F38" w:rsidRPr="00AB27D1" w:rsidRDefault="00E55F38" w:rsidP="00E55F3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AB27D1">
              <w:rPr>
                <w:rFonts w:eastAsiaTheme="minorHAnsi"/>
                <w:b/>
                <w:bCs/>
                <w:sz w:val="20"/>
                <w:szCs w:val="20"/>
                <w:lang w:eastAsia="en-US" w:bidi="ar-SA"/>
              </w:rPr>
              <w:t>$</w:t>
            </w:r>
          </w:p>
        </w:tc>
        <w:tc>
          <w:tcPr>
            <w:tcW w:w="1985" w:type="dxa"/>
          </w:tcPr>
          <w:p w:rsidR="00E55F38" w:rsidRPr="00AB27D1" w:rsidRDefault="00E55F38" w:rsidP="00E55F3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AB27D1">
              <w:rPr>
                <w:rFonts w:eastAsiaTheme="minorHAnsi"/>
                <w:b/>
                <w:bCs/>
                <w:sz w:val="20"/>
                <w:szCs w:val="20"/>
                <w:lang w:eastAsia="en-US" w:bidi="ar-SA"/>
              </w:rPr>
              <w:t>$</w:t>
            </w:r>
          </w:p>
        </w:tc>
      </w:tr>
      <w:tr w:rsidR="00AB27D1" w:rsidRPr="00AB27D1" w:rsidTr="00AB27D1">
        <w:trPr>
          <w:trHeight w:val="60"/>
        </w:trPr>
        <w:tc>
          <w:tcPr>
            <w:tcW w:w="10363" w:type="dxa"/>
            <w:gridSpan w:val="4"/>
          </w:tcPr>
          <w:p w:rsidR="00E55F38" w:rsidRPr="00AB27D1" w:rsidRDefault="00E55F38" w:rsidP="00E55F3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B27D1">
              <w:rPr>
                <w:rFonts w:eastAsiaTheme="minorHAnsi"/>
                <w:b/>
                <w:bCs/>
                <w:sz w:val="20"/>
                <w:szCs w:val="20"/>
                <w:lang w:eastAsia="en-US" w:bidi="ar-SA"/>
              </w:rPr>
              <w:t>Assets</w:t>
            </w:r>
          </w:p>
        </w:tc>
      </w:tr>
      <w:tr w:rsidR="00AB27D1" w:rsidRPr="00AB27D1" w:rsidTr="00AB27D1">
        <w:trPr>
          <w:trHeight w:val="60"/>
        </w:trPr>
        <w:tc>
          <w:tcPr>
            <w:tcW w:w="10363" w:type="dxa"/>
            <w:gridSpan w:val="4"/>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Financial assets</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Cash and deposits</w:t>
            </w: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600</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600</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Receivables</w:t>
            </w:r>
          </w:p>
        </w:tc>
        <w:tc>
          <w:tcPr>
            <w:tcW w:w="168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5.1</w:t>
            </w: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11,005,279</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12,428,286</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Total financial assets</w:t>
            </w: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11,005,879</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12,428,886</w:t>
            </w:r>
          </w:p>
        </w:tc>
      </w:tr>
      <w:tr w:rsidR="00AB27D1" w:rsidRPr="00AB27D1" w:rsidTr="00AB27D1">
        <w:trPr>
          <w:trHeight w:val="60"/>
        </w:trPr>
        <w:tc>
          <w:tcPr>
            <w:tcW w:w="5130" w:type="dxa"/>
          </w:tcPr>
          <w:p w:rsidR="00E55F38" w:rsidRPr="00AB27D1" w:rsidRDefault="00E55F38" w:rsidP="00E55F38">
            <w:pPr>
              <w:widowControl/>
              <w:adjustRightInd w:val="0"/>
              <w:rPr>
                <w:rFonts w:eastAsiaTheme="minorHAnsi"/>
                <w:sz w:val="20"/>
                <w:szCs w:val="20"/>
                <w:lang w:eastAsia="en-US" w:bidi="ar-SA"/>
              </w:rPr>
            </w:pP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adjustRightInd w:val="0"/>
              <w:rPr>
                <w:rFonts w:eastAsiaTheme="minorHAnsi"/>
                <w:sz w:val="20"/>
                <w:szCs w:val="20"/>
                <w:lang w:eastAsia="en-US" w:bidi="ar-SA"/>
              </w:rPr>
            </w:pPr>
          </w:p>
        </w:tc>
        <w:tc>
          <w:tcPr>
            <w:tcW w:w="1985" w:type="dxa"/>
          </w:tcPr>
          <w:p w:rsidR="00E55F38" w:rsidRPr="00AB27D1" w:rsidRDefault="00E55F38" w:rsidP="00E55F38">
            <w:pPr>
              <w:widowControl/>
              <w:adjustRightInd w:val="0"/>
              <w:rPr>
                <w:rFonts w:eastAsiaTheme="minorHAnsi"/>
                <w:sz w:val="20"/>
                <w:szCs w:val="20"/>
                <w:lang w:eastAsia="en-US" w:bidi="ar-SA"/>
              </w:rPr>
            </w:pP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Non-financial assets</w:t>
            </w: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adjustRightInd w:val="0"/>
              <w:rPr>
                <w:rFonts w:eastAsiaTheme="minorHAnsi"/>
                <w:sz w:val="20"/>
                <w:szCs w:val="20"/>
                <w:lang w:eastAsia="en-US" w:bidi="ar-SA"/>
              </w:rPr>
            </w:pPr>
          </w:p>
        </w:tc>
        <w:tc>
          <w:tcPr>
            <w:tcW w:w="1985" w:type="dxa"/>
          </w:tcPr>
          <w:p w:rsidR="00E55F38" w:rsidRPr="00AB27D1" w:rsidRDefault="00E55F38" w:rsidP="00E55F38">
            <w:pPr>
              <w:widowControl/>
              <w:adjustRightInd w:val="0"/>
              <w:rPr>
                <w:rFonts w:eastAsiaTheme="minorHAnsi"/>
                <w:sz w:val="20"/>
                <w:szCs w:val="20"/>
                <w:lang w:eastAsia="en-US" w:bidi="ar-SA"/>
              </w:rPr>
            </w:pP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Prepayments</w:t>
            </w:r>
          </w:p>
        </w:tc>
        <w:tc>
          <w:tcPr>
            <w:tcW w:w="168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4.1</w:t>
            </w: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260,881</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66,134</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Property, plant and equipment</w:t>
            </w:r>
          </w:p>
        </w:tc>
        <w:tc>
          <w:tcPr>
            <w:tcW w:w="168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4.2</w:t>
            </w: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1,628,562</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1,245,176</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Intangible assets</w:t>
            </w:r>
          </w:p>
        </w:tc>
        <w:tc>
          <w:tcPr>
            <w:tcW w:w="168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5.4</w:t>
            </w: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128,477</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59,174</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Total non-financial assets</w:t>
            </w: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2,017,920</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1,370,484</w:t>
            </w:r>
          </w:p>
        </w:tc>
      </w:tr>
      <w:tr w:rsidR="00AB27D1" w:rsidRPr="00AB27D1" w:rsidTr="00AB27D1">
        <w:trPr>
          <w:trHeight w:val="60"/>
        </w:trPr>
        <w:tc>
          <w:tcPr>
            <w:tcW w:w="5130" w:type="dxa"/>
          </w:tcPr>
          <w:p w:rsidR="00E55F38" w:rsidRPr="00AB27D1" w:rsidRDefault="00E55F38" w:rsidP="00E55F38">
            <w:pPr>
              <w:widowControl/>
              <w:adjustRightInd w:val="0"/>
              <w:rPr>
                <w:rFonts w:eastAsiaTheme="minorHAnsi"/>
                <w:sz w:val="20"/>
                <w:szCs w:val="20"/>
                <w:lang w:eastAsia="en-US" w:bidi="ar-SA"/>
              </w:rPr>
            </w:pP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adjustRightInd w:val="0"/>
              <w:rPr>
                <w:rFonts w:eastAsiaTheme="minorHAnsi"/>
                <w:sz w:val="20"/>
                <w:szCs w:val="20"/>
                <w:lang w:eastAsia="en-US" w:bidi="ar-SA"/>
              </w:rPr>
            </w:pPr>
          </w:p>
        </w:tc>
        <w:tc>
          <w:tcPr>
            <w:tcW w:w="1985" w:type="dxa"/>
          </w:tcPr>
          <w:p w:rsidR="00E55F38" w:rsidRPr="00AB27D1" w:rsidRDefault="00E55F38" w:rsidP="00E55F38">
            <w:pPr>
              <w:widowControl/>
              <w:adjustRightInd w:val="0"/>
              <w:rPr>
                <w:rFonts w:eastAsiaTheme="minorHAnsi"/>
                <w:sz w:val="20"/>
                <w:szCs w:val="20"/>
                <w:lang w:eastAsia="en-US" w:bidi="ar-SA"/>
              </w:rPr>
            </w:pPr>
          </w:p>
        </w:tc>
      </w:tr>
      <w:tr w:rsidR="00AB27D1" w:rsidRPr="00AB27D1" w:rsidTr="00AB27D1">
        <w:trPr>
          <w:trHeight w:val="60"/>
        </w:trPr>
        <w:tc>
          <w:tcPr>
            <w:tcW w:w="5130" w:type="dxa"/>
          </w:tcPr>
          <w:p w:rsidR="00E55F38" w:rsidRPr="00AB27D1" w:rsidRDefault="00E55F38" w:rsidP="00E55F3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B27D1">
              <w:rPr>
                <w:rFonts w:eastAsiaTheme="minorHAnsi"/>
                <w:b/>
                <w:bCs/>
                <w:sz w:val="20"/>
                <w:szCs w:val="20"/>
                <w:lang w:eastAsia="en-US" w:bidi="ar-SA"/>
              </w:rPr>
              <w:t>Total assets</w:t>
            </w: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13,023,799</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13,799,370</w:t>
            </w:r>
          </w:p>
        </w:tc>
      </w:tr>
      <w:tr w:rsidR="00AB27D1" w:rsidRPr="00AB27D1" w:rsidTr="00AB27D1">
        <w:trPr>
          <w:trHeight w:val="60"/>
        </w:trPr>
        <w:tc>
          <w:tcPr>
            <w:tcW w:w="5130" w:type="dxa"/>
          </w:tcPr>
          <w:p w:rsidR="00E55F38" w:rsidRPr="00AB27D1" w:rsidRDefault="00E55F38" w:rsidP="00E55F38">
            <w:pPr>
              <w:widowControl/>
              <w:adjustRightInd w:val="0"/>
              <w:rPr>
                <w:rFonts w:eastAsiaTheme="minorHAnsi"/>
                <w:sz w:val="20"/>
                <w:szCs w:val="20"/>
                <w:lang w:eastAsia="en-US" w:bidi="ar-SA"/>
              </w:rPr>
            </w:pP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adjustRightInd w:val="0"/>
              <w:rPr>
                <w:rFonts w:eastAsiaTheme="minorHAnsi"/>
                <w:sz w:val="20"/>
                <w:szCs w:val="20"/>
                <w:lang w:eastAsia="en-US" w:bidi="ar-SA"/>
              </w:rPr>
            </w:pPr>
          </w:p>
        </w:tc>
        <w:tc>
          <w:tcPr>
            <w:tcW w:w="1985" w:type="dxa"/>
          </w:tcPr>
          <w:p w:rsidR="00E55F38" w:rsidRPr="00AB27D1" w:rsidRDefault="00E55F38" w:rsidP="00E55F38">
            <w:pPr>
              <w:widowControl/>
              <w:adjustRightInd w:val="0"/>
              <w:rPr>
                <w:rFonts w:eastAsiaTheme="minorHAnsi"/>
                <w:sz w:val="20"/>
                <w:szCs w:val="20"/>
                <w:lang w:eastAsia="en-US" w:bidi="ar-SA"/>
              </w:rPr>
            </w:pPr>
          </w:p>
        </w:tc>
      </w:tr>
      <w:tr w:rsidR="00AB27D1" w:rsidRPr="00AB27D1" w:rsidTr="00AB27D1">
        <w:trPr>
          <w:trHeight w:val="60"/>
        </w:trPr>
        <w:tc>
          <w:tcPr>
            <w:tcW w:w="10363" w:type="dxa"/>
            <w:gridSpan w:val="4"/>
          </w:tcPr>
          <w:p w:rsidR="00E55F38" w:rsidRPr="00AB27D1" w:rsidRDefault="00E55F38" w:rsidP="00E55F3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B27D1">
              <w:rPr>
                <w:rFonts w:eastAsiaTheme="minorHAnsi"/>
                <w:b/>
                <w:bCs/>
                <w:sz w:val="20"/>
                <w:szCs w:val="20"/>
                <w:lang w:eastAsia="en-US" w:bidi="ar-SA"/>
              </w:rPr>
              <w:t>Liabilities</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Employee benefits</w:t>
            </w:r>
          </w:p>
        </w:tc>
        <w:tc>
          <w:tcPr>
            <w:tcW w:w="168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3.2.2</w:t>
            </w: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2,516,050</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1,973,606</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Payables</w:t>
            </w:r>
          </w:p>
        </w:tc>
        <w:tc>
          <w:tcPr>
            <w:tcW w:w="168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5.2</w:t>
            </w: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1,618,790</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1,347,406</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 xml:space="preserve">Borrowings </w:t>
            </w:r>
          </w:p>
        </w:tc>
        <w:tc>
          <w:tcPr>
            <w:tcW w:w="168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6.1</w:t>
            </w: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60,558</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55,386</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Unearned income</w:t>
            </w:r>
          </w:p>
        </w:tc>
        <w:tc>
          <w:tcPr>
            <w:tcW w:w="168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5.3</w:t>
            </w: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601,212</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895,068</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Other provisions</w:t>
            </w:r>
          </w:p>
        </w:tc>
        <w:tc>
          <w:tcPr>
            <w:tcW w:w="168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5.5</w:t>
            </w: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89,003</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Total liabilities</w:t>
            </w: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4,885,613</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4,271,466</w:t>
            </w:r>
          </w:p>
        </w:tc>
      </w:tr>
      <w:tr w:rsidR="00AB27D1" w:rsidRPr="00AB27D1" w:rsidTr="00AB27D1">
        <w:trPr>
          <w:trHeight w:val="60"/>
        </w:trPr>
        <w:tc>
          <w:tcPr>
            <w:tcW w:w="5130" w:type="dxa"/>
          </w:tcPr>
          <w:p w:rsidR="00E55F38" w:rsidRPr="00AB27D1" w:rsidRDefault="00E55F38" w:rsidP="00E55F38">
            <w:pPr>
              <w:widowControl/>
              <w:adjustRightInd w:val="0"/>
              <w:rPr>
                <w:rFonts w:eastAsiaTheme="minorHAnsi"/>
                <w:sz w:val="20"/>
                <w:szCs w:val="20"/>
                <w:lang w:eastAsia="en-US" w:bidi="ar-SA"/>
              </w:rPr>
            </w:pP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adjustRightInd w:val="0"/>
              <w:rPr>
                <w:rFonts w:eastAsiaTheme="minorHAnsi"/>
                <w:sz w:val="20"/>
                <w:szCs w:val="20"/>
                <w:lang w:eastAsia="en-US" w:bidi="ar-SA"/>
              </w:rPr>
            </w:pPr>
          </w:p>
        </w:tc>
        <w:tc>
          <w:tcPr>
            <w:tcW w:w="1985" w:type="dxa"/>
          </w:tcPr>
          <w:p w:rsidR="00E55F38" w:rsidRPr="00AB27D1" w:rsidRDefault="00E55F38" w:rsidP="00E55F38">
            <w:pPr>
              <w:widowControl/>
              <w:adjustRightInd w:val="0"/>
              <w:rPr>
                <w:rFonts w:eastAsiaTheme="minorHAnsi"/>
                <w:sz w:val="20"/>
                <w:szCs w:val="20"/>
                <w:lang w:eastAsia="en-US" w:bidi="ar-SA"/>
              </w:rPr>
            </w:pPr>
          </w:p>
        </w:tc>
      </w:tr>
      <w:tr w:rsidR="00AB27D1" w:rsidRPr="00AB27D1" w:rsidTr="00AB27D1">
        <w:trPr>
          <w:trHeight w:val="60"/>
        </w:trPr>
        <w:tc>
          <w:tcPr>
            <w:tcW w:w="5130" w:type="dxa"/>
          </w:tcPr>
          <w:p w:rsidR="00E55F38" w:rsidRPr="00AB27D1" w:rsidRDefault="00E55F38" w:rsidP="00E55F3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B27D1">
              <w:rPr>
                <w:rFonts w:eastAsiaTheme="minorHAnsi"/>
                <w:b/>
                <w:bCs/>
                <w:sz w:val="20"/>
                <w:szCs w:val="20"/>
                <w:lang w:eastAsia="en-US" w:bidi="ar-SA"/>
              </w:rPr>
              <w:t>Net assets</w:t>
            </w: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8,138,186</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9,527,904</w:t>
            </w:r>
          </w:p>
        </w:tc>
      </w:tr>
      <w:tr w:rsidR="00AB27D1" w:rsidRPr="00AB27D1" w:rsidTr="00AB27D1">
        <w:trPr>
          <w:trHeight w:val="60"/>
        </w:trPr>
        <w:tc>
          <w:tcPr>
            <w:tcW w:w="5130" w:type="dxa"/>
          </w:tcPr>
          <w:p w:rsidR="00E55F38" w:rsidRPr="00AB27D1" w:rsidRDefault="00E55F38" w:rsidP="00E55F38">
            <w:pPr>
              <w:widowControl/>
              <w:adjustRightInd w:val="0"/>
              <w:rPr>
                <w:rFonts w:eastAsiaTheme="minorHAnsi"/>
                <w:sz w:val="20"/>
                <w:szCs w:val="20"/>
                <w:lang w:eastAsia="en-US" w:bidi="ar-SA"/>
              </w:rPr>
            </w:pP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adjustRightInd w:val="0"/>
              <w:rPr>
                <w:rFonts w:eastAsiaTheme="minorHAnsi"/>
                <w:sz w:val="20"/>
                <w:szCs w:val="20"/>
                <w:lang w:eastAsia="en-US" w:bidi="ar-SA"/>
              </w:rPr>
            </w:pPr>
          </w:p>
        </w:tc>
        <w:tc>
          <w:tcPr>
            <w:tcW w:w="1985" w:type="dxa"/>
          </w:tcPr>
          <w:p w:rsidR="00E55F38" w:rsidRPr="00AB27D1" w:rsidRDefault="00E55F38" w:rsidP="00E55F38">
            <w:pPr>
              <w:widowControl/>
              <w:adjustRightInd w:val="0"/>
              <w:rPr>
                <w:rFonts w:eastAsiaTheme="minorHAnsi"/>
                <w:sz w:val="20"/>
                <w:szCs w:val="20"/>
                <w:lang w:eastAsia="en-US" w:bidi="ar-SA"/>
              </w:rPr>
            </w:pPr>
          </w:p>
        </w:tc>
      </w:tr>
      <w:tr w:rsidR="00AB27D1" w:rsidRPr="00AB27D1" w:rsidTr="00AB27D1">
        <w:trPr>
          <w:trHeight w:val="60"/>
        </w:trPr>
        <w:tc>
          <w:tcPr>
            <w:tcW w:w="10363" w:type="dxa"/>
            <w:gridSpan w:val="4"/>
          </w:tcPr>
          <w:p w:rsidR="00E55F38" w:rsidRPr="00AB27D1" w:rsidRDefault="00E55F38" w:rsidP="00E55F3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B27D1">
              <w:rPr>
                <w:rFonts w:eastAsiaTheme="minorHAnsi"/>
                <w:b/>
                <w:bCs/>
                <w:sz w:val="20"/>
                <w:szCs w:val="20"/>
                <w:lang w:eastAsia="en-US" w:bidi="ar-SA"/>
              </w:rPr>
              <w:t>Equity</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Accumulated surplus</w:t>
            </w: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3,876,880</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5,609,598</w:t>
            </w:r>
          </w:p>
        </w:tc>
      </w:tr>
      <w:tr w:rsidR="00AB27D1" w:rsidRPr="00AB27D1" w:rsidTr="00AB27D1">
        <w:trPr>
          <w:trHeight w:val="60"/>
        </w:trPr>
        <w:tc>
          <w:tcPr>
            <w:tcW w:w="5130" w:type="dxa"/>
          </w:tcPr>
          <w:p w:rsidR="00E55F38" w:rsidRPr="00AB27D1"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AB27D1">
              <w:rPr>
                <w:rFonts w:eastAsiaTheme="minorHAnsi"/>
                <w:sz w:val="20"/>
                <w:szCs w:val="20"/>
                <w:lang w:eastAsia="en-US" w:bidi="ar-SA"/>
              </w:rPr>
              <w:t>Contributed capital</w:t>
            </w: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4,261,306</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3,918,306</w:t>
            </w:r>
          </w:p>
        </w:tc>
      </w:tr>
      <w:tr w:rsidR="00AB27D1" w:rsidRPr="00AB27D1" w:rsidTr="00AB27D1">
        <w:trPr>
          <w:trHeight w:val="60"/>
        </w:trPr>
        <w:tc>
          <w:tcPr>
            <w:tcW w:w="5130" w:type="dxa"/>
          </w:tcPr>
          <w:p w:rsidR="00E55F38" w:rsidRPr="00AB27D1" w:rsidRDefault="00E55F38" w:rsidP="00E55F38">
            <w:pPr>
              <w:widowControl/>
              <w:adjustRightInd w:val="0"/>
              <w:rPr>
                <w:rFonts w:eastAsiaTheme="minorHAnsi"/>
                <w:sz w:val="20"/>
                <w:szCs w:val="20"/>
                <w:lang w:eastAsia="en-US" w:bidi="ar-SA"/>
              </w:rPr>
            </w:pP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adjustRightInd w:val="0"/>
              <w:rPr>
                <w:rFonts w:eastAsiaTheme="minorHAnsi"/>
                <w:sz w:val="20"/>
                <w:szCs w:val="20"/>
                <w:lang w:eastAsia="en-US" w:bidi="ar-SA"/>
              </w:rPr>
            </w:pPr>
          </w:p>
        </w:tc>
        <w:tc>
          <w:tcPr>
            <w:tcW w:w="1985" w:type="dxa"/>
          </w:tcPr>
          <w:p w:rsidR="00E55F38" w:rsidRPr="00AB27D1" w:rsidRDefault="00E55F38" w:rsidP="00E55F38">
            <w:pPr>
              <w:widowControl/>
              <w:adjustRightInd w:val="0"/>
              <w:rPr>
                <w:rFonts w:eastAsiaTheme="minorHAnsi"/>
                <w:sz w:val="20"/>
                <w:szCs w:val="20"/>
                <w:lang w:eastAsia="en-US" w:bidi="ar-SA"/>
              </w:rPr>
            </w:pPr>
          </w:p>
        </w:tc>
      </w:tr>
      <w:tr w:rsidR="00AB27D1" w:rsidRPr="00AB27D1" w:rsidTr="00AB27D1">
        <w:trPr>
          <w:trHeight w:val="60"/>
        </w:trPr>
        <w:tc>
          <w:tcPr>
            <w:tcW w:w="5130" w:type="dxa"/>
          </w:tcPr>
          <w:p w:rsidR="00E55F38" w:rsidRPr="00AB27D1" w:rsidRDefault="00E55F38" w:rsidP="00E55F3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B27D1">
              <w:rPr>
                <w:rFonts w:eastAsiaTheme="minorHAnsi"/>
                <w:b/>
                <w:bCs/>
                <w:sz w:val="20"/>
                <w:szCs w:val="20"/>
                <w:lang w:eastAsia="en-US" w:bidi="ar-SA"/>
              </w:rPr>
              <w:t>Net worth</w:t>
            </w:r>
          </w:p>
        </w:tc>
        <w:tc>
          <w:tcPr>
            <w:tcW w:w="1689" w:type="dxa"/>
          </w:tcPr>
          <w:p w:rsidR="00E55F38" w:rsidRPr="00AB27D1" w:rsidRDefault="00E55F38" w:rsidP="00E55F38">
            <w:pPr>
              <w:widowControl/>
              <w:adjustRightInd w:val="0"/>
              <w:rPr>
                <w:rFonts w:eastAsiaTheme="minorHAnsi"/>
                <w:sz w:val="20"/>
                <w:szCs w:val="20"/>
                <w:lang w:eastAsia="en-US" w:bidi="ar-SA"/>
              </w:rPr>
            </w:pPr>
          </w:p>
        </w:tc>
        <w:tc>
          <w:tcPr>
            <w:tcW w:w="1559"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8,138,186</w:t>
            </w:r>
          </w:p>
        </w:tc>
        <w:tc>
          <w:tcPr>
            <w:tcW w:w="1985" w:type="dxa"/>
          </w:tcPr>
          <w:p w:rsidR="00E55F38" w:rsidRPr="00AB27D1"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AB27D1">
              <w:rPr>
                <w:rFonts w:eastAsiaTheme="minorHAnsi"/>
                <w:sz w:val="20"/>
                <w:szCs w:val="20"/>
                <w:lang w:eastAsia="en-US" w:bidi="ar-SA"/>
              </w:rPr>
              <w:t>9,527,904</w:t>
            </w:r>
          </w:p>
        </w:tc>
      </w:tr>
    </w:tbl>
    <w:p w:rsidR="00E55F38" w:rsidRPr="00AB27D1" w:rsidRDefault="00E55F38" w:rsidP="00AB27D1">
      <w:pPr>
        <w:rPr>
          <w:lang w:eastAsia="en-US" w:bidi="ar-SA"/>
        </w:rPr>
      </w:pPr>
    </w:p>
    <w:p w:rsidR="00E55F38" w:rsidRDefault="00E55F38" w:rsidP="00AB27D1">
      <w:pPr>
        <w:widowControl/>
        <w:suppressAutoHyphens/>
        <w:adjustRightInd w:val="0"/>
        <w:spacing w:after="113" w:line="200" w:lineRule="atLeast"/>
        <w:ind w:left="709"/>
        <w:textAlignment w:val="center"/>
        <w:rPr>
          <w:rFonts w:eastAsiaTheme="minorHAnsi"/>
          <w:i/>
          <w:iCs/>
          <w:color w:val="000000"/>
          <w:sz w:val="20"/>
          <w:szCs w:val="20"/>
          <w:lang w:eastAsia="en-US" w:bidi="ar-SA"/>
        </w:rPr>
      </w:pPr>
      <w:r w:rsidRPr="00AB27D1">
        <w:rPr>
          <w:rFonts w:eastAsiaTheme="minorHAnsi"/>
          <w:i/>
          <w:iCs/>
          <w:color w:val="000000"/>
          <w:sz w:val="20"/>
          <w:szCs w:val="20"/>
          <w:lang w:eastAsia="en-US" w:bidi="ar-SA"/>
        </w:rPr>
        <w:t>The accompanying notes form part of these financial statements.</w:t>
      </w:r>
    </w:p>
    <w:p w:rsidR="004323A6" w:rsidRDefault="004323A6" w:rsidP="00AB27D1">
      <w:pPr>
        <w:widowControl/>
        <w:suppressAutoHyphens/>
        <w:adjustRightInd w:val="0"/>
        <w:spacing w:after="113" w:line="200" w:lineRule="atLeast"/>
        <w:ind w:left="709"/>
        <w:textAlignment w:val="center"/>
        <w:rPr>
          <w:rFonts w:eastAsiaTheme="minorHAnsi"/>
          <w:i/>
          <w:iCs/>
          <w:color w:val="000000"/>
          <w:sz w:val="20"/>
          <w:szCs w:val="20"/>
          <w:lang w:eastAsia="en-US" w:bidi="ar-SA"/>
        </w:rPr>
      </w:pPr>
    </w:p>
    <w:p w:rsidR="004323A6" w:rsidRDefault="004323A6" w:rsidP="00AB27D1">
      <w:pPr>
        <w:widowControl/>
        <w:suppressAutoHyphens/>
        <w:adjustRightInd w:val="0"/>
        <w:spacing w:after="113" w:line="200" w:lineRule="atLeast"/>
        <w:ind w:left="709"/>
        <w:textAlignment w:val="center"/>
        <w:rPr>
          <w:rFonts w:eastAsiaTheme="minorHAnsi"/>
          <w:i/>
          <w:iCs/>
          <w:color w:val="000000"/>
          <w:sz w:val="20"/>
          <w:szCs w:val="20"/>
          <w:lang w:eastAsia="en-US" w:bidi="ar-SA"/>
        </w:rPr>
      </w:pPr>
    </w:p>
    <w:p w:rsidR="004323A6" w:rsidRDefault="004323A6" w:rsidP="00AB27D1">
      <w:pPr>
        <w:widowControl/>
        <w:suppressAutoHyphens/>
        <w:adjustRightInd w:val="0"/>
        <w:spacing w:after="113" w:line="200" w:lineRule="atLeast"/>
        <w:ind w:left="709"/>
        <w:textAlignment w:val="center"/>
        <w:rPr>
          <w:rFonts w:eastAsiaTheme="minorHAnsi"/>
          <w:i/>
          <w:iCs/>
          <w:color w:val="000000"/>
          <w:sz w:val="20"/>
          <w:szCs w:val="20"/>
          <w:lang w:eastAsia="en-US" w:bidi="ar-SA"/>
        </w:rPr>
      </w:pPr>
    </w:p>
    <w:p w:rsidR="004323A6" w:rsidRDefault="004323A6" w:rsidP="00AB27D1">
      <w:pPr>
        <w:widowControl/>
        <w:suppressAutoHyphens/>
        <w:adjustRightInd w:val="0"/>
        <w:spacing w:after="113" w:line="200" w:lineRule="atLeast"/>
        <w:ind w:left="709"/>
        <w:textAlignment w:val="center"/>
        <w:rPr>
          <w:rFonts w:eastAsiaTheme="minorHAnsi"/>
          <w:i/>
          <w:iCs/>
          <w:color w:val="000000"/>
          <w:sz w:val="20"/>
          <w:szCs w:val="20"/>
          <w:lang w:eastAsia="en-US" w:bidi="ar-SA"/>
        </w:rPr>
      </w:pPr>
    </w:p>
    <w:p w:rsidR="004323A6" w:rsidRDefault="004323A6" w:rsidP="00AB27D1">
      <w:pPr>
        <w:widowControl/>
        <w:suppressAutoHyphens/>
        <w:adjustRightInd w:val="0"/>
        <w:spacing w:after="113" w:line="200" w:lineRule="atLeast"/>
        <w:ind w:left="709"/>
        <w:textAlignment w:val="center"/>
        <w:rPr>
          <w:rFonts w:eastAsiaTheme="minorHAnsi"/>
          <w:i/>
          <w:iCs/>
          <w:color w:val="000000"/>
          <w:sz w:val="20"/>
          <w:szCs w:val="20"/>
          <w:lang w:eastAsia="en-US" w:bidi="ar-SA"/>
        </w:rPr>
      </w:pPr>
    </w:p>
    <w:p w:rsidR="004323A6" w:rsidRDefault="004323A6" w:rsidP="00AB27D1">
      <w:pPr>
        <w:widowControl/>
        <w:suppressAutoHyphens/>
        <w:adjustRightInd w:val="0"/>
        <w:spacing w:after="113" w:line="200" w:lineRule="atLeast"/>
        <w:ind w:left="709"/>
        <w:textAlignment w:val="center"/>
        <w:rPr>
          <w:rFonts w:eastAsiaTheme="minorHAnsi"/>
          <w:i/>
          <w:iCs/>
          <w:color w:val="000000"/>
          <w:sz w:val="20"/>
          <w:szCs w:val="20"/>
          <w:lang w:eastAsia="en-US" w:bidi="ar-SA"/>
        </w:rPr>
      </w:pPr>
    </w:p>
    <w:p w:rsidR="004323A6" w:rsidRDefault="004323A6" w:rsidP="00AB27D1">
      <w:pPr>
        <w:widowControl/>
        <w:suppressAutoHyphens/>
        <w:adjustRightInd w:val="0"/>
        <w:spacing w:after="113" w:line="200" w:lineRule="atLeast"/>
        <w:ind w:left="709"/>
        <w:textAlignment w:val="center"/>
        <w:rPr>
          <w:rFonts w:eastAsiaTheme="minorHAnsi"/>
          <w:i/>
          <w:iCs/>
          <w:color w:val="000000"/>
          <w:sz w:val="20"/>
          <w:szCs w:val="20"/>
          <w:lang w:eastAsia="en-US" w:bidi="ar-SA"/>
        </w:rPr>
      </w:pPr>
    </w:p>
    <w:p w:rsidR="00E55F38" w:rsidRDefault="00E55F38" w:rsidP="004323A6">
      <w:pPr>
        <w:pStyle w:val="Heading2"/>
        <w:ind w:right="1137"/>
        <w:rPr>
          <w:lang w:eastAsia="en-US" w:bidi="ar-SA"/>
        </w:rPr>
      </w:pPr>
      <w:bookmarkStart w:id="37" w:name="_Toc23329737"/>
      <w:r w:rsidRPr="00E55F38">
        <w:rPr>
          <w:lang w:eastAsia="en-US" w:bidi="ar-SA"/>
        </w:rPr>
        <w:lastRenderedPageBreak/>
        <w:t>Cash flow statement for the financial year ended 30 June 2019</w:t>
      </w:r>
      <w:bookmarkEnd w:id="37"/>
    </w:p>
    <w:p w:rsidR="004323A6" w:rsidRPr="00E55F38" w:rsidRDefault="004323A6" w:rsidP="004323A6">
      <w:pPr>
        <w:rPr>
          <w:lang w:eastAsia="en-US" w:bidi="ar-SA"/>
        </w:rPr>
      </w:pPr>
    </w:p>
    <w:tbl>
      <w:tblPr>
        <w:tblStyle w:val="TableGrid"/>
        <w:tblW w:w="0" w:type="auto"/>
        <w:tblInd w:w="688" w:type="dxa"/>
        <w:tblLayout w:type="fixed"/>
        <w:tblLook w:val="0000" w:firstRow="0" w:lastRow="0" w:firstColumn="0" w:lastColumn="0" w:noHBand="0" w:noVBand="0"/>
      </w:tblPr>
      <w:tblGrid>
        <w:gridCol w:w="5544"/>
        <w:gridCol w:w="851"/>
        <w:gridCol w:w="1701"/>
        <w:gridCol w:w="1843"/>
      </w:tblGrid>
      <w:tr w:rsidR="004323A6" w:rsidRPr="004323A6" w:rsidTr="004323A6">
        <w:trPr>
          <w:trHeight w:val="60"/>
        </w:trPr>
        <w:tc>
          <w:tcPr>
            <w:tcW w:w="5544" w:type="dxa"/>
          </w:tcPr>
          <w:p w:rsidR="00E55F38" w:rsidRPr="004323A6" w:rsidRDefault="00E55F38" w:rsidP="00E55F38">
            <w:pPr>
              <w:widowControl/>
              <w:adjustRightInd w:val="0"/>
              <w:rPr>
                <w:rFonts w:eastAsiaTheme="minorHAnsi"/>
                <w:sz w:val="20"/>
                <w:szCs w:val="20"/>
                <w:lang w:eastAsia="en-US" w:bidi="ar-SA"/>
              </w:rPr>
            </w:pP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4323A6">
              <w:rPr>
                <w:rFonts w:eastAsiaTheme="minorHAnsi"/>
                <w:b/>
                <w:bCs/>
                <w:sz w:val="20"/>
                <w:szCs w:val="20"/>
                <w:lang w:eastAsia="en-US" w:bidi="ar-SA"/>
              </w:rPr>
              <w:t>2019</w:t>
            </w:r>
          </w:p>
        </w:tc>
        <w:tc>
          <w:tcPr>
            <w:tcW w:w="1843" w:type="dxa"/>
          </w:tcPr>
          <w:p w:rsidR="00E55F38" w:rsidRPr="004323A6" w:rsidRDefault="00E55F38" w:rsidP="00E55F3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4323A6">
              <w:rPr>
                <w:rFonts w:eastAsiaTheme="minorHAnsi"/>
                <w:b/>
                <w:bCs/>
                <w:sz w:val="20"/>
                <w:szCs w:val="20"/>
                <w:lang w:eastAsia="en-US" w:bidi="ar-SA"/>
              </w:rPr>
              <w:t>2018</w:t>
            </w:r>
          </w:p>
        </w:tc>
      </w:tr>
      <w:tr w:rsidR="004323A6" w:rsidRPr="004323A6" w:rsidTr="004323A6">
        <w:trPr>
          <w:trHeight w:val="60"/>
        </w:trPr>
        <w:tc>
          <w:tcPr>
            <w:tcW w:w="5544" w:type="dxa"/>
          </w:tcPr>
          <w:p w:rsidR="00E55F38" w:rsidRPr="004323A6" w:rsidRDefault="00E55F38" w:rsidP="00E55F38">
            <w:pPr>
              <w:widowControl/>
              <w:adjustRightInd w:val="0"/>
              <w:rPr>
                <w:rFonts w:eastAsiaTheme="minorHAnsi"/>
                <w:sz w:val="20"/>
                <w:szCs w:val="20"/>
                <w:lang w:eastAsia="en-US" w:bidi="ar-SA"/>
              </w:rPr>
            </w:pPr>
          </w:p>
        </w:tc>
        <w:tc>
          <w:tcPr>
            <w:tcW w:w="851" w:type="dxa"/>
          </w:tcPr>
          <w:p w:rsidR="00E55F38" w:rsidRPr="004323A6" w:rsidRDefault="00E55F38" w:rsidP="00E55F3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4323A6">
              <w:rPr>
                <w:rFonts w:eastAsiaTheme="minorHAnsi"/>
                <w:b/>
                <w:bCs/>
                <w:sz w:val="20"/>
                <w:szCs w:val="20"/>
                <w:lang w:eastAsia="en-US" w:bidi="ar-SA"/>
              </w:rPr>
              <w:t>Notes</w:t>
            </w:r>
          </w:p>
        </w:tc>
        <w:tc>
          <w:tcPr>
            <w:tcW w:w="1701" w:type="dxa"/>
          </w:tcPr>
          <w:p w:rsidR="00E55F38" w:rsidRPr="004323A6" w:rsidRDefault="00E55F38" w:rsidP="00E55F3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4323A6">
              <w:rPr>
                <w:rFonts w:eastAsiaTheme="minorHAnsi"/>
                <w:b/>
                <w:bCs/>
                <w:sz w:val="20"/>
                <w:szCs w:val="20"/>
                <w:lang w:eastAsia="en-US" w:bidi="ar-SA"/>
              </w:rPr>
              <w:t>$</w:t>
            </w:r>
          </w:p>
        </w:tc>
        <w:tc>
          <w:tcPr>
            <w:tcW w:w="1843" w:type="dxa"/>
          </w:tcPr>
          <w:p w:rsidR="00E55F38" w:rsidRPr="004323A6" w:rsidRDefault="00E55F38" w:rsidP="00E55F3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4323A6">
              <w:rPr>
                <w:rFonts w:eastAsiaTheme="minorHAnsi"/>
                <w:b/>
                <w:bCs/>
                <w:sz w:val="20"/>
                <w:szCs w:val="20"/>
                <w:lang w:eastAsia="en-US" w:bidi="ar-SA"/>
              </w:rPr>
              <w:t>$</w:t>
            </w:r>
          </w:p>
        </w:tc>
      </w:tr>
      <w:tr w:rsidR="004323A6" w:rsidRPr="004323A6" w:rsidTr="004323A6">
        <w:trPr>
          <w:trHeight w:val="60"/>
        </w:trPr>
        <w:tc>
          <w:tcPr>
            <w:tcW w:w="9939" w:type="dxa"/>
            <w:gridSpan w:val="4"/>
          </w:tcPr>
          <w:p w:rsidR="00E55F38" w:rsidRPr="004323A6" w:rsidRDefault="00E55F38" w:rsidP="00E55F3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4323A6">
              <w:rPr>
                <w:rFonts w:eastAsiaTheme="minorHAnsi"/>
                <w:b/>
                <w:bCs/>
                <w:sz w:val="20"/>
                <w:szCs w:val="20"/>
                <w:lang w:eastAsia="en-US" w:bidi="ar-SA"/>
              </w:rPr>
              <w:t>Cash flows from operating activities</w:t>
            </w: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Receipts</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adjustRightInd w:val="0"/>
              <w:rPr>
                <w:rFonts w:eastAsiaTheme="minorHAnsi"/>
                <w:sz w:val="20"/>
                <w:szCs w:val="20"/>
                <w:lang w:eastAsia="en-US" w:bidi="ar-SA"/>
              </w:rPr>
            </w:pPr>
          </w:p>
        </w:tc>
        <w:tc>
          <w:tcPr>
            <w:tcW w:w="1843" w:type="dxa"/>
          </w:tcPr>
          <w:p w:rsidR="00E55F38" w:rsidRPr="004323A6" w:rsidRDefault="00E55F38" w:rsidP="00E55F38">
            <w:pPr>
              <w:widowControl/>
              <w:adjustRightInd w:val="0"/>
              <w:rPr>
                <w:rFonts w:eastAsiaTheme="minorHAnsi"/>
                <w:sz w:val="20"/>
                <w:szCs w:val="20"/>
                <w:lang w:eastAsia="en-US" w:bidi="ar-SA"/>
              </w:rPr>
            </w:pP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Receipts from government</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19,654,143</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14,648,417</w:t>
            </w: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Total receipts</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19,654,143</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14,648,417</w:t>
            </w:r>
          </w:p>
        </w:tc>
      </w:tr>
      <w:tr w:rsidR="004323A6" w:rsidRPr="004323A6" w:rsidTr="004323A6">
        <w:trPr>
          <w:trHeight w:val="60"/>
        </w:trPr>
        <w:tc>
          <w:tcPr>
            <w:tcW w:w="5544" w:type="dxa"/>
          </w:tcPr>
          <w:p w:rsidR="00E55F38" w:rsidRPr="004323A6" w:rsidRDefault="00E55F38" w:rsidP="00E55F38">
            <w:pPr>
              <w:widowControl/>
              <w:adjustRightInd w:val="0"/>
              <w:rPr>
                <w:rFonts w:eastAsiaTheme="minorHAnsi"/>
                <w:sz w:val="20"/>
                <w:szCs w:val="20"/>
                <w:lang w:eastAsia="en-US" w:bidi="ar-SA"/>
              </w:rPr>
            </w:pP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adjustRightInd w:val="0"/>
              <w:rPr>
                <w:rFonts w:eastAsiaTheme="minorHAnsi"/>
                <w:sz w:val="20"/>
                <w:szCs w:val="20"/>
                <w:lang w:eastAsia="en-US" w:bidi="ar-SA"/>
              </w:rPr>
            </w:pPr>
          </w:p>
        </w:tc>
        <w:tc>
          <w:tcPr>
            <w:tcW w:w="1843" w:type="dxa"/>
          </w:tcPr>
          <w:p w:rsidR="00E55F38" w:rsidRPr="004323A6" w:rsidRDefault="00E55F38" w:rsidP="00E55F38">
            <w:pPr>
              <w:widowControl/>
              <w:adjustRightInd w:val="0"/>
              <w:rPr>
                <w:rFonts w:eastAsiaTheme="minorHAnsi"/>
                <w:sz w:val="20"/>
                <w:szCs w:val="20"/>
                <w:lang w:eastAsia="en-US" w:bidi="ar-SA"/>
              </w:rPr>
            </w:pP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Payments</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adjustRightInd w:val="0"/>
              <w:rPr>
                <w:rFonts w:eastAsiaTheme="minorHAnsi"/>
                <w:sz w:val="20"/>
                <w:szCs w:val="20"/>
                <w:lang w:eastAsia="en-US" w:bidi="ar-SA"/>
              </w:rPr>
            </w:pPr>
          </w:p>
        </w:tc>
        <w:tc>
          <w:tcPr>
            <w:tcW w:w="1843" w:type="dxa"/>
          </w:tcPr>
          <w:p w:rsidR="00E55F38" w:rsidRPr="004323A6" w:rsidRDefault="00E55F38" w:rsidP="00E55F38">
            <w:pPr>
              <w:widowControl/>
              <w:adjustRightInd w:val="0"/>
              <w:rPr>
                <w:rFonts w:eastAsiaTheme="minorHAnsi"/>
                <w:sz w:val="20"/>
                <w:szCs w:val="20"/>
                <w:lang w:eastAsia="en-US" w:bidi="ar-SA"/>
              </w:rPr>
            </w:pP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Payments to suppliers and employees</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(19,216,729)</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(13,808,562)</w:t>
            </w: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Gifts and transfer payments</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(5,000)</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w:t>
            </w: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Capital asset charge paid</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(69,008)</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(69,008)</w:t>
            </w: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Interest paid and other costs of finance paid</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(2,567)</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(6)</w:t>
            </w: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Total payments</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(19,293,304)</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(13,877,576)</w:t>
            </w:r>
          </w:p>
        </w:tc>
      </w:tr>
      <w:tr w:rsidR="004323A6" w:rsidRPr="004323A6" w:rsidTr="004323A6">
        <w:trPr>
          <w:trHeight w:val="60"/>
        </w:trPr>
        <w:tc>
          <w:tcPr>
            <w:tcW w:w="5544" w:type="dxa"/>
          </w:tcPr>
          <w:p w:rsidR="00E55F38" w:rsidRPr="004323A6" w:rsidRDefault="00E55F38" w:rsidP="00E55F38">
            <w:pPr>
              <w:widowControl/>
              <w:adjustRightInd w:val="0"/>
              <w:rPr>
                <w:rFonts w:eastAsiaTheme="minorHAnsi"/>
                <w:sz w:val="20"/>
                <w:szCs w:val="20"/>
                <w:lang w:eastAsia="en-US" w:bidi="ar-SA"/>
              </w:rPr>
            </w:pP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adjustRightInd w:val="0"/>
              <w:rPr>
                <w:rFonts w:eastAsiaTheme="minorHAnsi"/>
                <w:sz w:val="20"/>
                <w:szCs w:val="20"/>
                <w:lang w:eastAsia="en-US" w:bidi="ar-SA"/>
              </w:rPr>
            </w:pPr>
          </w:p>
        </w:tc>
        <w:tc>
          <w:tcPr>
            <w:tcW w:w="1843" w:type="dxa"/>
          </w:tcPr>
          <w:p w:rsidR="00E55F38" w:rsidRPr="004323A6" w:rsidRDefault="00E55F38" w:rsidP="00E55F38">
            <w:pPr>
              <w:widowControl/>
              <w:adjustRightInd w:val="0"/>
              <w:rPr>
                <w:rFonts w:eastAsiaTheme="minorHAnsi"/>
                <w:sz w:val="20"/>
                <w:szCs w:val="20"/>
                <w:lang w:eastAsia="en-US" w:bidi="ar-SA"/>
              </w:rPr>
            </w:pPr>
          </w:p>
        </w:tc>
      </w:tr>
      <w:tr w:rsidR="004323A6" w:rsidRPr="004323A6" w:rsidTr="004323A6">
        <w:trPr>
          <w:trHeight w:val="60"/>
        </w:trPr>
        <w:tc>
          <w:tcPr>
            <w:tcW w:w="5544" w:type="dxa"/>
          </w:tcPr>
          <w:p w:rsidR="00E55F38" w:rsidRPr="004323A6" w:rsidRDefault="00E55F38" w:rsidP="00E55F3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4323A6">
              <w:rPr>
                <w:rFonts w:eastAsiaTheme="minorHAnsi"/>
                <w:b/>
                <w:bCs/>
                <w:sz w:val="20"/>
                <w:szCs w:val="20"/>
                <w:lang w:eastAsia="en-US" w:bidi="ar-SA"/>
              </w:rPr>
              <w:t>Net cash flows from operating activities</w:t>
            </w:r>
          </w:p>
        </w:tc>
        <w:tc>
          <w:tcPr>
            <w:tcW w:w="85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6.2</w:t>
            </w: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360,839</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770,841</w:t>
            </w:r>
          </w:p>
        </w:tc>
      </w:tr>
      <w:tr w:rsidR="004323A6" w:rsidRPr="004323A6" w:rsidTr="004323A6">
        <w:trPr>
          <w:trHeight w:val="60"/>
        </w:trPr>
        <w:tc>
          <w:tcPr>
            <w:tcW w:w="5544" w:type="dxa"/>
          </w:tcPr>
          <w:p w:rsidR="00E55F38" w:rsidRPr="004323A6" w:rsidRDefault="00E55F38" w:rsidP="00E55F38">
            <w:pPr>
              <w:widowControl/>
              <w:adjustRightInd w:val="0"/>
              <w:rPr>
                <w:rFonts w:eastAsiaTheme="minorHAnsi"/>
                <w:sz w:val="20"/>
                <w:szCs w:val="20"/>
                <w:lang w:eastAsia="en-US" w:bidi="ar-SA"/>
              </w:rPr>
            </w:pP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adjustRightInd w:val="0"/>
              <w:rPr>
                <w:rFonts w:eastAsiaTheme="minorHAnsi"/>
                <w:sz w:val="20"/>
                <w:szCs w:val="20"/>
                <w:lang w:eastAsia="en-US" w:bidi="ar-SA"/>
              </w:rPr>
            </w:pPr>
          </w:p>
        </w:tc>
        <w:tc>
          <w:tcPr>
            <w:tcW w:w="1843" w:type="dxa"/>
          </w:tcPr>
          <w:p w:rsidR="00E55F38" w:rsidRPr="004323A6" w:rsidRDefault="00E55F38" w:rsidP="00E55F38">
            <w:pPr>
              <w:widowControl/>
              <w:adjustRightInd w:val="0"/>
              <w:rPr>
                <w:rFonts w:eastAsiaTheme="minorHAnsi"/>
                <w:sz w:val="20"/>
                <w:szCs w:val="20"/>
                <w:lang w:eastAsia="en-US" w:bidi="ar-SA"/>
              </w:rPr>
            </w:pP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Cash flows from/ (used in) investing activities</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adjustRightInd w:val="0"/>
              <w:rPr>
                <w:rFonts w:eastAsiaTheme="minorHAnsi"/>
                <w:sz w:val="20"/>
                <w:szCs w:val="20"/>
                <w:lang w:eastAsia="en-US" w:bidi="ar-SA"/>
              </w:rPr>
            </w:pPr>
          </w:p>
        </w:tc>
        <w:tc>
          <w:tcPr>
            <w:tcW w:w="1843" w:type="dxa"/>
          </w:tcPr>
          <w:p w:rsidR="00E55F38" w:rsidRPr="004323A6" w:rsidRDefault="00E55F38" w:rsidP="00E55F38">
            <w:pPr>
              <w:widowControl/>
              <w:adjustRightInd w:val="0"/>
              <w:rPr>
                <w:rFonts w:eastAsiaTheme="minorHAnsi"/>
                <w:sz w:val="20"/>
                <w:szCs w:val="20"/>
                <w:lang w:eastAsia="en-US" w:bidi="ar-SA"/>
              </w:rPr>
            </w:pP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Payments for property, plant and equipment</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(114,401)</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w:t>
            </w: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Proceeds from the sale of property, plant and equipment</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24,318</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24,818</w:t>
            </w: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Payment for intangible assets</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(570,154)</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(1,189,206)</w:t>
            </w:r>
          </w:p>
        </w:tc>
      </w:tr>
      <w:tr w:rsidR="004323A6" w:rsidRPr="004323A6" w:rsidTr="004323A6">
        <w:trPr>
          <w:trHeight w:val="60"/>
        </w:trPr>
        <w:tc>
          <w:tcPr>
            <w:tcW w:w="5544" w:type="dxa"/>
          </w:tcPr>
          <w:p w:rsidR="00E55F38" w:rsidRPr="004323A6" w:rsidRDefault="00E55F38" w:rsidP="00E55F3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4323A6">
              <w:rPr>
                <w:rFonts w:eastAsiaTheme="minorHAnsi"/>
                <w:b/>
                <w:bCs/>
                <w:sz w:val="20"/>
                <w:szCs w:val="20"/>
                <w:lang w:eastAsia="en-US" w:bidi="ar-SA"/>
              </w:rPr>
              <w:t>Net cash flows from/ (used in) investing activities</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(660,237)</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(1,164,388)</w:t>
            </w:r>
          </w:p>
        </w:tc>
      </w:tr>
      <w:tr w:rsidR="004323A6" w:rsidRPr="004323A6" w:rsidTr="004323A6">
        <w:trPr>
          <w:trHeight w:val="60"/>
        </w:trPr>
        <w:tc>
          <w:tcPr>
            <w:tcW w:w="5544" w:type="dxa"/>
          </w:tcPr>
          <w:p w:rsidR="00E55F38" w:rsidRPr="004323A6" w:rsidRDefault="00E55F38" w:rsidP="00E55F38">
            <w:pPr>
              <w:widowControl/>
              <w:adjustRightInd w:val="0"/>
              <w:rPr>
                <w:rFonts w:eastAsiaTheme="minorHAnsi"/>
                <w:sz w:val="20"/>
                <w:szCs w:val="20"/>
                <w:lang w:eastAsia="en-US" w:bidi="ar-SA"/>
              </w:rPr>
            </w:pP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adjustRightInd w:val="0"/>
              <w:rPr>
                <w:rFonts w:eastAsiaTheme="minorHAnsi"/>
                <w:sz w:val="20"/>
                <w:szCs w:val="20"/>
                <w:lang w:eastAsia="en-US" w:bidi="ar-SA"/>
              </w:rPr>
            </w:pPr>
          </w:p>
        </w:tc>
        <w:tc>
          <w:tcPr>
            <w:tcW w:w="1843" w:type="dxa"/>
          </w:tcPr>
          <w:p w:rsidR="00E55F38" w:rsidRPr="004323A6" w:rsidRDefault="00E55F38" w:rsidP="00E55F38">
            <w:pPr>
              <w:widowControl/>
              <w:adjustRightInd w:val="0"/>
              <w:rPr>
                <w:rFonts w:eastAsiaTheme="minorHAnsi"/>
                <w:sz w:val="20"/>
                <w:szCs w:val="20"/>
                <w:lang w:eastAsia="en-US" w:bidi="ar-SA"/>
              </w:rPr>
            </w:pP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Cash flows from/ (used in) financing activities</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adjustRightInd w:val="0"/>
              <w:rPr>
                <w:rFonts w:eastAsiaTheme="minorHAnsi"/>
                <w:sz w:val="20"/>
                <w:szCs w:val="20"/>
                <w:lang w:eastAsia="en-US" w:bidi="ar-SA"/>
              </w:rPr>
            </w:pPr>
          </w:p>
        </w:tc>
        <w:tc>
          <w:tcPr>
            <w:tcW w:w="1843" w:type="dxa"/>
          </w:tcPr>
          <w:p w:rsidR="00E55F38" w:rsidRPr="004323A6" w:rsidRDefault="00E55F38" w:rsidP="00E55F38">
            <w:pPr>
              <w:widowControl/>
              <w:adjustRightInd w:val="0"/>
              <w:rPr>
                <w:rFonts w:eastAsiaTheme="minorHAnsi"/>
                <w:sz w:val="20"/>
                <w:szCs w:val="20"/>
                <w:lang w:eastAsia="en-US" w:bidi="ar-SA"/>
              </w:rPr>
            </w:pP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Repayment of finance leases</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(43,602)</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(43,133)</w:t>
            </w: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Capital contribution from government</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343,000</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436,680</w:t>
            </w:r>
          </w:p>
        </w:tc>
      </w:tr>
      <w:tr w:rsidR="004323A6" w:rsidRPr="004323A6" w:rsidTr="004323A6">
        <w:trPr>
          <w:trHeight w:val="60"/>
        </w:trPr>
        <w:tc>
          <w:tcPr>
            <w:tcW w:w="5544" w:type="dxa"/>
          </w:tcPr>
          <w:p w:rsidR="00E55F38" w:rsidRPr="004323A6" w:rsidRDefault="00E55F38" w:rsidP="00E55F3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4323A6">
              <w:rPr>
                <w:rFonts w:eastAsiaTheme="minorHAnsi"/>
                <w:b/>
                <w:bCs/>
                <w:sz w:val="20"/>
                <w:szCs w:val="20"/>
                <w:lang w:eastAsia="en-US" w:bidi="ar-SA"/>
              </w:rPr>
              <w:t>Net cash flows from/ (used in) financing activities</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299,398</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393,547</w:t>
            </w:r>
          </w:p>
        </w:tc>
      </w:tr>
      <w:tr w:rsidR="004323A6" w:rsidRPr="004323A6" w:rsidTr="004323A6">
        <w:trPr>
          <w:trHeight w:val="60"/>
        </w:trPr>
        <w:tc>
          <w:tcPr>
            <w:tcW w:w="5544" w:type="dxa"/>
          </w:tcPr>
          <w:p w:rsidR="00E55F38" w:rsidRPr="004323A6" w:rsidRDefault="00E55F38" w:rsidP="00E55F38">
            <w:pPr>
              <w:widowControl/>
              <w:adjustRightInd w:val="0"/>
              <w:rPr>
                <w:rFonts w:eastAsiaTheme="minorHAnsi"/>
                <w:sz w:val="20"/>
                <w:szCs w:val="20"/>
                <w:lang w:eastAsia="en-US" w:bidi="ar-SA"/>
              </w:rPr>
            </w:pP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adjustRightInd w:val="0"/>
              <w:rPr>
                <w:rFonts w:eastAsiaTheme="minorHAnsi"/>
                <w:sz w:val="20"/>
                <w:szCs w:val="20"/>
                <w:lang w:eastAsia="en-US" w:bidi="ar-SA"/>
              </w:rPr>
            </w:pPr>
          </w:p>
        </w:tc>
        <w:tc>
          <w:tcPr>
            <w:tcW w:w="1843" w:type="dxa"/>
          </w:tcPr>
          <w:p w:rsidR="00E55F38" w:rsidRPr="004323A6" w:rsidRDefault="00E55F38" w:rsidP="00E55F38">
            <w:pPr>
              <w:widowControl/>
              <w:adjustRightInd w:val="0"/>
              <w:rPr>
                <w:rFonts w:eastAsiaTheme="minorHAnsi"/>
                <w:sz w:val="20"/>
                <w:szCs w:val="20"/>
                <w:lang w:eastAsia="en-US" w:bidi="ar-SA"/>
              </w:rPr>
            </w:pPr>
          </w:p>
        </w:tc>
      </w:tr>
      <w:tr w:rsidR="004323A6" w:rsidRPr="004323A6" w:rsidTr="004323A6">
        <w:trPr>
          <w:trHeight w:val="60"/>
        </w:trPr>
        <w:tc>
          <w:tcPr>
            <w:tcW w:w="5544" w:type="dxa"/>
          </w:tcPr>
          <w:p w:rsidR="00E55F38" w:rsidRPr="004323A6" w:rsidRDefault="00E55F38" w:rsidP="00E55F3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4323A6">
              <w:rPr>
                <w:rFonts w:eastAsiaTheme="minorHAnsi"/>
                <w:b/>
                <w:bCs/>
                <w:sz w:val="20"/>
                <w:szCs w:val="20"/>
                <w:lang w:eastAsia="en-US" w:bidi="ar-SA"/>
              </w:rPr>
              <w:t>Net increase in cash held</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w:t>
            </w:r>
          </w:p>
        </w:tc>
      </w:tr>
      <w:tr w:rsidR="004323A6" w:rsidRPr="004323A6" w:rsidTr="004323A6">
        <w:trPr>
          <w:trHeight w:val="60"/>
        </w:trPr>
        <w:tc>
          <w:tcPr>
            <w:tcW w:w="5544" w:type="dxa"/>
          </w:tcPr>
          <w:p w:rsidR="00E55F38" w:rsidRPr="004323A6" w:rsidRDefault="00E55F38" w:rsidP="00E55F38">
            <w:pPr>
              <w:widowControl/>
              <w:adjustRightInd w:val="0"/>
              <w:rPr>
                <w:rFonts w:eastAsiaTheme="minorHAnsi"/>
                <w:sz w:val="20"/>
                <w:szCs w:val="20"/>
                <w:lang w:eastAsia="en-US" w:bidi="ar-SA"/>
              </w:rPr>
            </w:pP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adjustRightInd w:val="0"/>
              <w:rPr>
                <w:rFonts w:eastAsiaTheme="minorHAnsi"/>
                <w:sz w:val="20"/>
                <w:szCs w:val="20"/>
                <w:lang w:eastAsia="en-US" w:bidi="ar-SA"/>
              </w:rPr>
            </w:pPr>
          </w:p>
        </w:tc>
        <w:tc>
          <w:tcPr>
            <w:tcW w:w="1843" w:type="dxa"/>
          </w:tcPr>
          <w:p w:rsidR="00E55F38" w:rsidRPr="004323A6" w:rsidRDefault="00E55F38" w:rsidP="00E55F38">
            <w:pPr>
              <w:widowControl/>
              <w:adjustRightInd w:val="0"/>
              <w:rPr>
                <w:rFonts w:eastAsiaTheme="minorHAnsi"/>
                <w:sz w:val="20"/>
                <w:szCs w:val="20"/>
                <w:lang w:eastAsia="en-US" w:bidi="ar-SA"/>
              </w:rPr>
            </w:pPr>
          </w:p>
        </w:tc>
      </w:tr>
      <w:tr w:rsidR="004323A6" w:rsidRPr="004323A6" w:rsidTr="004323A6">
        <w:trPr>
          <w:trHeight w:val="60"/>
        </w:trPr>
        <w:tc>
          <w:tcPr>
            <w:tcW w:w="5544"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Cash at the start of the year</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600</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600</w:t>
            </w:r>
          </w:p>
        </w:tc>
      </w:tr>
      <w:tr w:rsidR="004323A6" w:rsidRPr="004323A6" w:rsidTr="004323A6">
        <w:trPr>
          <w:trHeight w:val="60"/>
        </w:trPr>
        <w:tc>
          <w:tcPr>
            <w:tcW w:w="5544" w:type="dxa"/>
          </w:tcPr>
          <w:p w:rsidR="00E55F38" w:rsidRPr="004323A6" w:rsidRDefault="00E55F38" w:rsidP="00E55F3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4323A6">
              <w:rPr>
                <w:rFonts w:eastAsiaTheme="minorHAnsi"/>
                <w:b/>
                <w:bCs/>
                <w:sz w:val="20"/>
                <w:szCs w:val="20"/>
                <w:lang w:eastAsia="en-US" w:bidi="ar-SA"/>
              </w:rPr>
              <w:t>Cash at the end of the year</w:t>
            </w:r>
          </w:p>
        </w:tc>
        <w:tc>
          <w:tcPr>
            <w:tcW w:w="851" w:type="dxa"/>
          </w:tcPr>
          <w:p w:rsidR="00E55F38" w:rsidRPr="004323A6" w:rsidRDefault="00E55F38" w:rsidP="00E55F38">
            <w:pPr>
              <w:widowControl/>
              <w:adjustRightInd w:val="0"/>
              <w:rPr>
                <w:rFonts w:eastAsiaTheme="minorHAnsi"/>
                <w:sz w:val="20"/>
                <w:szCs w:val="20"/>
                <w:lang w:eastAsia="en-US" w:bidi="ar-SA"/>
              </w:rPr>
            </w:pPr>
          </w:p>
        </w:tc>
        <w:tc>
          <w:tcPr>
            <w:tcW w:w="1701"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600</w:t>
            </w:r>
          </w:p>
        </w:tc>
        <w:tc>
          <w:tcPr>
            <w:tcW w:w="1843" w:type="dxa"/>
          </w:tcPr>
          <w:p w:rsidR="00E55F38" w:rsidRPr="004323A6" w:rsidRDefault="00E55F38" w:rsidP="00E55F38">
            <w:pPr>
              <w:widowControl/>
              <w:suppressAutoHyphens/>
              <w:adjustRightInd w:val="0"/>
              <w:spacing w:after="113" w:line="220" w:lineRule="atLeast"/>
              <w:jc w:val="right"/>
              <w:textAlignment w:val="center"/>
              <w:rPr>
                <w:rFonts w:eastAsiaTheme="minorHAnsi"/>
                <w:sz w:val="20"/>
                <w:szCs w:val="20"/>
                <w:lang w:eastAsia="en-US" w:bidi="ar-SA"/>
              </w:rPr>
            </w:pPr>
            <w:r w:rsidRPr="004323A6">
              <w:rPr>
                <w:rFonts w:eastAsiaTheme="minorHAnsi"/>
                <w:sz w:val="20"/>
                <w:szCs w:val="20"/>
                <w:lang w:eastAsia="en-US" w:bidi="ar-SA"/>
              </w:rPr>
              <w:t>600</w:t>
            </w:r>
          </w:p>
        </w:tc>
      </w:tr>
    </w:tbl>
    <w:p w:rsidR="00E55F38" w:rsidRPr="004323A6" w:rsidRDefault="00E55F38" w:rsidP="004323A6">
      <w:pPr>
        <w:rPr>
          <w:lang w:eastAsia="en-US" w:bidi="ar-SA"/>
        </w:rPr>
      </w:pPr>
    </w:p>
    <w:p w:rsidR="00E55F38" w:rsidRPr="004323A6" w:rsidRDefault="00E55F38" w:rsidP="004323A6">
      <w:pPr>
        <w:widowControl/>
        <w:suppressAutoHyphens/>
        <w:adjustRightInd w:val="0"/>
        <w:spacing w:after="113" w:line="200" w:lineRule="atLeast"/>
        <w:ind w:left="709"/>
        <w:textAlignment w:val="center"/>
        <w:rPr>
          <w:rFonts w:eastAsiaTheme="minorHAnsi"/>
          <w:i/>
          <w:iCs/>
          <w:color w:val="000000"/>
          <w:sz w:val="20"/>
          <w:szCs w:val="20"/>
          <w:lang w:eastAsia="en-US" w:bidi="ar-SA"/>
        </w:rPr>
      </w:pPr>
      <w:r w:rsidRPr="004323A6">
        <w:rPr>
          <w:rFonts w:eastAsiaTheme="minorHAnsi"/>
          <w:i/>
          <w:iCs/>
          <w:color w:val="000000"/>
          <w:sz w:val="20"/>
          <w:szCs w:val="20"/>
          <w:lang w:eastAsia="en-US" w:bidi="ar-SA"/>
        </w:rPr>
        <w:t>The accompanying notes form part of these financial statements.</w:t>
      </w:r>
    </w:p>
    <w:p w:rsidR="004323A6" w:rsidRDefault="004323A6" w:rsidP="00E55F38">
      <w:pPr>
        <w:widowControl/>
        <w:suppressAutoHyphens/>
        <w:adjustRightInd w:val="0"/>
        <w:spacing w:before="283" w:after="227" w:line="400" w:lineRule="atLeast"/>
        <w:textAlignment w:val="center"/>
        <w:rPr>
          <w:rFonts w:ascii="Melbourne" w:eastAsiaTheme="minorHAnsi" w:hAnsi="Melbourne" w:cs="Melbourne"/>
          <w:color w:val="000000"/>
          <w:sz w:val="36"/>
          <w:szCs w:val="36"/>
          <w:lang w:eastAsia="en-US" w:bidi="ar-SA"/>
        </w:rPr>
      </w:pPr>
    </w:p>
    <w:p w:rsidR="004323A6" w:rsidRDefault="004323A6" w:rsidP="00E55F38">
      <w:pPr>
        <w:widowControl/>
        <w:suppressAutoHyphens/>
        <w:adjustRightInd w:val="0"/>
        <w:spacing w:before="283" w:after="227" w:line="400" w:lineRule="atLeast"/>
        <w:textAlignment w:val="center"/>
        <w:rPr>
          <w:rFonts w:ascii="Melbourne" w:eastAsiaTheme="minorHAnsi" w:hAnsi="Melbourne" w:cs="Melbourne"/>
          <w:color w:val="000000"/>
          <w:sz w:val="36"/>
          <w:szCs w:val="36"/>
          <w:lang w:eastAsia="en-US" w:bidi="ar-SA"/>
        </w:rPr>
      </w:pPr>
    </w:p>
    <w:p w:rsidR="00764916" w:rsidRDefault="00764916" w:rsidP="004323A6">
      <w:pPr>
        <w:pStyle w:val="Heading2"/>
        <w:ind w:right="1137"/>
        <w:rPr>
          <w:lang w:eastAsia="en-US" w:bidi="ar-SA"/>
        </w:rPr>
      </w:pPr>
      <w:bookmarkStart w:id="38" w:name="_Toc23329738"/>
    </w:p>
    <w:p w:rsidR="00E55F38" w:rsidRDefault="00E55F38" w:rsidP="004323A6">
      <w:pPr>
        <w:pStyle w:val="Heading2"/>
        <w:ind w:right="1137"/>
        <w:rPr>
          <w:lang w:eastAsia="en-US" w:bidi="ar-SA"/>
        </w:rPr>
      </w:pPr>
      <w:r w:rsidRPr="00E55F38">
        <w:rPr>
          <w:lang w:eastAsia="en-US" w:bidi="ar-SA"/>
        </w:rPr>
        <w:lastRenderedPageBreak/>
        <w:t>Statement of changes in equity</w:t>
      </w:r>
      <w:r w:rsidR="004323A6">
        <w:rPr>
          <w:lang w:eastAsia="en-US" w:bidi="ar-SA"/>
        </w:rPr>
        <w:t xml:space="preserve"> </w:t>
      </w:r>
      <w:r w:rsidRPr="00E55F38">
        <w:rPr>
          <w:lang w:eastAsia="en-US" w:bidi="ar-SA"/>
        </w:rPr>
        <w:t>for the financial year ended 30 June 2019</w:t>
      </w:r>
      <w:bookmarkEnd w:id="38"/>
    </w:p>
    <w:p w:rsidR="004323A6" w:rsidRPr="00E55F38" w:rsidRDefault="004323A6" w:rsidP="004323A6">
      <w:pPr>
        <w:rPr>
          <w:lang w:eastAsia="en-US" w:bidi="ar-SA"/>
        </w:rPr>
      </w:pPr>
    </w:p>
    <w:tbl>
      <w:tblPr>
        <w:tblStyle w:val="TableGrid"/>
        <w:tblW w:w="0" w:type="auto"/>
        <w:tblInd w:w="742" w:type="dxa"/>
        <w:tblLayout w:type="fixed"/>
        <w:tblLook w:val="0000" w:firstRow="0" w:lastRow="0" w:firstColumn="0" w:lastColumn="0" w:noHBand="0" w:noVBand="0"/>
      </w:tblPr>
      <w:tblGrid>
        <w:gridCol w:w="3789"/>
        <w:gridCol w:w="2268"/>
        <w:gridCol w:w="2127"/>
        <w:gridCol w:w="1842"/>
      </w:tblGrid>
      <w:tr w:rsidR="004323A6" w:rsidRPr="004323A6" w:rsidTr="004323A6">
        <w:trPr>
          <w:trHeight w:val="60"/>
        </w:trPr>
        <w:tc>
          <w:tcPr>
            <w:tcW w:w="3789" w:type="dxa"/>
          </w:tcPr>
          <w:p w:rsidR="00E55F38" w:rsidRPr="004323A6" w:rsidRDefault="00E55F38" w:rsidP="00E55F38">
            <w:pPr>
              <w:widowControl/>
              <w:adjustRightInd w:val="0"/>
              <w:rPr>
                <w:rFonts w:eastAsiaTheme="minorHAnsi"/>
                <w:sz w:val="20"/>
                <w:szCs w:val="20"/>
                <w:lang w:eastAsia="en-US" w:bidi="ar-SA"/>
              </w:rPr>
            </w:pPr>
          </w:p>
        </w:tc>
        <w:tc>
          <w:tcPr>
            <w:tcW w:w="2268" w:type="dxa"/>
          </w:tcPr>
          <w:p w:rsidR="00E55F38" w:rsidRPr="004323A6" w:rsidRDefault="00E55F38" w:rsidP="004323A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4323A6">
              <w:rPr>
                <w:rFonts w:eastAsiaTheme="minorHAnsi"/>
                <w:b/>
                <w:bCs/>
                <w:sz w:val="20"/>
                <w:szCs w:val="20"/>
                <w:lang w:eastAsia="en-US" w:bidi="ar-SA"/>
              </w:rPr>
              <w:t>Contributions by owner</w:t>
            </w:r>
          </w:p>
        </w:tc>
        <w:tc>
          <w:tcPr>
            <w:tcW w:w="2127" w:type="dxa"/>
          </w:tcPr>
          <w:p w:rsidR="00E55F38" w:rsidRPr="004323A6" w:rsidRDefault="00E55F38" w:rsidP="004323A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4323A6">
              <w:rPr>
                <w:rFonts w:eastAsiaTheme="minorHAnsi"/>
                <w:b/>
                <w:bCs/>
                <w:sz w:val="20"/>
                <w:szCs w:val="20"/>
                <w:lang w:eastAsia="en-US" w:bidi="ar-SA"/>
              </w:rPr>
              <w:t>Accumulated surplus</w:t>
            </w:r>
          </w:p>
        </w:tc>
        <w:tc>
          <w:tcPr>
            <w:tcW w:w="1842" w:type="dxa"/>
          </w:tcPr>
          <w:p w:rsidR="00E55F38" w:rsidRPr="004323A6" w:rsidRDefault="00E55F38" w:rsidP="004323A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4323A6">
              <w:rPr>
                <w:rFonts w:eastAsiaTheme="minorHAnsi"/>
                <w:b/>
                <w:bCs/>
                <w:sz w:val="20"/>
                <w:szCs w:val="20"/>
                <w:lang w:eastAsia="en-US" w:bidi="ar-SA"/>
              </w:rPr>
              <w:t>Total</w:t>
            </w:r>
          </w:p>
        </w:tc>
      </w:tr>
      <w:tr w:rsidR="004323A6" w:rsidRPr="004323A6" w:rsidTr="004323A6">
        <w:trPr>
          <w:trHeight w:val="60"/>
        </w:trPr>
        <w:tc>
          <w:tcPr>
            <w:tcW w:w="3789" w:type="dxa"/>
          </w:tcPr>
          <w:p w:rsidR="00E55F38" w:rsidRPr="004323A6" w:rsidRDefault="00E55F38" w:rsidP="00E55F38">
            <w:pPr>
              <w:widowControl/>
              <w:adjustRightInd w:val="0"/>
              <w:rPr>
                <w:rFonts w:eastAsiaTheme="minorHAnsi"/>
                <w:sz w:val="20"/>
                <w:szCs w:val="20"/>
                <w:lang w:eastAsia="en-US" w:bidi="ar-SA"/>
              </w:rPr>
            </w:pPr>
          </w:p>
        </w:tc>
        <w:tc>
          <w:tcPr>
            <w:tcW w:w="2268" w:type="dxa"/>
          </w:tcPr>
          <w:p w:rsidR="00E55F38" w:rsidRPr="004323A6" w:rsidRDefault="00E55F38" w:rsidP="004323A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4323A6">
              <w:rPr>
                <w:rFonts w:eastAsiaTheme="minorHAnsi"/>
                <w:b/>
                <w:bCs/>
                <w:sz w:val="20"/>
                <w:szCs w:val="20"/>
                <w:lang w:eastAsia="en-US" w:bidi="ar-SA"/>
              </w:rPr>
              <w:t>$</w:t>
            </w:r>
          </w:p>
        </w:tc>
        <w:tc>
          <w:tcPr>
            <w:tcW w:w="2127" w:type="dxa"/>
          </w:tcPr>
          <w:p w:rsidR="00E55F38" w:rsidRPr="004323A6" w:rsidRDefault="00E55F38" w:rsidP="004323A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4323A6">
              <w:rPr>
                <w:rFonts w:eastAsiaTheme="minorHAnsi"/>
                <w:b/>
                <w:bCs/>
                <w:sz w:val="20"/>
                <w:szCs w:val="20"/>
                <w:lang w:eastAsia="en-US" w:bidi="ar-SA"/>
              </w:rPr>
              <w:t>$</w:t>
            </w:r>
          </w:p>
        </w:tc>
        <w:tc>
          <w:tcPr>
            <w:tcW w:w="1842" w:type="dxa"/>
          </w:tcPr>
          <w:p w:rsidR="00E55F38" w:rsidRPr="004323A6" w:rsidRDefault="00E55F38" w:rsidP="004323A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4323A6">
              <w:rPr>
                <w:rFonts w:eastAsiaTheme="minorHAnsi"/>
                <w:b/>
                <w:bCs/>
                <w:sz w:val="20"/>
                <w:szCs w:val="20"/>
                <w:lang w:eastAsia="en-US" w:bidi="ar-SA"/>
              </w:rPr>
              <w:t>$</w:t>
            </w:r>
          </w:p>
        </w:tc>
      </w:tr>
      <w:tr w:rsidR="004323A6" w:rsidRPr="004323A6" w:rsidTr="004323A6">
        <w:trPr>
          <w:trHeight w:val="60"/>
        </w:trPr>
        <w:tc>
          <w:tcPr>
            <w:tcW w:w="3789"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 xml:space="preserve">Balance at 1 July 2017 </w:t>
            </w:r>
          </w:p>
        </w:tc>
        <w:tc>
          <w:tcPr>
            <w:tcW w:w="2268"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3,481,626</w:t>
            </w:r>
          </w:p>
        </w:tc>
        <w:tc>
          <w:tcPr>
            <w:tcW w:w="2127"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2,792,311</w:t>
            </w:r>
          </w:p>
        </w:tc>
        <w:tc>
          <w:tcPr>
            <w:tcW w:w="1842"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6,273,937</w:t>
            </w:r>
          </w:p>
        </w:tc>
      </w:tr>
      <w:tr w:rsidR="004323A6" w:rsidRPr="004323A6" w:rsidTr="004323A6">
        <w:trPr>
          <w:trHeight w:val="60"/>
        </w:trPr>
        <w:tc>
          <w:tcPr>
            <w:tcW w:w="3789"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Capital contribution from government</w:t>
            </w:r>
          </w:p>
        </w:tc>
        <w:tc>
          <w:tcPr>
            <w:tcW w:w="2268"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436,680</w:t>
            </w:r>
          </w:p>
        </w:tc>
        <w:tc>
          <w:tcPr>
            <w:tcW w:w="2127"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w:t>
            </w:r>
          </w:p>
        </w:tc>
        <w:tc>
          <w:tcPr>
            <w:tcW w:w="1842"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436,680</w:t>
            </w:r>
          </w:p>
        </w:tc>
      </w:tr>
      <w:tr w:rsidR="004323A6" w:rsidRPr="004323A6" w:rsidTr="004323A6">
        <w:trPr>
          <w:trHeight w:val="60"/>
        </w:trPr>
        <w:tc>
          <w:tcPr>
            <w:tcW w:w="3789"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Net result for the year</w:t>
            </w:r>
          </w:p>
        </w:tc>
        <w:tc>
          <w:tcPr>
            <w:tcW w:w="2268"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w:t>
            </w:r>
          </w:p>
        </w:tc>
        <w:tc>
          <w:tcPr>
            <w:tcW w:w="2127"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2,817,287</w:t>
            </w:r>
          </w:p>
        </w:tc>
        <w:tc>
          <w:tcPr>
            <w:tcW w:w="1842"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2,817,287</w:t>
            </w:r>
          </w:p>
        </w:tc>
      </w:tr>
      <w:tr w:rsidR="004323A6" w:rsidRPr="004323A6" w:rsidTr="004323A6">
        <w:trPr>
          <w:trHeight w:val="60"/>
        </w:trPr>
        <w:tc>
          <w:tcPr>
            <w:tcW w:w="3789"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 xml:space="preserve">Balance at 30 June 2018 </w:t>
            </w:r>
          </w:p>
        </w:tc>
        <w:tc>
          <w:tcPr>
            <w:tcW w:w="2268"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3,918,306</w:t>
            </w:r>
          </w:p>
        </w:tc>
        <w:tc>
          <w:tcPr>
            <w:tcW w:w="2127"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5,609,598</w:t>
            </w:r>
          </w:p>
        </w:tc>
        <w:tc>
          <w:tcPr>
            <w:tcW w:w="1842"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9,527,904</w:t>
            </w:r>
          </w:p>
        </w:tc>
      </w:tr>
      <w:tr w:rsidR="004323A6" w:rsidRPr="004323A6" w:rsidTr="004323A6">
        <w:trPr>
          <w:trHeight w:val="60"/>
        </w:trPr>
        <w:tc>
          <w:tcPr>
            <w:tcW w:w="3789"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Capital contribution from government</w:t>
            </w:r>
          </w:p>
        </w:tc>
        <w:tc>
          <w:tcPr>
            <w:tcW w:w="2268"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343,000</w:t>
            </w:r>
          </w:p>
        </w:tc>
        <w:tc>
          <w:tcPr>
            <w:tcW w:w="2127"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w:t>
            </w:r>
          </w:p>
        </w:tc>
        <w:tc>
          <w:tcPr>
            <w:tcW w:w="1842"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343,000</w:t>
            </w:r>
          </w:p>
        </w:tc>
      </w:tr>
      <w:tr w:rsidR="004323A6" w:rsidRPr="004323A6" w:rsidTr="004323A6">
        <w:trPr>
          <w:trHeight w:val="60"/>
        </w:trPr>
        <w:tc>
          <w:tcPr>
            <w:tcW w:w="3789" w:type="dxa"/>
          </w:tcPr>
          <w:p w:rsidR="00E55F38" w:rsidRPr="004323A6" w:rsidRDefault="00E55F38" w:rsidP="00E55F38">
            <w:pPr>
              <w:widowControl/>
              <w:suppressAutoHyphens/>
              <w:adjustRightInd w:val="0"/>
              <w:spacing w:after="113" w:line="220" w:lineRule="atLeast"/>
              <w:textAlignment w:val="center"/>
              <w:rPr>
                <w:rFonts w:eastAsiaTheme="minorHAnsi"/>
                <w:sz w:val="20"/>
                <w:szCs w:val="20"/>
                <w:lang w:eastAsia="en-US" w:bidi="ar-SA"/>
              </w:rPr>
            </w:pPr>
            <w:r w:rsidRPr="004323A6">
              <w:rPr>
                <w:rFonts w:eastAsiaTheme="minorHAnsi"/>
                <w:sz w:val="20"/>
                <w:szCs w:val="20"/>
                <w:lang w:eastAsia="en-US" w:bidi="ar-SA"/>
              </w:rPr>
              <w:t>Net result for the year</w:t>
            </w:r>
          </w:p>
        </w:tc>
        <w:tc>
          <w:tcPr>
            <w:tcW w:w="2268"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w:t>
            </w:r>
          </w:p>
        </w:tc>
        <w:tc>
          <w:tcPr>
            <w:tcW w:w="2127"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(1,732,718)</w:t>
            </w:r>
          </w:p>
        </w:tc>
        <w:tc>
          <w:tcPr>
            <w:tcW w:w="1842"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(1,732,718)</w:t>
            </w:r>
          </w:p>
        </w:tc>
      </w:tr>
      <w:tr w:rsidR="004323A6" w:rsidRPr="004323A6" w:rsidTr="004323A6">
        <w:trPr>
          <w:trHeight w:val="60"/>
        </w:trPr>
        <w:tc>
          <w:tcPr>
            <w:tcW w:w="3789" w:type="dxa"/>
          </w:tcPr>
          <w:p w:rsidR="00E55F38" w:rsidRPr="004323A6" w:rsidRDefault="00E55F38" w:rsidP="00E55F38">
            <w:pPr>
              <w:widowControl/>
              <w:adjustRightInd w:val="0"/>
              <w:rPr>
                <w:rFonts w:eastAsiaTheme="minorHAnsi"/>
                <w:sz w:val="20"/>
                <w:szCs w:val="20"/>
                <w:lang w:eastAsia="en-US" w:bidi="ar-SA"/>
              </w:rPr>
            </w:pPr>
          </w:p>
        </w:tc>
        <w:tc>
          <w:tcPr>
            <w:tcW w:w="2268" w:type="dxa"/>
          </w:tcPr>
          <w:p w:rsidR="00E55F38" w:rsidRPr="004323A6" w:rsidRDefault="00E55F38" w:rsidP="004323A6">
            <w:pPr>
              <w:widowControl/>
              <w:adjustRightInd w:val="0"/>
              <w:jc w:val="center"/>
              <w:rPr>
                <w:rFonts w:eastAsiaTheme="minorHAnsi"/>
                <w:sz w:val="20"/>
                <w:szCs w:val="20"/>
                <w:lang w:eastAsia="en-US" w:bidi="ar-SA"/>
              </w:rPr>
            </w:pPr>
          </w:p>
        </w:tc>
        <w:tc>
          <w:tcPr>
            <w:tcW w:w="2127" w:type="dxa"/>
          </w:tcPr>
          <w:p w:rsidR="00E55F38" w:rsidRPr="004323A6" w:rsidRDefault="00E55F38" w:rsidP="004323A6">
            <w:pPr>
              <w:widowControl/>
              <w:adjustRightInd w:val="0"/>
              <w:jc w:val="center"/>
              <w:rPr>
                <w:rFonts w:eastAsiaTheme="minorHAnsi"/>
                <w:sz w:val="20"/>
                <w:szCs w:val="20"/>
                <w:lang w:eastAsia="en-US" w:bidi="ar-SA"/>
              </w:rPr>
            </w:pPr>
          </w:p>
        </w:tc>
        <w:tc>
          <w:tcPr>
            <w:tcW w:w="1842" w:type="dxa"/>
          </w:tcPr>
          <w:p w:rsidR="00E55F38" w:rsidRPr="004323A6" w:rsidRDefault="00E55F38" w:rsidP="004323A6">
            <w:pPr>
              <w:widowControl/>
              <w:adjustRightInd w:val="0"/>
              <w:jc w:val="center"/>
              <w:rPr>
                <w:rFonts w:eastAsiaTheme="minorHAnsi"/>
                <w:sz w:val="20"/>
                <w:szCs w:val="20"/>
                <w:lang w:eastAsia="en-US" w:bidi="ar-SA"/>
              </w:rPr>
            </w:pPr>
          </w:p>
        </w:tc>
      </w:tr>
      <w:tr w:rsidR="004323A6" w:rsidRPr="004323A6" w:rsidTr="004323A6">
        <w:trPr>
          <w:trHeight w:val="60"/>
        </w:trPr>
        <w:tc>
          <w:tcPr>
            <w:tcW w:w="3789" w:type="dxa"/>
          </w:tcPr>
          <w:p w:rsidR="00E55F38" w:rsidRPr="004323A6" w:rsidRDefault="00E55F38" w:rsidP="00E55F3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4323A6">
              <w:rPr>
                <w:rFonts w:eastAsiaTheme="minorHAnsi"/>
                <w:b/>
                <w:bCs/>
                <w:sz w:val="20"/>
                <w:szCs w:val="20"/>
                <w:lang w:eastAsia="en-US" w:bidi="ar-SA"/>
              </w:rPr>
              <w:t>Balance at 30 June 2019</w:t>
            </w:r>
          </w:p>
        </w:tc>
        <w:tc>
          <w:tcPr>
            <w:tcW w:w="2268"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4,261,306</w:t>
            </w:r>
          </w:p>
        </w:tc>
        <w:tc>
          <w:tcPr>
            <w:tcW w:w="2127"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3,876,880</w:t>
            </w:r>
          </w:p>
        </w:tc>
        <w:tc>
          <w:tcPr>
            <w:tcW w:w="1842" w:type="dxa"/>
          </w:tcPr>
          <w:p w:rsidR="00E55F38" w:rsidRPr="004323A6" w:rsidRDefault="00E55F38" w:rsidP="004323A6">
            <w:pPr>
              <w:widowControl/>
              <w:suppressAutoHyphens/>
              <w:adjustRightInd w:val="0"/>
              <w:spacing w:after="113" w:line="220" w:lineRule="atLeast"/>
              <w:jc w:val="center"/>
              <w:textAlignment w:val="center"/>
              <w:rPr>
                <w:rFonts w:eastAsiaTheme="minorHAnsi"/>
                <w:sz w:val="20"/>
                <w:szCs w:val="20"/>
                <w:lang w:eastAsia="en-US" w:bidi="ar-SA"/>
              </w:rPr>
            </w:pPr>
            <w:r w:rsidRPr="004323A6">
              <w:rPr>
                <w:rFonts w:eastAsiaTheme="minorHAnsi"/>
                <w:sz w:val="20"/>
                <w:szCs w:val="20"/>
                <w:lang w:eastAsia="en-US" w:bidi="ar-SA"/>
              </w:rPr>
              <w:t>8,138,186</w:t>
            </w:r>
          </w:p>
        </w:tc>
      </w:tr>
    </w:tbl>
    <w:p w:rsidR="00E55F38" w:rsidRPr="004F06FB" w:rsidRDefault="00E55F38" w:rsidP="004F06FB">
      <w:pPr>
        <w:rPr>
          <w:lang w:eastAsia="en-US" w:bidi="ar-SA"/>
        </w:rPr>
      </w:pPr>
    </w:p>
    <w:p w:rsidR="00E55F38" w:rsidRPr="004F06FB" w:rsidRDefault="00E55F38" w:rsidP="004F06FB">
      <w:pPr>
        <w:widowControl/>
        <w:suppressAutoHyphens/>
        <w:adjustRightInd w:val="0"/>
        <w:spacing w:after="113" w:line="200" w:lineRule="atLeast"/>
        <w:ind w:left="709"/>
        <w:textAlignment w:val="center"/>
        <w:rPr>
          <w:rFonts w:eastAsiaTheme="minorHAnsi"/>
          <w:i/>
          <w:iCs/>
          <w:color w:val="000000"/>
          <w:sz w:val="20"/>
          <w:szCs w:val="20"/>
          <w:lang w:eastAsia="en-US" w:bidi="ar-SA"/>
        </w:rPr>
      </w:pPr>
      <w:r w:rsidRPr="004F06FB">
        <w:rPr>
          <w:rFonts w:eastAsiaTheme="minorHAnsi"/>
          <w:i/>
          <w:iCs/>
          <w:color w:val="000000"/>
          <w:sz w:val="20"/>
          <w:szCs w:val="20"/>
          <w:lang w:eastAsia="en-US" w:bidi="ar-SA"/>
        </w:rPr>
        <w:t>The accompanying notes form part of these financial statements.</w:t>
      </w: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764916" w:rsidRDefault="00764916">
      <w:pPr>
        <w:pStyle w:val="BodyText"/>
      </w:pPr>
    </w:p>
    <w:p w:rsidR="00CB2FA0" w:rsidRDefault="00CB2FA0">
      <w:pPr>
        <w:pStyle w:val="BodyText"/>
      </w:pPr>
      <w:bookmarkStart w:id="39" w:name="_GoBack"/>
      <w:bookmarkEnd w:id="39"/>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6A5918" w:rsidRPr="000C4C8F" w:rsidRDefault="000C4C8F" w:rsidP="00943EBA">
      <w:pPr>
        <w:pStyle w:val="Heading2"/>
        <w:numPr>
          <w:ilvl w:val="0"/>
          <w:numId w:val="29"/>
        </w:numPr>
      </w:pPr>
      <w:r>
        <w:t xml:space="preserve"> </w:t>
      </w:r>
      <w:bookmarkStart w:id="40" w:name="_Toc23329739"/>
      <w:r w:rsidR="006A5918" w:rsidRPr="000C4C8F">
        <w:t>About this report</w:t>
      </w:r>
      <w:bookmarkEnd w:id="40"/>
    </w:p>
    <w:p w:rsidR="006A5918" w:rsidRPr="000C4C8F" w:rsidRDefault="006A5918">
      <w:pPr>
        <w:pStyle w:val="BodyText"/>
      </w:pPr>
    </w:p>
    <w:p w:rsidR="006A5918" w:rsidRP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The Victorian Public Sector Commission (the Commission) was established on 1 April 2014 through</w:t>
      </w:r>
      <w:r w:rsidR="000C4C8F">
        <w:rPr>
          <w:rFonts w:eastAsiaTheme="minorHAnsi"/>
          <w:color w:val="000000"/>
          <w:sz w:val="20"/>
          <w:szCs w:val="20"/>
          <w:lang w:eastAsia="en-US" w:bidi="ar-SA"/>
        </w:rPr>
        <w:t xml:space="preserve"> </w:t>
      </w:r>
      <w:r w:rsidRPr="006A5918">
        <w:rPr>
          <w:rFonts w:eastAsiaTheme="minorHAnsi"/>
          <w:color w:val="000000"/>
          <w:sz w:val="20"/>
          <w:szCs w:val="20"/>
          <w:lang w:eastAsia="en-US" w:bidi="ar-SA"/>
        </w:rPr>
        <w:t xml:space="preserve">an amendment to the </w:t>
      </w:r>
      <w:r w:rsidRPr="006A5918">
        <w:rPr>
          <w:rFonts w:eastAsiaTheme="minorHAnsi"/>
          <w:i/>
          <w:iCs/>
          <w:color w:val="000000"/>
          <w:sz w:val="20"/>
          <w:szCs w:val="20"/>
          <w:lang w:eastAsia="en-US" w:bidi="ar-SA"/>
        </w:rPr>
        <w:t>Public Administration Act 2004</w:t>
      </w:r>
      <w:r w:rsidRPr="006A5918">
        <w:rPr>
          <w:rFonts w:eastAsiaTheme="minorHAnsi"/>
          <w:color w:val="000000"/>
          <w:sz w:val="20"/>
          <w:szCs w:val="20"/>
          <w:lang w:eastAsia="en-US" w:bidi="ar-SA"/>
        </w:rPr>
        <w:t xml:space="preserve"> (the Act) and replaced the State Services Authority which was abolished pursuant to clause 3 of Schedule 3 of the Act.</w:t>
      </w:r>
    </w:p>
    <w:p w:rsidR="006A5918" w:rsidRP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The Commission’s principal address is:</w:t>
      </w:r>
    </w:p>
    <w:p w:rsidR="006A5918" w:rsidRP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3 Treasury Place</w:t>
      </w:r>
      <w:r w:rsidRPr="006A5918">
        <w:rPr>
          <w:rFonts w:eastAsiaTheme="minorHAnsi"/>
          <w:color w:val="000000"/>
          <w:sz w:val="20"/>
          <w:szCs w:val="20"/>
          <w:lang w:eastAsia="en-US" w:bidi="ar-SA"/>
        </w:rPr>
        <w:br/>
        <w:t>Melbourne Victoria 3002</w:t>
      </w:r>
    </w:p>
    <w:p w:rsid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A description of the nature of the principal services is included in the “Report of operations”</w:t>
      </w:r>
      <w:r w:rsidR="000C4C8F">
        <w:rPr>
          <w:rFonts w:eastAsiaTheme="minorHAnsi"/>
          <w:color w:val="000000"/>
          <w:sz w:val="20"/>
          <w:szCs w:val="20"/>
          <w:lang w:eastAsia="en-US" w:bidi="ar-SA"/>
        </w:rPr>
        <w:t xml:space="preserve"> </w:t>
      </w:r>
      <w:r w:rsidRPr="006A5918">
        <w:rPr>
          <w:rFonts w:eastAsiaTheme="minorHAnsi"/>
          <w:color w:val="000000"/>
          <w:sz w:val="20"/>
          <w:szCs w:val="20"/>
          <w:lang w:eastAsia="en-US" w:bidi="ar-SA"/>
        </w:rPr>
        <w:t>of the Annual Report which does not form part of these financial statements.</w:t>
      </w:r>
    </w:p>
    <w:p w:rsidR="000C4C8F" w:rsidRPr="006A5918" w:rsidRDefault="000C4C8F" w:rsidP="000C4C8F">
      <w:pPr>
        <w:rPr>
          <w:lang w:eastAsia="en-US" w:bidi="ar-SA"/>
        </w:rPr>
      </w:pPr>
    </w:p>
    <w:p w:rsidR="006A5918" w:rsidRDefault="006A5918" w:rsidP="000C4C8F">
      <w:pPr>
        <w:pStyle w:val="Heading3"/>
        <w:rPr>
          <w:lang w:eastAsia="en-US" w:bidi="ar-SA"/>
        </w:rPr>
      </w:pPr>
      <w:r w:rsidRPr="006A5918">
        <w:rPr>
          <w:lang w:eastAsia="en-US" w:bidi="ar-SA"/>
        </w:rPr>
        <w:t>Basis of preparation</w:t>
      </w:r>
    </w:p>
    <w:p w:rsidR="000C4C8F" w:rsidRPr="006A5918" w:rsidRDefault="000C4C8F" w:rsidP="000C4C8F">
      <w:pPr>
        <w:rPr>
          <w:lang w:eastAsia="en-US" w:bidi="ar-SA"/>
        </w:rPr>
      </w:pPr>
    </w:p>
    <w:p w:rsidR="006A5918" w:rsidRP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These financial statements are prepared in Australian dollars and the historical cost convention is used unless a different measurement basis is specifically disclosed in the note associated with the item</w:t>
      </w:r>
      <w:r w:rsidRPr="006A5918">
        <w:rPr>
          <w:rFonts w:eastAsiaTheme="minorHAnsi"/>
          <w:color w:val="000000"/>
          <w:sz w:val="20"/>
          <w:szCs w:val="20"/>
          <w:lang w:eastAsia="en-US" w:bidi="ar-SA"/>
        </w:rPr>
        <w:br/>
        <w:t>measured on a different basis.</w:t>
      </w:r>
    </w:p>
    <w:p w:rsidR="006A5918" w:rsidRP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The accrual basis of accounting has been applied in the preparation of these financial statements whereby assets, liabilities, equity, income and expenses are recognised in the reporting period to which they relate, regardless of when cash is received or paid.</w:t>
      </w:r>
    </w:p>
    <w:p w:rsidR="006A5918" w:rsidRP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 xml:space="preserve">Consistent with the requirements of AASB 1004 </w:t>
      </w:r>
      <w:r w:rsidRPr="006A5918">
        <w:rPr>
          <w:rFonts w:eastAsiaTheme="minorHAnsi"/>
          <w:i/>
          <w:iCs/>
          <w:color w:val="000000"/>
          <w:sz w:val="20"/>
          <w:szCs w:val="20"/>
          <w:lang w:eastAsia="en-US" w:bidi="ar-SA"/>
        </w:rPr>
        <w:t>Contributions</w:t>
      </w:r>
      <w:r w:rsidRPr="006A5918">
        <w:rPr>
          <w:rFonts w:eastAsiaTheme="minorHAnsi"/>
          <w:color w:val="000000"/>
          <w:sz w:val="20"/>
          <w:szCs w:val="20"/>
          <w:lang w:eastAsia="en-US" w:bidi="ar-SA"/>
        </w:rPr>
        <w:t>, contributions by owners (that is, contributed capital and its repayment) are treated as equity transactions and, therefore, do not form part of the income and expenses of the Commission.</w:t>
      </w:r>
    </w:p>
    <w:p w:rsidR="006A5918" w:rsidRP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Judgements, estimates and assumptions are required to be made about the carrying values of assets</w:t>
      </w:r>
      <w:r w:rsidR="000C4C8F">
        <w:rPr>
          <w:rFonts w:eastAsiaTheme="minorHAnsi"/>
          <w:color w:val="000000"/>
          <w:sz w:val="20"/>
          <w:szCs w:val="20"/>
          <w:lang w:eastAsia="en-US" w:bidi="ar-SA"/>
        </w:rPr>
        <w:t xml:space="preserve"> </w:t>
      </w:r>
      <w:r w:rsidRPr="006A5918">
        <w:rPr>
          <w:rFonts w:eastAsiaTheme="minorHAnsi"/>
          <w:color w:val="000000"/>
          <w:sz w:val="20"/>
          <w:szCs w:val="20"/>
          <w:lang w:eastAsia="en-US" w:bidi="ar-SA"/>
        </w:rPr>
        <w:t>and liabilities that are not readily apparent from other sources. The estimates and associated assumptions are based on professional judgements derived from historical experience and various other factors that</w:t>
      </w:r>
      <w:r w:rsidR="000C4C8F">
        <w:rPr>
          <w:rFonts w:eastAsiaTheme="minorHAnsi"/>
          <w:color w:val="000000"/>
          <w:sz w:val="20"/>
          <w:szCs w:val="20"/>
          <w:lang w:eastAsia="en-US" w:bidi="ar-SA"/>
        </w:rPr>
        <w:t xml:space="preserve"> </w:t>
      </w:r>
      <w:r w:rsidRPr="006A5918">
        <w:rPr>
          <w:rFonts w:eastAsiaTheme="minorHAnsi"/>
          <w:color w:val="000000"/>
          <w:sz w:val="20"/>
          <w:szCs w:val="20"/>
          <w:lang w:eastAsia="en-US" w:bidi="ar-SA"/>
        </w:rPr>
        <w:t>are believed to be reasonable under the circumstances. Actual results may differ from these estimates.</w:t>
      </w:r>
    </w:p>
    <w:p w:rsidR="006A5918" w:rsidRP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Revisions to accounting estimates are recognised in the period in which the estimate is revised and also</w:t>
      </w:r>
      <w:r w:rsidR="000C4C8F">
        <w:rPr>
          <w:rFonts w:eastAsiaTheme="minorHAnsi"/>
          <w:color w:val="000000"/>
          <w:sz w:val="20"/>
          <w:szCs w:val="20"/>
          <w:lang w:eastAsia="en-US" w:bidi="ar-SA"/>
        </w:rPr>
        <w:t xml:space="preserve"> </w:t>
      </w:r>
      <w:r w:rsidRPr="006A5918">
        <w:rPr>
          <w:rFonts w:eastAsiaTheme="minorHAnsi"/>
          <w:color w:val="000000"/>
          <w:sz w:val="20"/>
          <w:szCs w:val="20"/>
          <w:lang w:eastAsia="en-US" w:bidi="ar-SA"/>
        </w:rPr>
        <w:t>in future periods that are affected by the revision.</w:t>
      </w:r>
    </w:p>
    <w:p w:rsid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These financial statements cover the Commission as an individual reporting entity and include all the controlled activities of the Commission.</w:t>
      </w:r>
    </w:p>
    <w:p w:rsidR="000C4C8F" w:rsidRPr="006A5918" w:rsidRDefault="000C4C8F" w:rsidP="000C4C8F">
      <w:pPr>
        <w:rPr>
          <w:lang w:eastAsia="en-US" w:bidi="ar-SA"/>
        </w:rPr>
      </w:pPr>
    </w:p>
    <w:p w:rsidR="006A5918" w:rsidRDefault="006A5918" w:rsidP="000C4C8F">
      <w:pPr>
        <w:pStyle w:val="Heading3"/>
        <w:rPr>
          <w:lang w:eastAsia="en-US" w:bidi="ar-SA"/>
        </w:rPr>
      </w:pPr>
      <w:r w:rsidRPr="006A5918">
        <w:rPr>
          <w:lang w:eastAsia="en-US" w:bidi="ar-SA"/>
        </w:rPr>
        <w:t>Compliance</w:t>
      </w:r>
    </w:p>
    <w:p w:rsidR="000C4C8F" w:rsidRPr="006A5918" w:rsidRDefault="000C4C8F" w:rsidP="000C4C8F">
      <w:pPr>
        <w:rPr>
          <w:lang w:eastAsia="en-US" w:bidi="ar-SA"/>
        </w:rPr>
      </w:pPr>
    </w:p>
    <w:p w:rsidR="006A5918" w:rsidRP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 xml:space="preserve">These general-purpose financial statements have been prepared on a going concern basis in accordance with the </w:t>
      </w:r>
      <w:r w:rsidRPr="006A5918">
        <w:rPr>
          <w:rFonts w:eastAsiaTheme="minorHAnsi"/>
          <w:i/>
          <w:iCs/>
          <w:color w:val="000000"/>
          <w:sz w:val="20"/>
          <w:szCs w:val="20"/>
          <w:lang w:eastAsia="en-US" w:bidi="ar-SA"/>
        </w:rPr>
        <w:t>Financial Management Act 1994</w:t>
      </w:r>
      <w:r w:rsidRPr="006A5918">
        <w:rPr>
          <w:rFonts w:eastAsiaTheme="minorHAnsi"/>
          <w:color w:val="000000"/>
          <w:sz w:val="20"/>
          <w:szCs w:val="20"/>
          <w:lang w:eastAsia="en-US" w:bidi="ar-SA"/>
        </w:rPr>
        <w:t xml:space="preserve"> and applicable Australian Accounting Standards (AASs) including </w:t>
      </w:r>
      <w:r w:rsidR="000C4C8F">
        <w:rPr>
          <w:rFonts w:eastAsiaTheme="minorHAnsi"/>
          <w:color w:val="000000"/>
          <w:sz w:val="20"/>
          <w:szCs w:val="20"/>
          <w:lang w:eastAsia="en-US" w:bidi="ar-SA"/>
        </w:rPr>
        <w:t>i</w:t>
      </w:r>
      <w:r w:rsidRPr="006A5918">
        <w:rPr>
          <w:rFonts w:eastAsiaTheme="minorHAnsi"/>
          <w:color w:val="000000"/>
          <w:sz w:val="20"/>
          <w:szCs w:val="20"/>
          <w:lang w:eastAsia="en-US" w:bidi="ar-SA"/>
        </w:rPr>
        <w:t xml:space="preserve">nterpretations, issued by the Australian Accounting Standards Board (AASB). In particular, they are presented in a manner consistent with the requirements of AASB 1049 </w:t>
      </w:r>
      <w:r w:rsidRPr="006A5918">
        <w:rPr>
          <w:rFonts w:eastAsiaTheme="minorHAnsi"/>
          <w:i/>
          <w:iCs/>
          <w:color w:val="000000"/>
          <w:sz w:val="20"/>
          <w:szCs w:val="20"/>
          <w:lang w:eastAsia="en-US" w:bidi="ar-SA"/>
        </w:rPr>
        <w:t>Whole of Government and General Government Sector Financial Reporting</w:t>
      </w:r>
      <w:r w:rsidRPr="006A5918">
        <w:rPr>
          <w:rFonts w:eastAsiaTheme="minorHAnsi"/>
          <w:color w:val="000000"/>
          <w:sz w:val="20"/>
          <w:szCs w:val="20"/>
          <w:lang w:eastAsia="en-US" w:bidi="ar-SA"/>
        </w:rPr>
        <w:t>.</w:t>
      </w:r>
    </w:p>
    <w:p w:rsid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Where appropriate, those AASs paragraphs applicable to not-for-profit entities have been applied. Accounting policies selected and applied in these financial statements ensure that the resulting financial information satisfies the concepts of relevance, reliability and the substance of the underlying transactions</w:t>
      </w:r>
      <w:r w:rsidRPr="006A5918">
        <w:rPr>
          <w:rFonts w:eastAsiaTheme="minorHAnsi"/>
          <w:color w:val="000000"/>
          <w:sz w:val="20"/>
          <w:szCs w:val="20"/>
          <w:lang w:eastAsia="en-US" w:bidi="ar-SA"/>
        </w:rPr>
        <w:br/>
        <w:t>or other events.</w:t>
      </w:r>
    </w:p>
    <w:p w:rsidR="000C4C8F" w:rsidRPr="006A5918" w:rsidRDefault="000C4C8F" w:rsidP="000C4C8F">
      <w:pPr>
        <w:rPr>
          <w:lang w:eastAsia="en-US" w:bidi="ar-SA"/>
        </w:rPr>
      </w:pPr>
    </w:p>
    <w:p w:rsidR="006A5918" w:rsidRDefault="006A5918" w:rsidP="000C4C8F">
      <w:pPr>
        <w:pStyle w:val="Heading3"/>
        <w:rPr>
          <w:lang w:eastAsia="en-US" w:bidi="ar-SA"/>
        </w:rPr>
      </w:pPr>
      <w:r w:rsidRPr="006A5918">
        <w:rPr>
          <w:lang w:eastAsia="en-US" w:bidi="ar-SA"/>
        </w:rPr>
        <w:t>Other accounting policies</w:t>
      </w:r>
    </w:p>
    <w:p w:rsidR="000C4C8F" w:rsidRPr="006A5918" w:rsidRDefault="000C4C8F" w:rsidP="000C4C8F">
      <w:pPr>
        <w:rPr>
          <w:lang w:eastAsia="en-US" w:bidi="ar-SA"/>
        </w:rPr>
      </w:pPr>
    </w:p>
    <w:p w:rsid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Significant and other accounting policies that summarise the measurement basis used and are relevant to</w:t>
      </w:r>
      <w:r w:rsidRPr="006A5918">
        <w:rPr>
          <w:rFonts w:eastAsiaTheme="minorHAnsi"/>
          <w:color w:val="000000"/>
          <w:sz w:val="20"/>
          <w:szCs w:val="20"/>
          <w:lang w:eastAsia="en-US" w:bidi="ar-SA"/>
        </w:rPr>
        <w:br/>
        <w:t xml:space="preserve">an understanding of the financial statements </w:t>
      </w:r>
      <w:proofErr w:type="gramStart"/>
      <w:r w:rsidRPr="006A5918">
        <w:rPr>
          <w:rFonts w:eastAsiaTheme="minorHAnsi"/>
          <w:color w:val="000000"/>
          <w:sz w:val="20"/>
          <w:szCs w:val="20"/>
          <w:lang w:eastAsia="en-US" w:bidi="ar-SA"/>
        </w:rPr>
        <w:t>are</w:t>
      </w:r>
      <w:proofErr w:type="gramEnd"/>
      <w:r w:rsidRPr="006A5918">
        <w:rPr>
          <w:rFonts w:eastAsiaTheme="minorHAnsi"/>
          <w:color w:val="000000"/>
          <w:sz w:val="20"/>
          <w:szCs w:val="20"/>
          <w:lang w:eastAsia="en-US" w:bidi="ar-SA"/>
        </w:rPr>
        <w:t xml:space="preserve"> provided throughout the notes to the financial statements.</w:t>
      </w:r>
    </w:p>
    <w:p w:rsidR="000C4C8F" w:rsidRDefault="000C4C8F"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0C4C8F" w:rsidRDefault="000C4C8F"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0C4C8F" w:rsidRDefault="000C4C8F"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0C4C8F" w:rsidRDefault="000C4C8F"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0C4C8F" w:rsidRDefault="000C4C8F"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0C4C8F" w:rsidRDefault="000C4C8F"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0C4C8F" w:rsidRDefault="000C4C8F"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0C4C8F" w:rsidRPr="006A5918" w:rsidRDefault="000C4C8F" w:rsidP="000C4C8F">
      <w:pPr>
        <w:rPr>
          <w:lang w:eastAsia="en-US" w:bidi="ar-SA"/>
        </w:rPr>
      </w:pPr>
    </w:p>
    <w:p w:rsidR="000C4C8F" w:rsidRDefault="000C4C8F" w:rsidP="00943EBA">
      <w:pPr>
        <w:pStyle w:val="Heading2"/>
        <w:numPr>
          <w:ilvl w:val="0"/>
          <w:numId w:val="29"/>
        </w:numPr>
      </w:pPr>
      <w:r>
        <w:t xml:space="preserve"> </w:t>
      </w:r>
      <w:bookmarkStart w:id="41" w:name="_Toc23329740"/>
      <w:r>
        <w:t>Funding delivery of our services</w:t>
      </w:r>
      <w:bookmarkEnd w:id="41"/>
    </w:p>
    <w:p w:rsidR="006A5918" w:rsidRPr="006A5918" w:rsidRDefault="006A5918" w:rsidP="000C4C8F">
      <w:pPr>
        <w:rPr>
          <w:lang w:eastAsia="en-US" w:bidi="ar-SA"/>
        </w:rPr>
      </w:pPr>
    </w:p>
    <w:p w:rsidR="006A5918" w:rsidRDefault="006A5918" w:rsidP="000C4C8F">
      <w:pPr>
        <w:pStyle w:val="Heading3"/>
        <w:rPr>
          <w:lang w:eastAsia="en-US" w:bidi="ar-SA"/>
        </w:rPr>
      </w:pPr>
      <w:r w:rsidRPr="006A5918">
        <w:rPr>
          <w:lang w:eastAsia="en-US" w:bidi="ar-SA"/>
        </w:rPr>
        <w:t>Introduction</w:t>
      </w:r>
    </w:p>
    <w:p w:rsidR="000C4C8F" w:rsidRPr="006A5918" w:rsidRDefault="000C4C8F" w:rsidP="000C4C8F">
      <w:pPr>
        <w:rPr>
          <w:lang w:eastAsia="en-US" w:bidi="ar-SA"/>
        </w:rPr>
      </w:pPr>
    </w:p>
    <w:p w:rsidR="006A5918" w:rsidRP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The Commission’s services include:</w:t>
      </w:r>
    </w:p>
    <w:p w:rsidR="006A5918" w:rsidRPr="000C4C8F" w:rsidRDefault="006A5918" w:rsidP="00943EBA">
      <w:pPr>
        <w:pStyle w:val="ListParagraph"/>
        <w:widowControl/>
        <w:numPr>
          <w:ilvl w:val="0"/>
          <w:numId w:val="30"/>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0C4C8F">
        <w:rPr>
          <w:rFonts w:eastAsiaTheme="minorHAnsi"/>
          <w:color w:val="000000"/>
          <w:sz w:val="20"/>
          <w:szCs w:val="20"/>
          <w:lang w:eastAsia="en-US" w:bidi="ar-SA"/>
        </w:rPr>
        <w:t>Strengthening the efficiency, effectiveness and capability of the public sector in order to meet existing</w:t>
      </w:r>
      <w:r w:rsidRPr="000C4C8F">
        <w:rPr>
          <w:rFonts w:eastAsiaTheme="minorHAnsi"/>
          <w:color w:val="000000"/>
          <w:sz w:val="20"/>
          <w:szCs w:val="20"/>
          <w:lang w:eastAsia="en-US" w:bidi="ar-SA"/>
        </w:rPr>
        <w:br/>
        <w:t>and emerging needs and deliver high quality services.</w:t>
      </w:r>
    </w:p>
    <w:p w:rsidR="006A5918" w:rsidRPr="000C4C8F" w:rsidRDefault="006A5918" w:rsidP="00943EBA">
      <w:pPr>
        <w:pStyle w:val="ListParagraph"/>
        <w:widowControl/>
        <w:numPr>
          <w:ilvl w:val="0"/>
          <w:numId w:val="30"/>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0C4C8F">
        <w:rPr>
          <w:rFonts w:eastAsiaTheme="minorHAnsi"/>
          <w:color w:val="000000"/>
          <w:sz w:val="20"/>
          <w:szCs w:val="20"/>
          <w:lang w:eastAsia="en-US" w:bidi="ar-SA"/>
        </w:rPr>
        <w:t>Maintaining, and advocating for, public sector professionalism and integrity.</w:t>
      </w:r>
    </w:p>
    <w:p w:rsid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The Commission is predominantly funded by Parliamentary appropriations for the provision of outputs.</w:t>
      </w:r>
      <w:r w:rsidRPr="006A5918">
        <w:rPr>
          <w:rFonts w:eastAsiaTheme="minorHAnsi"/>
          <w:color w:val="000000"/>
          <w:sz w:val="20"/>
          <w:szCs w:val="20"/>
          <w:lang w:eastAsia="en-US" w:bidi="ar-SA"/>
        </w:rPr>
        <w:br/>
        <w:t>The Parliamentary appropriations are received by the Department of Premier and Cabinet (DPC) and</w:t>
      </w:r>
      <w:r w:rsidRPr="006A5918">
        <w:rPr>
          <w:rFonts w:eastAsiaTheme="minorHAnsi"/>
          <w:color w:val="000000"/>
          <w:sz w:val="20"/>
          <w:szCs w:val="20"/>
          <w:lang w:eastAsia="en-US" w:bidi="ar-SA"/>
        </w:rPr>
        <w:br/>
        <w:t>on-forwarded to the Commission in the form of grants. Other than grants from DPC the Commission</w:t>
      </w:r>
      <w:r w:rsidRPr="006A5918">
        <w:rPr>
          <w:rFonts w:eastAsiaTheme="minorHAnsi"/>
          <w:color w:val="000000"/>
          <w:sz w:val="20"/>
          <w:szCs w:val="20"/>
          <w:lang w:eastAsia="en-US" w:bidi="ar-SA"/>
        </w:rPr>
        <w:br/>
        <w:t>also receives grants and fee for service income from other Victorian government agencies.</w:t>
      </w:r>
    </w:p>
    <w:p w:rsidR="000C4C8F" w:rsidRPr="006A5918" w:rsidRDefault="000C4C8F" w:rsidP="000C4C8F">
      <w:pPr>
        <w:rPr>
          <w:lang w:eastAsia="en-US" w:bidi="ar-SA"/>
        </w:rPr>
      </w:pPr>
    </w:p>
    <w:p w:rsidR="006A5918" w:rsidRDefault="006A5918" w:rsidP="000C4C8F">
      <w:pPr>
        <w:pStyle w:val="Heading3"/>
        <w:rPr>
          <w:lang w:eastAsia="en-US" w:bidi="ar-SA"/>
        </w:rPr>
      </w:pPr>
      <w:r w:rsidRPr="006A5918">
        <w:rPr>
          <w:lang w:eastAsia="en-US" w:bidi="ar-SA"/>
        </w:rPr>
        <w:t>Structure</w:t>
      </w:r>
    </w:p>
    <w:p w:rsidR="000C4C8F" w:rsidRPr="006A5918" w:rsidRDefault="000C4C8F" w:rsidP="000C4C8F">
      <w:pPr>
        <w:rPr>
          <w:lang w:eastAsia="en-US" w:bidi="ar-SA"/>
        </w:rPr>
      </w:pPr>
    </w:p>
    <w:p w:rsidR="006A5918" w:rsidRPr="006A5918" w:rsidRDefault="006A5918" w:rsidP="000C4C8F">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2.1</w:t>
      </w:r>
      <w:r w:rsidRPr="006A5918">
        <w:rPr>
          <w:rFonts w:eastAsiaTheme="minorHAnsi"/>
          <w:color w:val="000000"/>
          <w:sz w:val="20"/>
          <w:szCs w:val="20"/>
          <w:lang w:eastAsia="en-US" w:bidi="ar-SA"/>
        </w:rPr>
        <w:t> </w:t>
      </w:r>
      <w:r w:rsidRPr="006A5918">
        <w:rPr>
          <w:rFonts w:eastAsiaTheme="minorHAnsi"/>
          <w:color w:val="000000"/>
          <w:sz w:val="20"/>
          <w:szCs w:val="20"/>
          <w:lang w:eastAsia="en-US" w:bidi="ar-SA"/>
        </w:rPr>
        <w:t>Income that funds the delivery of our services</w:t>
      </w:r>
    </w:p>
    <w:p w:rsidR="006A5918" w:rsidRPr="006A5918" w:rsidRDefault="006A5918" w:rsidP="000C4C8F">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2.2</w:t>
      </w:r>
      <w:r w:rsidRPr="006A5918">
        <w:rPr>
          <w:rFonts w:eastAsiaTheme="minorHAnsi"/>
          <w:color w:val="000000"/>
          <w:sz w:val="20"/>
          <w:szCs w:val="20"/>
          <w:lang w:eastAsia="en-US" w:bidi="ar-SA"/>
        </w:rPr>
        <w:t> </w:t>
      </w:r>
      <w:r w:rsidRPr="006A5918">
        <w:rPr>
          <w:rFonts w:eastAsiaTheme="minorHAnsi"/>
          <w:color w:val="000000"/>
          <w:sz w:val="20"/>
          <w:szCs w:val="20"/>
          <w:lang w:eastAsia="en-US" w:bidi="ar-SA"/>
        </w:rPr>
        <w:t>Grants</w:t>
      </w:r>
    </w:p>
    <w:p w:rsidR="006A5918" w:rsidRDefault="006A5918" w:rsidP="000C4C8F">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2.3</w:t>
      </w:r>
      <w:r w:rsidRPr="006A5918">
        <w:rPr>
          <w:rFonts w:eastAsiaTheme="minorHAnsi"/>
          <w:color w:val="000000"/>
          <w:sz w:val="20"/>
          <w:szCs w:val="20"/>
          <w:lang w:eastAsia="en-US" w:bidi="ar-SA"/>
        </w:rPr>
        <w:t> </w:t>
      </w:r>
      <w:r w:rsidRPr="006A5918">
        <w:rPr>
          <w:rFonts w:eastAsiaTheme="minorHAnsi"/>
          <w:color w:val="000000"/>
          <w:sz w:val="20"/>
          <w:szCs w:val="20"/>
          <w:lang w:eastAsia="en-US" w:bidi="ar-SA"/>
        </w:rPr>
        <w:t>Provision of services</w:t>
      </w:r>
    </w:p>
    <w:p w:rsidR="000C4C8F" w:rsidRPr="006A5918" w:rsidRDefault="000C4C8F" w:rsidP="000C4C8F">
      <w:pPr>
        <w:widowControl/>
        <w:suppressAutoHyphens/>
        <w:adjustRightInd w:val="0"/>
        <w:spacing w:after="57" w:line="220" w:lineRule="atLeast"/>
        <w:ind w:left="709" w:right="1137"/>
        <w:textAlignment w:val="center"/>
        <w:rPr>
          <w:rFonts w:eastAsiaTheme="minorHAnsi"/>
          <w:color w:val="000000"/>
          <w:sz w:val="20"/>
          <w:szCs w:val="20"/>
          <w:lang w:eastAsia="en-US" w:bidi="ar-SA"/>
        </w:rPr>
      </w:pPr>
    </w:p>
    <w:p w:rsidR="006A5918" w:rsidRDefault="006A5918" w:rsidP="00943EBA">
      <w:pPr>
        <w:pStyle w:val="Heading4"/>
        <w:numPr>
          <w:ilvl w:val="1"/>
          <w:numId w:val="29"/>
        </w:numPr>
        <w:rPr>
          <w:lang w:eastAsia="en-US" w:bidi="ar-SA"/>
        </w:rPr>
      </w:pPr>
      <w:r w:rsidRPr="006A5918">
        <w:rPr>
          <w:lang w:eastAsia="en-US" w:bidi="ar-SA"/>
        </w:rPr>
        <w:t>Income that funds the delivery of our services</w:t>
      </w:r>
    </w:p>
    <w:p w:rsidR="000C4C8F" w:rsidRPr="006A5918" w:rsidRDefault="000C4C8F" w:rsidP="000C4C8F">
      <w:pPr>
        <w:rPr>
          <w:lang w:eastAsia="en-US" w:bidi="ar-SA"/>
        </w:rPr>
      </w:pPr>
    </w:p>
    <w:tbl>
      <w:tblPr>
        <w:tblStyle w:val="TableGrid"/>
        <w:tblW w:w="0" w:type="auto"/>
        <w:tblInd w:w="702" w:type="dxa"/>
        <w:tblLayout w:type="fixed"/>
        <w:tblLook w:val="0000" w:firstRow="0" w:lastRow="0" w:firstColumn="0" w:lastColumn="0" w:noHBand="0" w:noVBand="0"/>
      </w:tblPr>
      <w:tblGrid>
        <w:gridCol w:w="5111"/>
        <w:gridCol w:w="1553"/>
        <w:gridCol w:w="1701"/>
        <w:gridCol w:w="1560"/>
      </w:tblGrid>
      <w:tr w:rsidR="000C4C8F" w:rsidRPr="006A5918" w:rsidTr="000C4C8F">
        <w:trPr>
          <w:trHeight w:val="60"/>
        </w:trPr>
        <w:tc>
          <w:tcPr>
            <w:tcW w:w="5111" w:type="dxa"/>
          </w:tcPr>
          <w:p w:rsidR="006A5918" w:rsidRPr="006A5918" w:rsidRDefault="006A5918" w:rsidP="006A5918">
            <w:pPr>
              <w:widowControl/>
              <w:adjustRightInd w:val="0"/>
              <w:rPr>
                <w:rFonts w:eastAsiaTheme="minorHAnsi"/>
                <w:sz w:val="20"/>
                <w:szCs w:val="20"/>
                <w:lang w:eastAsia="en-US" w:bidi="ar-SA"/>
              </w:rPr>
            </w:pPr>
          </w:p>
        </w:tc>
        <w:tc>
          <w:tcPr>
            <w:tcW w:w="1553" w:type="dxa"/>
          </w:tcPr>
          <w:p w:rsidR="006A5918" w:rsidRPr="006A5918" w:rsidRDefault="006A5918" w:rsidP="006A5918">
            <w:pPr>
              <w:widowControl/>
              <w:adjustRightInd w:val="0"/>
              <w:rPr>
                <w:rFonts w:eastAsiaTheme="minorHAnsi"/>
                <w:sz w:val="20"/>
                <w:szCs w:val="20"/>
                <w:lang w:eastAsia="en-US" w:bidi="ar-SA"/>
              </w:rPr>
            </w:pPr>
          </w:p>
        </w:tc>
        <w:tc>
          <w:tcPr>
            <w:tcW w:w="1701" w:type="dxa"/>
          </w:tcPr>
          <w:p w:rsidR="006A5918" w:rsidRPr="006A5918" w:rsidRDefault="006A5918" w:rsidP="006A591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6A5918">
              <w:rPr>
                <w:rFonts w:eastAsiaTheme="minorHAnsi"/>
                <w:b/>
                <w:bCs/>
                <w:sz w:val="20"/>
                <w:szCs w:val="20"/>
                <w:lang w:eastAsia="en-US" w:bidi="ar-SA"/>
              </w:rPr>
              <w:t>2019</w:t>
            </w:r>
          </w:p>
        </w:tc>
        <w:tc>
          <w:tcPr>
            <w:tcW w:w="1560" w:type="dxa"/>
          </w:tcPr>
          <w:p w:rsidR="006A5918" w:rsidRPr="006A5918" w:rsidRDefault="006A5918" w:rsidP="006A591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6A5918">
              <w:rPr>
                <w:rFonts w:eastAsiaTheme="minorHAnsi"/>
                <w:b/>
                <w:bCs/>
                <w:sz w:val="20"/>
                <w:szCs w:val="20"/>
                <w:lang w:eastAsia="en-US" w:bidi="ar-SA"/>
              </w:rPr>
              <w:t>2018</w:t>
            </w:r>
          </w:p>
        </w:tc>
      </w:tr>
      <w:tr w:rsidR="000C4C8F" w:rsidRPr="006A5918" w:rsidTr="000C4C8F">
        <w:trPr>
          <w:trHeight w:val="60"/>
        </w:trPr>
        <w:tc>
          <w:tcPr>
            <w:tcW w:w="5111" w:type="dxa"/>
          </w:tcPr>
          <w:p w:rsidR="006A5918" w:rsidRPr="006A5918" w:rsidRDefault="006A5918" w:rsidP="006A5918">
            <w:pPr>
              <w:widowControl/>
              <w:adjustRightInd w:val="0"/>
              <w:rPr>
                <w:rFonts w:eastAsiaTheme="minorHAnsi"/>
                <w:sz w:val="20"/>
                <w:szCs w:val="20"/>
                <w:lang w:eastAsia="en-US" w:bidi="ar-SA"/>
              </w:rPr>
            </w:pPr>
          </w:p>
        </w:tc>
        <w:tc>
          <w:tcPr>
            <w:tcW w:w="1553" w:type="dxa"/>
          </w:tcPr>
          <w:p w:rsidR="006A5918" w:rsidRPr="006A5918" w:rsidRDefault="006A5918" w:rsidP="006A591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6A5918">
              <w:rPr>
                <w:rFonts w:eastAsiaTheme="minorHAnsi"/>
                <w:b/>
                <w:bCs/>
                <w:sz w:val="20"/>
                <w:szCs w:val="20"/>
                <w:lang w:eastAsia="en-US" w:bidi="ar-SA"/>
              </w:rPr>
              <w:t>Notes</w:t>
            </w:r>
          </w:p>
        </w:tc>
        <w:tc>
          <w:tcPr>
            <w:tcW w:w="1701" w:type="dxa"/>
          </w:tcPr>
          <w:p w:rsidR="006A5918" w:rsidRPr="006A5918" w:rsidRDefault="006A5918" w:rsidP="006A591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6A5918">
              <w:rPr>
                <w:rFonts w:eastAsiaTheme="minorHAnsi"/>
                <w:b/>
                <w:bCs/>
                <w:sz w:val="20"/>
                <w:szCs w:val="20"/>
                <w:lang w:eastAsia="en-US" w:bidi="ar-SA"/>
              </w:rPr>
              <w:t>$</w:t>
            </w:r>
          </w:p>
        </w:tc>
        <w:tc>
          <w:tcPr>
            <w:tcW w:w="1560" w:type="dxa"/>
          </w:tcPr>
          <w:p w:rsidR="006A5918" w:rsidRPr="006A5918" w:rsidRDefault="006A5918" w:rsidP="006A591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6A5918">
              <w:rPr>
                <w:rFonts w:eastAsiaTheme="minorHAnsi"/>
                <w:b/>
                <w:bCs/>
                <w:sz w:val="20"/>
                <w:szCs w:val="20"/>
                <w:lang w:eastAsia="en-US" w:bidi="ar-SA"/>
              </w:rPr>
              <w:t>$</w:t>
            </w:r>
          </w:p>
        </w:tc>
      </w:tr>
      <w:tr w:rsidR="000C4C8F" w:rsidRPr="006A5918" w:rsidTr="000C4C8F">
        <w:trPr>
          <w:trHeight w:val="60"/>
        </w:trPr>
        <w:tc>
          <w:tcPr>
            <w:tcW w:w="9925" w:type="dxa"/>
            <w:gridSpan w:val="4"/>
          </w:tcPr>
          <w:p w:rsidR="006A5918" w:rsidRPr="006A5918" w:rsidRDefault="006A5918" w:rsidP="006A5918">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6A5918">
              <w:rPr>
                <w:rFonts w:eastAsiaTheme="minorHAnsi"/>
                <w:b/>
                <w:bCs/>
                <w:sz w:val="20"/>
                <w:szCs w:val="20"/>
                <w:lang w:eastAsia="en-US" w:bidi="ar-SA"/>
              </w:rPr>
              <w:t>Income from transactions</w:t>
            </w:r>
          </w:p>
        </w:tc>
      </w:tr>
      <w:tr w:rsidR="000C4C8F" w:rsidRPr="006A5918" w:rsidTr="000C4C8F">
        <w:trPr>
          <w:trHeight w:val="60"/>
        </w:trPr>
        <w:tc>
          <w:tcPr>
            <w:tcW w:w="5111" w:type="dxa"/>
          </w:tcPr>
          <w:p w:rsidR="006A5918" w:rsidRPr="006A5918" w:rsidRDefault="006A5918" w:rsidP="006A5918">
            <w:pPr>
              <w:widowControl/>
              <w:suppressAutoHyphens/>
              <w:adjustRightInd w:val="0"/>
              <w:spacing w:after="113" w:line="220" w:lineRule="atLeast"/>
              <w:textAlignment w:val="center"/>
              <w:rPr>
                <w:rFonts w:eastAsiaTheme="minorHAnsi"/>
                <w:sz w:val="20"/>
                <w:szCs w:val="20"/>
                <w:lang w:eastAsia="en-US" w:bidi="ar-SA"/>
              </w:rPr>
            </w:pPr>
            <w:r w:rsidRPr="006A5918">
              <w:rPr>
                <w:rFonts w:eastAsiaTheme="minorHAnsi"/>
                <w:sz w:val="20"/>
                <w:szCs w:val="20"/>
                <w:lang w:eastAsia="en-US" w:bidi="ar-SA"/>
              </w:rPr>
              <w:t>Grants</w:t>
            </w:r>
          </w:p>
        </w:tc>
        <w:tc>
          <w:tcPr>
            <w:tcW w:w="1553"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2.2</w:t>
            </w:r>
          </w:p>
        </w:tc>
        <w:tc>
          <w:tcPr>
            <w:tcW w:w="1701"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13,990,880</w:t>
            </w:r>
          </w:p>
        </w:tc>
        <w:tc>
          <w:tcPr>
            <w:tcW w:w="1560"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13,797,768</w:t>
            </w:r>
          </w:p>
        </w:tc>
      </w:tr>
      <w:tr w:rsidR="000C4C8F" w:rsidRPr="006A5918" w:rsidTr="000C4C8F">
        <w:trPr>
          <w:trHeight w:val="60"/>
        </w:trPr>
        <w:tc>
          <w:tcPr>
            <w:tcW w:w="5111" w:type="dxa"/>
          </w:tcPr>
          <w:p w:rsidR="006A5918" w:rsidRPr="006A5918" w:rsidRDefault="006A5918" w:rsidP="006A5918">
            <w:pPr>
              <w:widowControl/>
              <w:suppressAutoHyphens/>
              <w:adjustRightInd w:val="0"/>
              <w:spacing w:after="113" w:line="220" w:lineRule="atLeast"/>
              <w:textAlignment w:val="center"/>
              <w:rPr>
                <w:rFonts w:eastAsiaTheme="minorHAnsi"/>
                <w:sz w:val="20"/>
                <w:szCs w:val="20"/>
                <w:lang w:eastAsia="en-US" w:bidi="ar-SA"/>
              </w:rPr>
            </w:pPr>
            <w:r w:rsidRPr="006A5918">
              <w:rPr>
                <w:rFonts w:eastAsiaTheme="minorHAnsi"/>
                <w:sz w:val="20"/>
                <w:szCs w:val="20"/>
                <w:lang w:eastAsia="en-US" w:bidi="ar-SA"/>
              </w:rPr>
              <w:t>Provision of services</w:t>
            </w:r>
          </w:p>
        </w:tc>
        <w:tc>
          <w:tcPr>
            <w:tcW w:w="1553"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2.3</w:t>
            </w:r>
          </w:p>
        </w:tc>
        <w:tc>
          <w:tcPr>
            <w:tcW w:w="1701"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3,794,905</w:t>
            </w:r>
          </w:p>
        </w:tc>
        <w:tc>
          <w:tcPr>
            <w:tcW w:w="1560"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3,313,300</w:t>
            </w:r>
          </w:p>
        </w:tc>
      </w:tr>
      <w:tr w:rsidR="000C4C8F" w:rsidRPr="006A5918" w:rsidTr="000C4C8F">
        <w:trPr>
          <w:trHeight w:val="60"/>
        </w:trPr>
        <w:tc>
          <w:tcPr>
            <w:tcW w:w="5111" w:type="dxa"/>
          </w:tcPr>
          <w:p w:rsidR="006A5918" w:rsidRPr="006A5918" w:rsidRDefault="006A5918" w:rsidP="006A5918">
            <w:pPr>
              <w:widowControl/>
              <w:suppressAutoHyphens/>
              <w:adjustRightInd w:val="0"/>
              <w:spacing w:after="113" w:line="220" w:lineRule="atLeast"/>
              <w:textAlignment w:val="center"/>
              <w:rPr>
                <w:rFonts w:eastAsiaTheme="minorHAnsi"/>
                <w:sz w:val="20"/>
                <w:szCs w:val="20"/>
                <w:lang w:eastAsia="en-US" w:bidi="ar-SA"/>
              </w:rPr>
            </w:pPr>
            <w:r w:rsidRPr="006A5918">
              <w:rPr>
                <w:rFonts w:eastAsiaTheme="minorHAnsi"/>
                <w:sz w:val="20"/>
                <w:szCs w:val="20"/>
                <w:lang w:eastAsia="en-US" w:bidi="ar-SA"/>
              </w:rPr>
              <w:t>Other operating income</w:t>
            </w:r>
          </w:p>
        </w:tc>
        <w:tc>
          <w:tcPr>
            <w:tcW w:w="1553" w:type="dxa"/>
          </w:tcPr>
          <w:p w:rsidR="006A5918" w:rsidRPr="006A5918" w:rsidRDefault="006A5918" w:rsidP="006A5918">
            <w:pPr>
              <w:widowControl/>
              <w:adjustRightInd w:val="0"/>
              <w:rPr>
                <w:rFonts w:eastAsiaTheme="minorHAnsi"/>
                <w:sz w:val="20"/>
                <w:szCs w:val="20"/>
                <w:lang w:eastAsia="en-US" w:bidi="ar-SA"/>
              </w:rPr>
            </w:pPr>
          </w:p>
        </w:tc>
        <w:tc>
          <w:tcPr>
            <w:tcW w:w="1701"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6,600</w:t>
            </w:r>
          </w:p>
        </w:tc>
        <w:tc>
          <w:tcPr>
            <w:tcW w:w="1560"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1,200</w:t>
            </w:r>
          </w:p>
        </w:tc>
      </w:tr>
      <w:tr w:rsidR="000C4C8F" w:rsidRPr="006A5918" w:rsidTr="000C4C8F">
        <w:trPr>
          <w:trHeight w:val="60"/>
        </w:trPr>
        <w:tc>
          <w:tcPr>
            <w:tcW w:w="5111" w:type="dxa"/>
          </w:tcPr>
          <w:p w:rsidR="006A5918" w:rsidRPr="006A5918" w:rsidRDefault="006A5918" w:rsidP="006A5918">
            <w:pPr>
              <w:widowControl/>
              <w:suppressAutoHyphens/>
              <w:adjustRightInd w:val="0"/>
              <w:spacing w:after="113" w:line="220" w:lineRule="atLeast"/>
              <w:textAlignment w:val="center"/>
              <w:rPr>
                <w:rFonts w:eastAsiaTheme="minorHAnsi"/>
                <w:sz w:val="20"/>
                <w:szCs w:val="20"/>
                <w:lang w:eastAsia="en-US" w:bidi="ar-SA"/>
              </w:rPr>
            </w:pPr>
            <w:r w:rsidRPr="006A5918">
              <w:rPr>
                <w:rFonts w:eastAsiaTheme="minorHAnsi"/>
                <w:sz w:val="20"/>
                <w:szCs w:val="20"/>
                <w:lang w:eastAsia="en-US" w:bidi="ar-SA"/>
              </w:rPr>
              <w:t>Total income from transactions</w:t>
            </w:r>
          </w:p>
        </w:tc>
        <w:tc>
          <w:tcPr>
            <w:tcW w:w="1553" w:type="dxa"/>
          </w:tcPr>
          <w:p w:rsidR="006A5918" w:rsidRPr="006A5918" w:rsidRDefault="006A5918" w:rsidP="006A5918">
            <w:pPr>
              <w:widowControl/>
              <w:adjustRightInd w:val="0"/>
              <w:rPr>
                <w:rFonts w:eastAsiaTheme="minorHAnsi"/>
                <w:sz w:val="20"/>
                <w:szCs w:val="20"/>
                <w:lang w:eastAsia="en-US" w:bidi="ar-SA"/>
              </w:rPr>
            </w:pPr>
          </w:p>
        </w:tc>
        <w:tc>
          <w:tcPr>
            <w:tcW w:w="1701"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17,792,385</w:t>
            </w:r>
          </w:p>
        </w:tc>
        <w:tc>
          <w:tcPr>
            <w:tcW w:w="1560"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17,112,268</w:t>
            </w:r>
          </w:p>
        </w:tc>
      </w:tr>
    </w:tbl>
    <w:p w:rsidR="006A5918" w:rsidRPr="006A5918" w:rsidRDefault="006A5918" w:rsidP="006A5918">
      <w:pPr>
        <w:widowControl/>
        <w:suppressAutoHyphens/>
        <w:adjustRightInd w:val="0"/>
        <w:spacing w:after="227" w:line="220" w:lineRule="atLeast"/>
        <w:textAlignment w:val="center"/>
        <w:rPr>
          <w:rFonts w:eastAsiaTheme="minorHAnsi"/>
          <w:color w:val="000000"/>
          <w:sz w:val="20"/>
          <w:szCs w:val="20"/>
          <w:lang w:eastAsia="en-US" w:bidi="ar-SA"/>
        </w:rPr>
      </w:pPr>
    </w:p>
    <w:p w:rsid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Income is recognised to the extent that it is probable that the economic benefits will flow to the Commission and the income can be reliably measured.</w:t>
      </w:r>
    </w:p>
    <w:p w:rsidR="000C4C8F" w:rsidRPr="006A5918" w:rsidRDefault="000C4C8F" w:rsidP="000C4C8F">
      <w:pPr>
        <w:rPr>
          <w:lang w:eastAsia="en-US" w:bidi="ar-SA"/>
        </w:rPr>
      </w:pPr>
    </w:p>
    <w:p w:rsidR="006A5918" w:rsidRDefault="006A5918" w:rsidP="000C4C8F">
      <w:pPr>
        <w:pStyle w:val="Heading4"/>
        <w:rPr>
          <w:lang w:eastAsia="en-US" w:bidi="ar-SA"/>
        </w:rPr>
      </w:pPr>
      <w:r w:rsidRPr="006A5918">
        <w:rPr>
          <w:lang w:eastAsia="en-US" w:bidi="ar-SA"/>
        </w:rPr>
        <w:t>2.2</w:t>
      </w:r>
      <w:r w:rsidRPr="006A5918">
        <w:rPr>
          <w:lang w:eastAsia="en-US" w:bidi="ar-SA"/>
        </w:rPr>
        <w:t> </w:t>
      </w:r>
      <w:r w:rsidRPr="006A5918">
        <w:rPr>
          <w:lang w:eastAsia="en-US" w:bidi="ar-SA"/>
        </w:rPr>
        <w:t>Grants</w:t>
      </w:r>
    </w:p>
    <w:p w:rsidR="000C4C8F" w:rsidRPr="006A5918" w:rsidRDefault="000C4C8F" w:rsidP="000C4C8F">
      <w:pPr>
        <w:rPr>
          <w:lang w:eastAsia="en-US" w:bidi="ar-SA"/>
        </w:rPr>
      </w:pPr>
    </w:p>
    <w:tbl>
      <w:tblPr>
        <w:tblStyle w:val="TableGrid"/>
        <w:tblW w:w="0" w:type="auto"/>
        <w:tblInd w:w="714" w:type="dxa"/>
        <w:tblLayout w:type="fixed"/>
        <w:tblLook w:val="0000" w:firstRow="0" w:lastRow="0" w:firstColumn="0" w:lastColumn="0" w:noHBand="0" w:noVBand="0"/>
      </w:tblPr>
      <w:tblGrid>
        <w:gridCol w:w="6227"/>
        <w:gridCol w:w="1843"/>
        <w:gridCol w:w="1843"/>
      </w:tblGrid>
      <w:tr w:rsidR="000C4C8F" w:rsidRPr="006A5918" w:rsidTr="000C4C8F">
        <w:trPr>
          <w:trHeight w:val="60"/>
        </w:trPr>
        <w:tc>
          <w:tcPr>
            <w:tcW w:w="6227" w:type="dxa"/>
          </w:tcPr>
          <w:p w:rsidR="006A5918" w:rsidRPr="006A5918" w:rsidRDefault="006A5918" w:rsidP="006A5918">
            <w:pPr>
              <w:widowControl/>
              <w:adjustRightInd w:val="0"/>
              <w:rPr>
                <w:rFonts w:eastAsiaTheme="minorHAnsi"/>
                <w:sz w:val="20"/>
                <w:szCs w:val="20"/>
                <w:lang w:eastAsia="en-US" w:bidi="ar-SA"/>
              </w:rPr>
            </w:pPr>
          </w:p>
        </w:tc>
        <w:tc>
          <w:tcPr>
            <w:tcW w:w="1843" w:type="dxa"/>
          </w:tcPr>
          <w:p w:rsidR="006A5918" w:rsidRPr="006A5918" w:rsidRDefault="006A5918" w:rsidP="006A591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6A5918">
              <w:rPr>
                <w:rFonts w:eastAsiaTheme="minorHAnsi"/>
                <w:b/>
                <w:bCs/>
                <w:sz w:val="20"/>
                <w:szCs w:val="20"/>
                <w:lang w:eastAsia="en-US" w:bidi="ar-SA"/>
              </w:rPr>
              <w:t>2019</w:t>
            </w:r>
          </w:p>
        </w:tc>
        <w:tc>
          <w:tcPr>
            <w:tcW w:w="1843" w:type="dxa"/>
          </w:tcPr>
          <w:p w:rsidR="006A5918" w:rsidRPr="006A5918" w:rsidRDefault="006A5918" w:rsidP="006A591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6A5918">
              <w:rPr>
                <w:rFonts w:eastAsiaTheme="minorHAnsi"/>
                <w:b/>
                <w:bCs/>
                <w:sz w:val="20"/>
                <w:szCs w:val="20"/>
                <w:lang w:eastAsia="en-US" w:bidi="ar-SA"/>
              </w:rPr>
              <w:t>2018</w:t>
            </w:r>
          </w:p>
        </w:tc>
      </w:tr>
      <w:tr w:rsidR="000C4C8F" w:rsidRPr="006A5918" w:rsidTr="000C4C8F">
        <w:trPr>
          <w:trHeight w:val="60"/>
        </w:trPr>
        <w:tc>
          <w:tcPr>
            <w:tcW w:w="6227" w:type="dxa"/>
          </w:tcPr>
          <w:p w:rsidR="006A5918" w:rsidRPr="006A5918" w:rsidRDefault="006A5918" w:rsidP="006A5918">
            <w:pPr>
              <w:widowControl/>
              <w:adjustRightInd w:val="0"/>
              <w:rPr>
                <w:rFonts w:eastAsiaTheme="minorHAnsi"/>
                <w:sz w:val="20"/>
                <w:szCs w:val="20"/>
                <w:lang w:eastAsia="en-US" w:bidi="ar-SA"/>
              </w:rPr>
            </w:pPr>
          </w:p>
        </w:tc>
        <w:tc>
          <w:tcPr>
            <w:tcW w:w="1843" w:type="dxa"/>
          </w:tcPr>
          <w:p w:rsidR="006A5918" w:rsidRPr="006A5918" w:rsidRDefault="006A5918" w:rsidP="006A591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6A5918">
              <w:rPr>
                <w:rFonts w:eastAsiaTheme="minorHAnsi"/>
                <w:b/>
                <w:bCs/>
                <w:sz w:val="20"/>
                <w:szCs w:val="20"/>
                <w:lang w:eastAsia="en-US" w:bidi="ar-SA"/>
              </w:rPr>
              <w:t>$</w:t>
            </w:r>
          </w:p>
        </w:tc>
        <w:tc>
          <w:tcPr>
            <w:tcW w:w="1843" w:type="dxa"/>
          </w:tcPr>
          <w:p w:rsidR="006A5918" w:rsidRPr="006A5918" w:rsidRDefault="006A5918" w:rsidP="006A591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6A5918">
              <w:rPr>
                <w:rFonts w:eastAsiaTheme="minorHAnsi"/>
                <w:b/>
                <w:bCs/>
                <w:sz w:val="20"/>
                <w:szCs w:val="20"/>
                <w:lang w:eastAsia="en-US" w:bidi="ar-SA"/>
              </w:rPr>
              <w:t>$</w:t>
            </w:r>
          </w:p>
        </w:tc>
      </w:tr>
      <w:tr w:rsidR="000C4C8F" w:rsidRPr="006A5918" w:rsidTr="000C4C8F">
        <w:trPr>
          <w:trHeight w:val="60"/>
        </w:trPr>
        <w:tc>
          <w:tcPr>
            <w:tcW w:w="6227" w:type="dxa"/>
          </w:tcPr>
          <w:p w:rsidR="006A5918" w:rsidRPr="006A5918" w:rsidRDefault="006A5918" w:rsidP="006A5918">
            <w:pPr>
              <w:widowControl/>
              <w:suppressAutoHyphens/>
              <w:adjustRightInd w:val="0"/>
              <w:spacing w:after="113" w:line="220" w:lineRule="atLeast"/>
              <w:textAlignment w:val="center"/>
              <w:rPr>
                <w:rFonts w:eastAsiaTheme="minorHAnsi"/>
                <w:sz w:val="20"/>
                <w:szCs w:val="20"/>
                <w:lang w:eastAsia="en-US" w:bidi="ar-SA"/>
              </w:rPr>
            </w:pPr>
            <w:r w:rsidRPr="006A5918">
              <w:rPr>
                <w:rFonts w:eastAsiaTheme="minorHAnsi"/>
                <w:sz w:val="20"/>
                <w:szCs w:val="20"/>
                <w:lang w:eastAsia="en-US" w:bidi="ar-SA"/>
              </w:rPr>
              <w:t>Grants from Department of Premier and Cabinet</w:t>
            </w:r>
            <w:r w:rsidRPr="006A5918">
              <w:rPr>
                <w:rFonts w:eastAsiaTheme="minorHAnsi"/>
                <w:sz w:val="20"/>
                <w:szCs w:val="20"/>
                <w:vertAlign w:val="superscript"/>
                <w:lang w:eastAsia="en-US" w:bidi="ar-SA"/>
              </w:rPr>
              <w:t>(</w:t>
            </w:r>
            <w:proofErr w:type="spellStart"/>
            <w:r w:rsidRPr="006A5918">
              <w:rPr>
                <w:rFonts w:eastAsiaTheme="minorHAnsi"/>
                <w:sz w:val="20"/>
                <w:szCs w:val="20"/>
                <w:vertAlign w:val="superscript"/>
                <w:lang w:eastAsia="en-US" w:bidi="ar-SA"/>
              </w:rPr>
              <w:t>i</w:t>
            </w:r>
            <w:proofErr w:type="spellEnd"/>
            <w:r w:rsidRPr="006A5918">
              <w:rPr>
                <w:rFonts w:eastAsiaTheme="minorHAnsi"/>
                <w:sz w:val="20"/>
                <w:szCs w:val="20"/>
                <w:vertAlign w:val="superscript"/>
                <w:lang w:eastAsia="en-US" w:bidi="ar-SA"/>
              </w:rPr>
              <w:t>)</w:t>
            </w:r>
          </w:p>
        </w:tc>
        <w:tc>
          <w:tcPr>
            <w:tcW w:w="1843"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9,991,075</w:t>
            </w:r>
          </w:p>
        </w:tc>
        <w:tc>
          <w:tcPr>
            <w:tcW w:w="1843"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6,717,842</w:t>
            </w:r>
          </w:p>
        </w:tc>
      </w:tr>
      <w:tr w:rsidR="000C4C8F" w:rsidRPr="006A5918" w:rsidTr="000C4C8F">
        <w:trPr>
          <w:trHeight w:val="60"/>
        </w:trPr>
        <w:tc>
          <w:tcPr>
            <w:tcW w:w="6227" w:type="dxa"/>
          </w:tcPr>
          <w:p w:rsidR="006A5918" w:rsidRPr="006A5918" w:rsidRDefault="006A5918" w:rsidP="006A5918">
            <w:pPr>
              <w:widowControl/>
              <w:suppressAutoHyphens/>
              <w:adjustRightInd w:val="0"/>
              <w:spacing w:after="113" w:line="220" w:lineRule="atLeast"/>
              <w:textAlignment w:val="center"/>
              <w:rPr>
                <w:rFonts w:eastAsiaTheme="minorHAnsi"/>
                <w:sz w:val="20"/>
                <w:szCs w:val="20"/>
                <w:lang w:eastAsia="en-US" w:bidi="ar-SA"/>
              </w:rPr>
            </w:pPr>
            <w:r w:rsidRPr="006A5918">
              <w:rPr>
                <w:rFonts w:eastAsiaTheme="minorHAnsi"/>
                <w:sz w:val="20"/>
                <w:szCs w:val="20"/>
                <w:lang w:eastAsia="en-US" w:bidi="ar-SA"/>
              </w:rPr>
              <w:t>Other grants from Victorian government agencies</w:t>
            </w:r>
            <w:r w:rsidRPr="006A5918">
              <w:rPr>
                <w:rFonts w:eastAsiaTheme="minorHAnsi"/>
                <w:sz w:val="20"/>
                <w:szCs w:val="20"/>
                <w:vertAlign w:val="superscript"/>
                <w:lang w:eastAsia="en-US" w:bidi="ar-SA"/>
              </w:rPr>
              <w:t>(ii)</w:t>
            </w:r>
          </w:p>
        </w:tc>
        <w:tc>
          <w:tcPr>
            <w:tcW w:w="1843"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3,999,805</w:t>
            </w:r>
          </w:p>
        </w:tc>
        <w:tc>
          <w:tcPr>
            <w:tcW w:w="1843"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7,079,926</w:t>
            </w:r>
          </w:p>
        </w:tc>
      </w:tr>
      <w:tr w:rsidR="000C4C8F" w:rsidRPr="006A5918" w:rsidTr="000C4C8F">
        <w:trPr>
          <w:trHeight w:val="60"/>
        </w:trPr>
        <w:tc>
          <w:tcPr>
            <w:tcW w:w="6227" w:type="dxa"/>
          </w:tcPr>
          <w:p w:rsidR="006A5918" w:rsidRPr="006A5918" w:rsidRDefault="006A5918" w:rsidP="006A5918">
            <w:pPr>
              <w:widowControl/>
              <w:suppressAutoHyphens/>
              <w:adjustRightInd w:val="0"/>
              <w:spacing w:after="113" w:line="220" w:lineRule="atLeast"/>
              <w:textAlignment w:val="center"/>
              <w:rPr>
                <w:rFonts w:eastAsiaTheme="minorHAnsi"/>
                <w:sz w:val="20"/>
                <w:szCs w:val="20"/>
                <w:lang w:eastAsia="en-US" w:bidi="ar-SA"/>
              </w:rPr>
            </w:pPr>
            <w:r w:rsidRPr="006A5918">
              <w:rPr>
                <w:rFonts w:eastAsiaTheme="minorHAnsi"/>
                <w:sz w:val="20"/>
                <w:szCs w:val="20"/>
                <w:lang w:eastAsia="en-US" w:bidi="ar-SA"/>
              </w:rPr>
              <w:t>Total grants</w:t>
            </w:r>
          </w:p>
        </w:tc>
        <w:tc>
          <w:tcPr>
            <w:tcW w:w="1843"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13,990,880</w:t>
            </w:r>
          </w:p>
        </w:tc>
        <w:tc>
          <w:tcPr>
            <w:tcW w:w="1843"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13,797,768</w:t>
            </w:r>
          </w:p>
        </w:tc>
      </w:tr>
    </w:tbl>
    <w:p w:rsidR="006A5918" w:rsidRPr="006A5918" w:rsidRDefault="006A5918" w:rsidP="006A5918">
      <w:pPr>
        <w:widowControl/>
        <w:suppressAutoHyphens/>
        <w:adjustRightInd w:val="0"/>
        <w:spacing w:after="113" w:line="220" w:lineRule="atLeast"/>
        <w:textAlignment w:val="center"/>
        <w:rPr>
          <w:rFonts w:eastAsiaTheme="minorHAnsi"/>
          <w:color w:val="000000"/>
          <w:sz w:val="20"/>
          <w:szCs w:val="20"/>
          <w:lang w:eastAsia="en-US" w:bidi="ar-SA"/>
        </w:rPr>
      </w:pPr>
    </w:p>
    <w:p w:rsidR="006A5918" w:rsidRP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Income from grants (other than contribution by owners) is recognised when the Commission obtains control over the grant. Where grants are reciprocal (i.e. equal value is given back by the Commission to the provider), the Commission is deemed to have assumed control when it has satisfied its performance obligations under the terms of the grant. Non-reciprocal grants are recognised as income when the grant is received</w:t>
      </w:r>
      <w:r w:rsidR="000C4C8F">
        <w:rPr>
          <w:rFonts w:eastAsiaTheme="minorHAnsi"/>
          <w:color w:val="000000"/>
          <w:sz w:val="20"/>
          <w:szCs w:val="20"/>
          <w:lang w:eastAsia="en-US" w:bidi="ar-SA"/>
        </w:rPr>
        <w:t xml:space="preserve"> </w:t>
      </w:r>
      <w:r w:rsidRPr="006A5918">
        <w:rPr>
          <w:rFonts w:eastAsiaTheme="minorHAnsi"/>
          <w:color w:val="000000"/>
          <w:sz w:val="20"/>
          <w:szCs w:val="20"/>
          <w:lang w:eastAsia="en-US" w:bidi="ar-SA"/>
        </w:rPr>
        <w:t>or receivable. Conditional grants may be reciprocal or non-reciprocal depending on the terms of the grant.</w:t>
      </w:r>
    </w:p>
    <w:p w:rsidR="006A5918" w:rsidRDefault="006A5918" w:rsidP="000C4C8F">
      <w:pPr>
        <w:pStyle w:val="Heading4"/>
        <w:rPr>
          <w:lang w:bidi="ar-SA"/>
        </w:rPr>
      </w:pPr>
      <w:r w:rsidRPr="000C4C8F">
        <w:rPr>
          <w:lang w:bidi="ar-SA"/>
        </w:rPr>
        <w:lastRenderedPageBreak/>
        <w:t>2.3</w:t>
      </w:r>
      <w:r w:rsidRPr="000C4C8F">
        <w:rPr>
          <w:lang w:bidi="ar-SA"/>
        </w:rPr>
        <w:t> </w:t>
      </w:r>
      <w:r w:rsidRPr="000C4C8F">
        <w:rPr>
          <w:lang w:bidi="ar-SA"/>
        </w:rPr>
        <w:t>Provision of services</w:t>
      </w:r>
    </w:p>
    <w:p w:rsidR="000C4C8F" w:rsidRPr="000C4C8F" w:rsidRDefault="000C4C8F" w:rsidP="000C4C8F">
      <w:pPr>
        <w:rPr>
          <w:lang w:bidi="ar-SA"/>
        </w:rPr>
      </w:pPr>
    </w:p>
    <w:tbl>
      <w:tblPr>
        <w:tblStyle w:val="TableGrid"/>
        <w:tblW w:w="0" w:type="auto"/>
        <w:tblInd w:w="702" w:type="dxa"/>
        <w:tblLayout w:type="fixed"/>
        <w:tblLook w:val="0000" w:firstRow="0" w:lastRow="0" w:firstColumn="0" w:lastColumn="0" w:noHBand="0" w:noVBand="0"/>
      </w:tblPr>
      <w:tblGrid>
        <w:gridCol w:w="6239"/>
        <w:gridCol w:w="2126"/>
        <w:gridCol w:w="1560"/>
      </w:tblGrid>
      <w:tr w:rsidR="000C4C8F" w:rsidRPr="006A5918" w:rsidTr="000C4C8F">
        <w:trPr>
          <w:trHeight w:val="60"/>
        </w:trPr>
        <w:tc>
          <w:tcPr>
            <w:tcW w:w="6239" w:type="dxa"/>
          </w:tcPr>
          <w:p w:rsidR="006A5918" w:rsidRPr="006A5918" w:rsidRDefault="006A5918" w:rsidP="006A5918">
            <w:pPr>
              <w:widowControl/>
              <w:adjustRightInd w:val="0"/>
              <w:rPr>
                <w:rFonts w:eastAsiaTheme="minorHAnsi"/>
                <w:sz w:val="20"/>
                <w:szCs w:val="20"/>
                <w:lang w:eastAsia="en-US" w:bidi="ar-SA"/>
              </w:rPr>
            </w:pPr>
          </w:p>
        </w:tc>
        <w:tc>
          <w:tcPr>
            <w:tcW w:w="2126" w:type="dxa"/>
          </w:tcPr>
          <w:p w:rsidR="006A5918" w:rsidRPr="006A5918" w:rsidRDefault="006A5918" w:rsidP="006A591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6A5918">
              <w:rPr>
                <w:rFonts w:eastAsiaTheme="minorHAnsi"/>
                <w:b/>
                <w:bCs/>
                <w:sz w:val="20"/>
                <w:szCs w:val="20"/>
                <w:lang w:eastAsia="en-US" w:bidi="ar-SA"/>
              </w:rPr>
              <w:t>2019</w:t>
            </w:r>
          </w:p>
        </w:tc>
        <w:tc>
          <w:tcPr>
            <w:tcW w:w="1560" w:type="dxa"/>
          </w:tcPr>
          <w:p w:rsidR="006A5918" w:rsidRPr="006A5918" w:rsidRDefault="006A5918" w:rsidP="006A591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6A5918">
              <w:rPr>
                <w:rFonts w:eastAsiaTheme="minorHAnsi"/>
                <w:b/>
                <w:bCs/>
                <w:sz w:val="20"/>
                <w:szCs w:val="20"/>
                <w:lang w:eastAsia="en-US" w:bidi="ar-SA"/>
              </w:rPr>
              <w:t>2018</w:t>
            </w:r>
          </w:p>
        </w:tc>
      </w:tr>
      <w:tr w:rsidR="000C4C8F" w:rsidRPr="006A5918" w:rsidTr="000C4C8F">
        <w:trPr>
          <w:trHeight w:val="60"/>
        </w:trPr>
        <w:tc>
          <w:tcPr>
            <w:tcW w:w="6239" w:type="dxa"/>
          </w:tcPr>
          <w:p w:rsidR="006A5918" w:rsidRPr="006A5918" w:rsidRDefault="006A5918" w:rsidP="006A5918">
            <w:pPr>
              <w:widowControl/>
              <w:adjustRightInd w:val="0"/>
              <w:rPr>
                <w:rFonts w:eastAsiaTheme="minorHAnsi"/>
                <w:sz w:val="20"/>
                <w:szCs w:val="20"/>
                <w:lang w:eastAsia="en-US" w:bidi="ar-SA"/>
              </w:rPr>
            </w:pPr>
          </w:p>
        </w:tc>
        <w:tc>
          <w:tcPr>
            <w:tcW w:w="2126" w:type="dxa"/>
          </w:tcPr>
          <w:p w:rsidR="006A5918" w:rsidRPr="006A5918" w:rsidRDefault="006A5918" w:rsidP="006A591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6A5918">
              <w:rPr>
                <w:rFonts w:eastAsiaTheme="minorHAnsi"/>
                <w:b/>
                <w:bCs/>
                <w:sz w:val="20"/>
                <w:szCs w:val="20"/>
                <w:lang w:eastAsia="en-US" w:bidi="ar-SA"/>
              </w:rPr>
              <w:t>$</w:t>
            </w:r>
          </w:p>
        </w:tc>
        <w:tc>
          <w:tcPr>
            <w:tcW w:w="1560" w:type="dxa"/>
          </w:tcPr>
          <w:p w:rsidR="006A5918" w:rsidRPr="006A5918" w:rsidRDefault="006A5918" w:rsidP="006A5918">
            <w:pPr>
              <w:widowControl/>
              <w:tabs>
                <w:tab w:val="right" w:pos="7370"/>
              </w:tabs>
              <w:suppressAutoHyphens/>
              <w:adjustRightInd w:val="0"/>
              <w:spacing w:before="170" w:after="113" w:line="260" w:lineRule="atLeast"/>
              <w:jc w:val="right"/>
              <w:textAlignment w:val="center"/>
              <w:rPr>
                <w:rFonts w:eastAsiaTheme="minorHAnsi"/>
                <w:b/>
                <w:bCs/>
                <w:sz w:val="20"/>
                <w:szCs w:val="20"/>
                <w:lang w:eastAsia="en-US" w:bidi="ar-SA"/>
              </w:rPr>
            </w:pPr>
            <w:r w:rsidRPr="006A5918">
              <w:rPr>
                <w:rFonts w:eastAsiaTheme="minorHAnsi"/>
                <w:b/>
                <w:bCs/>
                <w:sz w:val="20"/>
                <w:szCs w:val="20"/>
                <w:lang w:eastAsia="en-US" w:bidi="ar-SA"/>
              </w:rPr>
              <w:t>$</w:t>
            </w:r>
          </w:p>
        </w:tc>
      </w:tr>
      <w:tr w:rsidR="000C4C8F" w:rsidRPr="006A5918" w:rsidTr="000C4C8F">
        <w:trPr>
          <w:trHeight w:val="60"/>
        </w:trPr>
        <w:tc>
          <w:tcPr>
            <w:tcW w:w="6239" w:type="dxa"/>
          </w:tcPr>
          <w:p w:rsidR="006A5918" w:rsidRPr="006A5918" w:rsidRDefault="006A5918" w:rsidP="006A5918">
            <w:pPr>
              <w:widowControl/>
              <w:suppressAutoHyphens/>
              <w:adjustRightInd w:val="0"/>
              <w:spacing w:after="113" w:line="220" w:lineRule="atLeast"/>
              <w:textAlignment w:val="center"/>
              <w:rPr>
                <w:rFonts w:eastAsiaTheme="minorHAnsi"/>
                <w:sz w:val="20"/>
                <w:szCs w:val="20"/>
                <w:lang w:eastAsia="en-US" w:bidi="ar-SA"/>
              </w:rPr>
            </w:pPr>
            <w:r w:rsidRPr="006A5918">
              <w:rPr>
                <w:rFonts w:eastAsiaTheme="minorHAnsi"/>
                <w:sz w:val="20"/>
                <w:szCs w:val="20"/>
                <w:lang w:eastAsia="en-US" w:bidi="ar-SA"/>
              </w:rPr>
              <w:t>Training income</w:t>
            </w:r>
          </w:p>
        </w:tc>
        <w:tc>
          <w:tcPr>
            <w:tcW w:w="2126"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2,000,687</w:t>
            </w:r>
          </w:p>
        </w:tc>
        <w:tc>
          <w:tcPr>
            <w:tcW w:w="1560"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1,540,225</w:t>
            </w:r>
          </w:p>
        </w:tc>
      </w:tr>
      <w:tr w:rsidR="000C4C8F" w:rsidRPr="006A5918" w:rsidTr="000C4C8F">
        <w:trPr>
          <w:trHeight w:val="60"/>
        </w:trPr>
        <w:tc>
          <w:tcPr>
            <w:tcW w:w="6239" w:type="dxa"/>
          </w:tcPr>
          <w:p w:rsidR="006A5918" w:rsidRPr="006A5918" w:rsidRDefault="006A5918" w:rsidP="006A5918">
            <w:pPr>
              <w:widowControl/>
              <w:suppressAutoHyphens/>
              <w:adjustRightInd w:val="0"/>
              <w:spacing w:after="113" w:line="220" w:lineRule="atLeast"/>
              <w:textAlignment w:val="center"/>
              <w:rPr>
                <w:rFonts w:eastAsiaTheme="minorHAnsi"/>
                <w:sz w:val="20"/>
                <w:szCs w:val="20"/>
                <w:lang w:eastAsia="en-US" w:bidi="ar-SA"/>
              </w:rPr>
            </w:pPr>
            <w:r w:rsidRPr="006A5918">
              <w:rPr>
                <w:rFonts w:eastAsiaTheme="minorHAnsi"/>
                <w:sz w:val="20"/>
                <w:szCs w:val="20"/>
                <w:lang w:eastAsia="en-US" w:bidi="ar-SA"/>
              </w:rPr>
              <w:t>Other services</w:t>
            </w:r>
          </w:p>
        </w:tc>
        <w:tc>
          <w:tcPr>
            <w:tcW w:w="2126"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1,794,218</w:t>
            </w:r>
          </w:p>
        </w:tc>
        <w:tc>
          <w:tcPr>
            <w:tcW w:w="1560"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1,773,075</w:t>
            </w:r>
          </w:p>
        </w:tc>
      </w:tr>
      <w:tr w:rsidR="000C4C8F" w:rsidRPr="006A5918" w:rsidTr="000C4C8F">
        <w:trPr>
          <w:trHeight w:val="60"/>
        </w:trPr>
        <w:tc>
          <w:tcPr>
            <w:tcW w:w="6239" w:type="dxa"/>
          </w:tcPr>
          <w:p w:rsidR="006A5918" w:rsidRPr="006A5918" w:rsidRDefault="006A5918" w:rsidP="006A5918">
            <w:pPr>
              <w:widowControl/>
              <w:suppressAutoHyphens/>
              <w:adjustRightInd w:val="0"/>
              <w:spacing w:after="113" w:line="220" w:lineRule="atLeast"/>
              <w:textAlignment w:val="center"/>
              <w:rPr>
                <w:rFonts w:eastAsiaTheme="minorHAnsi"/>
                <w:sz w:val="20"/>
                <w:szCs w:val="20"/>
                <w:lang w:eastAsia="en-US" w:bidi="ar-SA"/>
              </w:rPr>
            </w:pPr>
            <w:r w:rsidRPr="006A5918">
              <w:rPr>
                <w:rFonts w:eastAsiaTheme="minorHAnsi"/>
                <w:sz w:val="20"/>
                <w:szCs w:val="20"/>
                <w:lang w:eastAsia="en-US" w:bidi="ar-SA"/>
              </w:rPr>
              <w:t>Total provision of services</w:t>
            </w:r>
          </w:p>
        </w:tc>
        <w:tc>
          <w:tcPr>
            <w:tcW w:w="2126"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3,794,905</w:t>
            </w:r>
          </w:p>
        </w:tc>
        <w:tc>
          <w:tcPr>
            <w:tcW w:w="1560" w:type="dxa"/>
          </w:tcPr>
          <w:p w:rsidR="006A5918" w:rsidRPr="006A5918" w:rsidRDefault="006A5918" w:rsidP="006A5918">
            <w:pPr>
              <w:widowControl/>
              <w:suppressAutoHyphens/>
              <w:adjustRightInd w:val="0"/>
              <w:spacing w:after="113" w:line="220" w:lineRule="atLeast"/>
              <w:jc w:val="right"/>
              <w:textAlignment w:val="center"/>
              <w:rPr>
                <w:rFonts w:eastAsiaTheme="minorHAnsi"/>
                <w:sz w:val="20"/>
                <w:szCs w:val="20"/>
                <w:lang w:eastAsia="en-US" w:bidi="ar-SA"/>
              </w:rPr>
            </w:pPr>
            <w:r w:rsidRPr="006A5918">
              <w:rPr>
                <w:rFonts w:eastAsiaTheme="minorHAnsi"/>
                <w:sz w:val="20"/>
                <w:szCs w:val="20"/>
                <w:lang w:eastAsia="en-US" w:bidi="ar-SA"/>
              </w:rPr>
              <w:t>3,313,300</w:t>
            </w:r>
          </w:p>
        </w:tc>
      </w:tr>
    </w:tbl>
    <w:p w:rsidR="006A5918" w:rsidRPr="006A5918" w:rsidRDefault="006A5918" w:rsidP="006A5918">
      <w:pPr>
        <w:widowControl/>
        <w:suppressAutoHyphens/>
        <w:adjustRightInd w:val="0"/>
        <w:spacing w:after="227" w:line="220" w:lineRule="atLeast"/>
        <w:textAlignment w:val="center"/>
        <w:rPr>
          <w:rFonts w:eastAsiaTheme="minorHAnsi"/>
          <w:color w:val="000000"/>
          <w:sz w:val="20"/>
          <w:szCs w:val="20"/>
          <w:lang w:eastAsia="en-US" w:bidi="ar-SA"/>
        </w:rPr>
      </w:pPr>
    </w:p>
    <w:p w:rsidR="006A5918" w:rsidRP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Income is recognised with reference to the stage of completion of the services by the Commission.</w:t>
      </w:r>
      <w:r w:rsidRPr="006A5918">
        <w:rPr>
          <w:rFonts w:eastAsiaTheme="minorHAnsi"/>
          <w:color w:val="000000"/>
          <w:sz w:val="20"/>
          <w:szCs w:val="20"/>
          <w:lang w:eastAsia="en-US" w:bidi="ar-SA"/>
        </w:rPr>
        <w:br/>
        <w:t xml:space="preserve">The income is recognised when: </w:t>
      </w:r>
    </w:p>
    <w:p w:rsidR="006A5918" w:rsidRPr="000C4C8F" w:rsidRDefault="006A5918" w:rsidP="00943EBA">
      <w:pPr>
        <w:pStyle w:val="ListParagraph"/>
        <w:widowControl/>
        <w:numPr>
          <w:ilvl w:val="0"/>
          <w:numId w:val="31"/>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0C4C8F">
        <w:rPr>
          <w:rFonts w:eastAsiaTheme="minorHAnsi"/>
          <w:color w:val="000000"/>
          <w:sz w:val="20"/>
          <w:szCs w:val="20"/>
          <w:lang w:eastAsia="en-US" w:bidi="ar-SA"/>
        </w:rPr>
        <w:t>the amount of the income and associated transaction costs incurred and to be incurred, can be reliably measured</w:t>
      </w:r>
    </w:p>
    <w:p w:rsidR="006A5918" w:rsidRPr="000C4C8F" w:rsidRDefault="006A5918" w:rsidP="00943EBA">
      <w:pPr>
        <w:pStyle w:val="ListParagraph"/>
        <w:widowControl/>
        <w:numPr>
          <w:ilvl w:val="0"/>
          <w:numId w:val="31"/>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0C4C8F">
        <w:rPr>
          <w:rFonts w:eastAsiaTheme="minorHAnsi"/>
          <w:color w:val="000000"/>
          <w:sz w:val="20"/>
          <w:szCs w:val="20"/>
          <w:lang w:eastAsia="en-US" w:bidi="ar-SA"/>
        </w:rPr>
        <w:t>it is probable that the economic benefits associated with the transaction will flow to the Commission.</w:t>
      </w:r>
    </w:p>
    <w:p w:rsidR="006A5918" w:rsidRDefault="006A5918"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6A5918">
        <w:rPr>
          <w:rFonts w:eastAsiaTheme="minorHAnsi"/>
          <w:color w:val="000000"/>
          <w:sz w:val="20"/>
          <w:szCs w:val="20"/>
          <w:lang w:eastAsia="en-US" w:bidi="ar-SA"/>
        </w:rPr>
        <w:t xml:space="preserve">The main sources of provision of services income include training income, income from the Victorian Leadership Academy and </w:t>
      </w:r>
      <w:proofErr w:type="spellStart"/>
      <w:r w:rsidRPr="006A5918">
        <w:rPr>
          <w:rFonts w:eastAsiaTheme="minorHAnsi"/>
          <w:color w:val="000000"/>
          <w:sz w:val="20"/>
          <w:szCs w:val="20"/>
          <w:lang w:eastAsia="en-US" w:bidi="ar-SA"/>
        </w:rPr>
        <w:t>eRecruitment</w:t>
      </w:r>
      <w:proofErr w:type="spellEnd"/>
      <w:r w:rsidRPr="006A5918">
        <w:rPr>
          <w:rFonts w:eastAsiaTheme="minorHAnsi"/>
          <w:color w:val="000000"/>
          <w:sz w:val="20"/>
          <w:szCs w:val="20"/>
          <w:lang w:eastAsia="en-US" w:bidi="ar-SA"/>
        </w:rPr>
        <w:t xml:space="preserve"> services</w:t>
      </w:r>
    </w:p>
    <w:p w:rsidR="007A3309" w:rsidRDefault="007A3309" w:rsidP="00A475C9">
      <w:pPr>
        <w:rPr>
          <w:lang w:eastAsia="en-US" w:bidi="ar-SA"/>
        </w:rPr>
      </w:pPr>
    </w:p>
    <w:p w:rsidR="007A3309" w:rsidRDefault="007A3309" w:rsidP="00A475C9">
      <w:pPr>
        <w:pStyle w:val="Heading2"/>
        <w:numPr>
          <w:ilvl w:val="0"/>
          <w:numId w:val="29"/>
        </w:numPr>
      </w:pPr>
      <w:bookmarkStart w:id="42" w:name="_Toc23329741"/>
      <w:r>
        <w:t>Cost of delivering our services</w:t>
      </w:r>
      <w:bookmarkEnd w:id="42"/>
    </w:p>
    <w:p w:rsidR="007A3309" w:rsidRPr="007A3309" w:rsidRDefault="007A3309" w:rsidP="00A475C9"/>
    <w:p w:rsidR="007A3309" w:rsidRDefault="007A3309" w:rsidP="00A475C9">
      <w:pPr>
        <w:pStyle w:val="Heading3"/>
        <w:rPr>
          <w:lang w:eastAsia="en-US" w:bidi="ar-SA"/>
        </w:rPr>
      </w:pPr>
      <w:r>
        <w:rPr>
          <w:lang w:eastAsia="en-US" w:bidi="ar-SA"/>
        </w:rPr>
        <w:t>I</w:t>
      </w:r>
      <w:r w:rsidRPr="007A3309">
        <w:rPr>
          <w:lang w:eastAsia="en-US" w:bidi="ar-SA"/>
        </w:rPr>
        <w:t>ntroduction</w:t>
      </w:r>
    </w:p>
    <w:p w:rsidR="00A475C9" w:rsidRPr="007A3309" w:rsidRDefault="00A475C9" w:rsidP="00A475C9">
      <w:pPr>
        <w:rPr>
          <w:lang w:eastAsia="en-US" w:bidi="ar-SA"/>
        </w:rPr>
      </w:pPr>
    </w:p>
    <w:p w:rsidR="007A3309" w:rsidRPr="007A3309" w:rsidRDefault="007A3309" w:rsidP="007A3309">
      <w:pPr>
        <w:widowControl/>
        <w:suppressAutoHyphens/>
        <w:adjustRightInd w:val="0"/>
        <w:spacing w:after="113" w:line="220" w:lineRule="atLeast"/>
        <w:ind w:left="709"/>
        <w:textAlignment w:val="center"/>
        <w:rPr>
          <w:rFonts w:eastAsiaTheme="minorHAnsi"/>
          <w:color w:val="000000"/>
          <w:sz w:val="20"/>
          <w:szCs w:val="20"/>
          <w:lang w:eastAsia="en-US" w:bidi="ar-SA"/>
        </w:rPr>
      </w:pPr>
      <w:r w:rsidRPr="007A3309">
        <w:rPr>
          <w:rFonts w:eastAsiaTheme="minorHAnsi"/>
          <w:color w:val="000000"/>
          <w:sz w:val="20"/>
          <w:szCs w:val="20"/>
          <w:lang w:eastAsia="en-US" w:bidi="ar-SA"/>
        </w:rPr>
        <w:t>This section provides an account of the expenses incurred by the Commission in delivering its services.</w:t>
      </w:r>
    </w:p>
    <w:p w:rsidR="00A475C9" w:rsidRDefault="00A475C9" w:rsidP="00A475C9">
      <w:pPr>
        <w:rPr>
          <w:lang w:eastAsia="en-US" w:bidi="ar-SA"/>
        </w:rPr>
      </w:pPr>
    </w:p>
    <w:p w:rsidR="007A3309" w:rsidRPr="007A3309" w:rsidRDefault="007A3309" w:rsidP="00A475C9">
      <w:pPr>
        <w:pStyle w:val="Heading3"/>
        <w:rPr>
          <w:lang w:eastAsia="en-US" w:bidi="ar-SA"/>
        </w:rPr>
      </w:pPr>
      <w:r w:rsidRPr="007A3309">
        <w:rPr>
          <w:lang w:eastAsia="en-US" w:bidi="ar-SA"/>
        </w:rPr>
        <w:t>Structure</w:t>
      </w:r>
    </w:p>
    <w:p w:rsidR="00A475C9" w:rsidRDefault="00A475C9" w:rsidP="00A475C9">
      <w:pPr>
        <w:rPr>
          <w:lang w:eastAsia="en-US" w:bidi="ar-SA"/>
        </w:rPr>
      </w:pPr>
    </w:p>
    <w:p w:rsidR="007A3309" w:rsidRPr="007A3309" w:rsidRDefault="007A3309" w:rsidP="007A3309">
      <w:pPr>
        <w:widowControl/>
        <w:suppressAutoHyphens/>
        <w:adjustRightInd w:val="0"/>
        <w:spacing w:after="57" w:line="220" w:lineRule="atLeast"/>
        <w:ind w:left="709"/>
        <w:textAlignment w:val="center"/>
        <w:rPr>
          <w:rFonts w:eastAsiaTheme="minorHAnsi"/>
          <w:color w:val="000000"/>
          <w:sz w:val="20"/>
          <w:szCs w:val="20"/>
          <w:lang w:eastAsia="en-US" w:bidi="ar-SA"/>
        </w:rPr>
      </w:pPr>
      <w:r w:rsidRPr="007A3309">
        <w:rPr>
          <w:rFonts w:eastAsiaTheme="minorHAnsi"/>
          <w:color w:val="000000"/>
          <w:sz w:val="20"/>
          <w:szCs w:val="20"/>
          <w:lang w:eastAsia="en-US" w:bidi="ar-SA"/>
        </w:rPr>
        <w:t>3.1</w:t>
      </w:r>
      <w:r w:rsidRPr="007A3309">
        <w:rPr>
          <w:rFonts w:eastAsiaTheme="minorHAnsi"/>
          <w:color w:val="000000"/>
          <w:sz w:val="20"/>
          <w:szCs w:val="20"/>
          <w:lang w:eastAsia="en-US" w:bidi="ar-SA"/>
        </w:rPr>
        <w:t> </w:t>
      </w:r>
      <w:r w:rsidRPr="007A3309">
        <w:rPr>
          <w:rFonts w:eastAsiaTheme="minorHAnsi"/>
          <w:color w:val="000000"/>
          <w:sz w:val="20"/>
          <w:szCs w:val="20"/>
          <w:lang w:eastAsia="en-US" w:bidi="ar-SA"/>
        </w:rPr>
        <w:t>Expenses incurred in the delivery of services</w:t>
      </w:r>
    </w:p>
    <w:p w:rsidR="007A3309" w:rsidRPr="007A3309" w:rsidRDefault="007A3309" w:rsidP="007A3309">
      <w:pPr>
        <w:widowControl/>
        <w:suppressAutoHyphens/>
        <w:adjustRightInd w:val="0"/>
        <w:spacing w:after="57" w:line="220" w:lineRule="atLeast"/>
        <w:ind w:left="709"/>
        <w:textAlignment w:val="center"/>
        <w:rPr>
          <w:rFonts w:eastAsiaTheme="minorHAnsi"/>
          <w:color w:val="000000"/>
          <w:sz w:val="20"/>
          <w:szCs w:val="20"/>
          <w:lang w:eastAsia="en-US" w:bidi="ar-SA"/>
        </w:rPr>
      </w:pPr>
      <w:r w:rsidRPr="007A3309">
        <w:rPr>
          <w:rFonts w:eastAsiaTheme="minorHAnsi"/>
          <w:color w:val="000000"/>
          <w:sz w:val="20"/>
          <w:szCs w:val="20"/>
          <w:lang w:eastAsia="en-US" w:bidi="ar-SA"/>
        </w:rPr>
        <w:t>3.2</w:t>
      </w:r>
      <w:r w:rsidRPr="007A3309">
        <w:rPr>
          <w:rFonts w:eastAsiaTheme="minorHAnsi"/>
          <w:color w:val="000000"/>
          <w:sz w:val="20"/>
          <w:szCs w:val="20"/>
          <w:lang w:eastAsia="en-US" w:bidi="ar-SA"/>
        </w:rPr>
        <w:t> </w:t>
      </w:r>
      <w:r w:rsidRPr="007A3309">
        <w:rPr>
          <w:rFonts w:eastAsiaTheme="minorHAnsi"/>
          <w:color w:val="000000"/>
          <w:sz w:val="20"/>
          <w:szCs w:val="20"/>
          <w:lang w:eastAsia="en-US" w:bidi="ar-SA"/>
        </w:rPr>
        <w:t>Employee benefits</w:t>
      </w:r>
    </w:p>
    <w:p w:rsidR="007A3309" w:rsidRPr="007A3309" w:rsidRDefault="007A3309" w:rsidP="007A3309">
      <w:pPr>
        <w:widowControl/>
        <w:suppressAutoHyphens/>
        <w:adjustRightInd w:val="0"/>
        <w:spacing w:after="57" w:line="220" w:lineRule="atLeast"/>
        <w:ind w:left="709"/>
        <w:textAlignment w:val="center"/>
        <w:rPr>
          <w:rFonts w:eastAsiaTheme="minorHAnsi"/>
          <w:color w:val="000000"/>
          <w:sz w:val="20"/>
          <w:szCs w:val="20"/>
          <w:lang w:eastAsia="en-US" w:bidi="ar-SA"/>
        </w:rPr>
      </w:pPr>
      <w:r w:rsidRPr="007A3309">
        <w:rPr>
          <w:rFonts w:eastAsiaTheme="minorHAnsi"/>
          <w:color w:val="000000"/>
          <w:sz w:val="20"/>
          <w:szCs w:val="20"/>
          <w:lang w:eastAsia="en-US" w:bidi="ar-SA"/>
        </w:rPr>
        <w:t>3.3</w:t>
      </w:r>
      <w:r w:rsidRPr="007A3309">
        <w:rPr>
          <w:rFonts w:eastAsiaTheme="minorHAnsi"/>
          <w:color w:val="000000"/>
          <w:sz w:val="20"/>
          <w:szCs w:val="20"/>
          <w:lang w:eastAsia="en-US" w:bidi="ar-SA"/>
        </w:rPr>
        <w:t> </w:t>
      </w:r>
      <w:r w:rsidRPr="007A3309">
        <w:rPr>
          <w:rFonts w:eastAsiaTheme="minorHAnsi"/>
          <w:color w:val="000000"/>
          <w:sz w:val="20"/>
          <w:szCs w:val="20"/>
          <w:lang w:eastAsia="en-US" w:bidi="ar-SA"/>
        </w:rPr>
        <w:t>Capital asset charge</w:t>
      </w:r>
    </w:p>
    <w:p w:rsidR="007A3309" w:rsidRDefault="007A3309" w:rsidP="007A3309">
      <w:pPr>
        <w:widowControl/>
        <w:suppressAutoHyphens/>
        <w:adjustRightInd w:val="0"/>
        <w:spacing w:after="57" w:line="220" w:lineRule="atLeast"/>
        <w:ind w:left="709"/>
        <w:textAlignment w:val="center"/>
        <w:rPr>
          <w:rFonts w:eastAsiaTheme="minorHAnsi"/>
          <w:color w:val="000000"/>
          <w:sz w:val="20"/>
          <w:szCs w:val="20"/>
          <w:lang w:eastAsia="en-US" w:bidi="ar-SA"/>
        </w:rPr>
      </w:pPr>
      <w:r w:rsidRPr="007A3309">
        <w:rPr>
          <w:rFonts w:eastAsiaTheme="minorHAnsi"/>
          <w:color w:val="000000"/>
          <w:sz w:val="20"/>
          <w:szCs w:val="20"/>
          <w:lang w:eastAsia="en-US" w:bidi="ar-SA"/>
        </w:rPr>
        <w:t>3.4</w:t>
      </w:r>
      <w:r w:rsidRPr="007A3309">
        <w:rPr>
          <w:rFonts w:eastAsiaTheme="minorHAnsi"/>
          <w:color w:val="000000"/>
          <w:sz w:val="20"/>
          <w:szCs w:val="20"/>
          <w:lang w:eastAsia="en-US" w:bidi="ar-SA"/>
        </w:rPr>
        <w:t> </w:t>
      </w:r>
      <w:r w:rsidRPr="007A3309">
        <w:rPr>
          <w:rFonts w:eastAsiaTheme="minorHAnsi"/>
          <w:color w:val="000000"/>
          <w:sz w:val="20"/>
          <w:szCs w:val="20"/>
          <w:lang w:eastAsia="en-US" w:bidi="ar-SA"/>
        </w:rPr>
        <w:t>Other operating expenses</w:t>
      </w:r>
    </w:p>
    <w:p w:rsidR="00A475C9" w:rsidRPr="007A3309" w:rsidRDefault="00A475C9" w:rsidP="00A475C9">
      <w:pPr>
        <w:rPr>
          <w:lang w:eastAsia="en-US" w:bidi="ar-SA"/>
        </w:rPr>
      </w:pPr>
    </w:p>
    <w:p w:rsidR="007A3309" w:rsidRDefault="007A3309" w:rsidP="00A475C9">
      <w:pPr>
        <w:pStyle w:val="Heading4"/>
        <w:rPr>
          <w:lang w:eastAsia="en-US" w:bidi="ar-SA"/>
        </w:rPr>
      </w:pPr>
      <w:r w:rsidRPr="007A3309">
        <w:rPr>
          <w:lang w:eastAsia="en-US" w:bidi="ar-SA"/>
        </w:rPr>
        <w:t>3.1</w:t>
      </w:r>
      <w:r w:rsidRPr="007A3309">
        <w:rPr>
          <w:lang w:eastAsia="en-US" w:bidi="ar-SA"/>
        </w:rPr>
        <w:t> </w:t>
      </w:r>
      <w:r w:rsidRPr="007A3309">
        <w:rPr>
          <w:lang w:eastAsia="en-US" w:bidi="ar-SA"/>
        </w:rPr>
        <w:t>Expenses incurred in delivery of services</w:t>
      </w:r>
    </w:p>
    <w:p w:rsidR="00A475C9" w:rsidRPr="007A3309" w:rsidRDefault="00A475C9" w:rsidP="00A475C9">
      <w:pPr>
        <w:rPr>
          <w:lang w:eastAsia="en-US" w:bidi="ar-SA"/>
        </w:rPr>
      </w:pPr>
    </w:p>
    <w:tbl>
      <w:tblPr>
        <w:tblStyle w:val="TableGrid"/>
        <w:tblW w:w="0" w:type="auto"/>
        <w:tblInd w:w="755" w:type="dxa"/>
        <w:tblLayout w:type="fixed"/>
        <w:tblLook w:val="0000" w:firstRow="0" w:lastRow="0" w:firstColumn="0" w:lastColumn="0" w:noHBand="0" w:noVBand="0"/>
      </w:tblPr>
      <w:tblGrid>
        <w:gridCol w:w="5336"/>
        <w:gridCol w:w="992"/>
        <w:gridCol w:w="1843"/>
        <w:gridCol w:w="1701"/>
      </w:tblGrid>
      <w:tr w:rsidR="00A475C9" w:rsidRPr="00A475C9" w:rsidTr="00A475C9">
        <w:trPr>
          <w:trHeight w:val="60"/>
        </w:trPr>
        <w:tc>
          <w:tcPr>
            <w:tcW w:w="5336" w:type="dxa"/>
          </w:tcPr>
          <w:p w:rsidR="007A3309" w:rsidRPr="00A475C9" w:rsidRDefault="007A3309" w:rsidP="007A3309">
            <w:pPr>
              <w:widowControl/>
              <w:adjustRightInd w:val="0"/>
              <w:rPr>
                <w:rFonts w:eastAsiaTheme="minorHAnsi"/>
                <w:sz w:val="20"/>
                <w:szCs w:val="20"/>
                <w:lang w:eastAsia="en-US" w:bidi="ar-SA"/>
              </w:rPr>
            </w:pPr>
          </w:p>
        </w:tc>
        <w:tc>
          <w:tcPr>
            <w:tcW w:w="992" w:type="dxa"/>
          </w:tcPr>
          <w:p w:rsidR="007A3309" w:rsidRPr="00A475C9" w:rsidRDefault="007A3309" w:rsidP="00A475C9">
            <w:pPr>
              <w:widowControl/>
              <w:adjustRightInd w:val="0"/>
              <w:jc w:val="center"/>
              <w:rPr>
                <w:rFonts w:eastAsiaTheme="minorHAnsi"/>
                <w:sz w:val="20"/>
                <w:szCs w:val="20"/>
                <w:lang w:eastAsia="en-US" w:bidi="ar-SA"/>
              </w:rPr>
            </w:pPr>
          </w:p>
        </w:tc>
        <w:tc>
          <w:tcPr>
            <w:tcW w:w="1843" w:type="dxa"/>
          </w:tcPr>
          <w:p w:rsidR="007A3309" w:rsidRPr="00A475C9" w:rsidRDefault="007A3309" w:rsidP="00A475C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475C9">
              <w:rPr>
                <w:rFonts w:eastAsiaTheme="minorHAnsi"/>
                <w:b/>
                <w:bCs/>
                <w:sz w:val="20"/>
                <w:szCs w:val="20"/>
                <w:lang w:eastAsia="en-US" w:bidi="ar-SA"/>
              </w:rPr>
              <w:t>2019</w:t>
            </w:r>
          </w:p>
        </w:tc>
        <w:tc>
          <w:tcPr>
            <w:tcW w:w="1701" w:type="dxa"/>
          </w:tcPr>
          <w:p w:rsidR="007A3309" w:rsidRPr="00A475C9" w:rsidRDefault="007A3309" w:rsidP="00A475C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475C9">
              <w:rPr>
                <w:rFonts w:eastAsiaTheme="minorHAnsi"/>
                <w:b/>
                <w:bCs/>
                <w:sz w:val="20"/>
                <w:szCs w:val="20"/>
                <w:lang w:eastAsia="en-US" w:bidi="ar-SA"/>
              </w:rPr>
              <w:t>2018</w:t>
            </w:r>
          </w:p>
        </w:tc>
      </w:tr>
      <w:tr w:rsidR="00A475C9" w:rsidRPr="00A475C9" w:rsidTr="00A475C9">
        <w:trPr>
          <w:trHeight w:val="60"/>
        </w:trPr>
        <w:tc>
          <w:tcPr>
            <w:tcW w:w="5336" w:type="dxa"/>
          </w:tcPr>
          <w:p w:rsidR="007A3309" w:rsidRPr="00A475C9" w:rsidRDefault="007A3309" w:rsidP="007A3309">
            <w:pPr>
              <w:widowControl/>
              <w:adjustRightInd w:val="0"/>
              <w:rPr>
                <w:rFonts w:eastAsiaTheme="minorHAnsi"/>
                <w:sz w:val="20"/>
                <w:szCs w:val="20"/>
                <w:lang w:eastAsia="en-US" w:bidi="ar-SA"/>
              </w:rPr>
            </w:pPr>
          </w:p>
        </w:tc>
        <w:tc>
          <w:tcPr>
            <w:tcW w:w="992" w:type="dxa"/>
          </w:tcPr>
          <w:p w:rsidR="007A3309" w:rsidRPr="00A475C9" w:rsidRDefault="007A3309" w:rsidP="00A475C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475C9">
              <w:rPr>
                <w:rFonts w:eastAsiaTheme="minorHAnsi"/>
                <w:b/>
                <w:bCs/>
                <w:sz w:val="20"/>
                <w:szCs w:val="20"/>
                <w:lang w:eastAsia="en-US" w:bidi="ar-SA"/>
              </w:rPr>
              <w:t>Notes</w:t>
            </w:r>
          </w:p>
        </w:tc>
        <w:tc>
          <w:tcPr>
            <w:tcW w:w="1843" w:type="dxa"/>
          </w:tcPr>
          <w:p w:rsidR="007A3309" w:rsidRPr="00A475C9" w:rsidRDefault="007A3309" w:rsidP="00A475C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475C9">
              <w:rPr>
                <w:rFonts w:eastAsiaTheme="minorHAnsi"/>
                <w:b/>
                <w:bCs/>
                <w:sz w:val="20"/>
                <w:szCs w:val="20"/>
                <w:lang w:eastAsia="en-US" w:bidi="ar-SA"/>
              </w:rPr>
              <w:t>$</w:t>
            </w:r>
          </w:p>
        </w:tc>
        <w:tc>
          <w:tcPr>
            <w:tcW w:w="1701" w:type="dxa"/>
          </w:tcPr>
          <w:p w:rsidR="007A3309" w:rsidRPr="00A475C9" w:rsidRDefault="007A3309" w:rsidP="00A475C9">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475C9">
              <w:rPr>
                <w:rFonts w:eastAsiaTheme="minorHAnsi"/>
                <w:b/>
                <w:bCs/>
                <w:sz w:val="20"/>
                <w:szCs w:val="20"/>
                <w:lang w:eastAsia="en-US" w:bidi="ar-SA"/>
              </w:rPr>
              <w:t>$</w:t>
            </w:r>
          </w:p>
        </w:tc>
      </w:tr>
      <w:tr w:rsidR="00A475C9" w:rsidRPr="00A475C9" w:rsidTr="00A475C9">
        <w:trPr>
          <w:trHeight w:val="60"/>
        </w:trPr>
        <w:tc>
          <w:tcPr>
            <w:tcW w:w="5336" w:type="dxa"/>
          </w:tcPr>
          <w:p w:rsidR="007A3309" w:rsidRPr="00A475C9"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A475C9">
              <w:rPr>
                <w:rFonts w:eastAsiaTheme="minorHAnsi"/>
                <w:sz w:val="20"/>
                <w:szCs w:val="20"/>
                <w:lang w:eastAsia="en-US" w:bidi="ar-SA"/>
              </w:rPr>
              <w:t>Employee benefits</w:t>
            </w:r>
          </w:p>
        </w:tc>
        <w:tc>
          <w:tcPr>
            <w:tcW w:w="992" w:type="dxa"/>
          </w:tcPr>
          <w:p w:rsidR="007A3309" w:rsidRPr="00A475C9" w:rsidRDefault="007A3309" w:rsidP="00A475C9">
            <w:pPr>
              <w:widowControl/>
              <w:suppressAutoHyphens/>
              <w:adjustRightInd w:val="0"/>
              <w:spacing w:after="113" w:line="220" w:lineRule="atLeast"/>
              <w:jc w:val="center"/>
              <w:textAlignment w:val="center"/>
              <w:rPr>
                <w:rFonts w:eastAsiaTheme="minorHAnsi"/>
                <w:sz w:val="20"/>
                <w:szCs w:val="20"/>
                <w:lang w:eastAsia="en-US" w:bidi="ar-SA"/>
              </w:rPr>
            </w:pPr>
            <w:r w:rsidRPr="00A475C9">
              <w:rPr>
                <w:rFonts w:eastAsiaTheme="minorHAnsi"/>
                <w:sz w:val="20"/>
                <w:szCs w:val="20"/>
                <w:lang w:eastAsia="en-US" w:bidi="ar-SA"/>
              </w:rPr>
              <w:t>3.2.1</w:t>
            </w:r>
          </w:p>
        </w:tc>
        <w:tc>
          <w:tcPr>
            <w:tcW w:w="1843" w:type="dxa"/>
          </w:tcPr>
          <w:p w:rsidR="007A3309" w:rsidRPr="00A475C9" w:rsidRDefault="007A3309" w:rsidP="00A475C9">
            <w:pPr>
              <w:widowControl/>
              <w:suppressAutoHyphens/>
              <w:adjustRightInd w:val="0"/>
              <w:spacing w:after="113" w:line="220" w:lineRule="atLeast"/>
              <w:jc w:val="center"/>
              <w:textAlignment w:val="center"/>
              <w:rPr>
                <w:rFonts w:eastAsiaTheme="minorHAnsi"/>
                <w:sz w:val="20"/>
                <w:szCs w:val="20"/>
                <w:lang w:eastAsia="en-US" w:bidi="ar-SA"/>
              </w:rPr>
            </w:pPr>
            <w:r w:rsidRPr="00A475C9">
              <w:rPr>
                <w:rFonts w:eastAsiaTheme="minorHAnsi"/>
                <w:sz w:val="20"/>
                <w:szCs w:val="20"/>
                <w:lang w:eastAsia="en-US" w:bidi="ar-SA"/>
              </w:rPr>
              <w:t>12,095,610</w:t>
            </w:r>
          </w:p>
        </w:tc>
        <w:tc>
          <w:tcPr>
            <w:tcW w:w="1701" w:type="dxa"/>
          </w:tcPr>
          <w:p w:rsidR="007A3309" w:rsidRPr="00A475C9" w:rsidRDefault="007A3309" w:rsidP="00A475C9">
            <w:pPr>
              <w:widowControl/>
              <w:suppressAutoHyphens/>
              <w:adjustRightInd w:val="0"/>
              <w:spacing w:after="113" w:line="220" w:lineRule="atLeast"/>
              <w:jc w:val="center"/>
              <w:textAlignment w:val="center"/>
              <w:rPr>
                <w:rFonts w:eastAsiaTheme="minorHAnsi"/>
                <w:sz w:val="20"/>
                <w:szCs w:val="20"/>
                <w:lang w:eastAsia="en-US" w:bidi="ar-SA"/>
              </w:rPr>
            </w:pPr>
            <w:r w:rsidRPr="00A475C9">
              <w:rPr>
                <w:rFonts w:eastAsiaTheme="minorHAnsi"/>
                <w:sz w:val="20"/>
                <w:szCs w:val="20"/>
                <w:lang w:eastAsia="en-US" w:bidi="ar-SA"/>
              </w:rPr>
              <w:t>8,891,605</w:t>
            </w:r>
          </w:p>
        </w:tc>
      </w:tr>
      <w:tr w:rsidR="00A475C9" w:rsidRPr="00A475C9" w:rsidTr="00A475C9">
        <w:trPr>
          <w:trHeight w:val="60"/>
        </w:trPr>
        <w:tc>
          <w:tcPr>
            <w:tcW w:w="5336" w:type="dxa"/>
          </w:tcPr>
          <w:p w:rsidR="007A3309" w:rsidRPr="00A475C9"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A475C9">
              <w:rPr>
                <w:rFonts w:eastAsiaTheme="minorHAnsi"/>
                <w:sz w:val="20"/>
                <w:szCs w:val="20"/>
                <w:lang w:eastAsia="en-US" w:bidi="ar-SA"/>
              </w:rPr>
              <w:t>Capital asset charge</w:t>
            </w:r>
          </w:p>
        </w:tc>
        <w:tc>
          <w:tcPr>
            <w:tcW w:w="992" w:type="dxa"/>
          </w:tcPr>
          <w:p w:rsidR="007A3309" w:rsidRPr="00A475C9" w:rsidRDefault="007A3309" w:rsidP="00A475C9">
            <w:pPr>
              <w:widowControl/>
              <w:suppressAutoHyphens/>
              <w:adjustRightInd w:val="0"/>
              <w:spacing w:after="113" w:line="220" w:lineRule="atLeast"/>
              <w:jc w:val="center"/>
              <w:textAlignment w:val="center"/>
              <w:rPr>
                <w:rFonts w:eastAsiaTheme="minorHAnsi"/>
                <w:sz w:val="20"/>
                <w:szCs w:val="20"/>
                <w:lang w:eastAsia="en-US" w:bidi="ar-SA"/>
              </w:rPr>
            </w:pPr>
            <w:r w:rsidRPr="00A475C9">
              <w:rPr>
                <w:rFonts w:eastAsiaTheme="minorHAnsi"/>
                <w:sz w:val="20"/>
                <w:szCs w:val="20"/>
                <w:lang w:eastAsia="en-US" w:bidi="ar-SA"/>
              </w:rPr>
              <w:t>3.3</w:t>
            </w:r>
          </w:p>
        </w:tc>
        <w:tc>
          <w:tcPr>
            <w:tcW w:w="1843" w:type="dxa"/>
          </w:tcPr>
          <w:p w:rsidR="007A3309" w:rsidRPr="00A475C9" w:rsidRDefault="007A3309" w:rsidP="00A475C9">
            <w:pPr>
              <w:widowControl/>
              <w:suppressAutoHyphens/>
              <w:adjustRightInd w:val="0"/>
              <w:spacing w:after="113" w:line="220" w:lineRule="atLeast"/>
              <w:jc w:val="center"/>
              <w:textAlignment w:val="center"/>
              <w:rPr>
                <w:rFonts w:eastAsiaTheme="minorHAnsi"/>
                <w:sz w:val="20"/>
                <w:szCs w:val="20"/>
                <w:lang w:eastAsia="en-US" w:bidi="ar-SA"/>
              </w:rPr>
            </w:pPr>
            <w:r w:rsidRPr="00A475C9">
              <w:rPr>
                <w:rFonts w:eastAsiaTheme="minorHAnsi"/>
                <w:sz w:val="20"/>
                <w:szCs w:val="20"/>
                <w:lang w:eastAsia="en-US" w:bidi="ar-SA"/>
              </w:rPr>
              <w:t>69,008</w:t>
            </w:r>
          </w:p>
        </w:tc>
        <w:tc>
          <w:tcPr>
            <w:tcW w:w="1701" w:type="dxa"/>
          </w:tcPr>
          <w:p w:rsidR="007A3309" w:rsidRPr="00A475C9" w:rsidRDefault="007A3309" w:rsidP="00A475C9">
            <w:pPr>
              <w:widowControl/>
              <w:suppressAutoHyphens/>
              <w:adjustRightInd w:val="0"/>
              <w:spacing w:after="113" w:line="220" w:lineRule="atLeast"/>
              <w:jc w:val="center"/>
              <w:textAlignment w:val="center"/>
              <w:rPr>
                <w:rFonts w:eastAsiaTheme="minorHAnsi"/>
                <w:sz w:val="20"/>
                <w:szCs w:val="20"/>
                <w:lang w:eastAsia="en-US" w:bidi="ar-SA"/>
              </w:rPr>
            </w:pPr>
            <w:r w:rsidRPr="00A475C9">
              <w:rPr>
                <w:rFonts w:eastAsiaTheme="minorHAnsi"/>
                <w:sz w:val="20"/>
                <w:szCs w:val="20"/>
                <w:lang w:eastAsia="en-US" w:bidi="ar-SA"/>
              </w:rPr>
              <w:t>69,008</w:t>
            </w:r>
          </w:p>
        </w:tc>
      </w:tr>
      <w:tr w:rsidR="00A475C9" w:rsidRPr="00A475C9" w:rsidTr="00A475C9">
        <w:trPr>
          <w:trHeight w:val="60"/>
        </w:trPr>
        <w:tc>
          <w:tcPr>
            <w:tcW w:w="5336" w:type="dxa"/>
          </w:tcPr>
          <w:p w:rsidR="007A3309" w:rsidRPr="00A475C9"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A475C9">
              <w:rPr>
                <w:rFonts w:eastAsiaTheme="minorHAnsi"/>
                <w:sz w:val="20"/>
                <w:szCs w:val="20"/>
                <w:lang w:eastAsia="en-US" w:bidi="ar-SA"/>
              </w:rPr>
              <w:t>Other operating expenses</w:t>
            </w:r>
          </w:p>
        </w:tc>
        <w:tc>
          <w:tcPr>
            <w:tcW w:w="992" w:type="dxa"/>
          </w:tcPr>
          <w:p w:rsidR="007A3309" w:rsidRPr="00A475C9" w:rsidRDefault="007A3309" w:rsidP="00A475C9">
            <w:pPr>
              <w:widowControl/>
              <w:suppressAutoHyphens/>
              <w:adjustRightInd w:val="0"/>
              <w:spacing w:after="113" w:line="220" w:lineRule="atLeast"/>
              <w:jc w:val="center"/>
              <w:textAlignment w:val="center"/>
              <w:rPr>
                <w:rFonts w:eastAsiaTheme="minorHAnsi"/>
                <w:sz w:val="20"/>
                <w:szCs w:val="20"/>
                <w:lang w:eastAsia="en-US" w:bidi="ar-SA"/>
              </w:rPr>
            </w:pPr>
            <w:r w:rsidRPr="00A475C9">
              <w:rPr>
                <w:rFonts w:eastAsiaTheme="minorHAnsi"/>
                <w:sz w:val="20"/>
                <w:szCs w:val="20"/>
                <w:lang w:eastAsia="en-US" w:bidi="ar-SA"/>
              </w:rPr>
              <w:t>3.4</w:t>
            </w:r>
          </w:p>
        </w:tc>
        <w:tc>
          <w:tcPr>
            <w:tcW w:w="1843" w:type="dxa"/>
          </w:tcPr>
          <w:p w:rsidR="007A3309" w:rsidRPr="00A475C9" w:rsidRDefault="007A3309" w:rsidP="00A475C9">
            <w:pPr>
              <w:widowControl/>
              <w:suppressAutoHyphens/>
              <w:adjustRightInd w:val="0"/>
              <w:spacing w:after="113" w:line="220" w:lineRule="atLeast"/>
              <w:jc w:val="center"/>
              <w:textAlignment w:val="center"/>
              <w:rPr>
                <w:rFonts w:eastAsiaTheme="minorHAnsi"/>
                <w:sz w:val="20"/>
                <w:szCs w:val="20"/>
                <w:lang w:eastAsia="en-US" w:bidi="ar-SA"/>
              </w:rPr>
            </w:pPr>
            <w:r w:rsidRPr="00A475C9">
              <w:rPr>
                <w:rFonts w:eastAsiaTheme="minorHAnsi"/>
                <w:sz w:val="20"/>
                <w:szCs w:val="20"/>
                <w:lang w:eastAsia="en-US" w:bidi="ar-SA"/>
              </w:rPr>
              <w:t>7,051,518</w:t>
            </w:r>
          </w:p>
        </w:tc>
        <w:tc>
          <w:tcPr>
            <w:tcW w:w="1701" w:type="dxa"/>
          </w:tcPr>
          <w:p w:rsidR="007A3309" w:rsidRPr="00A475C9" w:rsidRDefault="007A3309" w:rsidP="00A475C9">
            <w:pPr>
              <w:widowControl/>
              <w:suppressAutoHyphens/>
              <w:adjustRightInd w:val="0"/>
              <w:spacing w:after="113" w:line="220" w:lineRule="atLeast"/>
              <w:jc w:val="center"/>
              <w:textAlignment w:val="center"/>
              <w:rPr>
                <w:rFonts w:eastAsiaTheme="minorHAnsi"/>
                <w:sz w:val="20"/>
                <w:szCs w:val="20"/>
                <w:lang w:eastAsia="en-US" w:bidi="ar-SA"/>
              </w:rPr>
            </w:pPr>
            <w:r w:rsidRPr="00A475C9">
              <w:rPr>
                <w:rFonts w:eastAsiaTheme="minorHAnsi"/>
                <w:sz w:val="20"/>
                <w:szCs w:val="20"/>
                <w:lang w:eastAsia="en-US" w:bidi="ar-SA"/>
              </w:rPr>
              <w:t>5,252,286</w:t>
            </w:r>
          </w:p>
        </w:tc>
      </w:tr>
      <w:tr w:rsidR="00A475C9" w:rsidRPr="00A475C9" w:rsidTr="00A475C9">
        <w:trPr>
          <w:trHeight w:val="60"/>
        </w:trPr>
        <w:tc>
          <w:tcPr>
            <w:tcW w:w="5336" w:type="dxa"/>
          </w:tcPr>
          <w:p w:rsidR="007A3309" w:rsidRPr="00A475C9"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A475C9">
              <w:rPr>
                <w:rFonts w:eastAsiaTheme="minorHAnsi"/>
                <w:sz w:val="20"/>
                <w:szCs w:val="20"/>
                <w:lang w:eastAsia="en-US" w:bidi="ar-SA"/>
              </w:rPr>
              <w:t>Total expenses incurred in delivery of services</w:t>
            </w:r>
          </w:p>
        </w:tc>
        <w:tc>
          <w:tcPr>
            <w:tcW w:w="992" w:type="dxa"/>
          </w:tcPr>
          <w:p w:rsidR="007A3309" w:rsidRPr="00A475C9" w:rsidRDefault="007A3309" w:rsidP="00A475C9">
            <w:pPr>
              <w:widowControl/>
              <w:adjustRightInd w:val="0"/>
              <w:jc w:val="center"/>
              <w:rPr>
                <w:rFonts w:eastAsiaTheme="minorHAnsi"/>
                <w:sz w:val="20"/>
                <w:szCs w:val="20"/>
                <w:lang w:eastAsia="en-US" w:bidi="ar-SA"/>
              </w:rPr>
            </w:pPr>
          </w:p>
        </w:tc>
        <w:tc>
          <w:tcPr>
            <w:tcW w:w="1843" w:type="dxa"/>
          </w:tcPr>
          <w:p w:rsidR="007A3309" w:rsidRPr="00A475C9" w:rsidRDefault="007A3309" w:rsidP="00A475C9">
            <w:pPr>
              <w:widowControl/>
              <w:suppressAutoHyphens/>
              <w:adjustRightInd w:val="0"/>
              <w:spacing w:after="113" w:line="220" w:lineRule="atLeast"/>
              <w:jc w:val="center"/>
              <w:textAlignment w:val="center"/>
              <w:rPr>
                <w:rFonts w:eastAsiaTheme="minorHAnsi"/>
                <w:sz w:val="20"/>
                <w:szCs w:val="20"/>
                <w:lang w:eastAsia="en-US" w:bidi="ar-SA"/>
              </w:rPr>
            </w:pPr>
            <w:r w:rsidRPr="00A475C9">
              <w:rPr>
                <w:rFonts w:eastAsiaTheme="minorHAnsi"/>
                <w:sz w:val="20"/>
                <w:szCs w:val="20"/>
                <w:lang w:eastAsia="en-US" w:bidi="ar-SA"/>
              </w:rPr>
              <w:t>19,216,136</w:t>
            </w:r>
          </w:p>
        </w:tc>
        <w:tc>
          <w:tcPr>
            <w:tcW w:w="1701" w:type="dxa"/>
          </w:tcPr>
          <w:p w:rsidR="007A3309" w:rsidRPr="00A475C9" w:rsidRDefault="007A3309" w:rsidP="00A475C9">
            <w:pPr>
              <w:widowControl/>
              <w:suppressAutoHyphens/>
              <w:adjustRightInd w:val="0"/>
              <w:spacing w:after="113" w:line="220" w:lineRule="atLeast"/>
              <w:jc w:val="center"/>
              <w:textAlignment w:val="center"/>
              <w:rPr>
                <w:rFonts w:eastAsiaTheme="minorHAnsi"/>
                <w:sz w:val="20"/>
                <w:szCs w:val="20"/>
                <w:lang w:eastAsia="en-US" w:bidi="ar-SA"/>
              </w:rPr>
            </w:pPr>
            <w:r w:rsidRPr="00A475C9">
              <w:rPr>
                <w:rFonts w:eastAsiaTheme="minorHAnsi"/>
                <w:sz w:val="20"/>
                <w:szCs w:val="20"/>
                <w:lang w:eastAsia="en-US" w:bidi="ar-SA"/>
              </w:rPr>
              <w:t>14,212,899</w:t>
            </w:r>
          </w:p>
        </w:tc>
      </w:tr>
    </w:tbl>
    <w:p w:rsidR="007A3309" w:rsidRPr="007A3309" w:rsidRDefault="007A3309" w:rsidP="007A3309">
      <w:pPr>
        <w:widowControl/>
        <w:suppressAutoHyphens/>
        <w:adjustRightInd w:val="0"/>
        <w:spacing w:after="113" w:line="220" w:lineRule="atLeast"/>
        <w:textAlignment w:val="center"/>
        <w:rPr>
          <w:rFonts w:ascii="HelveticaNeueLT Std Lt" w:eastAsiaTheme="minorHAnsi" w:hAnsi="HelveticaNeueLT Std Lt" w:cs="HelveticaNeueLT Std Lt"/>
          <w:color w:val="000000"/>
          <w:sz w:val="24"/>
          <w:szCs w:val="24"/>
          <w:lang w:eastAsia="en-US" w:bidi="ar-SA"/>
        </w:rPr>
      </w:pPr>
    </w:p>
    <w:p w:rsidR="007A3309" w:rsidRDefault="007A3309" w:rsidP="00A475C9">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475C9">
        <w:rPr>
          <w:rFonts w:eastAsiaTheme="minorHAnsi"/>
          <w:color w:val="000000"/>
          <w:sz w:val="20"/>
          <w:szCs w:val="20"/>
          <w:lang w:eastAsia="en-US" w:bidi="ar-SA"/>
        </w:rPr>
        <w:t>Expenses incurred in the delivery of services has increased in 2019 due to substantial work performed</w:t>
      </w:r>
      <w:r w:rsidR="00A475C9">
        <w:rPr>
          <w:rFonts w:eastAsiaTheme="minorHAnsi"/>
          <w:color w:val="000000"/>
          <w:sz w:val="20"/>
          <w:szCs w:val="20"/>
          <w:lang w:eastAsia="en-US" w:bidi="ar-SA"/>
        </w:rPr>
        <w:t xml:space="preserve"> </w:t>
      </w:r>
      <w:r w:rsidRPr="00A475C9">
        <w:rPr>
          <w:rFonts w:eastAsiaTheme="minorHAnsi"/>
          <w:color w:val="000000"/>
          <w:sz w:val="20"/>
          <w:szCs w:val="20"/>
          <w:lang w:eastAsia="en-US" w:bidi="ar-SA"/>
        </w:rPr>
        <w:t xml:space="preserve">by the Commission on its training programs and </w:t>
      </w:r>
      <w:proofErr w:type="spellStart"/>
      <w:r w:rsidRPr="00A475C9">
        <w:rPr>
          <w:rFonts w:eastAsiaTheme="minorHAnsi"/>
          <w:color w:val="000000"/>
          <w:sz w:val="20"/>
          <w:szCs w:val="20"/>
          <w:lang w:eastAsia="en-US" w:bidi="ar-SA"/>
        </w:rPr>
        <w:t>eRecruitment</w:t>
      </w:r>
      <w:proofErr w:type="spellEnd"/>
      <w:r w:rsidRPr="00A475C9">
        <w:rPr>
          <w:rFonts w:eastAsiaTheme="minorHAnsi"/>
          <w:color w:val="000000"/>
          <w:sz w:val="20"/>
          <w:szCs w:val="20"/>
          <w:lang w:eastAsia="en-US" w:bidi="ar-SA"/>
        </w:rPr>
        <w:t xml:space="preserve"> services.</w:t>
      </w:r>
    </w:p>
    <w:p w:rsidR="00A475C9" w:rsidRPr="00A475C9" w:rsidRDefault="00A475C9" w:rsidP="00A475C9">
      <w:pPr>
        <w:rPr>
          <w:lang w:eastAsia="en-US" w:bidi="ar-SA"/>
        </w:rPr>
      </w:pPr>
    </w:p>
    <w:p w:rsidR="007A3309" w:rsidRDefault="007A3309" w:rsidP="00A475C9">
      <w:pPr>
        <w:pStyle w:val="Heading4"/>
        <w:rPr>
          <w:lang w:eastAsia="en-US" w:bidi="ar-SA"/>
        </w:rPr>
      </w:pPr>
      <w:r w:rsidRPr="007A3309">
        <w:rPr>
          <w:lang w:eastAsia="en-US" w:bidi="ar-SA"/>
        </w:rPr>
        <w:t>3.2</w:t>
      </w:r>
      <w:r w:rsidRPr="007A3309">
        <w:rPr>
          <w:lang w:eastAsia="en-US" w:bidi="ar-SA"/>
        </w:rPr>
        <w:t> </w:t>
      </w:r>
      <w:r w:rsidRPr="007A3309">
        <w:rPr>
          <w:lang w:eastAsia="en-US" w:bidi="ar-SA"/>
        </w:rPr>
        <w:t xml:space="preserve">Employee benefits </w:t>
      </w:r>
    </w:p>
    <w:p w:rsidR="00A475C9" w:rsidRPr="007A3309" w:rsidRDefault="00A475C9" w:rsidP="00A475C9">
      <w:pPr>
        <w:rPr>
          <w:lang w:eastAsia="en-US" w:bidi="ar-SA"/>
        </w:rPr>
      </w:pPr>
    </w:p>
    <w:p w:rsidR="007A3309" w:rsidRDefault="007A3309" w:rsidP="00A475C9">
      <w:pPr>
        <w:widowControl/>
        <w:suppressAutoHyphens/>
        <w:adjustRightInd w:val="0"/>
        <w:spacing w:before="113" w:line="220" w:lineRule="atLeast"/>
        <w:ind w:left="709" w:right="1137"/>
        <w:textAlignment w:val="center"/>
        <w:rPr>
          <w:rFonts w:eastAsiaTheme="minorHAnsi"/>
          <w:b/>
          <w:bCs/>
          <w:color w:val="000000"/>
          <w:sz w:val="20"/>
          <w:szCs w:val="20"/>
          <w:lang w:eastAsia="en-US" w:bidi="ar-SA"/>
        </w:rPr>
      </w:pPr>
      <w:r w:rsidRPr="00A475C9">
        <w:rPr>
          <w:rFonts w:eastAsiaTheme="minorHAnsi"/>
          <w:b/>
          <w:bCs/>
          <w:color w:val="000000"/>
          <w:sz w:val="20"/>
          <w:szCs w:val="20"/>
          <w:lang w:eastAsia="en-US" w:bidi="ar-SA"/>
        </w:rPr>
        <w:t>3.2.1</w:t>
      </w:r>
      <w:r w:rsidRPr="00A475C9">
        <w:rPr>
          <w:rFonts w:eastAsiaTheme="minorHAnsi"/>
          <w:b/>
          <w:bCs/>
          <w:color w:val="000000"/>
          <w:sz w:val="20"/>
          <w:szCs w:val="20"/>
          <w:lang w:eastAsia="en-US" w:bidi="ar-SA"/>
        </w:rPr>
        <w:t> </w:t>
      </w:r>
      <w:r w:rsidRPr="00A475C9">
        <w:rPr>
          <w:rFonts w:eastAsiaTheme="minorHAnsi"/>
          <w:b/>
          <w:bCs/>
          <w:color w:val="000000"/>
          <w:sz w:val="20"/>
          <w:szCs w:val="20"/>
          <w:lang w:eastAsia="en-US" w:bidi="ar-SA"/>
        </w:rPr>
        <w:t>Employee benefits in the comprehensive operating statement</w:t>
      </w:r>
    </w:p>
    <w:p w:rsidR="00BB74EA" w:rsidRDefault="00BB74EA" w:rsidP="00BB74EA">
      <w:pPr>
        <w:rPr>
          <w:lang w:eastAsia="en-US" w:bidi="ar-SA"/>
        </w:rPr>
      </w:pPr>
    </w:p>
    <w:p w:rsidR="00BB74EA" w:rsidRPr="00A475C9" w:rsidRDefault="00BB74EA" w:rsidP="00BB74EA">
      <w:pPr>
        <w:rPr>
          <w:lang w:eastAsia="en-US" w:bidi="ar-SA"/>
        </w:rPr>
      </w:pPr>
    </w:p>
    <w:tbl>
      <w:tblPr>
        <w:tblStyle w:val="TableGrid"/>
        <w:tblW w:w="0" w:type="auto"/>
        <w:tblInd w:w="742" w:type="dxa"/>
        <w:tblLayout w:type="fixed"/>
        <w:tblLook w:val="0000" w:firstRow="0" w:lastRow="0" w:firstColumn="0" w:lastColumn="0" w:noHBand="0" w:noVBand="0"/>
      </w:tblPr>
      <w:tblGrid>
        <w:gridCol w:w="6483"/>
        <w:gridCol w:w="1842"/>
        <w:gridCol w:w="1701"/>
      </w:tblGrid>
      <w:tr w:rsidR="00BB74EA" w:rsidRPr="00BB74EA" w:rsidTr="00BB74EA">
        <w:trPr>
          <w:trHeight w:val="60"/>
        </w:trPr>
        <w:tc>
          <w:tcPr>
            <w:tcW w:w="6483" w:type="dxa"/>
          </w:tcPr>
          <w:p w:rsidR="007A3309" w:rsidRPr="00BB74EA" w:rsidRDefault="007A3309" w:rsidP="007A3309">
            <w:pPr>
              <w:widowControl/>
              <w:adjustRightInd w:val="0"/>
              <w:rPr>
                <w:rFonts w:eastAsiaTheme="minorHAnsi"/>
                <w:sz w:val="20"/>
                <w:szCs w:val="20"/>
                <w:lang w:eastAsia="en-US" w:bidi="ar-SA"/>
              </w:rPr>
            </w:pPr>
          </w:p>
        </w:tc>
        <w:tc>
          <w:tcPr>
            <w:tcW w:w="1842"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B74EA">
              <w:rPr>
                <w:rFonts w:eastAsiaTheme="minorHAnsi"/>
                <w:b/>
                <w:bCs/>
                <w:sz w:val="20"/>
                <w:szCs w:val="20"/>
                <w:lang w:eastAsia="en-US" w:bidi="ar-SA"/>
              </w:rPr>
              <w:t>2019</w:t>
            </w:r>
          </w:p>
        </w:tc>
        <w:tc>
          <w:tcPr>
            <w:tcW w:w="1701"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B74EA">
              <w:rPr>
                <w:rFonts w:eastAsiaTheme="minorHAnsi"/>
                <w:b/>
                <w:bCs/>
                <w:sz w:val="20"/>
                <w:szCs w:val="20"/>
                <w:lang w:eastAsia="en-US" w:bidi="ar-SA"/>
              </w:rPr>
              <w:t>2018</w:t>
            </w:r>
          </w:p>
        </w:tc>
      </w:tr>
      <w:tr w:rsidR="00BB74EA" w:rsidRPr="00BB74EA" w:rsidTr="00BB74EA">
        <w:trPr>
          <w:trHeight w:val="60"/>
        </w:trPr>
        <w:tc>
          <w:tcPr>
            <w:tcW w:w="6483" w:type="dxa"/>
          </w:tcPr>
          <w:p w:rsidR="007A3309" w:rsidRPr="00BB74EA" w:rsidRDefault="007A3309" w:rsidP="007A3309">
            <w:pPr>
              <w:widowControl/>
              <w:adjustRightInd w:val="0"/>
              <w:rPr>
                <w:rFonts w:eastAsiaTheme="minorHAnsi"/>
                <w:sz w:val="20"/>
                <w:szCs w:val="20"/>
                <w:lang w:eastAsia="en-US" w:bidi="ar-SA"/>
              </w:rPr>
            </w:pPr>
          </w:p>
        </w:tc>
        <w:tc>
          <w:tcPr>
            <w:tcW w:w="1842"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B74EA">
              <w:rPr>
                <w:rFonts w:eastAsiaTheme="minorHAnsi"/>
                <w:b/>
                <w:bCs/>
                <w:sz w:val="20"/>
                <w:szCs w:val="20"/>
                <w:lang w:eastAsia="en-US" w:bidi="ar-SA"/>
              </w:rPr>
              <w:t>$</w:t>
            </w:r>
          </w:p>
        </w:tc>
        <w:tc>
          <w:tcPr>
            <w:tcW w:w="1701"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B74EA">
              <w:rPr>
                <w:rFonts w:eastAsiaTheme="minorHAnsi"/>
                <w:b/>
                <w:bCs/>
                <w:sz w:val="20"/>
                <w:szCs w:val="20"/>
                <w:lang w:eastAsia="en-US" w:bidi="ar-SA"/>
              </w:rPr>
              <w:t>$</w:t>
            </w:r>
          </w:p>
        </w:tc>
      </w:tr>
      <w:tr w:rsidR="00BB74EA" w:rsidRPr="00BB74EA" w:rsidTr="00BB74EA">
        <w:trPr>
          <w:trHeight w:val="60"/>
        </w:trPr>
        <w:tc>
          <w:tcPr>
            <w:tcW w:w="6483" w:type="dxa"/>
          </w:tcPr>
          <w:p w:rsidR="007A3309" w:rsidRPr="00BB74EA"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BB74EA">
              <w:rPr>
                <w:rFonts w:eastAsiaTheme="minorHAnsi"/>
                <w:sz w:val="20"/>
                <w:szCs w:val="20"/>
                <w:lang w:eastAsia="en-US" w:bidi="ar-SA"/>
              </w:rPr>
              <w:t>Salaries and wages, annual leave and long service leave</w:t>
            </w:r>
          </w:p>
        </w:tc>
        <w:tc>
          <w:tcPr>
            <w:tcW w:w="1842"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11,209,528</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8,192,644</w:t>
            </w:r>
          </w:p>
        </w:tc>
      </w:tr>
      <w:tr w:rsidR="00BB74EA" w:rsidRPr="00BB74EA" w:rsidTr="00BB74EA">
        <w:trPr>
          <w:trHeight w:val="60"/>
        </w:trPr>
        <w:tc>
          <w:tcPr>
            <w:tcW w:w="6483" w:type="dxa"/>
          </w:tcPr>
          <w:p w:rsidR="007A3309" w:rsidRPr="00BB74EA"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BB74EA">
              <w:rPr>
                <w:rFonts w:eastAsiaTheme="minorHAnsi"/>
                <w:sz w:val="20"/>
                <w:szCs w:val="20"/>
                <w:lang w:eastAsia="en-US" w:bidi="ar-SA"/>
              </w:rPr>
              <w:t>Defined contribution superannuation expense</w:t>
            </w:r>
          </w:p>
        </w:tc>
        <w:tc>
          <w:tcPr>
            <w:tcW w:w="1842"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816,565</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628,397</w:t>
            </w:r>
          </w:p>
        </w:tc>
      </w:tr>
      <w:tr w:rsidR="00BB74EA" w:rsidRPr="00BB74EA" w:rsidTr="00BB74EA">
        <w:trPr>
          <w:trHeight w:val="60"/>
        </w:trPr>
        <w:tc>
          <w:tcPr>
            <w:tcW w:w="6483" w:type="dxa"/>
          </w:tcPr>
          <w:p w:rsidR="007A3309" w:rsidRPr="00BB74EA"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BB74EA">
              <w:rPr>
                <w:rFonts w:eastAsiaTheme="minorHAnsi"/>
                <w:sz w:val="20"/>
                <w:szCs w:val="20"/>
                <w:lang w:eastAsia="en-US" w:bidi="ar-SA"/>
              </w:rPr>
              <w:t>Defined benefit superannuation expense</w:t>
            </w:r>
          </w:p>
        </w:tc>
        <w:tc>
          <w:tcPr>
            <w:tcW w:w="1842"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69,517</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70,564</w:t>
            </w:r>
          </w:p>
        </w:tc>
      </w:tr>
      <w:tr w:rsidR="00BB74EA" w:rsidRPr="00BB74EA" w:rsidTr="00BB74EA">
        <w:trPr>
          <w:trHeight w:val="60"/>
        </w:trPr>
        <w:tc>
          <w:tcPr>
            <w:tcW w:w="6483" w:type="dxa"/>
          </w:tcPr>
          <w:p w:rsidR="007A3309" w:rsidRPr="00BB74EA"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BB74EA">
              <w:rPr>
                <w:rFonts w:eastAsiaTheme="minorHAnsi"/>
                <w:sz w:val="20"/>
                <w:szCs w:val="20"/>
                <w:lang w:eastAsia="en-US" w:bidi="ar-SA"/>
              </w:rPr>
              <w:t>Total employee benefits</w:t>
            </w:r>
          </w:p>
        </w:tc>
        <w:tc>
          <w:tcPr>
            <w:tcW w:w="1842"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12,095,610</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8,891,605</w:t>
            </w:r>
          </w:p>
        </w:tc>
      </w:tr>
    </w:tbl>
    <w:p w:rsidR="007A3309" w:rsidRPr="00BB74EA" w:rsidRDefault="007A3309" w:rsidP="00BB74EA">
      <w:pPr>
        <w:rPr>
          <w:lang w:eastAsia="en-US" w:bidi="ar-SA"/>
        </w:rPr>
      </w:pPr>
    </w:p>
    <w:p w:rsidR="007A3309" w:rsidRPr="00BB74EA" w:rsidRDefault="007A3309" w:rsidP="00BB74EA">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 xml:space="preserve">Employee benefits include all costs related to employment including salaries and wages, fringe benefits tax, leave entitlements, termination payments and </w:t>
      </w:r>
      <w:proofErr w:type="spellStart"/>
      <w:r w:rsidRPr="00BB74EA">
        <w:rPr>
          <w:rFonts w:eastAsiaTheme="minorHAnsi"/>
          <w:color w:val="000000"/>
          <w:sz w:val="20"/>
          <w:szCs w:val="20"/>
          <w:lang w:eastAsia="en-US" w:bidi="ar-SA"/>
        </w:rPr>
        <w:t>WorkCover</w:t>
      </w:r>
      <w:proofErr w:type="spellEnd"/>
      <w:r w:rsidRPr="00BB74EA">
        <w:rPr>
          <w:rFonts w:eastAsiaTheme="minorHAnsi"/>
          <w:color w:val="000000"/>
          <w:sz w:val="20"/>
          <w:szCs w:val="20"/>
          <w:lang w:eastAsia="en-US" w:bidi="ar-SA"/>
        </w:rPr>
        <w:t xml:space="preserve"> premiums.</w:t>
      </w:r>
    </w:p>
    <w:p w:rsidR="007A3309" w:rsidRPr="00BB74EA" w:rsidRDefault="007A3309" w:rsidP="00BB74EA">
      <w:pPr>
        <w:rPr>
          <w:lang w:eastAsia="en-US" w:bidi="ar-SA"/>
        </w:rPr>
      </w:pPr>
    </w:p>
    <w:p w:rsidR="007A3309" w:rsidRPr="00BB74EA" w:rsidRDefault="007A3309" w:rsidP="00BB74EA">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BB74EA">
        <w:rPr>
          <w:rFonts w:eastAsiaTheme="minorHAnsi"/>
          <w:b/>
          <w:bCs/>
          <w:color w:val="000000"/>
          <w:sz w:val="20"/>
          <w:szCs w:val="20"/>
          <w:lang w:eastAsia="en-US" w:bidi="ar-SA"/>
        </w:rPr>
        <w:t>3.2.2 Employee benefits in the balance sheet</w:t>
      </w:r>
    </w:p>
    <w:p w:rsidR="007A3309" w:rsidRDefault="007A3309" w:rsidP="00BB74EA">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Provision is made for benefits accruing to employees in respect of annual leave and long service leave</w:t>
      </w:r>
      <w:r w:rsidRPr="00BB74EA">
        <w:rPr>
          <w:rFonts w:eastAsiaTheme="minorHAnsi"/>
          <w:color w:val="000000"/>
          <w:sz w:val="20"/>
          <w:szCs w:val="20"/>
          <w:lang w:eastAsia="en-US" w:bidi="ar-SA"/>
        </w:rPr>
        <w:br/>
        <w:t>for services rendered up to the reporting date and recorded as an expense during the period the services are delivered.</w:t>
      </w:r>
    </w:p>
    <w:p w:rsidR="00BB74EA" w:rsidRPr="00BB74EA" w:rsidRDefault="00BB74EA" w:rsidP="00BB74EA">
      <w:pPr>
        <w:rPr>
          <w:lang w:eastAsia="en-US" w:bidi="ar-SA"/>
        </w:rPr>
      </w:pPr>
    </w:p>
    <w:tbl>
      <w:tblPr>
        <w:tblStyle w:val="TableGrid"/>
        <w:tblW w:w="0" w:type="auto"/>
        <w:tblInd w:w="742" w:type="dxa"/>
        <w:tblLayout w:type="fixed"/>
        <w:tblLook w:val="0000" w:firstRow="0" w:lastRow="0" w:firstColumn="0" w:lastColumn="0" w:noHBand="0" w:noVBand="0"/>
      </w:tblPr>
      <w:tblGrid>
        <w:gridCol w:w="6483"/>
        <w:gridCol w:w="1842"/>
        <w:gridCol w:w="1701"/>
      </w:tblGrid>
      <w:tr w:rsidR="00BB74EA" w:rsidRPr="00BB74EA" w:rsidTr="00BB74EA">
        <w:trPr>
          <w:trHeight w:val="60"/>
        </w:trPr>
        <w:tc>
          <w:tcPr>
            <w:tcW w:w="6483" w:type="dxa"/>
          </w:tcPr>
          <w:p w:rsidR="007A3309" w:rsidRPr="00BB74EA" w:rsidRDefault="007A3309" w:rsidP="007A3309">
            <w:pPr>
              <w:widowControl/>
              <w:adjustRightInd w:val="0"/>
              <w:rPr>
                <w:rFonts w:eastAsiaTheme="minorHAnsi"/>
                <w:sz w:val="20"/>
                <w:szCs w:val="20"/>
                <w:lang w:eastAsia="en-US" w:bidi="ar-SA"/>
              </w:rPr>
            </w:pPr>
          </w:p>
        </w:tc>
        <w:tc>
          <w:tcPr>
            <w:tcW w:w="1842"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B74EA">
              <w:rPr>
                <w:rFonts w:eastAsiaTheme="minorHAnsi"/>
                <w:b/>
                <w:bCs/>
                <w:sz w:val="20"/>
                <w:szCs w:val="20"/>
                <w:lang w:eastAsia="en-US" w:bidi="ar-SA"/>
              </w:rPr>
              <w:t>2019</w:t>
            </w:r>
          </w:p>
        </w:tc>
        <w:tc>
          <w:tcPr>
            <w:tcW w:w="1701"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B74EA">
              <w:rPr>
                <w:rFonts w:eastAsiaTheme="minorHAnsi"/>
                <w:b/>
                <w:bCs/>
                <w:sz w:val="20"/>
                <w:szCs w:val="20"/>
                <w:lang w:eastAsia="en-US" w:bidi="ar-SA"/>
              </w:rPr>
              <w:t>2018</w:t>
            </w:r>
          </w:p>
        </w:tc>
      </w:tr>
      <w:tr w:rsidR="00BB74EA" w:rsidRPr="00BB74EA" w:rsidTr="00BB74EA">
        <w:trPr>
          <w:trHeight w:val="60"/>
        </w:trPr>
        <w:tc>
          <w:tcPr>
            <w:tcW w:w="6483" w:type="dxa"/>
          </w:tcPr>
          <w:p w:rsidR="007A3309" w:rsidRPr="00BB74EA" w:rsidRDefault="007A3309" w:rsidP="007A3309">
            <w:pPr>
              <w:widowControl/>
              <w:adjustRightInd w:val="0"/>
              <w:rPr>
                <w:rFonts w:eastAsiaTheme="minorHAnsi"/>
                <w:sz w:val="20"/>
                <w:szCs w:val="20"/>
                <w:lang w:eastAsia="en-US" w:bidi="ar-SA"/>
              </w:rPr>
            </w:pPr>
          </w:p>
        </w:tc>
        <w:tc>
          <w:tcPr>
            <w:tcW w:w="1842"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B74EA">
              <w:rPr>
                <w:rFonts w:eastAsiaTheme="minorHAnsi"/>
                <w:b/>
                <w:bCs/>
                <w:sz w:val="20"/>
                <w:szCs w:val="20"/>
                <w:lang w:eastAsia="en-US" w:bidi="ar-SA"/>
              </w:rPr>
              <w:t>$</w:t>
            </w:r>
          </w:p>
        </w:tc>
        <w:tc>
          <w:tcPr>
            <w:tcW w:w="1701"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B74EA">
              <w:rPr>
                <w:rFonts w:eastAsiaTheme="minorHAnsi"/>
                <w:b/>
                <w:bCs/>
                <w:sz w:val="20"/>
                <w:szCs w:val="20"/>
                <w:lang w:eastAsia="en-US" w:bidi="ar-SA"/>
              </w:rPr>
              <w:t>$</w:t>
            </w:r>
          </w:p>
        </w:tc>
      </w:tr>
      <w:tr w:rsidR="00BB74EA" w:rsidRPr="00BB74EA" w:rsidTr="00BB74EA">
        <w:trPr>
          <w:trHeight w:val="60"/>
        </w:trPr>
        <w:tc>
          <w:tcPr>
            <w:tcW w:w="10026" w:type="dxa"/>
            <w:gridSpan w:val="3"/>
          </w:tcPr>
          <w:p w:rsidR="007A3309" w:rsidRPr="00BB74EA" w:rsidRDefault="007A3309" w:rsidP="007A3309">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BB74EA">
              <w:rPr>
                <w:rFonts w:eastAsiaTheme="minorHAnsi"/>
                <w:b/>
                <w:bCs/>
                <w:sz w:val="20"/>
                <w:szCs w:val="20"/>
                <w:lang w:eastAsia="en-US" w:bidi="ar-SA"/>
              </w:rPr>
              <w:t>Current provisions:</w:t>
            </w:r>
          </w:p>
        </w:tc>
      </w:tr>
      <w:tr w:rsidR="00BB74EA" w:rsidRPr="00BB74EA" w:rsidTr="00BB74EA">
        <w:trPr>
          <w:trHeight w:val="60"/>
        </w:trPr>
        <w:tc>
          <w:tcPr>
            <w:tcW w:w="6483" w:type="dxa"/>
          </w:tcPr>
          <w:p w:rsidR="007A3309" w:rsidRPr="00BB74EA"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BB74EA">
              <w:rPr>
                <w:rFonts w:eastAsiaTheme="minorHAnsi"/>
                <w:sz w:val="20"/>
                <w:szCs w:val="20"/>
                <w:lang w:eastAsia="en-US" w:bidi="ar-SA"/>
              </w:rPr>
              <w:t>Annual leave</w:t>
            </w:r>
          </w:p>
        </w:tc>
        <w:tc>
          <w:tcPr>
            <w:tcW w:w="1842"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845,763</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565,847</w:t>
            </w:r>
          </w:p>
        </w:tc>
      </w:tr>
      <w:tr w:rsidR="00BB74EA" w:rsidRPr="00BB74EA" w:rsidTr="00BB74EA">
        <w:trPr>
          <w:trHeight w:val="60"/>
        </w:trPr>
        <w:tc>
          <w:tcPr>
            <w:tcW w:w="6483" w:type="dxa"/>
          </w:tcPr>
          <w:p w:rsidR="007A3309" w:rsidRPr="00BB74EA"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BB74EA">
              <w:rPr>
                <w:rFonts w:eastAsiaTheme="minorHAnsi"/>
                <w:sz w:val="20"/>
                <w:szCs w:val="20"/>
                <w:lang w:eastAsia="en-US" w:bidi="ar-SA"/>
              </w:rPr>
              <w:t>Long service leave</w:t>
            </w:r>
          </w:p>
        </w:tc>
        <w:tc>
          <w:tcPr>
            <w:tcW w:w="1842"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1,307,888</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1,212,968</w:t>
            </w:r>
          </w:p>
        </w:tc>
      </w:tr>
      <w:tr w:rsidR="00BB74EA" w:rsidRPr="00BB74EA" w:rsidTr="00BB74EA">
        <w:trPr>
          <w:trHeight w:val="60"/>
        </w:trPr>
        <w:tc>
          <w:tcPr>
            <w:tcW w:w="6483" w:type="dxa"/>
          </w:tcPr>
          <w:p w:rsidR="007A3309" w:rsidRPr="00BB74EA"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BB74EA">
              <w:rPr>
                <w:rFonts w:eastAsiaTheme="minorHAnsi"/>
                <w:sz w:val="20"/>
                <w:szCs w:val="20"/>
                <w:lang w:eastAsia="en-US" w:bidi="ar-SA"/>
              </w:rPr>
              <w:t>Total current provisions for employee benefits</w:t>
            </w:r>
          </w:p>
        </w:tc>
        <w:tc>
          <w:tcPr>
            <w:tcW w:w="1842"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2,153,651</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1,778,815</w:t>
            </w:r>
          </w:p>
        </w:tc>
      </w:tr>
      <w:tr w:rsidR="00BB74EA" w:rsidRPr="00BB74EA" w:rsidTr="00BB74EA">
        <w:trPr>
          <w:trHeight w:val="63"/>
        </w:trPr>
        <w:tc>
          <w:tcPr>
            <w:tcW w:w="6483" w:type="dxa"/>
          </w:tcPr>
          <w:p w:rsidR="007A3309" w:rsidRPr="00BB74EA" w:rsidRDefault="007A3309" w:rsidP="007A3309">
            <w:pPr>
              <w:widowControl/>
              <w:adjustRightInd w:val="0"/>
              <w:rPr>
                <w:rFonts w:eastAsiaTheme="minorHAnsi"/>
                <w:sz w:val="20"/>
                <w:szCs w:val="20"/>
                <w:lang w:eastAsia="en-US" w:bidi="ar-SA"/>
              </w:rPr>
            </w:pPr>
          </w:p>
        </w:tc>
        <w:tc>
          <w:tcPr>
            <w:tcW w:w="1842" w:type="dxa"/>
          </w:tcPr>
          <w:p w:rsidR="007A3309" w:rsidRPr="00BB74EA" w:rsidRDefault="007A3309" w:rsidP="007A3309">
            <w:pPr>
              <w:widowControl/>
              <w:adjustRightInd w:val="0"/>
              <w:rPr>
                <w:rFonts w:eastAsiaTheme="minorHAnsi"/>
                <w:sz w:val="20"/>
                <w:szCs w:val="20"/>
                <w:lang w:eastAsia="en-US" w:bidi="ar-SA"/>
              </w:rPr>
            </w:pPr>
          </w:p>
        </w:tc>
        <w:tc>
          <w:tcPr>
            <w:tcW w:w="1701" w:type="dxa"/>
          </w:tcPr>
          <w:p w:rsidR="007A3309" w:rsidRPr="00BB74EA" w:rsidRDefault="007A3309" w:rsidP="007A3309">
            <w:pPr>
              <w:widowControl/>
              <w:adjustRightInd w:val="0"/>
              <w:rPr>
                <w:rFonts w:eastAsiaTheme="minorHAnsi"/>
                <w:sz w:val="20"/>
                <w:szCs w:val="20"/>
                <w:lang w:eastAsia="en-US" w:bidi="ar-SA"/>
              </w:rPr>
            </w:pPr>
          </w:p>
        </w:tc>
      </w:tr>
      <w:tr w:rsidR="00BB74EA" w:rsidRPr="00BB74EA" w:rsidTr="00BB74EA">
        <w:trPr>
          <w:trHeight w:val="60"/>
        </w:trPr>
        <w:tc>
          <w:tcPr>
            <w:tcW w:w="10026" w:type="dxa"/>
            <w:gridSpan w:val="3"/>
          </w:tcPr>
          <w:p w:rsidR="007A3309" w:rsidRPr="00BB74EA" w:rsidRDefault="007A3309" w:rsidP="007A3309">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BB74EA">
              <w:rPr>
                <w:rFonts w:eastAsiaTheme="minorHAnsi"/>
                <w:b/>
                <w:bCs/>
                <w:sz w:val="20"/>
                <w:szCs w:val="20"/>
                <w:lang w:eastAsia="en-US" w:bidi="ar-SA"/>
              </w:rPr>
              <w:t xml:space="preserve">Non-current provision: </w:t>
            </w:r>
          </w:p>
        </w:tc>
      </w:tr>
      <w:tr w:rsidR="00BB74EA" w:rsidRPr="00BB74EA" w:rsidTr="00BB74EA">
        <w:trPr>
          <w:trHeight w:val="60"/>
        </w:trPr>
        <w:tc>
          <w:tcPr>
            <w:tcW w:w="6483" w:type="dxa"/>
          </w:tcPr>
          <w:p w:rsidR="007A3309" w:rsidRPr="00BB74EA"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BB74EA">
              <w:rPr>
                <w:rFonts w:eastAsiaTheme="minorHAnsi"/>
                <w:sz w:val="20"/>
                <w:szCs w:val="20"/>
                <w:lang w:eastAsia="en-US" w:bidi="ar-SA"/>
              </w:rPr>
              <w:t>Long service leave</w:t>
            </w:r>
          </w:p>
        </w:tc>
        <w:tc>
          <w:tcPr>
            <w:tcW w:w="1842"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362,399</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194,791</w:t>
            </w:r>
          </w:p>
        </w:tc>
      </w:tr>
      <w:tr w:rsidR="00BB74EA" w:rsidRPr="00BB74EA" w:rsidTr="00BB74EA">
        <w:trPr>
          <w:trHeight w:val="60"/>
        </w:trPr>
        <w:tc>
          <w:tcPr>
            <w:tcW w:w="6483" w:type="dxa"/>
          </w:tcPr>
          <w:p w:rsidR="007A3309" w:rsidRPr="00BB74EA" w:rsidRDefault="007A3309" w:rsidP="007A3309">
            <w:pPr>
              <w:widowControl/>
              <w:adjustRightInd w:val="0"/>
              <w:rPr>
                <w:rFonts w:eastAsiaTheme="minorHAnsi"/>
                <w:sz w:val="20"/>
                <w:szCs w:val="20"/>
                <w:lang w:eastAsia="en-US" w:bidi="ar-SA"/>
              </w:rPr>
            </w:pPr>
          </w:p>
        </w:tc>
        <w:tc>
          <w:tcPr>
            <w:tcW w:w="1842" w:type="dxa"/>
          </w:tcPr>
          <w:p w:rsidR="007A3309" w:rsidRPr="00BB74EA" w:rsidRDefault="007A3309" w:rsidP="007A3309">
            <w:pPr>
              <w:widowControl/>
              <w:adjustRightInd w:val="0"/>
              <w:rPr>
                <w:rFonts w:eastAsiaTheme="minorHAnsi"/>
                <w:sz w:val="20"/>
                <w:szCs w:val="20"/>
                <w:lang w:eastAsia="en-US" w:bidi="ar-SA"/>
              </w:rPr>
            </w:pPr>
          </w:p>
        </w:tc>
        <w:tc>
          <w:tcPr>
            <w:tcW w:w="1701" w:type="dxa"/>
          </w:tcPr>
          <w:p w:rsidR="007A3309" w:rsidRPr="00BB74EA" w:rsidRDefault="007A3309" w:rsidP="007A3309">
            <w:pPr>
              <w:widowControl/>
              <w:adjustRightInd w:val="0"/>
              <w:rPr>
                <w:rFonts w:eastAsiaTheme="minorHAnsi"/>
                <w:sz w:val="20"/>
                <w:szCs w:val="20"/>
                <w:lang w:eastAsia="en-US" w:bidi="ar-SA"/>
              </w:rPr>
            </w:pPr>
          </w:p>
        </w:tc>
      </w:tr>
      <w:tr w:rsidR="00BB74EA" w:rsidRPr="00BB74EA" w:rsidTr="00BB74EA">
        <w:trPr>
          <w:cantSplit/>
          <w:trHeight w:val="572"/>
        </w:trPr>
        <w:tc>
          <w:tcPr>
            <w:tcW w:w="6483" w:type="dxa"/>
          </w:tcPr>
          <w:p w:rsidR="007A3309" w:rsidRPr="00BB74EA" w:rsidRDefault="007A3309" w:rsidP="00BB74EA">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BB74EA">
              <w:rPr>
                <w:rFonts w:eastAsiaTheme="minorHAnsi"/>
                <w:b/>
                <w:bCs/>
                <w:sz w:val="20"/>
                <w:szCs w:val="20"/>
                <w:lang w:eastAsia="en-US" w:bidi="ar-SA"/>
              </w:rPr>
              <w:t>Total employee benefits</w:t>
            </w:r>
          </w:p>
        </w:tc>
        <w:tc>
          <w:tcPr>
            <w:tcW w:w="1842"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2,516,050</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1,973,606</w:t>
            </w:r>
          </w:p>
        </w:tc>
      </w:tr>
    </w:tbl>
    <w:p w:rsidR="007A3309" w:rsidRPr="00BB74EA" w:rsidRDefault="007A3309" w:rsidP="00BB74EA">
      <w:pPr>
        <w:widowControl/>
        <w:suppressAutoHyphens/>
        <w:adjustRightInd w:val="0"/>
        <w:spacing w:after="227" w:line="220" w:lineRule="atLeast"/>
        <w:ind w:left="709" w:right="1137"/>
        <w:textAlignment w:val="center"/>
        <w:rPr>
          <w:rFonts w:eastAsiaTheme="minorHAnsi"/>
          <w:color w:val="000000"/>
          <w:sz w:val="20"/>
          <w:szCs w:val="20"/>
          <w:lang w:eastAsia="en-US" w:bidi="ar-SA"/>
        </w:rPr>
      </w:pPr>
    </w:p>
    <w:p w:rsidR="007A3309" w:rsidRPr="00BB74EA" w:rsidRDefault="007A3309" w:rsidP="00BB74EA">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BB74EA">
        <w:rPr>
          <w:rFonts w:eastAsiaTheme="minorHAnsi"/>
          <w:b/>
          <w:bCs/>
          <w:color w:val="000000"/>
          <w:sz w:val="20"/>
          <w:szCs w:val="20"/>
          <w:lang w:eastAsia="en-US" w:bidi="ar-SA"/>
        </w:rPr>
        <w:t>Current provisions</w:t>
      </w:r>
    </w:p>
    <w:p w:rsidR="007A3309" w:rsidRPr="00BB74EA" w:rsidRDefault="007A3309" w:rsidP="00BB74EA">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The annual leave liability is classified as a current liability as the Commission does not have an unconditional right to defer settlement of the liability for at least 12 months after the end of the reporting period.</w:t>
      </w:r>
    </w:p>
    <w:p w:rsidR="007A3309" w:rsidRPr="00BB74EA" w:rsidRDefault="007A3309" w:rsidP="00BB74EA">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Unconditional long service leave is disclosed as a current liability, even where the Commission does not expect to settle the liability within 12 months, because it will not have the unconditional right to defer the settlement of the entitlement should an employee take leave within 12 months.</w:t>
      </w:r>
    </w:p>
    <w:p w:rsidR="007A3309" w:rsidRPr="00BB74EA" w:rsidRDefault="007A3309" w:rsidP="00BB74EA">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rsidR="007A3309" w:rsidRPr="00BB74EA" w:rsidRDefault="007A3309" w:rsidP="00BB74EA">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Employment on-costs such as payroll tax, workers compensation and superannuation are included</w:t>
      </w:r>
      <w:r w:rsidR="00BB74EA">
        <w:rPr>
          <w:rFonts w:eastAsiaTheme="minorHAnsi"/>
          <w:color w:val="000000"/>
          <w:sz w:val="20"/>
          <w:szCs w:val="20"/>
          <w:lang w:eastAsia="en-US" w:bidi="ar-SA"/>
        </w:rPr>
        <w:t xml:space="preserve"> </w:t>
      </w:r>
      <w:r w:rsidRPr="00BB74EA">
        <w:rPr>
          <w:rFonts w:eastAsiaTheme="minorHAnsi"/>
          <w:color w:val="000000"/>
          <w:sz w:val="20"/>
          <w:szCs w:val="20"/>
          <w:lang w:eastAsia="en-US" w:bidi="ar-SA"/>
        </w:rPr>
        <w:t>as a component of the provision for employee benefits.</w:t>
      </w:r>
    </w:p>
    <w:p w:rsidR="007A3309" w:rsidRPr="00BB74EA" w:rsidRDefault="007A3309" w:rsidP="00BB74EA">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BB74EA">
        <w:rPr>
          <w:rFonts w:eastAsiaTheme="minorHAnsi"/>
          <w:b/>
          <w:bCs/>
          <w:color w:val="000000"/>
          <w:sz w:val="20"/>
          <w:szCs w:val="20"/>
          <w:lang w:eastAsia="en-US" w:bidi="ar-SA"/>
        </w:rPr>
        <w:t>Non-current provisions</w:t>
      </w:r>
    </w:p>
    <w:p w:rsidR="007A3309" w:rsidRPr="00BB74EA" w:rsidRDefault="007A3309" w:rsidP="00BB74EA">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Conditional long service leave is disclosed as a non-current liability where there is an unconditional right</w:t>
      </w:r>
      <w:r w:rsidR="00BB74EA">
        <w:rPr>
          <w:rFonts w:eastAsiaTheme="minorHAnsi"/>
          <w:color w:val="000000"/>
          <w:sz w:val="20"/>
          <w:szCs w:val="20"/>
          <w:lang w:eastAsia="en-US" w:bidi="ar-SA"/>
        </w:rPr>
        <w:t xml:space="preserve"> </w:t>
      </w:r>
      <w:r w:rsidRPr="00BB74EA">
        <w:rPr>
          <w:rFonts w:eastAsiaTheme="minorHAnsi"/>
          <w:color w:val="000000"/>
          <w:sz w:val="20"/>
          <w:szCs w:val="20"/>
          <w:lang w:eastAsia="en-US" w:bidi="ar-SA"/>
        </w:rPr>
        <w:t>to defer the settlement of the entitlement until the employee has completed the requisite years of service. This non-current long service leave is measured at present value.</w:t>
      </w:r>
    </w:p>
    <w:p w:rsidR="007A3309" w:rsidRPr="00BB74EA" w:rsidRDefault="007A3309" w:rsidP="00BB74EA">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Any gain or loss following revaluation of the present value of non-current long service leave liability is recognised as a transaction, except to the extent that a gain or loss arises due to changes in bond interest rates for which it is then recognised as an ‘other economic flow’ in the net result.</w:t>
      </w:r>
    </w:p>
    <w:p w:rsidR="007A3309" w:rsidRDefault="007A3309" w:rsidP="00BB74EA">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 xml:space="preserve">The Commission does not recognise any defined benefit liabilities because it has no legal or constructive obligation to pay future benefits relating to its employees. Instead, the Department of Treasury and Finance (DTF) </w:t>
      </w:r>
      <w:r w:rsidRPr="00BB74EA">
        <w:rPr>
          <w:rFonts w:eastAsiaTheme="minorHAnsi"/>
          <w:color w:val="000000"/>
          <w:sz w:val="20"/>
          <w:szCs w:val="20"/>
          <w:lang w:eastAsia="en-US" w:bidi="ar-SA"/>
        </w:rPr>
        <w:lastRenderedPageBreak/>
        <w:t>discloses in its annual financial statements the net defined benefit cost related to the members</w:t>
      </w:r>
      <w:r w:rsidRPr="00BB74EA">
        <w:rPr>
          <w:rFonts w:eastAsiaTheme="minorHAnsi"/>
          <w:color w:val="000000"/>
          <w:sz w:val="20"/>
          <w:szCs w:val="20"/>
          <w:lang w:eastAsia="en-US" w:bidi="ar-SA"/>
        </w:rPr>
        <w:br/>
        <w:t>of these plans as an administered liability (on behalf of the State as the sponsoring employer).</w:t>
      </w:r>
    </w:p>
    <w:p w:rsidR="00BB74EA" w:rsidRPr="00BB74EA" w:rsidRDefault="00BB74EA" w:rsidP="00BB74EA">
      <w:pPr>
        <w:rPr>
          <w:lang w:eastAsia="en-US" w:bidi="ar-SA"/>
        </w:rPr>
      </w:pPr>
    </w:p>
    <w:p w:rsidR="007A3309" w:rsidRDefault="007A3309" w:rsidP="00BB74EA">
      <w:pPr>
        <w:pStyle w:val="Heading4"/>
        <w:rPr>
          <w:lang w:eastAsia="en-US" w:bidi="ar-SA"/>
        </w:rPr>
      </w:pPr>
      <w:r w:rsidRPr="007A3309">
        <w:rPr>
          <w:lang w:eastAsia="en-US" w:bidi="ar-SA"/>
        </w:rPr>
        <w:t>3.3</w:t>
      </w:r>
      <w:r w:rsidRPr="007A3309">
        <w:rPr>
          <w:lang w:eastAsia="en-US" w:bidi="ar-SA"/>
        </w:rPr>
        <w:t> </w:t>
      </w:r>
      <w:r w:rsidRPr="007A3309">
        <w:rPr>
          <w:lang w:eastAsia="en-US" w:bidi="ar-SA"/>
        </w:rPr>
        <w:t>Capital asset charge</w:t>
      </w:r>
    </w:p>
    <w:p w:rsidR="00BB74EA" w:rsidRPr="007A3309" w:rsidRDefault="00BB74EA" w:rsidP="00BB74EA">
      <w:pPr>
        <w:rPr>
          <w:lang w:eastAsia="en-US" w:bidi="ar-SA"/>
        </w:rPr>
      </w:pPr>
    </w:p>
    <w:tbl>
      <w:tblPr>
        <w:tblStyle w:val="TableGrid"/>
        <w:tblW w:w="0" w:type="auto"/>
        <w:tblInd w:w="676" w:type="dxa"/>
        <w:tblLayout w:type="fixed"/>
        <w:tblLook w:val="0000" w:firstRow="0" w:lastRow="0" w:firstColumn="0" w:lastColumn="0" w:noHBand="0" w:noVBand="0"/>
      </w:tblPr>
      <w:tblGrid>
        <w:gridCol w:w="6549"/>
        <w:gridCol w:w="1701"/>
        <w:gridCol w:w="1701"/>
      </w:tblGrid>
      <w:tr w:rsidR="00BB74EA" w:rsidRPr="00BB74EA" w:rsidTr="00BB74EA">
        <w:trPr>
          <w:trHeight w:val="60"/>
        </w:trPr>
        <w:tc>
          <w:tcPr>
            <w:tcW w:w="6549" w:type="dxa"/>
          </w:tcPr>
          <w:p w:rsidR="007A3309" w:rsidRPr="00BB74EA" w:rsidRDefault="007A3309" w:rsidP="007A3309">
            <w:pPr>
              <w:widowControl/>
              <w:adjustRightInd w:val="0"/>
              <w:rPr>
                <w:rFonts w:eastAsiaTheme="minorHAnsi"/>
                <w:sz w:val="18"/>
                <w:szCs w:val="18"/>
                <w:lang w:eastAsia="en-US" w:bidi="ar-SA"/>
              </w:rPr>
            </w:pPr>
          </w:p>
        </w:tc>
        <w:tc>
          <w:tcPr>
            <w:tcW w:w="1701"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18"/>
                <w:szCs w:val="18"/>
                <w:lang w:eastAsia="en-US" w:bidi="ar-SA"/>
              </w:rPr>
            </w:pPr>
            <w:r w:rsidRPr="00BB74EA">
              <w:rPr>
                <w:rFonts w:eastAsiaTheme="minorHAnsi"/>
                <w:b/>
                <w:bCs/>
                <w:sz w:val="18"/>
                <w:szCs w:val="18"/>
                <w:lang w:eastAsia="en-US" w:bidi="ar-SA"/>
              </w:rPr>
              <w:t>2019</w:t>
            </w:r>
          </w:p>
        </w:tc>
        <w:tc>
          <w:tcPr>
            <w:tcW w:w="1701"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18"/>
                <w:szCs w:val="18"/>
                <w:lang w:eastAsia="en-US" w:bidi="ar-SA"/>
              </w:rPr>
            </w:pPr>
            <w:r w:rsidRPr="00BB74EA">
              <w:rPr>
                <w:rFonts w:eastAsiaTheme="minorHAnsi"/>
                <w:b/>
                <w:bCs/>
                <w:sz w:val="18"/>
                <w:szCs w:val="18"/>
                <w:lang w:eastAsia="en-US" w:bidi="ar-SA"/>
              </w:rPr>
              <w:t>2018</w:t>
            </w:r>
          </w:p>
        </w:tc>
      </w:tr>
      <w:tr w:rsidR="00BB74EA" w:rsidRPr="00BB74EA" w:rsidTr="00BB74EA">
        <w:trPr>
          <w:trHeight w:val="60"/>
        </w:trPr>
        <w:tc>
          <w:tcPr>
            <w:tcW w:w="6549" w:type="dxa"/>
          </w:tcPr>
          <w:p w:rsidR="007A3309" w:rsidRPr="00BB74EA" w:rsidRDefault="007A3309" w:rsidP="007A3309">
            <w:pPr>
              <w:widowControl/>
              <w:adjustRightInd w:val="0"/>
              <w:rPr>
                <w:rFonts w:eastAsiaTheme="minorHAnsi"/>
                <w:sz w:val="18"/>
                <w:szCs w:val="18"/>
                <w:lang w:eastAsia="en-US" w:bidi="ar-SA"/>
              </w:rPr>
            </w:pPr>
          </w:p>
        </w:tc>
        <w:tc>
          <w:tcPr>
            <w:tcW w:w="1701"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18"/>
                <w:szCs w:val="18"/>
                <w:lang w:eastAsia="en-US" w:bidi="ar-SA"/>
              </w:rPr>
            </w:pPr>
            <w:r w:rsidRPr="00BB74EA">
              <w:rPr>
                <w:rFonts w:eastAsiaTheme="minorHAnsi"/>
                <w:b/>
                <w:bCs/>
                <w:sz w:val="18"/>
                <w:szCs w:val="18"/>
                <w:lang w:eastAsia="en-US" w:bidi="ar-SA"/>
              </w:rPr>
              <w:t>$</w:t>
            </w:r>
          </w:p>
        </w:tc>
        <w:tc>
          <w:tcPr>
            <w:tcW w:w="1701"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18"/>
                <w:szCs w:val="18"/>
                <w:lang w:eastAsia="en-US" w:bidi="ar-SA"/>
              </w:rPr>
            </w:pPr>
            <w:r w:rsidRPr="00BB74EA">
              <w:rPr>
                <w:rFonts w:eastAsiaTheme="minorHAnsi"/>
                <w:b/>
                <w:bCs/>
                <w:sz w:val="18"/>
                <w:szCs w:val="18"/>
                <w:lang w:eastAsia="en-US" w:bidi="ar-SA"/>
              </w:rPr>
              <w:t>$</w:t>
            </w:r>
          </w:p>
        </w:tc>
      </w:tr>
      <w:tr w:rsidR="00BB74EA" w:rsidRPr="00BB74EA" w:rsidTr="00BB74EA">
        <w:trPr>
          <w:trHeight w:val="60"/>
        </w:trPr>
        <w:tc>
          <w:tcPr>
            <w:tcW w:w="6549" w:type="dxa"/>
          </w:tcPr>
          <w:p w:rsidR="007A3309" w:rsidRPr="00BB74EA" w:rsidRDefault="007A3309" w:rsidP="007A3309">
            <w:pPr>
              <w:widowControl/>
              <w:suppressAutoHyphens/>
              <w:adjustRightInd w:val="0"/>
              <w:spacing w:after="113" w:line="220" w:lineRule="atLeast"/>
              <w:textAlignment w:val="center"/>
              <w:rPr>
                <w:rFonts w:eastAsiaTheme="minorHAnsi"/>
                <w:sz w:val="18"/>
                <w:szCs w:val="18"/>
                <w:lang w:eastAsia="en-US" w:bidi="ar-SA"/>
              </w:rPr>
            </w:pPr>
            <w:r w:rsidRPr="00BB74EA">
              <w:rPr>
                <w:rFonts w:eastAsiaTheme="minorHAnsi"/>
                <w:sz w:val="18"/>
                <w:szCs w:val="18"/>
                <w:lang w:eastAsia="en-US" w:bidi="ar-SA"/>
              </w:rPr>
              <w:t>Capital asset charge</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18"/>
                <w:szCs w:val="18"/>
                <w:lang w:eastAsia="en-US" w:bidi="ar-SA"/>
              </w:rPr>
            </w:pPr>
            <w:r w:rsidRPr="00BB74EA">
              <w:rPr>
                <w:rFonts w:eastAsiaTheme="minorHAnsi"/>
                <w:sz w:val="18"/>
                <w:szCs w:val="18"/>
                <w:lang w:eastAsia="en-US" w:bidi="ar-SA"/>
              </w:rPr>
              <w:t>69,008</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18"/>
                <w:szCs w:val="18"/>
                <w:lang w:eastAsia="en-US" w:bidi="ar-SA"/>
              </w:rPr>
            </w:pPr>
            <w:r w:rsidRPr="00BB74EA">
              <w:rPr>
                <w:rFonts w:eastAsiaTheme="minorHAnsi"/>
                <w:sz w:val="18"/>
                <w:szCs w:val="18"/>
                <w:lang w:eastAsia="en-US" w:bidi="ar-SA"/>
              </w:rPr>
              <w:t>69,008</w:t>
            </w:r>
          </w:p>
        </w:tc>
      </w:tr>
    </w:tbl>
    <w:p w:rsidR="007A3309" w:rsidRPr="00BB74EA" w:rsidRDefault="007A3309" w:rsidP="00BB74EA">
      <w:pPr>
        <w:rPr>
          <w:lang w:eastAsia="en-US" w:bidi="ar-SA"/>
        </w:rPr>
      </w:pPr>
    </w:p>
    <w:p w:rsidR="007A3309" w:rsidRDefault="007A3309" w:rsidP="00BB74EA">
      <w:pPr>
        <w:widowControl/>
        <w:suppressAutoHyphens/>
        <w:adjustRightInd w:val="0"/>
        <w:spacing w:after="113" w:line="220" w:lineRule="atLeast"/>
        <w:ind w:left="709"/>
        <w:textAlignment w:val="center"/>
        <w:rPr>
          <w:rFonts w:eastAsiaTheme="minorHAnsi"/>
          <w:color w:val="000000"/>
          <w:spacing w:val="1"/>
          <w:sz w:val="20"/>
          <w:szCs w:val="20"/>
          <w:lang w:eastAsia="en-US" w:bidi="ar-SA"/>
        </w:rPr>
      </w:pPr>
      <w:r w:rsidRPr="00BB74EA">
        <w:rPr>
          <w:rFonts w:eastAsiaTheme="minorHAnsi"/>
          <w:color w:val="000000"/>
          <w:spacing w:val="1"/>
          <w:sz w:val="20"/>
          <w:szCs w:val="20"/>
          <w:lang w:eastAsia="en-US" w:bidi="ar-SA"/>
        </w:rPr>
        <w:t>A capital asset charge is a charge on the written down value of non-current physical assets in the</w:t>
      </w:r>
      <w:r w:rsidRPr="00BB74EA">
        <w:rPr>
          <w:rFonts w:eastAsiaTheme="minorHAnsi"/>
          <w:color w:val="000000"/>
          <w:spacing w:val="1"/>
          <w:sz w:val="20"/>
          <w:szCs w:val="20"/>
          <w:lang w:eastAsia="en-US" w:bidi="ar-SA"/>
        </w:rPr>
        <w:br/>
        <w:t>Commission’s balance sheet which aims to attribute the opportunity cost of capital used in service</w:t>
      </w:r>
      <w:r w:rsidRPr="00BB74EA">
        <w:rPr>
          <w:rFonts w:eastAsiaTheme="minorHAnsi"/>
          <w:color w:val="000000"/>
          <w:spacing w:val="1"/>
          <w:sz w:val="20"/>
          <w:szCs w:val="20"/>
          <w:lang w:eastAsia="en-US" w:bidi="ar-SA"/>
        </w:rPr>
        <w:br/>
        <w:t>delivery and provide incentives to the Commission to identify and dispose of underutilised or surplus</w:t>
      </w:r>
      <w:r w:rsidRPr="00BB74EA">
        <w:rPr>
          <w:rFonts w:eastAsiaTheme="minorHAnsi"/>
          <w:color w:val="000000"/>
          <w:spacing w:val="1"/>
          <w:sz w:val="20"/>
          <w:szCs w:val="20"/>
          <w:lang w:eastAsia="en-US" w:bidi="ar-SA"/>
        </w:rPr>
        <w:br/>
        <w:t>assets in a timely manner. The capital asset charge is calculated on the budgeted carrying amount</w:t>
      </w:r>
      <w:r w:rsidRPr="00BB74EA">
        <w:rPr>
          <w:rFonts w:eastAsiaTheme="minorHAnsi"/>
          <w:color w:val="000000"/>
          <w:spacing w:val="1"/>
          <w:sz w:val="20"/>
          <w:szCs w:val="20"/>
          <w:lang w:eastAsia="en-US" w:bidi="ar-SA"/>
        </w:rPr>
        <w:br/>
        <w:t>of applicable non-current physical assets.</w:t>
      </w:r>
    </w:p>
    <w:p w:rsidR="00BB74EA" w:rsidRPr="00BB74EA" w:rsidRDefault="00BB74EA" w:rsidP="00BB74EA">
      <w:pPr>
        <w:rPr>
          <w:lang w:eastAsia="en-US" w:bidi="ar-SA"/>
        </w:rPr>
      </w:pPr>
    </w:p>
    <w:p w:rsidR="007A3309" w:rsidRDefault="007A3309" w:rsidP="00BB74EA">
      <w:pPr>
        <w:pStyle w:val="Heading4"/>
        <w:rPr>
          <w:lang w:eastAsia="en-US" w:bidi="ar-SA"/>
        </w:rPr>
      </w:pPr>
      <w:r w:rsidRPr="00BB74EA">
        <w:rPr>
          <w:lang w:eastAsia="en-US" w:bidi="ar-SA"/>
        </w:rPr>
        <w:t>3.4</w:t>
      </w:r>
      <w:r w:rsidRPr="00BB74EA">
        <w:rPr>
          <w:lang w:eastAsia="en-US" w:bidi="ar-SA"/>
        </w:rPr>
        <w:t> </w:t>
      </w:r>
      <w:r w:rsidRPr="00BB74EA">
        <w:rPr>
          <w:lang w:eastAsia="en-US" w:bidi="ar-SA"/>
        </w:rPr>
        <w:t>Other operating expenses</w:t>
      </w:r>
    </w:p>
    <w:p w:rsidR="00BB74EA" w:rsidRPr="00BB74EA" w:rsidRDefault="00BB74EA" w:rsidP="00BB74EA">
      <w:pPr>
        <w:rPr>
          <w:vertAlign w:val="superscript"/>
          <w:lang w:eastAsia="en-US" w:bidi="ar-SA"/>
        </w:rPr>
      </w:pPr>
    </w:p>
    <w:tbl>
      <w:tblPr>
        <w:tblStyle w:val="TableGrid"/>
        <w:tblW w:w="0" w:type="auto"/>
        <w:tblInd w:w="715" w:type="dxa"/>
        <w:tblLayout w:type="fixed"/>
        <w:tblLook w:val="0000" w:firstRow="0" w:lastRow="0" w:firstColumn="0" w:lastColumn="0" w:noHBand="0" w:noVBand="0"/>
      </w:tblPr>
      <w:tblGrid>
        <w:gridCol w:w="6651"/>
        <w:gridCol w:w="1560"/>
        <w:gridCol w:w="1701"/>
      </w:tblGrid>
      <w:tr w:rsidR="00BB74EA" w:rsidRPr="00BB74EA" w:rsidTr="00BB74EA">
        <w:trPr>
          <w:trHeight w:val="60"/>
        </w:trPr>
        <w:tc>
          <w:tcPr>
            <w:tcW w:w="6651" w:type="dxa"/>
          </w:tcPr>
          <w:p w:rsidR="007A3309" w:rsidRPr="00BB74EA" w:rsidRDefault="007A3309" w:rsidP="007A3309">
            <w:pPr>
              <w:widowControl/>
              <w:adjustRightInd w:val="0"/>
              <w:rPr>
                <w:rFonts w:eastAsiaTheme="minorHAnsi"/>
                <w:sz w:val="20"/>
                <w:szCs w:val="20"/>
                <w:lang w:eastAsia="en-US" w:bidi="ar-SA"/>
              </w:rPr>
            </w:pPr>
          </w:p>
        </w:tc>
        <w:tc>
          <w:tcPr>
            <w:tcW w:w="1560"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B74EA">
              <w:rPr>
                <w:rFonts w:eastAsiaTheme="minorHAnsi"/>
                <w:b/>
                <w:bCs/>
                <w:sz w:val="20"/>
                <w:szCs w:val="20"/>
                <w:lang w:eastAsia="en-US" w:bidi="ar-SA"/>
              </w:rPr>
              <w:t>2019</w:t>
            </w:r>
          </w:p>
        </w:tc>
        <w:tc>
          <w:tcPr>
            <w:tcW w:w="1701"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B74EA">
              <w:rPr>
                <w:rFonts w:eastAsiaTheme="minorHAnsi"/>
                <w:b/>
                <w:bCs/>
                <w:sz w:val="20"/>
                <w:szCs w:val="20"/>
                <w:lang w:eastAsia="en-US" w:bidi="ar-SA"/>
              </w:rPr>
              <w:t>2018</w:t>
            </w:r>
          </w:p>
        </w:tc>
      </w:tr>
      <w:tr w:rsidR="00BB74EA" w:rsidRPr="00BB74EA" w:rsidTr="00BB74EA">
        <w:trPr>
          <w:trHeight w:val="60"/>
        </w:trPr>
        <w:tc>
          <w:tcPr>
            <w:tcW w:w="6651" w:type="dxa"/>
          </w:tcPr>
          <w:p w:rsidR="007A3309" w:rsidRPr="00BB74EA" w:rsidRDefault="007A3309" w:rsidP="007A3309">
            <w:pPr>
              <w:widowControl/>
              <w:adjustRightInd w:val="0"/>
              <w:rPr>
                <w:rFonts w:eastAsiaTheme="minorHAnsi"/>
                <w:sz w:val="20"/>
                <w:szCs w:val="20"/>
                <w:lang w:eastAsia="en-US" w:bidi="ar-SA"/>
              </w:rPr>
            </w:pPr>
          </w:p>
        </w:tc>
        <w:tc>
          <w:tcPr>
            <w:tcW w:w="1560"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B74EA">
              <w:rPr>
                <w:rFonts w:eastAsiaTheme="minorHAnsi"/>
                <w:b/>
                <w:bCs/>
                <w:sz w:val="20"/>
                <w:szCs w:val="20"/>
                <w:lang w:eastAsia="en-US" w:bidi="ar-SA"/>
              </w:rPr>
              <w:t>$</w:t>
            </w:r>
          </w:p>
        </w:tc>
        <w:tc>
          <w:tcPr>
            <w:tcW w:w="1701" w:type="dxa"/>
          </w:tcPr>
          <w:p w:rsidR="007A3309" w:rsidRPr="00BB74EA" w:rsidRDefault="007A3309" w:rsidP="00BB74EA">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B74EA">
              <w:rPr>
                <w:rFonts w:eastAsiaTheme="minorHAnsi"/>
                <w:b/>
                <w:bCs/>
                <w:sz w:val="20"/>
                <w:szCs w:val="20"/>
                <w:lang w:eastAsia="en-US" w:bidi="ar-SA"/>
              </w:rPr>
              <w:t>$</w:t>
            </w:r>
          </w:p>
        </w:tc>
      </w:tr>
      <w:tr w:rsidR="00BB74EA" w:rsidRPr="00BB74EA" w:rsidTr="00BB74EA">
        <w:trPr>
          <w:trHeight w:val="60"/>
        </w:trPr>
        <w:tc>
          <w:tcPr>
            <w:tcW w:w="6651" w:type="dxa"/>
          </w:tcPr>
          <w:p w:rsidR="007A3309" w:rsidRPr="00BB74EA"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BB74EA">
              <w:rPr>
                <w:rFonts w:eastAsiaTheme="minorHAnsi"/>
                <w:sz w:val="20"/>
                <w:szCs w:val="20"/>
                <w:lang w:eastAsia="en-US" w:bidi="ar-SA"/>
              </w:rPr>
              <w:t>Operating lease rentals</w:t>
            </w:r>
          </w:p>
        </w:tc>
        <w:tc>
          <w:tcPr>
            <w:tcW w:w="1560"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636,575</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669,200</w:t>
            </w:r>
          </w:p>
        </w:tc>
      </w:tr>
      <w:tr w:rsidR="00BB74EA" w:rsidRPr="00BB74EA" w:rsidTr="00BB74EA">
        <w:trPr>
          <w:trHeight w:val="60"/>
        </w:trPr>
        <w:tc>
          <w:tcPr>
            <w:tcW w:w="6651" w:type="dxa"/>
          </w:tcPr>
          <w:p w:rsidR="007A3309" w:rsidRPr="00BB74EA"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BB74EA">
              <w:rPr>
                <w:rFonts w:eastAsiaTheme="minorHAnsi"/>
                <w:sz w:val="20"/>
                <w:szCs w:val="20"/>
                <w:lang w:eastAsia="en-US" w:bidi="ar-SA"/>
              </w:rPr>
              <w:t>Supplies and services</w:t>
            </w:r>
          </w:p>
        </w:tc>
        <w:tc>
          <w:tcPr>
            <w:tcW w:w="1560"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1,098,393</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798,521</w:t>
            </w:r>
          </w:p>
        </w:tc>
      </w:tr>
      <w:tr w:rsidR="00BB74EA" w:rsidRPr="00BB74EA" w:rsidTr="00BB74EA">
        <w:trPr>
          <w:trHeight w:val="60"/>
        </w:trPr>
        <w:tc>
          <w:tcPr>
            <w:tcW w:w="6651" w:type="dxa"/>
          </w:tcPr>
          <w:p w:rsidR="007A3309" w:rsidRPr="00BB74EA"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BB74EA">
              <w:rPr>
                <w:rFonts w:eastAsiaTheme="minorHAnsi"/>
                <w:sz w:val="20"/>
                <w:szCs w:val="20"/>
                <w:lang w:eastAsia="en-US" w:bidi="ar-SA"/>
              </w:rPr>
              <w:t>Purchase of services</w:t>
            </w:r>
          </w:p>
        </w:tc>
        <w:tc>
          <w:tcPr>
            <w:tcW w:w="1560"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3,661,762</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2,294,508</w:t>
            </w:r>
          </w:p>
        </w:tc>
      </w:tr>
      <w:tr w:rsidR="00BB74EA" w:rsidRPr="00BB74EA" w:rsidTr="00BB74EA">
        <w:trPr>
          <w:trHeight w:val="60"/>
        </w:trPr>
        <w:tc>
          <w:tcPr>
            <w:tcW w:w="6651" w:type="dxa"/>
          </w:tcPr>
          <w:p w:rsidR="007A3309" w:rsidRPr="00BB74EA"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BB74EA">
              <w:rPr>
                <w:rFonts w:eastAsiaTheme="minorHAnsi"/>
                <w:sz w:val="20"/>
                <w:szCs w:val="20"/>
                <w:lang w:eastAsia="en-US" w:bidi="ar-SA"/>
              </w:rPr>
              <w:t>Information technology</w:t>
            </w:r>
          </w:p>
        </w:tc>
        <w:tc>
          <w:tcPr>
            <w:tcW w:w="1560"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1,654,788</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1,490,057</w:t>
            </w:r>
          </w:p>
        </w:tc>
      </w:tr>
      <w:tr w:rsidR="00BB74EA" w:rsidRPr="00BB74EA" w:rsidTr="00BB74EA">
        <w:trPr>
          <w:trHeight w:val="60"/>
        </w:trPr>
        <w:tc>
          <w:tcPr>
            <w:tcW w:w="6651" w:type="dxa"/>
          </w:tcPr>
          <w:p w:rsidR="007A3309" w:rsidRPr="00BB74EA" w:rsidRDefault="007A3309" w:rsidP="007A3309">
            <w:pPr>
              <w:widowControl/>
              <w:suppressAutoHyphens/>
              <w:adjustRightInd w:val="0"/>
              <w:spacing w:after="113" w:line="220" w:lineRule="atLeast"/>
              <w:textAlignment w:val="center"/>
              <w:rPr>
                <w:rFonts w:eastAsiaTheme="minorHAnsi"/>
                <w:sz w:val="20"/>
                <w:szCs w:val="20"/>
                <w:lang w:eastAsia="en-US" w:bidi="ar-SA"/>
              </w:rPr>
            </w:pPr>
            <w:r w:rsidRPr="00BB74EA">
              <w:rPr>
                <w:rFonts w:eastAsiaTheme="minorHAnsi"/>
                <w:sz w:val="20"/>
                <w:szCs w:val="20"/>
                <w:lang w:eastAsia="en-US" w:bidi="ar-SA"/>
              </w:rPr>
              <w:t>Total other operating expenses</w:t>
            </w:r>
          </w:p>
        </w:tc>
        <w:tc>
          <w:tcPr>
            <w:tcW w:w="1560"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7,051,518</w:t>
            </w:r>
          </w:p>
        </w:tc>
        <w:tc>
          <w:tcPr>
            <w:tcW w:w="1701" w:type="dxa"/>
          </w:tcPr>
          <w:p w:rsidR="007A3309" w:rsidRPr="00BB74EA" w:rsidRDefault="007A3309" w:rsidP="00BB74EA">
            <w:pPr>
              <w:widowControl/>
              <w:suppressAutoHyphens/>
              <w:adjustRightInd w:val="0"/>
              <w:spacing w:after="113" w:line="220" w:lineRule="atLeast"/>
              <w:jc w:val="center"/>
              <w:textAlignment w:val="center"/>
              <w:rPr>
                <w:rFonts w:eastAsiaTheme="minorHAnsi"/>
                <w:sz w:val="20"/>
                <w:szCs w:val="20"/>
                <w:lang w:eastAsia="en-US" w:bidi="ar-SA"/>
              </w:rPr>
            </w:pPr>
            <w:r w:rsidRPr="00BB74EA">
              <w:rPr>
                <w:rFonts w:eastAsiaTheme="minorHAnsi"/>
                <w:sz w:val="20"/>
                <w:szCs w:val="20"/>
                <w:lang w:eastAsia="en-US" w:bidi="ar-SA"/>
              </w:rPr>
              <w:t>5,252,286</w:t>
            </w:r>
          </w:p>
        </w:tc>
      </w:tr>
    </w:tbl>
    <w:p w:rsidR="007A3309" w:rsidRPr="007A3309" w:rsidRDefault="007A3309" w:rsidP="007A3309">
      <w:pPr>
        <w:widowControl/>
        <w:suppressAutoHyphens/>
        <w:adjustRightInd w:val="0"/>
        <w:spacing w:after="227" w:line="220" w:lineRule="atLeast"/>
        <w:textAlignment w:val="center"/>
        <w:rPr>
          <w:rFonts w:ascii="HelveticaNeueLT Std Lt" w:eastAsiaTheme="minorHAnsi" w:hAnsi="HelveticaNeueLT Std Lt" w:cs="HelveticaNeueLT Std Lt"/>
          <w:color w:val="000000"/>
          <w:sz w:val="18"/>
          <w:szCs w:val="18"/>
          <w:lang w:eastAsia="en-US" w:bidi="ar-SA"/>
        </w:rPr>
      </w:pPr>
    </w:p>
    <w:p w:rsidR="007A3309" w:rsidRPr="00BB74EA" w:rsidRDefault="007A3309" w:rsidP="00BB74EA">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Other operating expenses generally represent the day-to-day running costs incurred in delivering services</w:t>
      </w:r>
      <w:r w:rsidRPr="00BB74EA">
        <w:rPr>
          <w:rFonts w:eastAsiaTheme="minorHAnsi"/>
          <w:color w:val="000000"/>
          <w:sz w:val="20"/>
          <w:szCs w:val="20"/>
          <w:lang w:eastAsia="en-US" w:bidi="ar-SA"/>
        </w:rPr>
        <w:br/>
        <w:t>of the Commission.</w:t>
      </w:r>
    </w:p>
    <w:p w:rsidR="007A3309" w:rsidRPr="00BB74EA" w:rsidRDefault="007A3309" w:rsidP="00BB74EA">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Other operating expenses (except the lease rentals) are recognised as an expense in the reporting period in which they are incurred.</w:t>
      </w:r>
    </w:p>
    <w:p w:rsidR="007A3309" w:rsidRPr="00BB74EA" w:rsidRDefault="007A3309" w:rsidP="00BB74EA">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pacing w:val="-1"/>
          <w:sz w:val="20"/>
          <w:szCs w:val="20"/>
          <w:lang w:eastAsia="en-US" w:bidi="ar-SA"/>
        </w:rPr>
        <w:t>Operating lease rentals including contingent rentals are recognised on a straight-line basis over the lease term, except where another systematic basis is more representative of the time pattern of the benefits derived from the use of the leased asset.</w:t>
      </w:r>
    </w:p>
    <w:p w:rsidR="007A3309" w:rsidRDefault="007A3309" w:rsidP="00BB74EA">
      <w:pPr>
        <w:rPr>
          <w:lang w:eastAsia="en-US" w:bidi="ar-SA"/>
        </w:rPr>
      </w:pPr>
    </w:p>
    <w:p w:rsidR="00BB74EA" w:rsidRPr="00BB74EA" w:rsidRDefault="00BB74EA" w:rsidP="00BB74EA">
      <w:pPr>
        <w:pStyle w:val="Heading2"/>
        <w:numPr>
          <w:ilvl w:val="0"/>
          <w:numId w:val="29"/>
        </w:numPr>
      </w:pPr>
      <w:bookmarkStart w:id="43" w:name="_Toc23329742"/>
      <w:r w:rsidRPr="00BB74EA">
        <w:t>Key assets available to support delivery of our services</w:t>
      </w:r>
      <w:bookmarkEnd w:id="43"/>
    </w:p>
    <w:p w:rsidR="00BB74EA" w:rsidRDefault="00BB74EA" w:rsidP="00BB74EA">
      <w:pPr>
        <w:rPr>
          <w:lang w:eastAsia="en-US" w:bidi="ar-SA"/>
        </w:rPr>
      </w:pPr>
    </w:p>
    <w:p w:rsidR="00BB74EA" w:rsidRDefault="00BB74EA" w:rsidP="00BB74EA">
      <w:pPr>
        <w:pStyle w:val="Heading3"/>
        <w:rPr>
          <w:lang w:eastAsia="en-US" w:bidi="ar-SA"/>
        </w:rPr>
      </w:pPr>
      <w:r>
        <w:rPr>
          <w:lang w:eastAsia="en-US" w:bidi="ar-SA"/>
        </w:rPr>
        <w:t>I</w:t>
      </w:r>
      <w:r w:rsidRPr="00BB74EA">
        <w:rPr>
          <w:lang w:eastAsia="en-US" w:bidi="ar-SA"/>
        </w:rPr>
        <w:t>ntroduction</w:t>
      </w:r>
    </w:p>
    <w:p w:rsidR="00BB74EA" w:rsidRPr="00BB74EA" w:rsidRDefault="00BB74EA" w:rsidP="00BB74EA">
      <w:pPr>
        <w:rPr>
          <w:lang w:eastAsia="en-US" w:bidi="ar-SA"/>
        </w:rPr>
      </w:pPr>
    </w:p>
    <w:p w:rsidR="00BB74EA" w:rsidRDefault="00BB74EA" w:rsidP="00BB74EA">
      <w:pPr>
        <w:widowControl/>
        <w:suppressAutoHyphens/>
        <w:adjustRightInd w:val="0"/>
        <w:spacing w:after="113" w:line="220" w:lineRule="atLeast"/>
        <w:ind w:left="709" w:right="1137"/>
        <w:textAlignment w:val="center"/>
        <w:rPr>
          <w:rFonts w:eastAsiaTheme="minorHAnsi"/>
          <w:color w:val="000000"/>
          <w:spacing w:val="-1"/>
          <w:sz w:val="20"/>
          <w:szCs w:val="20"/>
          <w:lang w:eastAsia="en-US" w:bidi="ar-SA"/>
        </w:rPr>
      </w:pPr>
      <w:r w:rsidRPr="00BB74EA">
        <w:rPr>
          <w:rFonts w:eastAsiaTheme="minorHAnsi"/>
          <w:color w:val="000000"/>
          <w:spacing w:val="-1"/>
          <w:sz w:val="20"/>
          <w:szCs w:val="20"/>
          <w:lang w:eastAsia="en-US" w:bidi="ar-SA"/>
        </w:rPr>
        <w:t>The Commission controls property, plant and equipment in fulfilling its objectives and conducting its activities. These assets represent the key resources that the Commission uses for the delivery of these services.</w:t>
      </w:r>
    </w:p>
    <w:p w:rsidR="00791F8C" w:rsidRPr="00BB74EA" w:rsidRDefault="00791F8C" w:rsidP="00791F8C">
      <w:pPr>
        <w:rPr>
          <w:lang w:eastAsia="en-US" w:bidi="ar-SA"/>
        </w:rPr>
      </w:pPr>
    </w:p>
    <w:p w:rsidR="00BB74EA" w:rsidRDefault="00BB74EA" w:rsidP="00791F8C">
      <w:pPr>
        <w:pStyle w:val="Heading3"/>
        <w:rPr>
          <w:lang w:eastAsia="en-US" w:bidi="ar-SA"/>
        </w:rPr>
      </w:pPr>
      <w:r w:rsidRPr="00BB74EA">
        <w:rPr>
          <w:lang w:eastAsia="en-US" w:bidi="ar-SA"/>
        </w:rPr>
        <w:t>Structure</w:t>
      </w:r>
    </w:p>
    <w:p w:rsidR="00791F8C" w:rsidRPr="00BB74EA" w:rsidRDefault="00791F8C" w:rsidP="00791F8C">
      <w:pPr>
        <w:rPr>
          <w:lang w:eastAsia="en-US" w:bidi="ar-SA"/>
        </w:rPr>
      </w:pPr>
    </w:p>
    <w:p w:rsidR="00BB74EA" w:rsidRPr="00BB74EA" w:rsidRDefault="00BB74EA" w:rsidP="00BB74EA">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4.1</w:t>
      </w:r>
      <w:r w:rsidRPr="00BB74EA">
        <w:rPr>
          <w:rFonts w:eastAsiaTheme="minorHAnsi"/>
          <w:color w:val="000000"/>
          <w:sz w:val="20"/>
          <w:szCs w:val="20"/>
          <w:lang w:eastAsia="en-US" w:bidi="ar-SA"/>
        </w:rPr>
        <w:t> </w:t>
      </w:r>
      <w:r w:rsidRPr="00BB74EA">
        <w:rPr>
          <w:rFonts w:eastAsiaTheme="minorHAnsi"/>
          <w:color w:val="000000"/>
          <w:sz w:val="20"/>
          <w:szCs w:val="20"/>
          <w:lang w:eastAsia="en-US" w:bidi="ar-SA"/>
        </w:rPr>
        <w:t>Property, plant and equipment</w:t>
      </w:r>
    </w:p>
    <w:p w:rsidR="00BB74EA" w:rsidRPr="00BB74EA" w:rsidRDefault="00BB74EA" w:rsidP="00BB74EA">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4.2</w:t>
      </w:r>
      <w:r w:rsidRPr="00BB74EA">
        <w:rPr>
          <w:rFonts w:eastAsiaTheme="minorHAnsi"/>
          <w:color w:val="000000"/>
          <w:sz w:val="20"/>
          <w:szCs w:val="20"/>
          <w:lang w:eastAsia="en-US" w:bidi="ar-SA"/>
        </w:rPr>
        <w:t> </w:t>
      </w:r>
      <w:r w:rsidRPr="00BB74EA">
        <w:rPr>
          <w:rFonts w:eastAsiaTheme="minorHAnsi"/>
          <w:color w:val="000000"/>
          <w:sz w:val="20"/>
          <w:szCs w:val="20"/>
          <w:lang w:eastAsia="en-US" w:bidi="ar-SA"/>
        </w:rPr>
        <w:t>Intangible assets</w:t>
      </w:r>
    </w:p>
    <w:p w:rsidR="00BB74EA" w:rsidRDefault="00BB74EA" w:rsidP="00BB74EA">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4.3</w:t>
      </w:r>
      <w:r w:rsidRPr="00BB74EA">
        <w:rPr>
          <w:rFonts w:eastAsiaTheme="minorHAnsi"/>
          <w:color w:val="000000"/>
          <w:sz w:val="20"/>
          <w:szCs w:val="20"/>
          <w:lang w:eastAsia="en-US" w:bidi="ar-SA"/>
        </w:rPr>
        <w:t> </w:t>
      </w:r>
      <w:r w:rsidRPr="00BB74EA">
        <w:rPr>
          <w:rFonts w:eastAsiaTheme="minorHAnsi"/>
          <w:color w:val="000000"/>
          <w:sz w:val="20"/>
          <w:szCs w:val="20"/>
          <w:lang w:eastAsia="en-US" w:bidi="ar-SA"/>
        </w:rPr>
        <w:t>Asset depreciation</w:t>
      </w:r>
    </w:p>
    <w:p w:rsidR="006A36F7" w:rsidRPr="00BB74EA" w:rsidRDefault="006A36F7" w:rsidP="006A36F7">
      <w:pPr>
        <w:rPr>
          <w:lang w:eastAsia="en-US" w:bidi="ar-SA"/>
        </w:rPr>
      </w:pPr>
    </w:p>
    <w:p w:rsidR="00BB74EA" w:rsidRDefault="00BB74EA" w:rsidP="006A36F7">
      <w:pPr>
        <w:pStyle w:val="Heading4"/>
        <w:rPr>
          <w:lang w:eastAsia="en-US" w:bidi="ar-SA"/>
        </w:rPr>
      </w:pPr>
      <w:r w:rsidRPr="00BB74EA">
        <w:rPr>
          <w:lang w:eastAsia="en-US" w:bidi="ar-SA"/>
        </w:rPr>
        <w:t>4.1</w:t>
      </w:r>
      <w:r w:rsidRPr="00BB74EA">
        <w:rPr>
          <w:lang w:eastAsia="en-US" w:bidi="ar-SA"/>
        </w:rPr>
        <w:t> </w:t>
      </w:r>
      <w:r w:rsidRPr="00BB74EA">
        <w:rPr>
          <w:lang w:eastAsia="en-US" w:bidi="ar-SA"/>
        </w:rPr>
        <w:t>Property, plant and equipment</w:t>
      </w:r>
    </w:p>
    <w:p w:rsidR="006A36F7" w:rsidRPr="00BB74EA" w:rsidRDefault="006A36F7" w:rsidP="006A36F7">
      <w:pPr>
        <w:rPr>
          <w:lang w:eastAsia="en-US" w:bidi="ar-SA"/>
        </w:rPr>
      </w:pPr>
    </w:p>
    <w:tbl>
      <w:tblPr>
        <w:tblStyle w:val="TableGrid"/>
        <w:tblW w:w="0" w:type="auto"/>
        <w:tblInd w:w="755" w:type="dxa"/>
        <w:tblLayout w:type="fixed"/>
        <w:tblLook w:val="0000" w:firstRow="0" w:lastRow="0" w:firstColumn="0" w:lastColumn="0" w:noHBand="0" w:noVBand="0"/>
      </w:tblPr>
      <w:tblGrid>
        <w:gridCol w:w="2268"/>
        <w:gridCol w:w="1225"/>
        <w:gridCol w:w="1276"/>
        <w:gridCol w:w="1275"/>
        <w:gridCol w:w="1276"/>
        <w:gridCol w:w="1276"/>
        <w:gridCol w:w="1276"/>
      </w:tblGrid>
      <w:tr w:rsidR="00EE791F" w:rsidRPr="00EE791F" w:rsidTr="00EE791F">
        <w:trPr>
          <w:trHeight w:val="60"/>
        </w:trPr>
        <w:tc>
          <w:tcPr>
            <w:tcW w:w="2268" w:type="dxa"/>
          </w:tcPr>
          <w:p w:rsidR="00BB74EA" w:rsidRPr="00EE791F" w:rsidRDefault="00BB74EA" w:rsidP="00BB74EA">
            <w:pPr>
              <w:widowControl/>
              <w:adjustRightInd w:val="0"/>
              <w:rPr>
                <w:rFonts w:eastAsiaTheme="minorHAnsi"/>
                <w:sz w:val="20"/>
                <w:szCs w:val="20"/>
                <w:lang w:eastAsia="en-US" w:bidi="ar-SA"/>
              </w:rPr>
            </w:pPr>
          </w:p>
        </w:tc>
        <w:tc>
          <w:tcPr>
            <w:tcW w:w="2501" w:type="dxa"/>
            <w:gridSpan w:val="2"/>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 xml:space="preserve">Gross carrying </w:t>
            </w:r>
            <w:r w:rsidR="00EE791F">
              <w:rPr>
                <w:rFonts w:eastAsiaTheme="minorHAnsi"/>
                <w:b/>
                <w:bCs/>
                <w:sz w:val="20"/>
                <w:szCs w:val="20"/>
                <w:lang w:eastAsia="en-US" w:bidi="ar-SA"/>
              </w:rPr>
              <w:br/>
            </w:r>
            <w:r w:rsidRPr="00EE791F">
              <w:rPr>
                <w:rFonts w:eastAsiaTheme="minorHAnsi"/>
                <w:b/>
                <w:bCs/>
                <w:sz w:val="20"/>
                <w:szCs w:val="20"/>
                <w:lang w:eastAsia="en-US" w:bidi="ar-SA"/>
              </w:rPr>
              <w:t>amount</w:t>
            </w:r>
          </w:p>
        </w:tc>
        <w:tc>
          <w:tcPr>
            <w:tcW w:w="2551" w:type="dxa"/>
            <w:gridSpan w:val="2"/>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Accumulated Depreciation</w:t>
            </w:r>
          </w:p>
        </w:tc>
        <w:tc>
          <w:tcPr>
            <w:tcW w:w="2552" w:type="dxa"/>
            <w:gridSpan w:val="2"/>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Net carrying</w:t>
            </w:r>
            <w:r w:rsidR="00EE791F">
              <w:rPr>
                <w:rFonts w:eastAsiaTheme="minorHAnsi"/>
                <w:b/>
                <w:bCs/>
                <w:sz w:val="20"/>
                <w:szCs w:val="20"/>
                <w:lang w:eastAsia="en-US" w:bidi="ar-SA"/>
              </w:rPr>
              <w:br/>
            </w:r>
            <w:r w:rsidRPr="00EE791F">
              <w:rPr>
                <w:rFonts w:eastAsiaTheme="minorHAnsi"/>
                <w:b/>
                <w:bCs/>
                <w:sz w:val="20"/>
                <w:szCs w:val="20"/>
                <w:lang w:eastAsia="en-US" w:bidi="ar-SA"/>
              </w:rPr>
              <w:t xml:space="preserve"> amount</w:t>
            </w:r>
          </w:p>
        </w:tc>
      </w:tr>
      <w:tr w:rsidR="00EE791F" w:rsidRPr="00EE791F" w:rsidTr="00EE791F">
        <w:trPr>
          <w:trHeight w:val="60"/>
        </w:trPr>
        <w:tc>
          <w:tcPr>
            <w:tcW w:w="2268" w:type="dxa"/>
          </w:tcPr>
          <w:p w:rsidR="00BB74EA" w:rsidRPr="00EE791F" w:rsidRDefault="00BB74EA" w:rsidP="00BB74EA">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EE791F">
              <w:rPr>
                <w:rFonts w:eastAsiaTheme="minorHAnsi"/>
                <w:b/>
                <w:bCs/>
                <w:sz w:val="20"/>
                <w:szCs w:val="20"/>
                <w:lang w:eastAsia="en-US" w:bidi="ar-SA"/>
              </w:rPr>
              <w:t xml:space="preserve"> </w:t>
            </w:r>
          </w:p>
        </w:tc>
        <w:tc>
          <w:tcPr>
            <w:tcW w:w="1225"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2019</w:t>
            </w:r>
          </w:p>
        </w:tc>
        <w:tc>
          <w:tcPr>
            <w:tcW w:w="1276"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2018</w:t>
            </w:r>
          </w:p>
        </w:tc>
        <w:tc>
          <w:tcPr>
            <w:tcW w:w="1275"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2019</w:t>
            </w:r>
          </w:p>
        </w:tc>
        <w:tc>
          <w:tcPr>
            <w:tcW w:w="1276"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2018</w:t>
            </w:r>
          </w:p>
        </w:tc>
        <w:tc>
          <w:tcPr>
            <w:tcW w:w="1276"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2019</w:t>
            </w:r>
          </w:p>
        </w:tc>
        <w:tc>
          <w:tcPr>
            <w:tcW w:w="1276"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2018</w:t>
            </w:r>
          </w:p>
        </w:tc>
      </w:tr>
      <w:tr w:rsidR="00EE791F" w:rsidRPr="00EE791F" w:rsidTr="00EE791F">
        <w:trPr>
          <w:trHeight w:val="60"/>
        </w:trPr>
        <w:tc>
          <w:tcPr>
            <w:tcW w:w="2268" w:type="dxa"/>
          </w:tcPr>
          <w:p w:rsidR="00BB74EA" w:rsidRPr="00EE791F" w:rsidRDefault="00BB74EA" w:rsidP="00BB74EA">
            <w:pPr>
              <w:widowControl/>
              <w:adjustRightInd w:val="0"/>
              <w:rPr>
                <w:rFonts w:eastAsiaTheme="minorHAnsi"/>
                <w:sz w:val="20"/>
                <w:szCs w:val="20"/>
                <w:lang w:eastAsia="en-US" w:bidi="ar-SA"/>
              </w:rPr>
            </w:pPr>
          </w:p>
        </w:tc>
        <w:tc>
          <w:tcPr>
            <w:tcW w:w="1225"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c>
          <w:tcPr>
            <w:tcW w:w="1276"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c>
          <w:tcPr>
            <w:tcW w:w="1275"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c>
          <w:tcPr>
            <w:tcW w:w="1276"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c>
          <w:tcPr>
            <w:tcW w:w="1276"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c>
          <w:tcPr>
            <w:tcW w:w="1276"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r>
      <w:tr w:rsidR="00EE791F" w:rsidRPr="00EE791F" w:rsidTr="00EE791F">
        <w:trPr>
          <w:trHeight w:val="60"/>
        </w:trPr>
        <w:tc>
          <w:tcPr>
            <w:tcW w:w="2268" w:type="dxa"/>
          </w:tcPr>
          <w:p w:rsidR="00BB74EA" w:rsidRPr="00EE79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EE791F">
              <w:rPr>
                <w:rFonts w:eastAsiaTheme="minorHAnsi"/>
                <w:sz w:val="20"/>
                <w:szCs w:val="20"/>
                <w:lang w:eastAsia="en-US" w:bidi="ar-SA"/>
              </w:rPr>
              <w:t>Leasehold improvements</w:t>
            </w:r>
          </w:p>
        </w:tc>
        <w:tc>
          <w:tcPr>
            <w:tcW w:w="122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171,804</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852,881</w:t>
            </w:r>
          </w:p>
        </w:tc>
        <w:tc>
          <w:tcPr>
            <w:tcW w:w="127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(2,760)</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(844,356)</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169,044</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8,525</w:t>
            </w:r>
          </w:p>
        </w:tc>
      </w:tr>
      <w:tr w:rsidR="00EE791F" w:rsidRPr="00EE791F" w:rsidTr="00EE791F">
        <w:trPr>
          <w:trHeight w:val="60"/>
        </w:trPr>
        <w:tc>
          <w:tcPr>
            <w:tcW w:w="2268" w:type="dxa"/>
          </w:tcPr>
          <w:p w:rsidR="00BB74EA" w:rsidRPr="00EE79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EE791F">
              <w:rPr>
                <w:rFonts w:eastAsiaTheme="minorHAnsi"/>
                <w:sz w:val="20"/>
                <w:szCs w:val="20"/>
                <w:lang w:eastAsia="en-US" w:bidi="ar-SA"/>
              </w:rPr>
              <w:t>Assets under construction</w:t>
            </w:r>
          </w:p>
        </w:tc>
        <w:tc>
          <w:tcPr>
            <w:tcW w:w="122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31,600</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27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31,600</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r>
      <w:tr w:rsidR="00EE791F" w:rsidRPr="00EE791F" w:rsidTr="00EE791F">
        <w:trPr>
          <w:trHeight w:val="60"/>
        </w:trPr>
        <w:tc>
          <w:tcPr>
            <w:tcW w:w="2268" w:type="dxa"/>
          </w:tcPr>
          <w:p w:rsidR="00BB74EA" w:rsidRPr="00EE79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EE791F">
              <w:rPr>
                <w:rFonts w:eastAsiaTheme="minorHAnsi"/>
                <w:sz w:val="20"/>
                <w:szCs w:val="20"/>
                <w:lang w:eastAsia="en-US" w:bidi="ar-SA"/>
              </w:rPr>
              <w:t>Office and computer equipment</w:t>
            </w:r>
          </w:p>
        </w:tc>
        <w:tc>
          <w:tcPr>
            <w:tcW w:w="122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10,773</w:t>
            </w:r>
          </w:p>
        </w:tc>
        <w:tc>
          <w:tcPr>
            <w:tcW w:w="127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(8,260)</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2,513</w:t>
            </w:r>
          </w:p>
        </w:tc>
      </w:tr>
      <w:tr w:rsidR="00EE791F" w:rsidRPr="00EE791F" w:rsidTr="00EE791F">
        <w:trPr>
          <w:trHeight w:val="60"/>
        </w:trPr>
        <w:tc>
          <w:tcPr>
            <w:tcW w:w="2268" w:type="dxa"/>
          </w:tcPr>
          <w:p w:rsidR="00BB74EA" w:rsidRPr="00EE79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EE791F">
              <w:rPr>
                <w:rFonts w:eastAsiaTheme="minorHAnsi"/>
                <w:sz w:val="20"/>
                <w:szCs w:val="20"/>
                <w:lang w:eastAsia="en-US" w:bidi="ar-SA"/>
              </w:rPr>
              <w:t>Motor vehicles under finance lease</w:t>
            </w:r>
          </w:p>
        </w:tc>
        <w:tc>
          <w:tcPr>
            <w:tcW w:w="122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87,341</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68,388</w:t>
            </w:r>
          </w:p>
        </w:tc>
        <w:tc>
          <w:tcPr>
            <w:tcW w:w="127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(27,104)</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(13,292)</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60,237</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55,096</w:t>
            </w:r>
          </w:p>
        </w:tc>
      </w:tr>
      <w:tr w:rsidR="00EE791F" w:rsidRPr="00EE791F" w:rsidTr="00EE791F">
        <w:trPr>
          <w:trHeight w:val="60"/>
        </w:trPr>
        <w:tc>
          <w:tcPr>
            <w:tcW w:w="2268" w:type="dxa"/>
          </w:tcPr>
          <w:p w:rsidR="00BB74EA" w:rsidRPr="00EE79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EE791F">
              <w:rPr>
                <w:rFonts w:eastAsiaTheme="minorHAnsi"/>
                <w:sz w:val="20"/>
                <w:szCs w:val="20"/>
                <w:lang w:eastAsia="en-US" w:bidi="ar-SA"/>
              </w:rPr>
              <w:t xml:space="preserve">Net carrying amount </w:t>
            </w:r>
          </w:p>
        </w:tc>
        <w:tc>
          <w:tcPr>
            <w:tcW w:w="122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290,745</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932,042</w:t>
            </w:r>
          </w:p>
        </w:tc>
        <w:tc>
          <w:tcPr>
            <w:tcW w:w="127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(29,864)</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(865,908)</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260,881</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66,134</w:t>
            </w:r>
          </w:p>
        </w:tc>
      </w:tr>
    </w:tbl>
    <w:p w:rsidR="00BB74EA" w:rsidRPr="00BB74EA" w:rsidRDefault="00BB74EA" w:rsidP="00EE791F">
      <w:pPr>
        <w:rPr>
          <w:lang w:eastAsia="en-US" w:bidi="ar-SA"/>
        </w:rPr>
      </w:pPr>
    </w:p>
    <w:p w:rsidR="00BB74EA" w:rsidRPr="00BB74EA" w:rsidRDefault="00BB74EA" w:rsidP="00EE791F">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BB74EA">
        <w:rPr>
          <w:rFonts w:eastAsiaTheme="minorHAnsi"/>
          <w:b/>
          <w:bCs/>
          <w:color w:val="000000"/>
          <w:sz w:val="20"/>
          <w:szCs w:val="20"/>
          <w:lang w:eastAsia="en-US" w:bidi="ar-SA"/>
        </w:rPr>
        <w:t>Initial recognition</w:t>
      </w:r>
    </w:p>
    <w:p w:rsidR="00BB74EA" w:rsidRPr="00BB74EA" w:rsidRDefault="00BB74EA" w:rsidP="00EE791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Items of property, plant and equipment, are measured initially at cost. Where an asset is acquired for nil</w:t>
      </w:r>
      <w:r w:rsidRPr="00BB74EA">
        <w:rPr>
          <w:rFonts w:eastAsiaTheme="minorHAnsi"/>
          <w:color w:val="000000"/>
          <w:sz w:val="20"/>
          <w:szCs w:val="20"/>
          <w:lang w:eastAsia="en-US" w:bidi="ar-SA"/>
        </w:rPr>
        <w:br/>
        <w:t>or nominal cost, the cost is its fair value at the date of acquisition.</w:t>
      </w:r>
    </w:p>
    <w:p w:rsidR="00BB74EA" w:rsidRPr="00BB74EA" w:rsidRDefault="00BB74EA" w:rsidP="00EE791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The cost of leasehold improvements is capitalised and depreciated over the remaining term of the lease</w:t>
      </w:r>
      <w:r w:rsidRPr="00BB74EA">
        <w:rPr>
          <w:rFonts w:eastAsiaTheme="minorHAnsi"/>
          <w:color w:val="000000"/>
          <w:sz w:val="20"/>
          <w:szCs w:val="20"/>
          <w:lang w:eastAsia="en-US" w:bidi="ar-SA"/>
        </w:rPr>
        <w:br/>
        <w:t>or the estimated useful life of the improvements, whichever is the shorter.</w:t>
      </w:r>
    </w:p>
    <w:p w:rsidR="00BB74EA" w:rsidRPr="00BB74EA" w:rsidRDefault="00BB74EA" w:rsidP="00EE791F">
      <w:pPr>
        <w:widowControl/>
        <w:suppressAutoHyphens/>
        <w:adjustRightInd w:val="0"/>
        <w:spacing w:after="113" w:line="220" w:lineRule="atLeast"/>
        <w:ind w:left="709" w:right="1137"/>
        <w:textAlignment w:val="center"/>
        <w:rPr>
          <w:rFonts w:eastAsiaTheme="minorHAnsi"/>
          <w:color w:val="000000"/>
          <w:spacing w:val="-2"/>
          <w:sz w:val="20"/>
          <w:szCs w:val="20"/>
          <w:lang w:eastAsia="en-US" w:bidi="ar-SA"/>
        </w:rPr>
      </w:pPr>
      <w:r w:rsidRPr="00BB74EA">
        <w:rPr>
          <w:rFonts w:eastAsiaTheme="minorHAnsi"/>
          <w:color w:val="000000"/>
          <w:spacing w:val="-1"/>
          <w:sz w:val="20"/>
          <w:szCs w:val="20"/>
          <w:lang w:eastAsia="en-US" w:bidi="ar-SA"/>
        </w:rPr>
        <w:t xml:space="preserve">The cost of motor vehicle under a finance lease is measured at amounts equal to the fair value of the leased </w:t>
      </w:r>
      <w:r w:rsidRPr="00BB74EA">
        <w:rPr>
          <w:rFonts w:eastAsiaTheme="minorHAnsi"/>
          <w:color w:val="000000"/>
          <w:sz w:val="20"/>
          <w:szCs w:val="20"/>
          <w:lang w:eastAsia="en-US" w:bidi="ar-SA"/>
        </w:rPr>
        <w:t>asset or, if lower, the present value of the minimum lease payments, as determined at the inception</w:t>
      </w:r>
      <w:r w:rsidRPr="00BB74EA">
        <w:rPr>
          <w:rFonts w:eastAsiaTheme="minorHAnsi"/>
          <w:color w:val="000000"/>
          <w:sz w:val="20"/>
          <w:szCs w:val="20"/>
          <w:lang w:eastAsia="en-US" w:bidi="ar-SA"/>
        </w:rPr>
        <w:br/>
        <w:t>of the lease.</w:t>
      </w:r>
    </w:p>
    <w:p w:rsidR="00BB74EA" w:rsidRPr="00BB74EA" w:rsidRDefault="00BB74EA" w:rsidP="00EE791F">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BB74EA">
        <w:rPr>
          <w:rFonts w:eastAsiaTheme="minorHAnsi"/>
          <w:b/>
          <w:bCs/>
          <w:color w:val="000000"/>
          <w:sz w:val="20"/>
          <w:szCs w:val="20"/>
          <w:lang w:eastAsia="en-US" w:bidi="ar-SA"/>
        </w:rPr>
        <w:t>Subsequent measurement</w:t>
      </w:r>
    </w:p>
    <w:p w:rsidR="00BB74EA" w:rsidRPr="00BB74EA" w:rsidRDefault="00BB74EA" w:rsidP="00EE791F">
      <w:pPr>
        <w:widowControl/>
        <w:suppressAutoHyphens/>
        <w:adjustRightInd w:val="0"/>
        <w:spacing w:after="113" w:line="220" w:lineRule="atLeast"/>
        <w:ind w:left="709" w:right="1137"/>
        <w:textAlignment w:val="center"/>
        <w:rPr>
          <w:rFonts w:eastAsiaTheme="minorHAnsi"/>
          <w:color w:val="000000"/>
          <w:spacing w:val="-2"/>
          <w:sz w:val="20"/>
          <w:szCs w:val="20"/>
          <w:lang w:eastAsia="en-US" w:bidi="ar-SA"/>
        </w:rPr>
      </w:pPr>
      <w:r w:rsidRPr="00BB74EA">
        <w:rPr>
          <w:rFonts w:eastAsiaTheme="minorHAnsi"/>
          <w:color w:val="000000"/>
          <w:sz w:val="20"/>
          <w:szCs w:val="20"/>
          <w:lang w:eastAsia="en-US" w:bidi="ar-SA"/>
        </w:rPr>
        <w:t>Property, plant and equipment is subsequently measured at fair value less accumulated depreciation</w:t>
      </w:r>
      <w:r w:rsidRPr="00BB74EA">
        <w:rPr>
          <w:rFonts w:eastAsiaTheme="minorHAnsi"/>
          <w:color w:val="000000"/>
          <w:sz w:val="20"/>
          <w:szCs w:val="20"/>
          <w:lang w:eastAsia="en-US" w:bidi="ar-SA"/>
        </w:rPr>
        <w:br/>
      </w:r>
      <w:r w:rsidRPr="00BB74EA">
        <w:rPr>
          <w:rFonts w:eastAsiaTheme="minorHAnsi"/>
          <w:color w:val="000000"/>
          <w:spacing w:val="-1"/>
          <w:sz w:val="20"/>
          <w:szCs w:val="20"/>
          <w:lang w:eastAsia="en-US" w:bidi="ar-SA"/>
        </w:rPr>
        <w:t>and impairment. Fair value is determined with regard to the asset’s highest and best use (considering legal</w:t>
      </w:r>
      <w:r w:rsidRPr="00BB74EA">
        <w:rPr>
          <w:rFonts w:eastAsiaTheme="minorHAnsi"/>
          <w:color w:val="000000"/>
          <w:spacing w:val="-1"/>
          <w:sz w:val="20"/>
          <w:szCs w:val="20"/>
          <w:lang w:eastAsia="en-US" w:bidi="ar-SA"/>
        </w:rPr>
        <w:br/>
        <w:t>or physical restrictions imposed on the asset, public announcements or commitments made in relation</w:t>
      </w:r>
      <w:r w:rsidRPr="00BB74EA">
        <w:rPr>
          <w:rFonts w:eastAsiaTheme="minorHAnsi"/>
          <w:color w:val="000000"/>
          <w:spacing w:val="-1"/>
          <w:sz w:val="20"/>
          <w:szCs w:val="20"/>
          <w:lang w:eastAsia="en-US" w:bidi="ar-SA"/>
        </w:rPr>
        <w:br/>
        <w:t>to the intended use of the asset).</w:t>
      </w:r>
    </w:p>
    <w:p w:rsidR="00BB74EA" w:rsidRPr="00BB74EA" w:rsidRDefault="00BB74EA" w:rsidP="00EE791F">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BB74EA">
        <w:rPr>
          <w:rFonts w:eastAsiaTheme="minorHAnsi"/>
          <w:b/>
          <w:bCs/>
          <w:color w:val="000000"/>
          <w:sz w:val="20"/>
          <w:szCs w:val="20"/>
          <w:lang w:eastAsia="en-US" w:bidi="ar-SA"/>
        </w:rPr>
        <w:t>Impairment</w:t>
      </w:r>
    </w:p>
    <w:p w:rsidR="00BB74EA" w:rsidRDefault="00BB74EA" w:rsidP="00EE791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Property, plant and equipment is tested for impairment whenever there is an indication that an asset</w:t>
      </w:r>
      <w:r w:rsidRPr="00BB74EA">
        <w:rPr>
          <w:rFonts w:eastAsiaTheme="minorHAnsi"/>
          <w:color w:val="000000"/>
          <w:sz w:val="20"/>
          <w:szCs w:val="20"/>
          <w:lang w:eastAsia="en-US" w:bidi="ar-SA"/>
        </w:rPr>
        <w:br/>
        <w:t>may be impaired.</w:t>
      </w:r>
    </w:p>
    <w:p w:rsidR="00EE791F" w:rsidRPr="00BB74EA" w:rsidRDefault="00EE791F" w:rsidP="00EE791F">
      <w:pPr>
        <w:rPr>
          <w:lang w:eastAsia="en-US" w:bidi="ar-SA"/>
        </w:rPr>
      </w:pPr>
    </w:p>
    <w:p w:rsidR="00BB74EA" w:rsidRDefault="00BB74EA" w:rsidP="00EE791F">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BB74EA">
        <w:rPr>
          <w:rFonts w:eastAsiaTheme="minorHAnsi"/>
          <w:b/>
          <w:bCs/>
          <w:color w:val="000000"/>
          <w:sz w:val="20"/>
          <w:szCs w:val="20"/>
          <w:lang w:eastAsia="en-US" w:bidi="ar-SA"/>
        </w:rPr>
        <w:t>4.1.1</w:t>
      </w:r>
      <w:r w:rsidR="00EE791F">
        <w:rPr>
          <w:rFonts w:eastAsiaTheme="minorHAnsi"/>
          <w:b/>
          <w:bCs/>
          <w:color w:val="000000"/>
          <w:sz w:val="20"/>
          <w:szCs w:val="20"/>
          <w:lang w:eastAsia="en-US" w:bidi="ar-SA"/>
        </w:rPr>
        <w:t xml:space="preserve"> </w:t>
      </w:r>
      <w:r w:rsidRPr="00BB74EA">
        <w:rPr>
          <w:rFonts w:eastAsiaTheme="minorHAnsi"/>
          <w:b/>
          <w:bCs/>
          <w:color w:val="000000"/>
          <w:sz w:val="20"/>
          <w:szCs w:val="20"/>
          <w:lang w:eastAsia="en-US" w:bidi="ar-SA"/>
        </w:rPr>
        <w:t>Reconciliation of movements in carrying amount of property, plant and equipment</w:t>
      </w:r>
    </w:p>
    <w:p w:rsidR="00EE791F" w:rsidRPr="00BB74EA" w:rsidRDefault="00EE791F" w:rsidP="00EE791F">
      <w:pPr>
        <w:rPr>
          <w:lang w:eastAsia="en-US" w:bidi="ar-SA"/>
        </w:rPr>
      </w:pPr>
    </w:p>
    <w:tbl>
      <w:tblPr>
        <w:tblStyle w:val="TableGrid"/>
        <w:tblW w:w="0" w:type="auto"/>
        <w:tblInd w:w="729" w:type="dxa"/>
        <w:tblLayout w:type="fixed"/>
        <w:tblLook w:val="0000" w:firstRow="0" w:lastRow="0" w:firstColumn="0" w:lastColumn="0" w:noHBand="0" w:noVBand="0"/>
      </w:tblPr>
      <w:tblGrid>
        <w:gridCol w:w="1393"/>
        <w:gridCol w:w="992"/>
        <w:gridCol w:w="850"/>
        <w:gridCol w:w="1134"/>
        <w:gridCol w:w="1134"/>
        <w:gridCol w:w="1134"/>
        <w:gridCol w:w="993"/>
        <w:gridCol w:w="1275"/>
        <w:gridCol w:w="1276"/>
      </w:tblGrid>
      <w:tr w:rsidR="00EE791F" w:rsidRPr="00EE791F" w:rsidTr="00EE791F">
        <w:trPr>
          <w:trHeight w:val="60"/>
        </w:trPr>
        <w:tc>
          <w:tcPr>
            <w:tcW w:w="1393" w:type="dxa"/>
          </w:tcPr>
          <w:p w:rsidR="00BB74EA" w:rsidRPr="00EE791F" w:rsidRDefault="00BB74EA" w:rsidP="00BB74EA">
            <w:pPr>
              <w:widowControl/>
              <w:adjustRightInd w:val="0"/>
              <w:rPr>
                <w:rFonts w:eastAsiaTheme="minorHAnsi"/>
                <w:sz w:val="20"/>
                <w:szCs w:val="20"/>
                <w:lang w:eastAsia="en-US" w:bidi="ar-SA"/>
              </w:rPr>
            </w:pPr>
          </w:p>
        </w:tc>
        <w:tc>
          <w:tcPr>
            <w:tcW w:w="1842" w:type="dxa"/>
            <w:gridSpan w:val="2"/>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Leasehold improvements</w:t>
            </w:r>
          </w:p>
        </w:tc>
        <w:tc>
          <w:tcPr>
            <w:tcW w:w="2268" w:type="dxa"/>
            <w:gridSpan w:val="2"/>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Office</w:t>
            </w:r>
            <w:r w:rsidR="00EE791F">
              <w:rPr>
                <w:rFonts w:eastAsiaTheme="minorHAnsi"/>
                <w:b/>
                <w:bCs/>
                <w:sz w:val="20"/>
                <w:szCs w:val="20"/>
                <w:lang w:eastAsia="en-US" w:bidi="ar-SA"/>
              </w:rPr>
              <w:t xml:space="preserve"> </w:t>
            </w:r>
            <w:r w:rsidRPr="00EE791F">
              <w:rPr>
                <w:rFonts w:eastAsiaTheme="minorHAnsi"/>
                <w:b/>
                <w:bCs/>
                <w:sz w:val="20"/>
                <w:szCs w:val="20"/>
                <w:lang w:eastAsia="en-US" w:bidi="ar-SA"/>
              </w:rPr>
              <w:t>and computer equipment</w:t>
            </w:r>
          </w:p>
        </w:tc>
        <w:tc>
          <w:tcPr>
            <w:tcW w:w="2127" w:type="dxa"/>
            <w:gridSpan w:val="2"/>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Motor vehicles under finance</w:t>
            </w:r>
            <w:r w:rsidR="00EE791F">
              <w:rPr>
                <w:rFonts w:eastAsiaTheme="minorHAnsi"/>
                <w:b/>
                <w:bCs/>
                <w:sz w:val="20"/>
                <w:szCs w:val="20"/>
                <w:lang w:eastAsia="en-US" w:bidi="ar-SA"/>
              </w:rPr>
              <w:t xml:space="preserve"> </w:t>
            </w:r>
            <w:r w:rsidRPr="00EE791F">
              <w:rPr>
                <w:rFonts w:eastAsiaTheme="minorHAnsi"/>
                <w:b/>
                <w:bCs/>
                <w:sz w:val="20"/>
                <w:szCs w:val="20"/>
                <w:lang w:eastAsia="en-US" w:bidi="ar-SA"/>
              </w:rPr>
              <w:t>lease</w:t>
            </w:r>
          </w:p>
        </w:tc>
        <w:tc>
          <w:tcPr>
            <w:tcW w:w="2551" w:type="dxa"/>
            <w:gridSpan w:val="2"/>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Total</w:t>
            </w:r>
          </w:p>
        </w:tc>
      </w:tr>
      <w:tr w:rsidR="00EE791F" w:rsidRPr="00EE791F" w:rsidTr="00EE791F">
        <w:trPr>
          <w:trHeight w:val="60"/>
        </w:trPr>
        <w:tc>
          <w:tcPr>
            <w:tcW w:w="1393" w:type="dxa"/>
          </w:tcPr>
          <w:p w:rsidR="00BB74EA" w:rsidRPr="00EE791F" w:rsidRDefault="00BB74EA" w:rsidP="00BB74EA">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EE791F">
              <w:rPr>
                <w:rFonts w:eastAsiaTheme="minorHAnsi"/>
                <w:b/>
                <w:bCs/>
                <w:sz w:val="20"/>
                <w:szCs w:val="20"/>
                <w:lang w:eastAsia="en-US" w:bidi="ar-SA"/>
              </w:rPr>
              <w:t xml:space="preserve"> </w:t>
            </w:r>
          </w:p>
        </w:tc>
        <w:tc>
          <w:tcPr>
            <w:tcW w:w="992"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2019</w:t>
            </w:r>
          </w:p>
        </w:tc>
        <w:tc>
          <w:tcPr>
            <w:tcW w:w="850"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2018</w:t>
            </w:r>
          </w:p>
        </w:tc>
        <w:tc>
          <w:tcPr>
            <w:tcW w:w="1134"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2019</w:t>
            </w:r>
          </w:p>
        </w:tc>
        <w:tc>
          <w:tcPr>
            <w:tcW w:w="1134"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2018</w:t>
            </w:r>
          </w:p>
        </w:tc>
        <w:tc>
          <w:tcPr>
            <w:tcW w:w="1134"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2019</w:t>
            </w:r>
          </w:p>
        </w:tc>
        <w:tc>
          <w:tcPr>
            <w:tcW w:w="993"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2018</w:t>
            </w:r>
          </w:p>
        </w:tc>
        <w:tc>
          <w:tcPr>
            <w:tcW w:w="1275"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2019</w:t>
            </w:r>
          </w:p>
        </w:tc>
        <w:tc>
          <w:tcPr>
            <w:tcW w:w="1276"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2018</w:t>
            </w:r>
          </w:p>
        </w:tc>
      </w:tr>
      <w:tr w:rsidR="00EE791F" w:rsidRPr="00EE791F" w:rsidTr="00EE791F">
        <w:trPr>
          <w:trHeight w:val="60"/>
        </w:trPr>
        <w:tc>
          <w:tcPr>
            <w:tcW w:w="1393" w:type="dxa"/>
          </w:tcPr>
          <w:p w:rsidR="00BB74EA" w:rsidRPr="00EE791F" w:rsidRDefault="00BB74EA" w:rsidP="00BB74EA">
            <w:pPr>
              <w:widowControl/>
              <w:adjustRightInd w:val="0"/>
              <w:rPr>
                <w:rFonts w:eastAsiaTheme="minorHAnsi"/>
                <w:sz w:val="20"/>
                <w:szCs w:val="20"/>
                <w:lang w:eastAsia="en-US" w:bidi="ar-SA"/>
              </w:rPr>
            </w:pPr>
          </w:p>
        </w:tc>
        <w:tc>
          <w:tcPr>
            <w:tcW w:w="992"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c>
          <w:tcPr>
            <w:tcW w:w="850"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c>
          <w:tcPr>
            <w:tcW w:w="1134"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c>
          <w:tcPr>
            <w:tcW w:w="1134"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c>
          <w:tcPr>
            <w:tcW w:w="1134"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c>
          <w:tcPr>
            <w:tcW w:w="993"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c>
          <w:tcPr>
            <w:tcW w:w="1275"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c>
          <w:tcPr>
            <w:tcW w:w="1276" w:type="dxa"/>
          </w:tcPr>
          <w:p w:rsidR="00BB74EA" w:rsidRPr="00EE791F" w:rsidRDefault="00BB74EA" w:rsidP="00EE79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EE791F">
              <w:rPr>
                <w:rFonts w:eastAsiaTheme="minorHAnsi"/>
                <w:b/>
                <w:bCs/>
                <w:sz w:val="20"/>
                <w:szCs w:val="20"/>
                <w:lang w:eastAsia="en-US" w:bidi="ar-SA"/>
              </w:rPr>
              <w:t>$</w:t>
            </w:r>
          </w:p>
        </w:tc>
      </w:tr>
      <w:tr w:rsidR="00EE791F" w:rsidRPr="00EE791F" w:rsidTr="00EE791F">
        <w:trPr>
          <w:trHeight w:val="60"/>
        </w:trPr>
        <w:tc>
          <w:tcPr>
            <w:tcW w:w="1393" w:type="dxa"/>
          </w:tcPr>
          <w:p w:rsidR="00BB74EA" w:rsidRPr="00EE79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EE791F">
              <w:rPr>
                <w:rFonts w:eastAsiaTheme="minorHAnsi"/>
                <w:sz w:val="20"/>
                <w:szCs w:val="20"/>
                <w:lang w:eastAsia="en-US" w:bidi="ar-SA"/>
              </w:rPr>
              <w:t>Opening balance</w:t>
            </w:r>
          </w:p>
        </w:tc>
        <w:tc>
          <w:tcPr>
            <w:tcW w:w="992"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8,525</w:t>
            </w:r>
          </w:p>
        </w:tc>
        <w:tc>
          <w:tcPr>
            <w:tcW w:w="850"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16,582</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2,513</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4,667</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55,096</w:t>
            </w:r>
          </w:p>
        </w:tc>
        <w:tc>
          <w:tcPr>
            <w:tcW w:w="993"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89,679</w:t>
            </w:r>
          </w:p>
        </w:tc>
        <w:tc>
          <w:tcPr>
            <w:tcW w:w="127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66,134</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110,928</w:t>
            </w:r>
          </w:p>
        </w:tc>
      </w:tr>
      <w:tr w:rsidR="00EE791F" w:rsidRPr="00EE791F" w:rsidTr="00EE791F">
        <w:trPr>
          <w:trHeight w:val="60"/>
        </w:trPr>
        <w:tc>
          <w:tcPr>
            <w:tcW w:w="1393" w:type="dxa"/>
          </w:tcPr>
          <w:p w:rsidR="00BB74EA" w:rsidRPr="00EE79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EE791F">
              <w:rPr>
                <w:rFonts w:eastAsiaTheme="minorHAnsi"/>
                <w:sz w:val="20"/>
                <w:szCs w:val="20"/>
                <w:lang w:eastAsia="en-US" w:bidi="ar-SA"/>
              </w:rPr>
              <w:t>Additions</w:t>
            </w:r>
          </w:p>
        </w:tc>
        <w:tc>
          <w:tcPr>
            <w:tcW w:w="992"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171,804</w:t>
            </w:r>
          </w:p>
        </w:tc>
        <w:tc>
          <w:tcPr>
            <w:tcW w:w="850"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49,397</w:t>
            </w:r>
          </w:p>
        </w:tc>
        <w:tc>
          <w:tcPr>
            <w:tcW w:w="993"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30,444</w:t>
            </w:r>
          </w:p>
        </w:tc>
        <w:tc>
          <w:tcPr>
            <w:tcW w:w="127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221,201</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30,444</w:t>
            </w:r>
          </w:p>
        </w:tc>
      </w:tr>
      <w:tr w:rsidR="00EE791F" w:rsidRPr="00EE791F" w:rsidTr="00EE791F">
        <w:trPr>
          <w:trHeight w:val="60"/>
        </w:trPr>
        <w:tc>
          <w:tcPr>
            <w:tcW w:w="1393" w:type="dxa"/>
          </w:tcPr>
          <w:p w:rsidR="00BB74EA" w:rsidRPr="00EE79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EE791F">
              <w:rPr>
                <w:rFonts w:eastAsiaTheme="minorHAnsi"/>
                <w:sz w:val="20"/>
                <w:szCs w:val="20"/>
                <w:lang w:eastAsia="en-US" w:bidi="ar-SA"/>
              </w:rPr>
              <w:t>Disposals</w:t>
            </w:r>
          </w:p>
        </w:tc>
        <w:tc>
          <w:tcPr>
            <w:tcW w:w="992"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(2,111)</w:t>
            </w:r>
          </w:p>
        </w:tc>
        <w:tc>
          <w:tcPr>
            <w:tcW w:w="850"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(538)</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(25,978)</w:t>
            </w:r>
          </w:p>
        </w:tc>
        <w:tc>
          <w:tcPr>
            <w:tcW w:w="993"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(50,305)</w:t>
            </w:r>
          </w:p>
        </w:tc>
        <w:tc>
          <w:tcPr>
            <w:tcW w:w="127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(28,627)</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(50,305)</w:t>
            </w:r>
          </w:p>
        </w:tc>
      </w:tr>
      <w:tr w:rsidR="00EE791F" w:rsidRPr="00EE791F" w:rsidTr="00EE791F">
        <w:trPr>
          <w:trHeight w:val="60"/>
        </w:trPr>
        <w:tc>
          <w:tcPr>
            <w:tcW w:w="1393" w:type="dxa"/>
          </w:tcPr>
          <w:p w:rsidR="00BB74EA" w:rsidRPr="00EE79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EE791F">
              <w:rPr>
                <w:rFonts w:eastAsiaTheme="minorHAnsi"/>
                <w:sz w:val="20"/>
                <w:szCs w:val="20"/>
                <w:lang w:eastAsia="en-US" w:bidi="ar-SA"/>
              </w:rPr>
              <w:t>Transfer</w:t>
            </w:r>
          </w:p>
        </w:tc>
        <w:tc>
          <w:tcPr>
            <w:tcW w:w="992"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850"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(623)</w:t>
            </w:r>
          </w:p>
        </w:tc>
        <w:tc>
          <w:tcPr>
            <w:tcW w:w="993"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27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(623)</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r>
      <w:tr w:rsidR="00EE791F" w:rsidRPr="00EE791F" w:rsidTr="00EE791F">
        <w:trPr>
          <w:trHeight w:val="60"/>
        </w:trPr>
        <w:tc>
          <w:tcPr>
            <w:tcW w:w="1393" w:type="dxa"/>
          </w:tcPr>
          <w:p w:rsidR="00BB74EA" w:rsidRPr="00EE79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EE791F">
              <w:rPr>
                <w:rFonts w:eastAsiaTheme="minorHAnsi"/>
                <w:sz w:val="20"/>
                <w:szCs w:val="20"/>
                <w:lang w:eastAsia="en-US" w:bidi="ar-SA"/>
              </w:rPr>
              <w:t xml:space="preserve">Depreciation </w:t>
            </w:r>
          </w:p>
        </w:tc>
        <w:tc>
          <w:tcPr>
            <w:tcW w:w="992"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(9,174)</w:t>
            </w:r>
          </w:p>
        </w:tc>
        <w:tc>
          <w:tcPr>
            <w:tcW w:w="850"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(8,057)</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(1,975)</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(2,154)</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(17,655)</w:t>
            </w:r>
          </w:p>
        </w:tc>
        <w:tc>
          <w:tcPr>
            <w:tcW w:w="993"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(14,722)</w:t>
            </w:r>
          </w:p>
        </w:tc>
        <w:tc>
          <w:tcPr>
            <w:tcW w:w="127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(28,804)</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(24,933)</w:t>
            </w:r>
          </w:p>
        </w:tc>
      </w:tr>
      <w:tr w:rsidR="00EE791F" w:rsidRPr="00EE791F" w:rsidTr="00EE791F">
        <w:trPr>
          <w:trHeight w:val="60"/>
        </w:trPr>
        <w:tc>
          <w:tcPr>
            <w:tcW w:w="1393" w:type="dxa"/>
          </w:tcPr>
          <w:p w:rsidR="00BB74EA" w:rsidRPr="00EE79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EE791F">
              <w:rPr>
                <w:rFonts w:eastAsiaTheme="minorHAnsi"/>
                <w:sz w:val="20"/>
                <w:szCs w:val="20"/>
                <w:lang w:eastAsia="en-US" w:bidi="ar-SA"/>
              </w:rPr>
              <w:t>Closing balance</w:t>
            </w:r>
          </w:p>
        </w:tc>
        <w:tc>
          <w:tcPr>
            <w:tcW w:w="992"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169,044</w:t>
            </w:r>
          </w:p>
        </w:tc>
        <w:tc>
          <w:tcPr>
            <w:tcW w:w="850"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8,525</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2,513</w:t>
            </w:r>
          </w:p>
        </w:tc>
        <w:tc>
          <w:tcPr>
            <w:tcW w:w="1134"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60,237</w:t>
            </w:r>
          </w:p>
        </w:tc>
        <w:tc>
          <w:tcPr>
            <w:tcW w:w="993"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55,096</w:t>
            </w:r>
          </w:p>
        </w:tc>
        <w:tc>
          <w:tcPr>
            <w:tcW w:w="1275"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229,281</w:t>
            </w:r>
          </w:p>
        </w:tc>
        <w:tc>
          <w:tcPr>
            <w:tcW w:w="1276" w:type="dxa"/>
          </w:tcPr>
          <w:p w:rsidR="00BB74EA" w:rsidRPr="00EE791F" w:rsidRDefault="00BB74EA" w:rsidP="00EE791F">
            <w:pPr>
              <w:widowControl/>
              <w:suppressAutoHyphens/>
              <w:adjustRightInd w:val="0"/>
              <w:spacing w:after="113" w:line="220" w:lineRule="atLeast"/>
              <w:jc w:val="center"/>
              <w:textAlignment w:val="center"/>
              <w:rPr>
                <w:rFonts w:eastAsiaTheme="minorHAnsi"/>
                <w:sz w:val="20"/>
                <w:szCs w:val="20"/>
                <w:lang w:eastAsia="en-US" w:bidi="ar-SA"/>
              </w:rPr>
            </w:pPr>
            <w:r w:rsidRPr="00EE791F">
              <w:rPr>
                <w:rFonts w:eastAsiaTheme="minorHAnsi"/>
                <w:sz w:val="20"/>
                <w:szCs w:val="20"/>
                <w:lang w:eastAsia="en-US" w:bidi="ar-SA"/>
              </w:rPr>
              <w:t>66,134</w:t>
            </w:r>
          </w:p>
        </w:tc>
      </w:tr>
    </w:tbl>
    <w:p w:rsidR="00BB74EA" w:rsidRPr="00BB74EA" w:rsidRDefault="00BB74EA" w:rsidP="00EE791F">
      <w:pPr>
        <w:rPr>
          <w:lang w:eastAsia="en-US" w:bidi="ar-SA"/>
        </w:rPr>
      </w:pPr>
    </w:p>
    <w:p w:rsidR="00BB74EA" w:rsidRPr="00BB74EA" w:rsidRDefault="00BB74EA" w:rsidP="00EE791F">
      <w:pPr>
        <w:widowControl/>
        <w:suppressAutoHyphens/>
        <w:adjustRightInd w:val="0"/>
        <w:spacing w:after="57" w:line="220" w:lineRule="atLeast"/>
        <w:ind w:left="709"/>
        <w:textAlignment w:val="center"/>
        <w:rPr>
          <w:rFonts w:eastAsiaTheme="minorHAnsi"/>
          <w:i/>
          <w:iCs/>
          <w:color w:val="000000"/>
          <w:sz w:val="20"/>
          <w:szCs w:val="20"/>
          <w:lang w:eastAsia="en-US" w:bidi="ar-SA"/>
        </w:rPr>
      </w:pPr>
      <w:r w:rsidRPr="00BB74EA">
        <w:rPr>
          <w:rFonts w:eastAsiaTheme="minorHAnsi"/>
          <w:i/>
          <w:iCs/>
          <w:color w:val="000000"/>
          <w:sz w:val="20"/>
          <w:szCs w:val="20"/>
          <w:lang w:eastAsia="en-US" w:bidi="ar-SA"/>
        </w:rPr>
        <w:t>Notes:</w:t>
      </w:r>
      <w:r w:rsidRPr="00BB74EA">
        <w:rPr>
          <w:rFonts w:eastAsiaTheme="minorHAnsi"/>
          <w:i/>
          <w:iCs/>
          <w:color w:val="000000"/>
          <w:sz w:val="20"/>
          <w:szCs w:val="20"/>
          <w:lang w:eastAsia="en-US" w:bidi="ar-SA"/>
        </w:rPr>
        <w:br/>
        <w:t>(a) The reconciliation of movements table is exclusive of Construction in Progress balance of $31,600 for building</w:t>
      </w:r>
      <w:r w:rsidRPr="00BB74EA">
        <w:rPr>
          <w:rFonts w:eastAsiaTheme="minorHAnsi"/>
          <w:i/>
          <w:iCs/>
          <w:color w:val="000000"/>
          <w:sz w:val="20"/>
          <w:szCs w:val="20"/>
          <w:lang w:eastAsia="en-US" w:bidi="ar-SA"/>
        </w:rPr>
        <w:br/>
        <w:t>fit out works.</w:t>
      </w:r>
    </w:p>
    <w:p w:rsidR="00BB74EA" w:rsidRDefault="00BB74EA" w:rsidP="00324FF6">
      <w:pPr>
        <w:pStyle w:val="Heading4"/>
        <w:rPr>
          <w:lang w:eastAsia="en-US" w:bidi="ar-SA"/>
        </w:rPr>
      </w:pPr>
      <w:r w:rsidRPr="00BB74EA">
        <w:rPr>
          <w:lang w:eastAsia="en-US" w:bidi="ar-SA"/>
        </w:rPr>
        <w:lastRenderedPageBreak/>
        <w:t>4.2</w:t>
      </w:r>
      <w:r w:rsidR="006A36F7">
        <w:rPr>
          <w:lang w:eastAsia="en-US" w:bidi="ar-SA"/>
        </w:rPr>
        <w:t xml:space="preserve"> </w:t>
      </w:r>
      <w:r w:rsidRPr="00BB74EA">
        <w:rPr>
          <w:lang w:eastAsia="en-US" w:bidi="ar-SA"/>
        </w:rPr>
        <w:t>Intangible assets</w:t>
      </w:r>
    </w:p>
    <w:p w:rsidR="00324FF6" w:rsidRPr="00BB74EA" w:rsidRDefault="00324FF6" w:rsidP="00324FF6">
      <w:pPr>
        <w:rPr>
          <w:lang w:eastAsia="en-US" w:bidi="ar-SA"/>
        </w:rPr>
      </w:pPr>
    </w:p>
    <w:tbl>
      <w:tblPr>
        <w:tblStyle w:val="TableGrid"/>
        <w:tblW w:w="0" w:type="auto"/>
        <w:tblInd w:w="715" w:type="dxa"/>
        <w:tblLayout w:type="fixed"/>
        <w:tblLook w:val="0000" w:firstRow="0" w:lastRow="0" w:firstColumn="0" w:lastColumn="0" w:noHBand="0" w:noVBand="0"/>
      </w:tblPr>
      <w:tblGrid>
        <w:gridCol w:w="2268"/>
        <w:gridCol w:w="1265"/>
        <w:gridCol w:w="1276"/>
        <w:gridCol w:w="1275"/>
        <w:gridCol w:w="1276"/>
        <w:gridCol w:w="1418"/>
        <w:gridCol w:w="1417"/>
      </w:tblGrid>
      <w:tr w:rsidR="00324FF6" w:rsidRPr="00324FF6" w:rsidTr="00324FF6">
        <w:trPr>
          <w:trHeight w:val="60"/>
        </w:trPr>
        <w:tc>
          <w:tcPr>
            <w:tcW w:w="2268" w:type="dxa"/>
          </w:tcPr>
          <w:p w:rsidR="00BB74EA" w:rsidRPr="00324FF6" w:rsidRDefault="00BB74EA" w:rsidP="00BB74EA">
            <w:pPr>
              <w:widowControl/>
              <w:adjustRightInd w:val="0"/>
              <w:rPr>
                <w:rFonts w:eastAsiaTheme="minorHAnsi"/>
                <w:sz w:val="20"/>
                <w:szCs w:val="20"/>
                <w:lang w:eastAsia="en-US" w:bidi="ar-SA"/>
              </w:rPr>
            </w:pPr>
          </w:p>
        </w:tc>
        <w:tc>
          <w:tcPr>
            <w:tcW w:w="2541" w:type="dxa"/>
            <w:gridSpan w:val="2"/>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Gross carrying amount</w:t>
            </w:r>
          </w:p>
        </w:tc>
        <w:tc>
          <w:tcPr>
            <w:tcW w:w="2551" w:type="dxa"/>
            <w:gridSpan w:val="2"/>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Accumulated Depreciation</w:t>
            </w:r>
          </w:p>
        </w:tc>
        <w:tc>
          <w:tcPr>
            <w:tcW w:w="2835" w:type="dxa"/>
            <w:gridSpan w:val="2"/>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Net carrying amount</w:t>
            </w:r>
          </w:p>
        </w:tc>
      </w:tr>
      <w:tr w:rsidR="00324FF6" w:rsidRPr="00324FF6" w:rsidTr="00324FF6">
        <w:trPr>
          <w:trHeight w:val="60"/>
        </w:trPr>
        <w:tc>
          <w:tcPr>
            <w:tcW w:w="2268" w:type="dxa"/>
          </w:tcPr>
          <w:p w:rsidR="00BB74EA" w:rsidRPr="00324FF6" w:rsidRDefault="00BB74EA" w:rsidP="00BB74EA">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324FF6">
              <w:rPr>
                <w:rFonts w:eastAsiaTheme="minorHAnsi"/>
                <w:b/>
                <w:bCs/>
                <w:sz w:val="20"/>
                <w:szCs w:val="20"/>
                <w:lang w:eastAsia="en-US" w:bidi="ar-SA"/>
              </w:rPr>
              <w:t xml:space="preserve"> </w:t>
            </w:r>
          </w:p>
        </w:tc>
        <w:tc>
          <w:tcPr>
            <w:tcW w:w="1265" w:type="dxa"/>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2019</w:t>
            </w:r>
          </w:p>
        </w:tc>
        <w:tc>
          <w:tcPr>
            <w:tcW w:w="1276" w:type="dxa"/>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2018</w:t>
            </w:r>
          </w:p>
        </w:tc>
        <w:tc>
          <w:tcPr>
            <w:tcW w:w="1275" w:type="dxa"/>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2019</w:t>
            </w:r>
          </w:p>
        </w:tc>
        <w:tc>
          <w:tcPr>
            <w:tcW w:w="1276" w:type="dxa"/>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2018</w:t>
            </w:r>
          </w:p>
        </w:tc>
        <w:tc>
          <w:tcPr>
            <w:tcW w:w="1418" w:type="dxa"/>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2019</w:t>
            </w:r>
          </w:p>
        </w:tc>
        <w:tc>
          <w:tcPr>
            <w:tcW w:w="1417" w:type="dxa"/>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2018</w:t>
            </w:r>
          </w:p>
        </w:tc>
      </w:tr>
      <w:tr w:rsidR="00324FF6" w:rsidRPr="00324FF6" w:rsidTr="00324FF6">
        <w:trPr>
          <w:trHeight w:val="60"/>
        </w:trPr>
        <w:tc>
          <w:tcPr>
            <w:tcW w:w="2268" w:type="dxa"/>
          </w:tcPr>
          <w:p w:rsidR="00BB74EA" w:rsidRPr="00324FF6" w:rsidRDefault="00BB74EA" w:rsidP="00BB74EA">
            <w:pPr>
              <w:widowControl/>
              <w:adjustRightInd w:val="0"/>
              <w:rPr>
                <w:rFonts w:eastAsiaTheme="minorHAnsi"/>
                <w:sz w:val="20"/>
                <w:szCs w:val="20"/>
                <w:lang w:eastAsia="en-US" w:bidi="ar-SA"/>
              </w:rPr>
            </w:pPr>
          </w:p>
        </w:tc>
        <w:tc>
          <w:tcPr>
            <w:tcW w:w="1265" w:type="dxa"/>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w:t>
            </w:r>
          </w:p>
        </w:tc>
        <w:tc>
          <w:tcPr>
            <w:tcW w:w="1276" w:type="dxa"/>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w:t>
            </w:r>
          </w:p>
        </w:tc>
        <w:tc>
          <w:tcPr>
            <w:tcW w:w="1275" w:type="dxa"/>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w:t>
            </w:r>
          </w:p>
        </w:tc>
        <w:tc>
          <w:tcPr>
            <w:tcW w:w="1276" w:type="dxa"/>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w:t>
            </w:r>
          </w:p>
        </w:tc>
        <w:tc>
          <w:tcPr>
            <w:tcW w:w="1418" w:type="dxa"/>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w:t>
            </w:r>
          </w:p>
        </w:tc>
        <w:tc>
          <w:tcPr>
            <w:tcW w:w="1417" w:type="dxa"/>
          </w:tcPr>
          <w:p w:rsidR="00BB74EA" w:rsidRPr="00324FF6" w:rsidRDefault="00BB74EA" w:rsidP="00324FF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324FF6">
              <w:rPr>
                <w:rFonts w:eastAsiaTheme="minorHAnsi"/>
                <w:b/>
                <w:bCs/>
                <w:sz w:val="20"/>
                <w:szCs w:val="20"/>
                <w:lang w:eastAsia="en-US" w:bidi="ar-SA"/>
              </w:rPr>
              <w:t>$</w:t>
            </w:r>
          </w:p>
        </w:tc>
      </w:tr>
      <w:tr w:rsidR="00324FF6" w:rsidRPr="00324FF6" w:rsidTr="00324FF6">
        <w:trPr>
          <w:trHeight w:val="60"/>
        </w:trPr>
        <w:tc>
          <w:tcPr>
            <w:tcW w:w="2268" w:type="dxa"/>
          </w:tcPr>
          <w:p w:rsidR="00BB74EA" w:rsidRPr="00324FF6"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324FF6">
              <w:rPr>
                <w:rFonts w:eastAsiaTheme="minorHAnsi"/>
                <w:sz w:val="20"/>
                <w:szCs w:val="20"/>
                <w:lang w:eastAsia="en-US" w:bidi="ar-SA"/>
              </w:rPr>
              <w:t>Capitalised software</w:t>
            </w:r>
          </w:p>
        </w:tc>
        <w:tc>
          <w:tcPr>
            <w:tcW w:w="1265"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2,150,974</w:t>
            </w:r>
          </w:p>
        </w:tc>
        <w:tc>
          <w:tcPr>
            <w:tcW w:w="1276"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463,793</w:t>
            </w:r>
          </w:p>
        </w:tc>
        <w:tc>
          <w:tcPr>
            <w:tcW w:w="1275"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(522,591)</w:t>
            </w:r>
          </w:p>
        </w:tc>
        <w:tc>
          <w:tcPr>
            <w:tcW w:w="1276"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(335,822)</w:t>
            </w:r>
          </w:p>
        </w:tc>
        <w:tc>
          <w:tcPr>
            <w:tcW w:w="1418"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1,628,383</w:t>
            </w:r>
          </w:p>
        </w:tc>
        <w:tc>
          <w:tcPr>
            <w:tcW w:w="1417"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127,971</w:t>
            </w:r>
          </w:p>
        </w:tc>
      </w:tr>
      <w:tr w:rsidR="00324FF6" w:rsidRPr="00324FF6" w:rsidTr="00324FF6">
        <w:trPr>
          <w:trHeight w:val="60"/>
        </w:trPr>
        <w:tc>
          <w:tcPr>
            <w:tcW w:w="2268" w:type="dxa"/>
          </w:tcPr>
          <w:p w:rsidR="00BB74EA" w:rsidRPr="00324FF6"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324FF6">
              <w:rPr>
                <w:rFonts w:eastAsiaTheme="minorHAnsi"/>
                <w:sz w:val="20"/>
                <w:szCs w:val="20"/>
                <w:lang w:eastAsia="en-US" w:bidi="ar-SA"/>
              </w:rPr>
              <w:t>Work-in-progress</w:t>
            </w:r>
          </w:p>
        </w:tc>
        <w:tc>
          <w:tcPr>
            <w:tcW w:w="1265"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179</w:t>
            </w:r>
          </w:p>
        </w:tc>
        <w:tc>
          <w:tcPr>
            <w:tcW w:w="1276"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1,117,205</w:t>
            </w:r>
          </w:p>
        </w:tc>
        <w:tc>
          <w:tcPr>
            <w:tcW w:w="1275"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w:t>
            </w:r>
          </w:p>
        </w:tc>
        <w:tc>
          <w:tcPr>
            <w:tcW w:w="1276"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w:t>
            </w:r>
          </w:p>
        </w:tc>
        <w:tc>
          <w:tcPr>
            <w:tcW w:w="1418"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179</w:t>
            </w:r>
          </w:p>
        </w:tc>
        <w:tc>
          <w:tcPr>
            <w:tcW w:w="1417"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1,117,205</w:t>
            </w:r>
          </w:p>
        </w:tc>
      </w:tr>
      <w:tr w:rsidR="00324FF6" w:rsidRPr="00324FF6" w:rsidTr="00324FF6">
        <w:trPr>
          <w:trHeight w:val="60"/>
        </w:trPr>
        <w:tc>
          <w:tcPr>
            <w:tcW w:w="2268" w:type="dxa"/>
          </w:tcPr>
          <w:p w:rsidR="00BB74EA" w:rsidRPr="00324FF6"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324FF6">
              <w:rPr>
                <w:rFonts w:eastAsiaTheme="minorHAnsi"/>
                <w:sz w:val="20"/>
                <w:szCs w:val="20"/>
                <w:lang w:eastAsia="en-US" w:bidi="ar-SA"/>
              </w:rPr>
              <w:t xml:space="preserve">Net carrying amount </w:t>
            </w:r>
          </w:p>
        </w:tc>
        <w:tc>
          <w:tcPr>
            <w:tcW w:w="1265"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2,151,153</w:t>
            </w:r>
          </w:p>
        </w:tc>
        <w:tc>
          <w:tcPr>
            <w:tcW w:w="1276"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1,580,998</w:t>
            </w:r>
          </w:p>
        </w:tc>
        <w:tc>
          <w:tcPr>
            <w:tcW w:w="1275"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(522,591)</w:t>
            </w:r>
          </w:p>
        </w:tc>
        <w:tc>
          <w:tcPr>
            <w:tcW w:w="1276"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(335,822)</w:t>
            </w:r>
          </w:p>
        </w:tc>
        <w:tc>
          <w:tcPr>
            <w:tcW w:w="1418"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1,628,562</w:t>
            </w:r>
          </w:p>
        </w:tc>
        <w:tc>
          <w:tcPr>
            <w:tcW w:w="1417" w:type="dxa"/>
          </w:tcPr>
          <w:p w:rsidR="00BB74EA" w:rsidRPr="00324FF6" w:rsidRDefault="00BB74EA" w:rsidP="00324FF6">
            <w:pPr>
              <w:widowControl/>
              <w:suppressAutoHyphens/>
              <w:adjustRightInd w:val="0"/>
              <w:spacing w:after="113" w:line="220" w:lineRule="atLeast"/>
              <w:jc w:val="center"/>
              <w:textAlignment w:val="center"/>
              <w:rPr>
                <w:rFonts w:eastAsiaTheme="minorHAnsi"/>
                <w:sz w:val="20"/>
                <w:szCs w:val="20"/>
                <w:lang w:eastAsia="en-US" w:bidi="ar-SA"/>
              </w:rPr>
            </w:pPr>
            <w:r w:rsidRPr="00324FF6">
              <w:rPr>
                <w:rFonts w:eastAsiaTheme="minorHAnsi"/>
                <w:sz w:val="20"/>
                <w:szCs w:val="20"/>
                <w:lang w:eastAsia="en-US" w:bidi="ar-SA"/>
              </w:rPr>
              <w:t>1,245,176</w:t>
            </w:r>
          </w:p>
        </w:tc>
      </w:tr>
    </w:tbl>
    <w:p w:rsidR="00BB74EA" w:rsidRPr="00BB74EA" w:rsidRDefault="00BB74EA" w:rsidP="00BA7436">
      <w:pPr>
        <w:rPr>
          <w:lang w:eastAsia="en-US" w:bidi="ar-SA"/>
        </w:rPr>
      </w:pPr>
    </w:p>
    <w:p w:rsidR="00BB74EA" w:rsidRDefault="00BB74EA" w:rsidP="00BA7436">
      <w:pPr>
        <w:widowControl/>
        <w:suppressAutoHyphens/>
        <w:adjustRightInd w:val="0"/>
        <w:spacing w:after="57" w:line="220" w:lineRule="atLeast"/>
        <w:ind w:left="709"/>
        <w:textAlignment w:val="center"/>
        <w:rPr>
          <w:rFonts w:eastAsiaTheme="minorHAnsi"/>
          <w:b/>
          <w:bCs/>
          <w:color w:val="000000"/>
          <w:sz w:val="20"/>
          <w:szCs w:val="20"/>
          <w:lang w:eastAsia="en-US" w:bidi="ar-SA"/>
        </w:rPr>
      </w:pPr>
      <w:r w:rsidRPr="00BB74EA">
        <w:rPr>
          <w:rFonts w:eastAsiaTheme="minorHAnsi"/>
          <w:b/>
          <w:bCs/>
          <w:color w:val="000000"/>
          <w:sz w:val="20"/>
          <w:szCs w:val="20"/>
          <w:lang w:eastAsia="en-US" w:bidi="ar-SA"/>
        </w:rPr>
        <w:t>4.2.1 Reconciliation of movements in carrying amounts of intangible assets</w:t>
      </w:r>
    </w:p>
    <w:p w:rsidR="00BA7436" w:rsidRPr="00BB74EA" w:rsidRDefault="00BA7436" w:rsidP="00BA7436">
      <w:pPr>
        <w:rPr>
          <w:lang w:eastAsia="en-US" w:bidi="ar-SA"/>
        </w:rPr>
      </w:pPr>
    </w:p>
    <w:tbl>
      <w:tblPr>
        <w:tblStyle w:val="TableGrid"/>
        <w:tblW w:w="0" w:type="auto"/>
        <w:tblInd w:w="702" w:type="dxa"/>
        <w:tblLayout w:type="fixed"/>
        <w:tblLook w:val="0000" w:firstRow="0" w:lastRow="0" w:firstColumn="0" w:lastColumn="0" w:noHBand="0" w:noVBand="0"/>
      </w:tblPr>
      <w:tblGrid>
        <w:gridCol w:w="2837"/>
        <w:gridCol w:w="1276"/>
        <w:gridCol w:w="1134"/>
        <w:gridCol w:w="1276"/>
        <w:gridCol w:w="1134"/>
        <w:gridCol w:w="1275"/>
        <w:gridCol w:w="1276"/>
      </w:tblGrid>
      <w:tr w:rsidR="00BA7436" w:rsidRPr="00BA7436" w:rsidTr="00BA7436">
        <w:trPr>
          <w:trHeight w:val="60"/>
        </w:trPr>
        <w:tc>
          <w:tcPr>
            <w:tcW w:w="2837" w:type="dxa"/>
          </w:tcPr>
          <w:p w:rsidR="00BB74EA" w:rsidRPr="00BA7436" w:rsidRDefault="00BB74EA" w:rsidP="00BB74EA">
            <w:pPr>
              <w:widowControl/>
              <w:adjustRightInd w:val="0"/>
              <w:rPr>
                <w:rFonts w:eastAsiaTheme="minorHAnsi"/>
                <w:sz w:val="20"/>
                <w:szCs w:val="20"/>
                <w:lang w:eastAsia="en-US" w:bidi="ar-SA"/>
              </w:rPr>
            </w:pPr>
          </w:p>
        </w:tc>
        <w:tc>
          <w:tcPr>
            <w:tcW w:w="2410" w:type="dxa"/>
            <w:gridSpan w:val="2"/>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Capitalised software</w:t>
            </w:r>
          </w:p>
        </w:tc>
        <w:tc>
          <w:tcPr>
            <w:tcW w:w="2410" w:type="dxa"/>
            <w:gridSpan w:val="2"/>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Work-in-progress</w:t>
            </w:r>
          </w:p>
        </w:tc>
        <w:tc>
          <w:tcPr>
            <w:tcW w:w="2551" w:type="dxa"/>
            <w:gridSpan w:val="2"/>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Total</w:t>
            </w:r>
          </w:p>
        </w:tc>
      </w:tr>
      <w:tr w:rsidR="00BA7436" w:rsidRPr="00BA7436" w:rsidTr="00BA7436">
        <w:trPr>
          <w:trHeight w:val="60"/>
        </w:trPr>
        <w:tc>
          <w:tcPr>
            <w:tcW w:w="2837" w:type="dxa"/>
          </w:tcPr>
          <w:p w:rsidR="00BB74EA" w:rsidRPr="00BA7436" w:rsidRDefault="00BB74EA" w:rsidP="00BB74EA">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BA7436">
              <w:rPr>
                <w:rFonts w:eastAsiaTheme="minorHAnsi"/>
                <w:b/>
                <w:bCs/>
                <w:sz w:val="20"/>
                <w:szCs w:val="20"/>
                <w:lang w:eastAsia="en-US" w:bidi="ar-SA"/>
              </w:rPr>
              <w:t xml:space="preserve"> </w:t>
            </w:r>
          </w:p>
        </w:tc>
        <w:tc>
          <w:tcPr>
            <w:tcW w:w="1276" w:type="dxa"/>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2019</w:t>
            </w:r>
          </w:p>
        </w:tc>
        <w:tc>
          <w:tcPr>
            <w:tcW w:w="1134" w:type="dxa"/>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2018</w:t>
            </w:r>
          </w:p>
        </w:tc>
        <w:tc>
          <w:tcPr>
            <w:tcW w:w="1276" w:type="dxa"/>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2019</w:t>
            </w:r>
          </w:p>
        </w:tc>
        <w:tc>
          <w:tcPr>
            <w:tcW w:w="1134" w:type="dxa"/>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2018</w:t>
            </w:r>
          </w:p>
        </w:tc>
        <w:tc>
          <w:tcPr>
            <w:tcW w:w="1275" w:type="dxa"/>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2019</w:t>
            </w:r>
          </w:p>
        </w:tc>
        <w:tc>
          <w:tcPr>
            <w:tcW w:w="1276" w:type="dxa"/>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2018</w:t>
            </w:r>
          </w:p>
        </w:tc>
      </w:tr>
      <w:tr w:rsidR="00BA7436" w:rsidRPr="00BA7436" w:rsidTr="00BA7436">
        <w:trPr>
          <w:trHeight w:val="60"/>
        </w:trPr>
        <w:tc>
          <w:tcPr>
            <w:tcW w:w="2837" w:type="dxa"/>
          </w:tcPr>
          <w:p w:rsidR="00BB74EA" w:rsidRPr="00BA7436" w:rsidRDefault="00BB74EA" w:rsidP="00BB74EA">
            <w:pPr>
              <w:widowControl/>
              <w:adjustRightInd w:val="0"/>
              <w:rPr>
                <w:rFonts w:eastAsiaTheme="minorHAnsi"/>
                <w:sz w:val="20"/>
                <w:szCs w:val="20"/>
                <w:lang w:eastAsia="en-US" w:bidi="ar-SA"/>
              </w:rPr>
            </w:pPr>
          </w:p>
        </w:tc>
        <w:tc>
          <w:tcPr>
            <w:tcW w:w="1276" w:type="dxa"/>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w:t>
            </w:r>
          </w:p>
        </w:tc>
        <w:tc>
          <w:tcPr>
            <w:tcW w:w="1134" w:type="dxa"/>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w:t>
            </w:r>
          </w:p>
        </w:tc>
        <w:tc>
          <w:tcPr>
            <w:tcW w:w="1276" w:type="dxa"/>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w:t>
            </w:r>
          </w:p>
        </w:tc>
        <w:tc>
          <w:tcPr>
            <w:tcW w:w="1134" w:type="dxa"/>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w:t>
            </w:r>
          </w:p>
        </w:tc>
        <w:tc>
          <w:tcPr>
            <w:tcW w:w="1275" w:type="dxa"/>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w:t>
            </w:r>
          </w:p>
        </w:tc>
        <w:tc>
          <w:tcPr>
            <w:tcW w:w="1276" w:type="dxa"/>
          </w:tcPr>
          <w:p w:rsidR="00BB74EA" w:rsidRPr="00BA7436" w:rsidRDefault="00BB74EA" w:rsidP="00BA7436">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BA7436">
              <w:rPr>
                <w:rFonts w:eastAsiaTheme="minorHAnsi"/>
                <w:b/>
                <w:bCs/>
                <w:sz w:val="20"/>
                <w:szCs w:val="20"/>
                <w:lang w:eastAsia="en-US" w:bidi="ar-SA"/>
              </w:rPr>
              <w:t>$</w:t>
            </w:r>
          </w:p>
        </w:tc>
      </w:tr>
      <w:tr w:rsidR="00BA7436" w:rsidRPr="00BA7436" w:rsidTr="00BA7436">
        <w:trPr>
          <w:trHeight w:val="60"/>
        </w:trPr>
        <w:tc>
          <w:tcPr>
            <w:tcW w:w="2837" w:type="dxa"/>
          </w:tcPr>
          <w:p w:rsidR="00BB74EA" w:rsidRPr="00BA7436"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BA7436">
              <w:rPr>
                <w:rFonts w:eastAsiaTheme="minorHAnsi"/>
                <w:sz w:val="20"/>
                <w:szCs w:val="20"/>
                <w:lang w:eastAsia="en-US" w:bidi="ar-SA"/>
              </w:rPr>
              <w:t>Opening balance</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127,971</w:t>
            </w:r>
          </w:p>
        </w:tc>
        <w:tc>
          <w:tcPr>
            <w:tcW w:w="1134"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111,941</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1,117,205</w:t>
            </w:r>
          </w:p>
        </w:tc>
        <w:tc>
          <w:tcPr>
            <w:tcW w:w="1134"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w:t>
            </w:r>
          </w:p>
        </w:tc>
        <w:tc>
          <w:tcPr>
            <w:tcW w:w="1275"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1,245,176</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111,941</w:t>
            </w:r>
          </w:p>
        </w:tc>
      </w:tr>
      <w:tr w:rsidR="00BA7436" w:rsidRPr="00BA7436" w:rsidTr="00BA7436">
        <w:trPr>
          <w:trHeight w:val="60"/>
        </w:trPr>
        <w:tc>
          <w:tcPr>
            <w:tcW w:w="2837" w:type="dxa"/>
          </w:tcPr>
          <w:p w:rsidR="00BB74EA" w:rsidRPr="00BA7436"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BA7436">
              <w:rPr>
                <w:rFonts w:eastAsiaTheme="minorHAnsi"/>
                <w:sz w:val="20"/>
                <w:szCs w:val="20"/>
                <w:lang w:eastAsia="en-US" w:bidi="ar-SA"/>
              </w:rPr>
              <w:t>Additions</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w:t>
            </w:r>
          </w:p>
        </w:tc>
        <w:tc>
          <w:tcPr>
            <w:tcW w:w="1134"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570,155</w:t>
            </w:r>
          </w:p>
        </w:tc>
        <w:tc>
          <w:tcPr>
            <w:tcW w:w="1134"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1,189,205</w:t>
            </w:r>
          </w:p>
        </w:tc>
        <w:tc>
          <w:tcPr>
            <w:tcW w:w="1275"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570,155</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1,189,205</w:t>
            </w:r>
          </w:p>
        </w:tc>
      </w:tr>
      <w:tr w:rsidR="00BA7436" w:rsidRPr="00BA7436" w:rsidTr="00BA7436">
        <w:trPr>
          <w:trHeight w:val="60"/>
        </w:trPr>
        <w:tc>
          <w:tcPr>
            <w:tcW w:w="2837" w:type="dxa"/>
          </w:tcPr>
          <w:p w:rsidR="00BB74EA" w:rsidRPr="00BA7436"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BA7436">
              <w:rPr>
                <w:rFonts w:eastAsiaTheme="minorHAnsi"/>
                <w:sz w:val="20"/>
                <w:szCs w:val="20"/>
                <w:lang w:eastAsia="en-US" w:bidi="ar-SA"/>
              </w:rPr>
              <w:t>Transfer between classes</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1,687,181</w:t>
            </w:r>
          </w:p>
        </w:tc>
        <w:tc>
          <w:tcPr>
            <w:tcW w:w="1134"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72,000</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pacing w:val="-4"/>
                <w:sz w:val="20"/>
                <w:szCs w:val="20"/>
                <w:lang w:eastAsia="en-US" w:bidi="ar-SA"/>
              </w:rPr>
              <w:t>(1,687,181)</w:t>
            </w:r>
          </w:p>
        </w:tc>
        <w:tc>
          <w:tcPr>
            <w:tcW w:w="1134"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(72,000)</w:t>
            </w:r>
          </w:p>
        </w:tc>
        <w:tc>
          <w:tcPr>
            <w:tcW w:w="1275"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w:t>
            </w:r>
          </w:p>
        </w:tc>
      </w:tr>
      <w:tr w:rsidR="00BA7436" w:rsidRPr="00BA7436" w:rsidTr="00BA7436">
        <w:trPr>
          <w:trHeight w:val="60"/>
        </w:trPr>
        <w:tc>
          <w:tcPr>
            <w:tcW w:w="2837" w:type="dxa"/>
          </w:tcPr>
          <w:p w:rsidR="00BB74EA" w:rsidRPr="00BA7436"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BA7436">
              <w:rPr>
                <w:rFonts w:eastAsiaTheme="minorHAnsi"/>
                <w:sz w:val="20"/>
                <w:szCs w:val="20"/>
                <w:lang w:eastAsia="en-US" w:bidi="ar-SA"/>
              </w:rPr>
              <w:t xml:space="preserve">Depreciation </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(186,769)</w:t>
            </w:r>
          </w:p>
        </w:tc>
        <w:tc>
          <w:tcPr>
            <w:tcW w:w="1134"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(55,970)</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w:t>
            </w:r>
          </w:p>
        </w:tc>
        <w:tc>
          <w:tcPr>
            <w:tcW w:w="1134"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w:t>
            </w:r>
          </w:p>
        </w:tc>
        <w:tc>
          <w:tcPr>
            <w:tcW w:w="1275"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(186,769)</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(55,970)</w:t>
            </w:r>
          </w:p>
        </w:tc>
      </w:tr>
      <w:tr w:rsidR="00BA7436" w:rsidRPr="00BA7436" w:rsidTr="00BA7436">
        <w:trPr>
          <w:trHeight w:val="355"/>
        </w:trPr>
        <w:tc>
          <w:tcPr>
            <w:tcW w:w="2837" w:type="dxa"/>
          </w:tcPr>
          <w:p w:rsidR="00BB74EA" w:rsidRPr="00BA7436"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BA7436">
              <w:rPr>
                <w:rFonts w:eastAsiaTheme="minorHAnsi"/>
                <w:sz w:val="20"/>
                <w:szCs w:val="20"/>
                <w:lang w:eastAsia="en-US" w:bidi="ar-SA"/>
              </w:rPr>
              <w:t xml:space="preserve">Net carrying amount </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1,628,383</w:t>
            </w:r>
          </w:p>
        </w:tc>
        <w:tc>
          <w:tcPr>
            <w:tcW w:w="1134"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127,971</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179</w:t>
            </w:r>
          </w:p>
        </w:tc>
        <w:tc>
          <w:tcPr>
            <w:tcW w:w="1134"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1,117,205</w:t>
            </w:r>
          </w:p>
        </w:tc>
        <w:tc>
          <w:tcPr>
            <w:tcW w:w="1275"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1,628,562</w:t>
            </w:r>
          </w:p>
        </w:tc>
        <w:tc>
          <w:tcPr>
            <w:tcW w:w="1276" w:type="dxa"/>
          </w:tcPr>
          <w:p w:rsidR="00BB74EA" w:rsidRPr="00BA7436" w:rsidRDefault="00BB74EA" w:rsidP="00BA7436">
            <w:pPr>
              <w:widowControl/>
              <w:suppressAutoHyphens/>
              <w:adjustRightInd w:val="0"/>
              <w:spacing w:after="113" w:line="220" w:lineRule="atLeast"/>
              <w:jc w:val="center"/>
              <w:textAlignment w:val="center"/>
              <w:rPr>
                <w:rFonts w:eastAsiaTheme="minorHAnsi"/>
                <w:sz w:val="20"/>
                <w:szCs w:val="20"/>
                <w:lang w:eastAsia="en-US" w:bidi="ar-SA"/>
              </w:rPr>
            </w:pPr>
            <w:r w:rsidRPr="00BA7436">
              <w:rPr>
                <w:rFonts w:eastAsiaTheme="minorHAnsi"/>
                <w:sz w:val="20"/>
                <w:szCs w:val="20"/>
                <w:lang w:eastAsia="en-US" w:bidi="ar-SA"/>
              </w:rPr>
              <w:t>1,245,176</w:t>
            </w:r>
          </w:p>
        </w:tc>
      </w:tr>
    </w:tbl>
    <w:p w:rsidR="00BB74EA" w:rsidRPr="00BB74EA" w:rsidRDefault="00BB74EA" w:rsidP="00BB74EA">
      <w:pPr>
        <w:widowControl/>
        <w:suppressAutoHyphens/>
        <w:adjustRightInd w:val="0"/>
        <w:spacing w:after="227" w:line="220" w:lineRule="atLeast"/>
        <w:textAlignment w:val="center"/>
        <w:rPr>
          <w:rFonts w:eastAsiaTheme="minorHAnsi"/>
          <w:color w:val="000000"/>
          <w:spacing w:val="1"/>
          <w:sz w:val="20"/>
          <w:szCs w:val="20"/>
          <w:lang w:eastAsia="en-US" w:bidi="ar-SA"/>
        </w:rPr>
      </w:pPr>
    </w:p>
    <w:p w:rsidR="00BB74EA" w:rsidRPr="00BB74EA" w:rsidRDefault="00BB74EA" w:rsidP="0056641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pacing w:val="1"/>
          <w:sz w:val="20"/>
          <w:szCs w:val="20"/>
          <w:lang w:eastAsia="en-US" w:bidi="ar-SA"/>
        </w:rPr>
        <w:t>Intangible assets which comprise capitalised software and work-in-progress represent separately identifiable assets without physical substance. Work-in-progress represents the enhancement work</w:t>
      </w:r>
      <w:r w:rsidR="0056641F">
        <w:rPr>
          <w:rFonts w:eastAsiaTheme="minorHAnsi"/>
          <w:color w:val="000000"/>
          <w:spacing w:val="1"/>
          <w:sz w:val="20"/>
          <w:szCs w:val="20"/>
          <w:lang w:eastAsia="en-US" w:bidi="ar-SA"/>
        </w:rPr>
        <w:t xml:space="preserve"> </w:t>
      </w:r>
      <w:r w:rsidRPr="00BB74EA">
        <w:rPr>
          <w:rFonts w:eastAsiaTheme="minorHAnsi"/>
          <w:color w:val="000000"/>
          <w:spacing w:val="1"/>
          <w:sz w:val="20"/>
          <w:szCs w:val="20"/>
          <w:lang w:eastAsia="en-US" w:bidi="ar-SA"/>
        </w:rPr>
        <w:t>on the Victorian Government Careers website and the development work on the State Workforce</w:t>
      </w:r>
      <w:r w:rsidR="0056641F">
        <w:rPr>
          <w:rFonts w:eastAsiaTheme="minorHAnsi"/>
          <w:color w:val="000000"/>
          <w:spacing w:val="1"/>
          <w:sz w:val="20"/>
          <w:szCs w:val="20"/>
          <w:lang w:eastAsia="en-US" w:bidi="ar-SA"/>
        </w:rPr>
        <w:t xml:space="preserve"> </w:t>
      </w:r>
      <w:r w:rsidRPr="00BB74EA">
        <w:rPr>
          <w:rFonts w:eastAsiaTheme="minorHAnsi"/>
          <w:color w:val="000000"/>
          <w:spacing w:val="1"/>
          <w:sz w:val="20"/>
          <w:szCs w:val="20"/>
          <w:lang w:eastAsia="en-US" w:bidi="ar-SA"/>
        </w:rPr>
        <w:t>Data Analysis and Collection Application.</w:t>
      </w:r>
    </w:p>
    <w:p w:rsidR="00BB74EA" w:rsidRPr="00BB74EA" w:rsidRDefault="00BB74EA" w:rsidP="0056641F">
      <w:pPr>
        <w:widowControl/>
        <w:suppressAutoHyphens/>
        <w:adjustRightInd w:val="0"/>
        <w:spacing w:after="113" w:line="220" w:lineRule="atLeast"/>
        <w:ind w:left="709" w:right="1137"/>
        <w:textAlignment w:val="center"/>
        <w:rPr>
          <w:rFonts w:eastAsiaTheme="minorHAnsi"/>
          <w:b/>
          <w:bCs/>
          <w:color w:val="000000"/>
          <w:sz w:val="20"/>
          <w:szCs w:val="20"/>
          <w:lang w:eastAsia="en-US" w:bidi="ar-SA"/>
        </w:rPr>
      </w:pPr>
      <w:r w:rsidRPr="00BB74EA">
        <w:rPr>
          <w:rFonts w:eastAsiaTheme="minorHAnsi"/>
          <w:b/>
          <w:bCs/>
          <w:color w:val="000000"/>
          <w:sz w:val="20"/>
          <w:szCs w:val="20"/>
          <w:lang w:eastAsia="en-US" w:bidi="ar-SA"/>
        </w:rPr>
        <w:t>Initial recognition</w:t>
      </w:r>
    </w:p>
    <w:p w:rsidR="00BB74EA" w:rsidRPr="00BB74EA" w:rsidRDefault="00BB74EA" w:rsidP="0056641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Purchased intangible assets are initially measured at cost when the recognition criteria in AASB 138 Intangible Assets are met. Costs incurred subsequent to initial acquisition are capitalised when</w:t>
      </w:r>
      <w:r w:rsidR="0056641F">
        <w:rPr>
          <w:rFonts w:eastAsiaTheme="minorHAnsi"/>
          <w:color w:val="000000"/>
          <w:sz w:val="20"/>
          <w:szCs w:val="20"/>
          <w:lang w:eastAsia="en-US" w:bidi="ar-SA"/>
        </w:rPr>
        <w:t xml:space="preserve"> </w:t>
      </w:r>
      <w:r w:rsidRPr="00BB74EA">
        <w:rPr>
          <w:rFonts w:eastAsiaTheme="minorHAnsi"/>
          <w:color w:val="000000"/>
          <w:sz w:val="20"/>
          <w:szCs w:val="20"/>
          <w:lang w:eastAsia="en-US" w:bidi="ar-SA"/>
        </w:rPr>
        <w:t>it is expected that additional future economic benefits will flow to the Commission.</w:t>
      </w:r>
    </w:p>
    <w:p w:rsidR="00BB74EA" w:rsidRPr="00BB74EA" w:rsidRDefault="00BB74EA" w:rsidP="0056641F">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BB74EA">
        <w:rPr>
          <w:rFonts w:eastAsiaTheme="minorHAnsi"/>
          <w:b/>
          <w:bCs/>
          <w:color w:val="000000"/>
          <w:sz w:val="20"/>
          <w:szCs w:val="20"/>
          <w:lang w:eastAsia="en-US" w:bidi="ar-SA"/>
        </w:rPr>
        <w:t>Subsequent measurement</w:t>
      </w:r>
    </w:p>
    <w:p w:rsidR="00BB74EA" w:rsidRPr="00BB74EA" w:rsidRDefault="00BB74EA" w:rsidP="0056641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pacing w:val="-1"/>
          <w:sz w:val="20"/>
          <w:szCs w:val="20"/>
          <w:lang w:eastAsia="en-US" w:bidi="ar-SA"/>
        </w:rPr>
        <w:t>Intangible assets with finite useful lives are amortised as an ‘expense from transactions’ on a straight-line basis over their useful live</w:t>
      </w:r>
      <w:r w:rsidRPr="00BB74EA">
        <w:rPr>
          <w:rFonts w:eastAsiaTheme="minorHAnsi"/>
          <w:color w:val="000000"/>
          <w:sz w:val="20"/>
          <w:szCs w:val="20"/>
          <w:lang w:eastAsia="en-US" w:bidi="ar-SA"/>
        </w:rPr>
        <w:t>s.</w:t>
      </w:r>
    </w:p>
    <w:p w:rsidR="00BB74EA" w:rsidRPr="00BB74EA" w:rsidRDefault="00BB74EA" w:rsidP="0056641F">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BB74EA">
        <w:rPr>
          <w:rFonts w:eastAsiaTheme="minorHAnsi"/>
          <w:b/>
          <w:bCs/>
          <w:color w:val="000000"/>
          <w:sz w:val="20"/>
          <w:szCs w:val="20"/>
          <w:lang w:eastAsia="en-US" w:bidi="ar-SA"/>
        </w:rPr>
        <w:t>Impairment</w:t>
      </w:r>
    </w:p>
    <w:p w:rsidR="00BB74EA" w:rsidRDefault="00BB74EA" w:rsidP="0056641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Intangible assets with finite useful lives are tested for impairment whenever an indication of impairment</w:t>
      </w:r>
      <w:r w:rsidR="0056641F">
        <w:rPr>
          <w:rFonts w:eastAsiaTheme="minorHAnsi"/>
          <w:color w:val="000000"/>
          <w:sz w:val="20"/>
          <w:szCs w:val="20"/>
          <w:lang w:eastAsia="en-US" w:bidi="ar-SA"/>
        </w:rPr>
        <w:t xml:space="preserve"> </w:t>
      </w:r>
      <w:r w:rsidRPr="00BB74EA">
        <w:rPr>
          <w:rFonts w:eastAsiaTheme="minorHAnsi"/>
          <w:color w:val="000000"/>
          <w:sz w:val="20"/>
          <w:szCs w:val="20"/>
          <w:lang w:eastAsia="en-US" w:bidi="ar-SA"/>
        </w:rPr>
        <w:t>is identified.</w:t>
      </w:r>
    </w:p>
    <w:p w:rsidR="0056641F" w:rsidRPr="0056641F" w:rsidRDefault="0056641F" w:rsidP="0056641F">
      <w:pPr>
        <w:rPr>
          <w:sz w:val="16"/>
          <w:szCs w:val="16"/>
          <w:lang w:eastAsia="en-US" w:bidi="ar-SA"/>
        </w:rPr>
      </w:pPr>
    </w:p>
    <w:p w:rsidR="00BB74EA" w:rsidRDefault="00BB74EA" w:rsidP="006A36F7">
      <w:pPr>
        <w:pStyle w:val="Heading4"/>
        <w:rPr>
          <w:lang w:eastAsia="en-US" w:bidi="ar-SA"/>
        </w:rPr>
      </w:pPr>
      <w:r w:rsidRPr="00BB74EA">
        <w:rPr>
          <w:lang w:eastAsia="en-US" w:bidi="ar-SA"/>
        </w:rPr>
        <w:t>4.3</w:t>
      </w:r>
      <w:r w:rsidR="0056641F">
        <w:rPr>
          <w:lang w:eastAsia="en-US" w:bidi="ar-SA"/>
        </w:rPr>
        <w:t xml:space="preserve"> </w:t>
      </w:r>
      <w:r w:rsidRPr="00BB74EA">
        <w:rPr>
          <w:lang w:eastAsia="en-US" w:bidi="ar-SA"/>
        </w:rPr>
        <w:t>Depreciation</w:t>
      </w:r>
    </w:p>
    <w:p w:rsidR="0056641F" w:rsidRPr="00BB74EA" w:rsidRDefault="0056641F" w:rsidP="0056641F">
      <w:pPr>
        <w:rPr>
          <w:lang w:eastAsia="en-US" w:bidi="ar-SA"/>
        </w:rPr>
      </w:pPr>
    </w:p>
    <w:tbl>
      <w:tblPr>
        <w:tblStyle w:val="TableGrid"/>
        <w:tblW w:w="0" w:type="auto"/>
        <w:tblInd w:w="676" w:type="dxa"/>
        <w:tblLayout w:type="fixed"/>
        <w:tblLook w:val="0000" w:firstRow="0" w:lastRow="0" w:firstColumn="0" w:lastColumn="0" w:noHBand="0" w:noVBand="0"/>
      </w:tblPr>
      <w:tblGrid>
        <w:gridCol w:w="5924"/>
        <w:gridCol w:w="2184"/>
        <w:gridCol w:w="1984"/>
      </w:tblGrid>
      <w:tr w:rsidR="0056641F" w:rsidRPr="0056641F" w:rsidTr="0056641F">
        <w:trPr>
          <w:trHeight w:val="244"/>
        </w:trPr>
        <w:tc>
          <w:tcPr>
            <w:tcW w:w="5924" w:type="dxa"/>
          </w:tcPr>
          <w:p w:rsidR="00BB74EA" w:rsidRPr="0056641F" w:rsidRDefault="00BB74EA" w:rsidP="00BB74EA">
            <w:pPr>
              <w:widowControl/>
              <w:adjustRightInd w:val="0"/>
              <w:rPr>
                <w:rFonts w:eastAsiaTheme="minorHAnsi"/>
                <w:sz w:val="20"/>
                <w:szCs w:val="20"/>
                <w:lang w:eastAsia="en-US" w:bidi="ar-SA"/>
              </w:rPr>
            </w:pPr>
          </w:p>
        </w:tc>
        <w:tc>
          <w:tcPr>
            <w:tcW w:w="2184" w:type="dxa"/>
          </w:tcPr>
          <w:p w:rsidR="00BB74EA" w:rsidRPr="0056641F" w:rsidRDefault="00BB74EA" w:rsidP="005664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6641F">
              <w:rPr>
                <w:rFonts w:eastAsiaTheme="minorHAnsi"/>
                <w:b/>
                <w:bCs/>
                <w:sz w:val="20"/>
                <w:szCs w:val="20"/>
                <w:lang w:eastAsia="en-US" w:bidi="ar-SA"/>
              </w:rPr>
              <w:t>2019</w:t>
            </w:r>
          </w:p>
        </w:tc>
        <w:tc>
          <w:tcPr>
            <w:tcW w:w="1984" w:type="dxa"/>
          </w:tcPr>
          <w:p w:rsidR="00BB74EA" w:rsidRPr="0056641F" w:rsidRDefault="00BB74EA" w:rsidP="005664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6641F">
              <w:rPr>
                <w:rFonts w:eastAsiaTheme="minorHAnsi"/>
                <w:b/>
                <w:bCs/>
                <w:sz w:val="20"/>
                <w:szCs w:val="20"/>
                <w:lang w:eastAsia="en-US" w:bidi="ar-SA"/>
              </w:rPr>
              <w:t>2018</w:t>
            </w:r>
          </w:p>
        </w:tc>
      </w:tr>
      <w:tr w:rsidR="0056641F" w:rsidRPr="0056641F" w:rsidTr="0056641F">
        <w:trPr>
          <w:trHeight w:val="57"/>
        </w:trPr>
        <w:tc>
          <w:tcPr>
            <w:tcW w:w="5924" w:type="dxa"/>
          </w:tcPr>
          <w:p w:rsidR="00BB74EA" w:rsidRPr="0056641F" w:rsidRDefault="00BB74EA" w:rsidP="00BB74EA">
            <w:pPr>
              <w:widowControl/>
              <w:adjustRightInd w:val="0"/>
              <w:rPr>
                <w:rFonts w:eastAsiaTheme="minorHAnsi"/>
                <w:sz w:val="20"/>
                <w:szCs w:val="20"/>
                <w:lang w:eastAsia="en-US" w:bidi="ar-SA"/>
              </w:rPr>
            </w:pPr>
          </w:p>
        </w:tc>
        <w:tc>
          <w:tcPr>
            <w:tcW w:w="2184" w:type="dxa"/>
          </w:tcPr>
          <w:p w:rsidR="00BB74EA" w:rsidRPr="0056641F" w:rsidRDefault="00BB74EA" w:rsidP="005664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6641F">
              <w:rPr>
                <w:rFonts w:eastAsiaTheme="minorHAnsi"/>
                <w:b/>
                <w:bCs/>
                <w:sz w:val="20"/>
                <w:szCs w:val="20"/>
                <w:lang w:eastAsia="en-US" w:bidi="ar-SA"/>
              </w:rPr>
              <w:t>$</w:t>
            </w:r>
          </w:p>
        </w:tc>
        <w:tc>
          <w:tcPr>
            <w:tcW w:w="1984" w:type="dxa"/>
          </w:tcPr>
          <w:p w:rsidR="00BB74EA" w:rsidRPr="0056641F" w:rsidRDefault="00BB74EA" w:rsidP="005664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6641F">
              <w:rPr>
                <w:rFonts w:eastAsiaTheme="minorHAnsi"/>
                <w:b/>
                <w:bCs/>
                <w:sz w:val="20"/>
                <w:szCs w:val="20"/>
                <w:lang w:eastAsia="en-US" w:bidi="ar-SA"/>
              </w:rPr>
              <w:t>$</w:t>
            </w:r>
          </w:p>
        </w:tc>
      </w:tr>
      <w:tr w:rsidR="0056641F" w:rsidRPr="0056641F" w:rsidTr="0056641F">
        <w:trPr>
          <w:trHeight w:val="60"/>
        </w:trPr>
        <w:tc>
          <w:tcPr>
            <w:tcW w:w="5924" w:type="dxa"/>
          </w:tcPr>
          <w:p w:rsidR="00BB74EA" w:rsidRPr="005664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56641F">
              <w:rPr>
                <w:rFonts w:eastAsiaTheme="minorHAnsi"/>
                <w:sz w:val="20"/>
                <w:szCs w:val="20"/>
                <w:lang w:eastAsia="en-US" w:bidi="ar-SA"/>
              </w:rPr>
              <w:t>Capitalised software</w:t>
            </w:r>
          </w:p>
        </w:tc>
        <w:tc>
          <w:tcPr>
            <w:tcW w:w="2184"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186,769</w:t>
            </w:r>
          </w:p>
        </w:tc>
        <w:tc>
          <w:tcPr>
            <w:tcW w:w="1984"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55,970</w:t>
            </w:r>
          </w:p>
        </w:tc>
      </w:tr>
      <w:tr w:rsidR="0056641F" w:rsidRPr="0056641F" w:rsidTr="0056641F">
        <w:trPr>
          <w:trHeight w:val="355"/>
        </w:trPr>
        <w:tc>
          <w:tcPr>
            <w:tcW w:w="5924" w:type="dxa"/>
          </w:tcPr>
          <w:p w:rsidR="00BB74EA" w:rsidRPr="005664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56641F">
              <w:rPr>
                <w:rFonts w:eastAsiaTheme="minorHAnsi"/>
                <w:sz w:val="20"/>
                <w:szCs w:val="20"/>
                <w:lang w:eastAsia="en-US" w:bidi="ar-SA"/>
              </w:rPr>
              <w:t>Motor vehicles under finance lease</w:t>
            </w:r>
          </w:p>
        </w:tc>
        <w:tc>
          <w:tcPr>
            <w:tcW w:w="2184"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17,655</w:t>
            </w:r>
          </w:p>
        </w:tc>
        <w:tc>
          <w:tcPr>
            <w:tcW w:w="1984"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14,722</w:t>
            </w:r>
          </w:p>
        </w:tc>
      </w:tr>
      <w:tr w:rsidR="0056641F" w:rsidRPr="0056641F" w:rsidTr="0056641F">
        <w:trPr>
          <w:trHeight w:val="60"/>
        </w:trPr>
        <w:tc>
          <w:tcPr>
            <w:tcW w:w="5924" w:type="dxa"/>
          </w:tcPr>
          <w:p w:rsidR="00BB74EA" w:rsidRPr="005664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56641F">
              <w:rPr>
                <w:rFonts w:eastAsiaTheme="minorHAnsi"/>
                <w:sz w:val="20"/>
                <w:szCs w:val="20"/>
                <w:lang w:eastAsia="en-US" w:bidi="ar-SA"/>
              </w:rPr>
              <w:t>Leasehold improvements</w:t>
            </w:r>
          </w:p>
        </w:tc>
        <w:tc>
          <w:tcPr>
            <w:tcW w:w="2184"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9,174</w:t>
            </w:r>
          </w:p>
        </w:tc>
        <w:tc>
          <w:tcPr>
            <w:tcW w:w="1984"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8,057</w:t>
            </w:r>
          </w:p>
        </w:tc>
      </w:tr>
      <w:tr w:rsidR="0056641F" w:rsidRPr="0056641F" w:rsidTr="0056641F">
        <w:trPr>
          <w:trHeight w:val="60"/>
        </w:trPr>
        <w:tc>
          <w:tcPr>
            <w:tcW w:w="5924" w:type="dxa"/>
          </w:tcPr>
          <w:p w:rsidR="00BB74EA" w:rsidRPr="005664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56641F">
              <w:rPr>
                <w:rFonts w:eastAsiaTheme="minorHAnsi"/>
                <w:sz w:val="20"/>
                <w:szCs w:val="20"/>
                <w:lang w:eastAsia="en-US" w:bidi="ar-SA"/>
              </w:rPr>
              <w:t>Office and computer equipment</w:t>
            </w:r>
          </w:p>
        </w:tc>
        <w:tc>
          <w:tcPr>
            <w:tcW w:w="2184"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1,975</w:t>
            </w:r>
          </w:p>
        </w:tc>
        <w:tc>
          <w:tcPr>
            <w:tcW w:w="1984"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2,154</w:t>
            </w:r>
          </w:p>
        </w:tc>
      </w:tr>
      <w:tr w:rsidR="0056641F" w:rsidRPr="0056641F" w:rsidTr="0056641F">
        <w:trPr>
          <w:trHeight w:val="60"/>
        </w:trPr>
        <w:tc>
          <w:tcPr>
            <w:tcW w:w="5924" w:type="dxa"/>
          </w:tcPr>
          <w:p w:rsidR="00BB74EA" w:rsidRPr="005664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56641F">
              <w:rPr>
                <w:rFonts w:eastAsiaTheme="minorHAnsi"/>
                <w:sz w:val="20"/>
                <w:szCs w:val="20"/>
                <w:lang w:eastAsia="en-US" w:bidi="ar-SA"/>
              </w:rPr>
              <w:lastRenderedPageBreak/>
              <w:t>Total depreciation</w:t>
            </w:r>
          </w:p>
        </w:tc>
        <w:tc>
          <w:tcPr>
            <w:tcW w:w="2184"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215,573</w:t>
            </w:r>
          </w:p>
        </w:tc>
        <w:tc>
          <w:tcPr>
            <w:tcW w:w="1984"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80,903</w:t>
            </w:r>
          </w:p>
        </w:tc>
      </w:tr>
    </w:tbl>
    <w:p w:rsidR="00BB74EA" w:rsidRPr="00BB74EA" w:rsidRDefault="00BB74EA" w:rsidP="00BB74EA">
      <w:pPr>
        <w:widowControl/>
        <w:suppressAutoHyphens/>
        <w:adjustRightInd w:val="0"/>
        <w:spacing w:after="227" w:line="220" w:lineRule="atLeast"/>
        <w:textAlignment w:val="center"/>
        <w:rPr>
          <w:rFonts w:eastAsiaTheme="minorHAnsi"/>
          <w:color w:val="000000"/>
          <w:sz w:val="20"/>
          <w:szCs w:val="20"/>
          <w:lang w:eastAsia="en-US" w:bidi="ar-SA"/>
        </w:rPr>
      </w:pPr>
    </w:p>
    <w:p w:rsidR="00BB74EA" w:rsidRPr="00BB74EA" w:rsidRDefault="00BB74EA" w:rsidP="0056641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Depreciation is calculated on a straight-line basis, at rates that allocate the asset’s value, less any estimated residual value, to its useful life. Depreciation begins when the asset is available for use in the location and condition necessary for it to be capable of operating in the manner intended by the Commission.</w:t>
      </w:r>
    </w:p>
    <w:p w:rsidR="00BB74EA" w:rsidRDefault="00BB74EA" w:rsidP="0056641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BB74EA">
        <w:rPr>
          <w:rFonts w:eastAsiaTheme="minorHAnsi"/>
          <w:color w:val="000000"/>
          <w:sz w:val="20"/>
          <w:szCs w:val="20"/>
          <w:lang w:eastAsia="en-US" w:bidi="ar-SA"/>
        </w:rPr>
        <w:t>The estimated useful lives, residual values and depreciation method are reviewed at least annually.</w:t>
      </w:r>
      <w:r w:rsidRPr="00BB74EA">
        <w:rPr>
          <w:rFonts w:eastAsiaTheme="minorHAnsi"/>
          <w:color w:val="000000"/>
          <w:sz w:val="20"/>
          <w:szCs w:val="20"/>
          <w:lang w:eastAsia="en-US" w:bidi="ar-SA"/>
        </w:rPr>
        <w:br/>
        <w:t>Typical estimated useful lives applicable for the different classes are included in the table below:</w:t>
      </w:r>
    </w:p>
    <w:p w:rsidR="0056641F" w:rsidRPr="00BB74EA" w:rsidRDefault="0056641F" w:rsidP="0056641F">
      <w:pPr>
        <w:rPr>
          <w:lang w:eastAsia="en-US" w:bidi="ar-SA"/>
        </w:rPr>
      </w:pPr>
    </w:p>
    <w:p w:rsidR="00BB74EA" w:rsidRDefault="00BB74EA" w:rsidP="0056641F">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BB74EA">
        <w:rPr>
          <w:rFonts w:eastAsiaTheme="minorHAnsi"/>
          <w:b/>
          <w:bCs/>
          <w:color w:val="000000"/>
          <w:sz w:val="20"/>
          <w:szCs w:val="20"/>
          <w:lang w:eastAsia="en-US" w:bidi="ar-SA"/>
        </w:rPr>
        <w:t>Useful life of assets</w:t>
      </w:r>
    </w:p>
    <w:p w:rsidR="0056641F" w:rsidRPr="00BB74EA" w:rsidRDefault="0056641F" w:rsidP="0056641F">
      <w:pPr>
        <w:rPr>
          <w:lang w:eastAsia="en-US" w:bidi="ar-SA"/>
        </w:rPr>
      </w:pPr>
    </w:p>
    <w:tbl>
      <w:tblPr>
        <w:tblStyle w:val="TableGrid"/>
        <w:tblW w:w="0" w:type="auto"/>
        <w:tblInd w:w="689" w:type="dxa"/>
        <w:tblLayout w:type="fixed"/>
        <w:tblLook w:val="0000" w:firstRow="0" w:lastRow="0" w:firstColumn="0" w:lastColumn="0" w:noHBand="0" w:noVBand="0"/>
      </w:tblPr>
      <w:tblGrid>
        <w:gridCol w:w="7528"/>
        <w:gridCol w:w="2551"/>
      </w:tblGrid>
      <w:tr w:rsidR="0056641F" w:rsidRPr="0056641F" w:rsidTr="0056641F">
        <w:trPr>
          <w:trHeight w:val="60"/>
        </w:trPr>
        <w:tc>
          <w:tcPr>
            <w:tcW w:w="7528" w:type="dxa"/>
          </w:tcPr>
          <w:p w:rsidR="00BB74EA" w:rsidRPr="0056641F" w:rsidRDefault="00BB74EA" w:rsidP="00BB74EA">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56641F">
              <w:rPr>
                <w:rFonts w:eastAsiaTheme="minorHAnsi"/>
                <w:b/>
                <w:bCs/>
                <w:sz w:val="20"/>
                <w:szCs w:val="20"/>
                <w:lang w:eastAsia="en-US" w:bidi="ar-SA"/>
              </w:rPr>
              <w:t>Asset class</w:t>
            </w:r>
          </w:p>
        </w:tc>
        <w:tc>
          <w:tcPr>
            <w:tcW w:w="2551" w:type="dxa"/>
          </w:tcPr>
          <w:p w:rsidR="00BB74EA" w:rsidRPr="0056641F" w:rsidRDefault="00BB74EA" w:rsidP="0056641F">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56641F">
              <w:rPr>
                <w:rFonts w:eastAsiaTheme="minorHAnsi"/>
                <w:b/>
                <w:bCs/>
                <w:sz w:val="20"/>
                <w:szCs w:val="20"/>
                <w:lang w:eastAsia="en-US" w:bidi="ar-SA"/>
              </w:rPr>
              <w:t>Useful life (years)</w:t>
            </w:r>
          </w:p>
        </w:tc>
      </w:tr>
      <w:tr w:rsidR="0056641F" w:rsidRPr="0056641F" w:rsidTr="0056641F">
        <w:trPr>
          <w:trHeight w:val="60"/>
        </w:trPr>
        <w:tc>
          <w:tcPr>
            <w:tcW w:w="7528" w:type="dxa"/>
          </w:tcPr>
          <w:p w:rsidR="00BB74EA" w:rsidRPr="005664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56641F">
              <w:rPr>
                <w:rFonts w:eastAsiaTheme="minorHAnsi"/>
                <w:sz w:val="20"/>
                <w:szCs w:val="20"/>
                <w:lang w:eastAsia="en-US" w:bidi="ar-SA"/>
              </w:rPr>
              <w:t>Leasehold improvements</w:t>
            </w:r>
          </w:p>
        </w:tc>
        <w:tc>
          <w:tcPr>
            <w:tcW w:w="2551"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10</w:t>
            </w:r>
          </w:p>
        </w:tc>
      </w:tr>
      <w:tr w:rsidR="0056641F" w:rsidRPr="0056641F" w:rsidTr="0056641F">
        <w:trPr>
          <w:trHeight w:val="60"/>
        </w:trPr>
        <w:tc>
          <w:tcPr>
            <w:tcW w:w="7528" w:type="dxa"/>
          </w:tcPr>
          <w:p w:rsidR="00BB74EA" w:rsidRPr="005664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56641F">
              <w:rPr>
                <w:rFonts w:eastAsiaTheme="minorHAnsi"/>
                <w:sz w:val="20"/>
                <w:szCs w:val="20"/>
                <w:lang w:eastAsia="en-US" w:bidi="ar-SA"/>
              </w:rPr>
              <w:t>Office and computer equipment</w:t>
            </w:r>
          </w:p>
        </w:tc>
        <w:tc>
          <w:tcPr>
            <w:tcW w:w="2551"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4–5</w:t>
            </w:r>
          </w:p>
        </w:tc>
      </w:tr>
      <w:tr w:rsidR="0056641F" w:rsidRPr="0056641F" w:rsidTr="0056641F">
        <w:trPr>
          <w:trHeight w:val="60"/>
        </w:trPr>
        <w:tc>
          <w:tcPr>
            <w:tcW w:w="7528" w:type="dxa"/>
          </w:tcPr>
          <w:p w:rsidR="00BB74EA" w:rsidRPr="005664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56641F">
              <w:rPr>
                <w:rFonts w:eastAsiaTheme="minorHAnsi"/>
                <w:sz w:val="20"/>
                <w:szCs w:val="20"/>
                <w:lang w:eastAsia="en-US" w:bidi="ar-SA"/>
              </w:rPr>
              <w:t>Motor vehicles under finance lease</w:t>
            </w:r>
          </w:p>
        </w:tc>
        <w:tc>
          <w:tcPr>
            <w:tcW w:w="2551"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2–3</w:t>
            </w:r>
          </w:p>
        </w:tc>
      </w:tr>
      <w:tr w:rsidR="0056641F" w:rsidRPr="0056641F" w:rsidTr="0056641F">
        <w:trPr>
          <w:trHeight w:val="60"/>
        </w:trPr>
        <w:tc>
          <w:tcPr>
            <w:tcW w:w="7528" w:type="dxa"/>
          </w:tcPr>
          <w:p w:rsidR="00BB74EA" w:rsidRPr="0056641F" w:rsidRDefault="00BB74EA" w:rsidP="00BB74EA">
            <w:pPr>
              <w:widowControl/>
              <w:suppressAutoHyphens/>
              <w:adjustRightInd w:val="0"/>
              <w:spacing w:after="113" w:line="220" w:lineRule="atLeast"/>
              <w:textAlignment w:val="center"/>
              <w:rPr>
                <w:rFonts w:eastAsiaTheme="minorHAnsi"/>
                <w:sz w:val="20"/>
                <w:szCs w:val="20"/>
                <w:lang w:eastAsia="en-US" w:bidi="ar-SA"/>
              </w:rPr>
            </w:pPr>
            <w:r w:rsidRPr="0056641F">
              <w:rPr>
                <w:rFonts w:eastAsiaTheme="minorHAnsi"/>
                <w:sz w:val="20"/>
                <w:szCs w:val="20"/>
                <w:lang w:eastAsia="en-US" w:bidi="ar-SA"/>
              </w:rPr>
              <w:t>Intangible assets</w:t>
            </w:r>
          </w:p>
        </w:tc>
        <w:tc>
          <w:tcPr>
            <w:tcW w:w="2551" w:type="dxa"/>
          </w:tcPr>
          <w:p w:rsidR="00BB74EA" w:rsidRPr="0056641F" w:rsidRDefault="00BB74EA" w:rsidP="0056641F">
            <w:pPr>
              <w:widowControl/>
              <w:suppressAutoHyphens/>
              <w:adjustRightInd w:val="0"/>
              <w:spacing w:after="113" w:line="220" w:lineRule="atLeast"/>
              <w:jc w:val="center"/>
              <w:textAlignment w:val="center"/>
              <w:rPr>
                <w:rFonts w:eastAsiaTheme="minorHAnsi"/>
                <w:sz w:val="20"/>
                <w:szCs w:val="20"/>
                <w:lang w:eastAsia="en-US" w:bidi="ar-SA"/>
              </w:rPr>
            </w:pPr>
            <w:r w:rsidRPr="0056641F">
              <w:rPr>
                <w:rFonts w:eastAsiaTheme="minorHAnsi"/>
                <w:sz w:val="20"/>
                <w:szCs w:val="20"/>
                <w:lang w:eastAsia="en-US" w:bidi="ar-SA"/>
              </w:rPr>
              <w:t>7</w:t>
            </w:r>
          </w:p>
        </w:tc>
      </w:tr>
    </w:tbl>
    <w:p w:rsidR="00BB74EA" w:rsidRPr="00BB74EA" w:rsidRDefault="00BB74EA" w:rsidP="00BB74EA">
      <w:pPr>
        <w:widowControl/>
        <w:suppressAutoHyphens/>
        <w:adjustRightInd w:val="0"/>
        <w:spacing w:after="113" w:line="220" w:lineRule="atLeast"/>
        <w:textAlignment w:val="center"/>
        <w:rPr>
          <w:rFonts w:eastAsiaTheme="minorHAnsi"/>
          <w:color w:val="000000"/>
          <w:sz w:val="20"/>
          <w:szCs w:val="20"/>
          <w:lang w:eastAsia="en-US" w:bidi="ar-SA"/>
        </w:rPr>
      </w:pPr>
    </w:p>
    <w:p w:rsidR="00A06F35" w:rsidRDefault="00A06F35" w:rsidP="00BF29AB">
      <w:pPr>
        <w:pStyle w:val="Heading2"/>
        <w:numPr>
          <w:ilvl w:val="0"/>
          <w:numId w:val="29"/>
        </w:numPr>
      </w:pPr>
      <w:bookmarkStart w:id="44" w:name="_Toc23329743"/>
      <w:r>
        <w:t>Other assets and liabilities</w:t>
      </w:r>
      <w:bookmarkEnd w:id="44"/>
    </w:p>
    <w:p w:rsidR="00BF29AB" w:rsidRDefault="00BF29AB" w:rsidP="00BF29AB"/>
    <w:p w:rsidR="00A06F35" w:rsidRDefault="00A06F35" w:rsidP="00BF29AB">
      <w:pPr>
        <w:pStyle w:val="Heading3"/>
        <w:rPr>
          <w:lang w:eastAsia="en-US" w:bidi="ar-SA"/>
        </w:rPr>
      </w:pPr>
      <w:r w:rsidRPr="00A06F35">
        <w:rPr>
          <w:lang w:eastAsia="en-US" w:bidi="ar-SA"/>
        </w:rPr>
        <w:t>Introduction</w:t>
      </w:r>
    </w:p>
    <w:p w:rsidR="00BF29AB" w:rsidRPr="00BF29AB" w:rsidRDefault="00BF29AB" w:rsidP="00BF29AB">
      <w:pPr>
        <w:ind w:left="709"/>
        <w:rPr>
          <w:sz w:val="20"/>
          <w:szCs w:val="20"/>
          <w:lang w:eastAsia="en-US" w:bidi="ar-SA"/>
        </w:rPr>
      </w:pPr>
    </w:p>
    <w:p w:rsidR="00A06F35" w:rsidRPr="00A06F35" w:rsidRDefault="00A06F35" w:rsidP="00BF29AB">
      <w:pPr>
        <w:widowControl/>
        <w:suppressAutoHyphens/>
        <w:adjustRightInd w:val="0"/>
        <w:spacing w:after="113" w:line="220" w:lineRule="atLeast"/>
        <w:ind w:left="709"/>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This section sets out those assets and liabilities that arose from the Commission’s delivery of services.</w:t>
      </w:r>
    </w:p>
    <w:p w:rsidR="00A06F35" w:rsidRPr="00A06F35" w:rsidRDefault="00A06F35" w:rsidP="00BF29AB">
      <w:pPr>
        <w:widowControl/>
        <w:suppressAutoHyphens/>
        <w:adjustRightInd w:val="0"/>
        <w:spacing w:after="170" w:line="400" w:lineRule="atLeast"/>
        <w:ind w:left="709"/>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Structure</w:t>
      </w:r>
    </w:p>
    <w:p w:rsidR="00A06F35" w:rsidRPr="00A06F35" w:rsidRDefault="00A06F35" w:rsidP="00BF29AB">
      <w:pPr>
        <w:widowControl/>
        <w:suppressAutoHyphens/>
        <w:adjustRightInd w:val="0"/>
        <w:spacing w:after="57" w:line="220" w:lineRule="atLeast"/>
        <w:ind w:left="709"/>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5.1</w:t>
      </w:r>
      <w:r w:rsidRPr="00A06F35">
        <w:rPr>
          <w:rFonts w:eastAsiaTheme="minorHAnsi"/>
          <w:color w:val="000000"/>
          <w:sz w:val="20"/>
          <w:szCs w:val="20"/>
          <w:lang w:eastAsia="en-US" w:bidi="ar-SA"/>
        </w:rPr>
        <w:t> </w:t>
      </w:r>
      <w:r w:rsidRPr="00A06F35">
        <w:rPr>
          <w:rFonts w:eastAsiaTheme="minorHAnsi"/>
          <w:color w:val="000000"/>
          <w:sz w:val="20"/>
          <w:szCs w:val="20"/>
          <w:lang w:eastAsia="en-US" w:bidi="ar-SA"/>
        </w:rPr>
        <w:t>Receivables</w:t>
      </w:r>
    </w:p>
    <w:p w:rsidR="00A06F35" w:rsidRPr="00A06F35" w:rsidRDefault="00A06F35" w:rsidP="00BF29AB">
      <w:pPr>
        <w:widowControl/>
        <w:suppressAutoHyphens/>
        <w:adjustRightInd w:val="0"/>
        <w:spacing w:after="57" w:line="220" w:lineRule="atLeast"/>
        <w:ind w:left="709"/>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5.2</w:t>
      </w:r>
      <w:r w:rsidRPr="00A06F35">
        <w:rPr>
          <w:rFonts w:eastAsiaTheme="minorHAnsi"/>
          <w:color w:val="000000"/>
          <w:sz w:val="20"/>
          <w:szCs w:val="20"/>
          <w:lang w:eastAsia="en-US" w:bidi="ar-SA"/>
        </w:rPr>
        <w:t> </w:t>
      </w:r>
      <w:r w:rsidRPr="00A06F35">
        <w:rPr>
          <w:rFonts w:eastAsiaTheme="minorHAnsi"/>
          <w:color w:val="000000"/>
          <w:sz w:val="20"/>
          <w:szCs w:val="20"/>
          <w:lang w:eastAsia="en-US" w:bidi="ar-SA"/>
        </w:rPr>
        <w:t xml:space="preserve">Payables </w:t>
      </w:r>
    </w:p>
    <w:p w:rsidR="00A06F35" w:rsidRPr="00A06F35" w:rsidRDefault="00A06F35" w:rsidP="00BF29AB">
      <w:pPr>
        <w:widowControl/>
        <w:suppressAutoHyphens/>
        <w:adjustRightInd w:val="0"/>
        <w:spacing w:after="57" w:line="220" w:lineRule="atLeast"/>
        <w:ind w:left="709"/>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5.3</w:t>
      </w:r>
      <w:r w:rsidRPr="00A06F35">
        <w:rPr>
          <w:rFonts w:eastAsiaTheme="minorHAnsi"/>
          <w:color w:val="000000"/>
          <w:sz w:val="20"/>
          <w:szCs w:val="20"/>
          <w:lang w:eastAsia="en-US" w:bidi="ar-SA"/>
        </w:rPr>
        <w:t> </w:t>
      </w:r>
      <w:r w:rsidRPr="00A06F35">
        <w:rPr>
          <w:rFonts w:eastAsiaTheme="minorHAnsi"/>
          <w:color w:val="000000"/>
          <w:sz w:val="20"/>
          <w:szCs w:val="20"/>
          <w:lang w:eastAsia="en-US" w:bidi="ar-SA"/>
        </w:rPr>
        <w:t xml:space="preserve">Unearned income </w:t>
      </w:r>
    </w:p>
    <w:p w:rsidR="00A06F35" w:rsidRPr="00A06F35" w:rsidRDefault="00A06F35" w:rsidP="00BF29AB">
      <w:pPr>
        <w:widowControl/>
        <w:suppressAutoHyphens/>
        <w:adjustRightInd w:val="0"/>
        <w:spacing w:after="57" w:line="220" w:lineRule="atLeast"/>
        <w:ind w:left="709"/>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5.4</w:t>
      </w:r>
      <w:r w:rsidRPr="00A06F35">
        <w:rPr>
          <w:rFonts w:eastAsiaTheme="minorHAnsi"/>
          <w:color w:val="000000"/>
          <w:sz w:val="20"/>
          <w:szCs w:val="20"/>
          <w:lang w:eastAsia="en-US" w:bidi="ar-SA"/>
        </w:rPr>
        <w:t> </w:t>
      </w:r>
      <w:r w:rsidRPr="00A06F35">
        <w:rPr>
          <w:rFonts w:eastAsiaTheme="minorHAnsi"/>
          <w:color w:val="000000"/>
          <w:sz w:val="20"/>
          <w:szCs w:val="20"/>
          <w:lang w:eastAsia="en-US" w:bidi="ar-SA"/>
        </w:rPr>
        <w:t xml:space="preserve">Other non-financial assets </w:t>
      </w:r>
    </w:p>
    <w:p w:rsidR="00A06F35" w:rsidRDefault="00A06F35" w:rsidP="00BF29AB">
      <w:pPr>
        <w:widowControl/>
        <w:suppressAutoHyphens/>
        <w:adjustRightInd w:val="0"/>
        <w:spacing w:after="57" w:line="220" w:lineRule="atLeast"/>
        <w:ind w:left="709"/>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5.5</w:t>
      </w:r>
      <w:r w:rsidRPr="00A06F35">
        <w:rPr>
          <w:rFonts w:eastAsiaTheme="minorHAnsi"/>
          <w:color w:val="000000"/>
          <w:sz w:val="20"/>
          <w:szCs w:val="20"/>
          <w:lang w:eastAsia="en-US" w:bidi="ar-SA"/>
        </w:rPr>
        <w:t> </w:t>
      </w:r>
      <w:r w:rsidRPr="00A06F35">
        <w:rPr>
          <w:rFonts w:eastAsiaTheme="minorHAnsi"/>
          <w:color w:val="000000"/>
          <w:sz w:val="20"/>
          <w:szCs w:val="20"/>
          <w:lang w:eastAsia="en-US" w:bidi="ar-SA"/>
        </w:rPr>
        <w:t>Other provisions</w:t>
      </w:r>
    </w:p>
    <w:p w:rsidR="006A36F7" w:rsidRPr="00A06F35" w:rsidRDefault="006A36F7" w:rsidP="006A36F7">
      <w:pPr>
        <w:rPr>
          <w:lang w:eastAsia="en-US" w:bidi="ar-SA"/>
        </w:rPr>
      </w:pPr>
    </w:p>
    <w:p w:rsidR="00A06F35" w:rsidRPr="006A36F7" w:rsidRDefault="00A06F35" w:rsidP="006A36F7">
      <w:pPr>
        <w:pStyle w:val="Heading4"/>
      </w:pPr>
      <w:r w:rsidRPr="006A36F7">
        <w:rPr>
          <w:lang w:bidi="ar-SA"/>
        </w:rPr>
        <w:t>5.1</w:t>
      </w:r>
      <w:r w:rsidRPr="006A36F7">
        <w:rPr>
          <w:lang w:bidi="ar-SA"/>
        </w:rPr>
        <w:t> </w:t>
      </w:r>
      <w:r w:rsidRPr="006A36F7">
        <w:rPr>
          <w:lang w:bidi="ar-SA"/>
        </w:rPr>
        <w:t>Receivables</w:t>
      </w:r>
    </w:p>
    <w:p w:rsidR="00BF29AB" w:rsidRPr="00A06F35" w:rsidRDefault="00BF29AB" w:rsidP="00BF29AB">
      <w:pPr>
        <w:rPr>
          <w:lang w:eastAsia="en-US" w:bidi="ar-SA"/>
        </w:rPr>
      </w:pPr>
    </w:p>
    <w:tbl>
      <w:tblPr>
        <w:tblStyle w:val="TableGrid"/>
        <w:tblW w:w="0" w:type="auto"/>
        <w:tblInd w:w="689" w:type="dxa"/>
        <w:tblLayout w:type="fixed"/>
        <w:tblLook w:val="0000" w:firstRow="0" w:lastRow="0" w:firstColumn="0" w:lastColumn="0" w:noHBand="0" w:noVBand="0"/>
      </w:tblPr>
      <w:tblGrid>
        <w:gridCol w:w="6252"/>
        <w:gridCol w:w="1843"/>
        <w:gridCol w:w="1984"/>
      </w:tblGrid>
      <w:tr w:rsidR="00BF29AB" w:rsidRPr="00A06F35" w:rsidTr="00BF29AB">
        <w:trPr>
          <w:trHeight w:val="60"/>
        </w:trPr>
        <w:tc>
          <w:tcPr>
            <w:tcW w:w="6252" w:type="dxa"/>
          </w:tcPr>
          <w:p w:rsidR="00A06F35" w:rsidRPr="00A06F35" w:rsidRDefault="00A06F35" w:rsidP="00A06F35">
            <w:pPr>
              <w:widowControl/>
              <w:adjustRightInd w:val="0"/>
              <w:rPr>
                <w:rFonts w:eastAsiaTheme="minorHAnsi"/>
                <w:sz w:val="20"/>
                <w:szCs w:val="20"/>
                <w:lang w:eastAsia="en-US" w:bidi="ar-SA"/>
              </w:rPr>
            </w:pPr>
          </w:p>
        </w:tc>
        <w:tc>
          <w:tcPr>
            <w:tcW w:w="1843" w:type="dxa"/>
          </w:tcPr>
          <w:p w:rsidR="00A06F35" w:rsidRPr="00A06F35" w:rsidRDefault="00A06F35" w:rsidP="00BF29AB">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2019</w:t>
            </w:r>
          </w:p>
        </w:tc>
        <w:tc>
          <w:tcPr>
            <w:tcW w:w="1984" w:type="dxa"/>
          </w:tcPr>
          <w:p w:rsidR="00A06F35" w:rsidRPr="00A06F35" w:rsidRDefault="00A06F35" w:rsidP="00BF29AB">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2018</w:t>
            </w:r>
          </w:p>
        </w:tc>
      </w:tr>
      <w:tr w:rsidR="00BF29AB" w:rsidRPr="00A06F35" w:rsidTr="00BF29AB">
        <w:trPr>
          <w:trHeight w:val="60"/>
        </w:trPr>
        <w:tc>
          <w:tcPr>
            <w:tcW w:w="6252" w:type="dxa"/>
          </w:tcPr>
          <w:p w:rsidR="00A06F35" w:rsidRPr="00A06F35" w:rsidRDefault="00A06F35" w:rsidP="00A06F35">
            <w:pPr>
              <w:widowControl/>
              <w:adjustRightInd w:val="0"/>
              <w:rPr>
                <w:rFonts w:eastAsiaTheme="minorHAnsi"/>
                <w:sz w:val="20"/>
                <w:szCs w:val="20"/>
                <w:lang w:eastAsia="en-US" w:bidi="ar-SA"/>
              </w:rPr>
            </w:pPr>
          </w:p>
        </w:tc>
        <w:tc>
          <w:tcPr>
            <w:tcW w:w="1843" w:type="dxa"/>
          </w:tcPr>
          <w:p w:rsidR="00A06F35" w:rsidRPr="00A06F35" w:rsidRDefault="00A06F35" w:rsidP="00BF29AB">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c>
          <w:tcPr>
            <w:tcW w:w="1984" w:type="dxa"/>
          </w:tcPr>
          <w:p w:rsidR="00A06F35" w:rsidRPr="00A06F35" w:rsidRDefault="00A06F35" w:rsidP="00BF29AB">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r>
      <w:tr w:rsidR="00BF29AB" w:rsidRPr="00A06F35" w:rsidTr="00BF29AB">
        <w:trPr>
          <w:trHeight w:val="60"/>
        </w:trPr>
        <w:tc>
          <w:tcPr>
            <w:tcW w:w="10079" w:type="dxa"/>
            <w:gridSpan w:val="3"/>
          </w:tcPr>
          <w:p w:rsidR="00A06F35" w:rsidRPr="00A06F35" w:rsidRDefault="00A06F35" w:rsidP="00A06F3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06F35">
              <w:rPr>
                <w:rFonts w:eastAsiaTheme="minorHAnsi"/>
                <w:b/>
                <w:bCs/>
                <w:sz w:val="20"/>
                <w:szCs w:val="20"/>
                <w:lang w:eastAsia="en-US" w:bidi="ar-SA"/>
              </w:rPr>
              <w:t>Contractual</w:t>
            </w:r>
          </w:p>
        </w:tc>
      </w:tr>
      <w:tr w:rsidR="00BF29AB" w:rsidRPr="00A06F35" w:rsidTr="00BF29AB">
        <w:trPr>
          <w:trHeight w:val="355"/>
        </w:trPr>
        <w:tc>
          <w:tcPr>
            <w:tcW w:w="6252"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Receivables</w:t>
            </w:r>
          </w:p>
        </w:tc>
        <w:tc>
          <w:tcPr>
            <w:tcW w:w="1843" w:type="dxa"/>
          </w:tcPr>
          <w:p w:rsidR="00A06F35" w:rsidRPr="00A06F35" w:rsidRDefault="00A06F35" w:rsidP="00BF29AB">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1,682,253</w:t>
            </w:r>
          </w:p>
        </w:tc>
        <w:tc>
          <w:tcPr>
            <w:tcW w:w="1984" w:type="dxa"/>
          </w:tcPr>
          <w:p w:rsidR="00A06F35" w:rsidRPr="00A06F35" w:rsidRDefault="00A06F35" w:rsidP="00BF29AB">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1,434,082</w:t>
            </w:r>
          </w:p>
        </w:tc>
      </w:tr>
      <w:tr w:rsidR="00BF29AB" w:rsidRPr="00A06F35" w:rsidTr="00BF29AB">
        <w:trPr>
          <w:trHeight w:val="60"/>
        </w:trPr>
        <w:tc>
          <w:tcPr>
            <w:tcW w:w="10079" w:type="dxa"/>
            <w:gridSpan w:val="3"/>
          </w:tcPr>
          <w:p w:rsidR="00A06F35" w:rsidRPr="00A06F35" w:rsidRDefault="00A06F35" w:rsidP="00A06F3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06F35">
              <w:rPr>
                <w:rFonts w:eastAsiaTheme="minorHAnsi"/>
                <w:b/>
                <w:bCs/>
                <w:sz w:val="20"/>
                <w:szCs w:val="20"/>
                <w:lang w:eastAsia="en-US" w:bidi="ar-SA"/>
              </w:rPr>
              <w:t>Statutory</w:t>
            </w:r>
          </w:p>
        </w:tc>
      </w:tr>
      <w:tr w:rsidR="00BF29AB" w:rsidRPr="00A06F35" w:rsidTr="00BF29AB">
        <w:trPr>
          <w:trHeight w:val="60"/>
        </w:trPr>
        <w:tc>
          <w:tcPr>
            <w:tcW w:w="6252"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Amounts receivable from government departments</w:t>
            </w:r>
            <w:r w:rsidRPr="00A06F35">
              <w:rPr>
                <w:rFonts w:eastAsiaTheme="minorHAnsi"/>
                <w:sz w:val="20"/>
                <w:szCs w:val="20"/>
                <w:vertAlign w:val="superscript"/>
                <w:lang w:eastAsia="en-US" w:bidi="ar-SA"/>
              </w:rPr>
              <w:t>(</w:t>
            </w:r>
            <w:proofErr w:type="spellStart"/>
            <w:r w:rsidRPr="00A06F35">
              <w:rPr>
                <w:rFonts w:eastAsiaTheme="minorHAnsi"/>
                <w:sz w:val="20"/>
                <w:szCs w:val="20"/>
                <w:vertAlign w:val="superscript"/>
                <w:lang w:eastAsia="en-US" w:bidi="ar-SA"/>
              </w:rPr>
              <w:t>i</w:t>
            </w:r>
            <w:proofErr w:type="spellEnd"/>
            <w:r w:rsidRPr="00A06F35">
              <w:rPr>
                <w:rFonts w:eastAsiaTheme="minorHAnsi"/>
                <w:sz w:val="20"/>
                <w:szCs w:val="20"/>
                <w:vertAlign w:val="superscript"/>
                <w:lang w:eastAsia="en-US" w:bidi="ar-SA"/>
              </w:rPr>
              <w:t>)</w:t>
            </w:r>
          </w:p>
        </w:tc>
        <w:tc>
          <w:tcPr>
            <w:tcW w:w="1843" w:type="dxa"/>
          </w:tcPr>
          <w:p w:rsidR="00A06F35" w:rsidRPr="00A06F35" w:rsidRDefault="00A06F35" w:rsidP="00BF29AB">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9,220,237</w:t>
            </w:r>
          </w:p>
        </w:tc>
        <w:tc>
          <w:tcPr>
            <w:tcW w:w="1984" w:type="dxa"/>
          </w:tcPr>
          <w:p w:rsidR="00A06F35" w:rsidRPr="00A06F35" w:rsidRDefault="00A06F35" w:rsidP="00BF29AB">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10,976,791</w:t>
            </w:r>
          </w:p>
        </w:tc>
      </w:tr>
      <w:tr w:rsidR="00BF29AB" w:rsidRPr="00A06F35" w:rsidTr="00BF29AB">
        <w:trPr>
          <w:trHeight w:val="60"/>
        </w:trPr>
        <w:tc>
          <w:tcPr>
            <w:tcW w:w="6252"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GST recoverable</w:t>
            </w:r>
          </w:p>
        </w:tc>
        <w:tc>
          <w:tcPr>
            <w:tcW w:w="1843" w:type="dxa"/>
          </w:tcPr>
          <w:p w:rsidR="00A06F35" w:rsidRPr="00A06F35" w:rsidRDefault="00A06F35" w:rsidP="00BF29AB">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102,789</w:t>
            </w:r>
          </w:p>
        </w:tc>
        <w:tc>
          <w:tcPr>
            <w:tcW w:w="1984" w:type="dxa"/>
          </w:tcPr>
          <w:p w:rsidR="00A06F35" w:rsidRPr="00A06F35" w:rsidRDefault="00A06F35" w:rsidP="00BF29AB">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17,413</w:t>
            </w:r>
          </w:p>
        </w:tc>
      </w:tr>
      <w:tr w:rsidR="00BF29AB" w:rsidRPr="00A06F35" w:rsidTr="00BF29AB">
        <w:trPr>
          <w:trHeight w:val="60"/>
        </w:trPr>
        <w:tc>
          <w:tcPr>
            <w:tcW w:w="6252"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Total receivables</w:t>
            </w:r>
          </w:p>
        </w:tc>
        <w:tc>
          <w:tcPr>
            <w:tcW w:w="1843" w:type="dxa"/>
          </w:tcPr>
          <w:p w:rsidR="00A06F35" w:rsidRPr="00A06F35" w:rsidRDefault="00A06F35" w:rsidP="00BF29AB">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11,005,279</w:t>
            </w:r>
          </w:p>
        </w:tc>
        <w:tc>
          <w:tcPr>
            <w:tcW w:w="1984" w:type="dxa"/>
          </w:tcPr>
          <w:p w:rsidR="00A06F35" w:rsidRPr="00A06F35" w:rsidRDefault="00A06F35" w:rsidP="00BF29AB">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12,428,286</w:t>
            </w:r>
          </w:p>
        </w:tc>
      </w:tr>
      <w:tr w:rsidR="00BF29AB" w:rsidRPr="00A06F35" w:rsidTr="00BF29AB">
        <w:trPr>
          <w:trHeight w:val="355"/>
        </w:trPr>
        <w:tc>
          <w:tcPr>
            <w:tcW w:w="10079" w:type="dxa"/>
            <w:gridSpan w:val="3"/>
          </w:tcPr>
          <w:p w:rsidR="00A06F35" w:rsidRPr="00A06F35" w:rsidRDefault="00A06F35" w:rsidP="00A06F35">
            <w:pPr>
              <w:widowControl/>
              <w:adjustRightInd w:val="0"/>
              <w:rPr>
                <w:rFonts w:eastAsiaTheme="minorHAnsi"/>
                <w:sz w:val="20"/>
                <w:szCs w:val="20"/>
                <w:lang w:eastAsia="en-US" w:bidi="ar-SA"/>
              </w:rPr>
            </w:pPr>
          </w:p>
        </w:tc>
      </w:tr>
      <w:tr w:rsidR="00BF29AB" w:rsidRPr="00A06F35" w:rsidTr="00BF29AB">
        <w:trPr>
          <w:trHeight w:val="60"/>
        </w:trPr>
        <w:tc>
          <w:tcPr>
            <w:tcW w:w="10079" w:type="dxa"/>
            <w:gridSpan w:val="3"/>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i/>
                <w:iCs/>
                <w:sz w:val="20"/>
                <w:szCs w:val="20"/>
                <w:lang w:eastAsia="en-US" w:bidi="ar-SA"/>
              </w:rPr>
              <w:t>Represented by:</w:t>
            </w:r>
          </w:p>
        </w:tc>
      </w:tr>
      <w:tr w:rsidR="00BF29AB" w:rsidRPr="00A06F35" w:rsidTr="00BF29AB">
        <w:trPr>
          <w:trHeight w:val="60"/>
        </w:trPr>
        <w:tc>
          <w:tcPr>
            <w:tcW w:w="6252"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Current receivables</w:t>
            </w:r>
          </w:p>
        </w:tc>
        <w:tc>
          <w:tcPr>
            <w:tcW w:w="1843" w:type="dxa"/>
          </w:tcPr>
          <w:p w:rsidR="00A06F35" w:rsidRPr="00A06F35" w:rsidRDefault="00A06F35" w:rsidP="00BF29AB">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10,823,153</w:t>
            </w:r>
          </w:p>
        </w:tc>
        <w:tc>
          <w:tcPr>
            <w:tcW w:w="1984" w:type="dxa"/>
          </w:tcPr>
          <w:p w:rsidR="00A06F35" w:rsidRPr="00A06F35" w:rsidRDefault="00A06F35" w:rsidP="00BF29AB">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12,367,574</w:t>
            </w:r>
          </w:p>
        </w:tc>
      </w:tr>
      <w:tr w:rsidR="00BF29AB" w:rsidRPr="00A06F35" w:rsidTr="00BF29AB">
        <w:trPr>
          <w:trHeight w:val="60"/>
        </w:trPr>
        <w:tc>
          <w:tcPr>
            <w:tcW w:w="6252"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Non-current receivables</w:t>
            </w:r>
          </w:p>
        </w:tc>
        <w:tc>
          <w:tcPr>
            <w:tcW w:w="1843" w:type="dxa"/>
          </w:tcPr>
          <w:p w:rsidR="00A06F35" w:rsidRPr="00A06F35" w:rsidRDefault="00A06F35" w:rsidP="00BF29AB">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182,126</w:t>
            </w:r>
          </w:p>
        </w:tc>
        <w:tc>
          <w:tcPr>
            <w:tcW w:w="1984" w:type="dxa"/>
          </w:tcPr>
          <w:p w:rsidR="00A06F35" w:rsidRPr="00A06F35" w:rsidRDefault="00A06F35" w:rsidP="00BF29AB">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60,712</w:t>
            </w:r>
          </w:p>
        </w:tc>
      </w:tr>
    </w:tbl>
    <w:p w:rsidR="00A06F35" w:rsidRPr="00A06F35" w:rsidRDefault="00A06F35" w:rsidP="00BF29A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BF29AB" w:rsidRDefault="00BF29AB" w:rsidP="00BF29AB">
      <w:pPr>
        <w:widowControl/>
        <w:suppressAutoHyphens/>
        <w:adjustRightInd w:val="0"/>
        <w:spacing w:line="200" w:lineRule="atLeast"/>
        <w:ind w:left="709" w:right="1137"/>
        <w:textAlignment w:val="center"/>
        <w:rPr>
          <w:rFonts w:eastAsiaTheme="minorHAnsi"/>
          <w:i/>
          <w:iCs/>
          <w:color w:val="000000"/>
          <w:sz w:val="20"/>
          <w:szCs w:val="20"/>
          <w:lang w:eastAsia="en-US" w:bidi="ar-SA"/>
        </w:rPr>
      </w:pPr>
    </w:p>
    <w:p w:rsidR="00BF29AB" w:rsidRDefault="00BF29AB" w:rsidP="00BF29AB">
      <w:pPr>
        <w:widowControl/>
        <w:suppressAutoHyphens/>
        <w:adjustRightInd w:val="0"/>
        <w:spacing w:line="200" w:lineRule="atLeast"/>
        <w:ind w:left="709" w:right="1137"/>
        <w:textAlignment w:val="center"/>
        <w:rPr>
          <w:rFonts w:eastAsiaTheme="minorHAnsi"/>
          <w:i/>
          <w:iCs/>
          <w:color w:val="000000"/>
          <w:sz w:val="20"/>
          <w:szCs w:val="20"/>
          <w:lang w:eastAsia="en-US" w:bidi="ar-SA"/>
        </w:rPr>
      </w:pPr>
    </w:p>
    <w:p w:rsidR="00A06F35" w:rsidRPr="00A06F35" w:rsidRDefault="00A06F35" w:rsidP="00BF29AB">
      <w:pPr>
        <w:widowControl/>
        <w:suppressAutoHyphens/>
        <w:adjustRightInd w:val="0"/>
        <w:spacing w:line="200" w:lineRule="atLeast"/>
        <w:ind w:left="709" w:right="1137"/>
        <w:textAlignment w:val="center"/>
        <w:rPr>
          <w:rFonts w:eastAsiaTheme="minorHAnsi"/>
          <w:i/>
          <w:iCs/>
          <w:color w:val="000000"/>
          <w:sz w:val="20"/>
          <w:szCs w:val="20"/>
          <w:lang w:eastAsia="en-US" w:bidi="ar-SA"/>
        </w:rPr>
      </w:pPr>
      <w:r w:rsidRPr="00A06F35">
        <w:rPr>
          <w:rFonts w:eastAsiaTheme="minorHAnsi"/>
          <w:i/>
          <w:iCs/>
          <w:color w:val="000000"/>
          <w:sz w:val="20"/>
          <w:szCs w:val="20"/>
          <w:lang w:eastAsia="en-US" w:bidi="ar-SA"/>
        </w:rPr>
        <w:lastRenderedPageBreak/>
        <w:t>Note:</w:t>
      </w:r>
    </w:p>
    <w:p w:rsidR="00A06F35" w:rsidRPr="00A06F35" w:rsidRDefault="00A06F35" w:rsidP="00BF29AB">
      <w:pPr>
        <w:widowControl/>
        <w:suppressAutoHyphens/>
        <w:adjustRightInd w:val="0"/>
        <w:spacing w:after="113" w:line="200" w:lineRule="atLeast"/>
        <w:ind w:left="709" w:right="1137"/>
        <w:textAlignment w:val="center"/>
        <w:rPr>
          <w:rFonts w:eastAsiaTheme="minorHAnsi"/>
          <w:i/>
          <w:iCs/>
          <w:color w:val="000000"/>
          <w:sz w:val="20"/>
          <w:szCs w:val="20"/>
          <w:lang w:eastAsia="en-US" w:bidi="ar-SA"/>
        </w:rPr>
      </w:pPr>
      <w:r w:rsidRPr="00A06F35">
        <w:rPr>
          <w:rFonts w:eastAsiaTheme="minorHAnsi"/>
          <w:i/>
          <w:iCs/>
          <w:color w:val="000000"/>
          <w:sz w:val="20"/>
          <w:szCs w:val="20"/>
          <w:lang w:eastAsia="en-US" w:bidi="ar-SA"/>
        </w:rPr>
        <w:t>(</w:t>
      </w:r>
      <w:proofErr w:type="spellStart"/>
      <w:r w:rsidRPr="00A06F35">
        <w:rPr>
          <w:rFonts w:eastAsiaTheme="minorHAnsi"/>
          <w:i/>
          <w:iCs/>
          <w:color w:val="000000"/>
          <w:sz w:val="20"/>
          <w:szCs w:val="20"/>
          <w:lang w:eastAsia="en-US" w:bidi="ar-SA"/>
        </w:rPr>
        <w:t>i</w:t>
      </w:r>
      <w:proofErr w:type="spellEnd"/>
      <w:r w:rsidRPr="00A06F35">
        <w:rPr>
          <w:rFonts w:eastAsiaTheme="minorHAnsi"/>
          <w:i/>
          <w:iCs/>
          <w:color w:val="000000"/>
          <w:sz w:val="20"/>
          <w:szCs w:val="20"/>
          <w:lang w:eastAsia="en-US" w:bidi="ar-SA"/>
        </w:rPr>
        <w:t>) Amounts receivable from government departments represent funds held in the Public Account within the DTF.</w:t>
      </w:r>
      <w:r w:rsidRPr="00A06F35">
        <w:rPr>
          <w:rFonts w:eastAsiaTheme="minorHAnsi"/>
          <w:i/>
          <w:iCs/>
          <w:color w:val="000000"/>
          <w:sz w:val="20"/>
          <w:szCs w:val="20"/>
          <w:lang w:eastAsia="en-US" w:bidi="ar-SA"/>
        </w:rPr>
        <w:br/>
        <w:t>These funds belong to VPSC and are available for operations of VPSC.</w:t>
      </w:r>
    </w:p>
    <w:p w:rsidR="00A06F35" w:rsidRPr="00A06F35" w:rsidRDefault="00A06F35" w:rsidP="00BF29AB">
      <w:pPr>
        <w:widowControl/>
        <w:suppressAutoHyphens/>
        <w:adjustRightInd w:val="0"/>
        <w:spacing w:after="113" w:line="220" w:lineRule="atLeast"/>
        <w:ind w:left="709" w:right="1137"/>
        <w:textAlignment w:val="center"/>
        <w:rPr>
          <w:rFonts w:eastAsiaTheme="minorHAnsi"/>
          <w:color w:val="000000"/>
          <w:spacing w:val="-1"/>
          <w:sz w:val="20"/>
          <w:szCs w:val="20"/>
          <w:lang w:eastAsia="en-US" w:bidi="ar-SA"/>
        </w:rPr>
      </w:pPr>
      <w:r w:rsidRPr="00A06F35">
        <w:rPr>
          <w:rFonts w:eastAsiaTheme="minorHAnsi"/>
          <w:color w:val="000000"/>
          <w:spacing w:val="-1"/>
          <w:sz w:val="20"/>
          <w:szCs w:val="20"/>
          <w:lang w:eastAsia="en-US" w:bidi="ar-SA"/>
        </w:rPr>
        <w:t xml:space="preserve">Contractual receivables are classified as financial instruments and measured as amortised cost. They are </w:t>
      </w:r>
      <w:r w:rsidRPr="00A06F35">
        <w:rPr>
          <w:rFonts w:eastAsiaTheme="minorHAnsi"/>
          <w:color w:val="000000"/>
          <w:spacing w:val="-2"/>
          <w:sz w:val="20"/>
          <w:szCs w:val="20"/>
          <w:lang w:eastAsia="en-US" w:bidi="ar-SA"/>
        </w:rPr>
        <w:t xml:space="preserve">initially recognised at fair value plus any directly attributable transaction costs. Subsequent to initial recognition </w:t>
      </w:r>
      <w:r w:rsidRPr="00A06F35">
        <w:rPr>
          <w:rFonts w:eastAsiaTheme="minorHAnsi"/>
          <w:color w:val="000000"/>
          <w:spacing w:val="-1"/>
          <w:sz w:val="20"/>
          <w:szCs w:val="20"/>
          <w:lang w:eastAsia="en-US" w:bidi="ar-SA"/>
        </w:rPr>
        <w:t>they are measured at amortised cost using the effective interest method, less any impairment.</w:t>
      </w:r>
    </w:p>
    <w:p w:rsidR="00A06F35" w:rsidRPr="00A06F35" w:rsidRDefault="00A06F35" w:rsidP="00BF29A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There are no financial assets that have had their terms renegotiated so as to prevent them from being past due or impaired, and they are stated at the carrying amounts as indicated.</w:t>
      </w:r>
    </w:p>
    <w:p w:rsidR="00A06F35" w:rsidRPr="00A06F35" w:rsidRDefault="00A06F35" w:rsidP="00BF29AB">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pacing w:val="-1"/>
          <w:sz w:val="20"/>
          <w:szCs w:val="20"/>
          <w:lang w:eastAsia="en-US" w:bidi="ar-SA"/>
        </w:rPr>
        <w:t>Statutory receivables do not arise from contracts and are recognised and measured similarly to contractual receivables (except for impairment) but are not classified as financial instruments.</w:t>
      </w:r>
    </w:p>
    <w:p w:rsidR="00A06F35" w:rsidRPr="00A06F35" w:rsidRDefault="00A06F35" w:rsidP="006A36F7">
      <w:pPr>
        <w:rPr>
          <w:lang w:eastAsia="en-US" w:bidi="ar-SA"/>
        </w:rPr>
      </w:pPr>
    </w:p>
    <w:p w:rsidR="00A06F35" w:rsidRDefault="00A06F35" w:rsidP="006A36F7">
      <w:pPr>
        <w:pStyle w:val="Heading4"/>
        <w:rPr>
          <w:lang w:eastAsia="en-US" w:bidi="ar-SA"/>
        </w:rPr>
      </w:pPr>
      <w:r w:rsidRPr="00A06F35">
        <w:rPr>
          <w:lang w:eastAsia="en-US" w:bidi="ar-SA"/>
        </w:rPr>
        <w:t>5.2</w:t>
      </w:r>
      <w:r w:rsidR="006A36F7">
        <w:rPr>
          <w:lang w:eastAsia="en-US" w:bidi="ar-SA"/>
        </w:rPr>
        <w:t xml:space="preserve"> </w:t>
      </w:r>
      <w:r w:rsidRPr="00A06F35">
        <w:rPr>
          <w:lang w:eastAsia="en-US" w:bidi="ar-SA"/>
        </w:rPr>
        <w:t>Payables</w:t>
      </w:r>
    </w:p>
    <w:p w:rsidR="006A36F7" w:rsidRPr="00A06F35" w:rsidRDefault="006A36F7" w:rsidP="006A36F7">
      <w:pPr>
        <w:rPr>
          <w:lang w:eastAsia="en-US" w:bidi="ar-SA"/>
        </w:rPr>
      </w:pPr>
    </w:p>
    <w:tbl>
      <w:tblPr>
        <w:tblStyle w:val="TableGrid"/>
        <w:tblW w:w="0" w:type="auto"/>
        <w:tblInd w:w="716" w:type="dxa"/>
        <w:tblLayout w:type="fixed"/>
        <w:tblLook w:val="0000" w:firstRow="0" w:lastRow="0" w:firstColumn="0" w:lastColumn="0" w:noHBand="0" w:noVBand="0"/>
      </w:tblPr>
      <w:tblGrid>
        <w:gridCol w:w="5924"/>
        <w:gridCol w:w="2002"/>
        <w:gridCol w:w="2126"/>
      </w:tblGrid>
      <w:tr w:rsidR="006A36F7" w:rsidRPr="00A06F35" w:rsidTr="006A36F7">
        <w:trPr>
          <w:trHeight w:val="60"/>
        </w:trPr>
        <w:tc>
          <w:tcPr>
            <w:tcW w:w="5924" w:type="dxa"/>
          </w:tcPr>
          <w:p w:rsidR="00A06F35" w:rsidRPr="00A06F35" w:rsidRDefault="00A06F35" w:rsidP="00A06F35">
            <w:pPr>
              <w:widowControl/>
              <w:adjustRightInd w:val="0"/>
              <w:rPr>
                <w:rFonts w:eastAsiaTheme="minorHAnsi"/>
                <w:sz w:val="20"/>
                <w:szCs w:val="20"/>
                <w:lang w:eastAsia="en-US" w:bidi="ar-SA"/>
              </w:rPr>
            </w:pPr>
          </w:p>
        </w:tc>
        <w:tc>
          <w:tcPr>
            <w:tcW w:w="2002"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2019</w:t>
            </w:r>
          </w:p>
        </w:tc>
        <w:tc>
          <w:tcPr>
            <w:tcW w:w="2126"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2018</w:t>
            </w:r>
          </w:p>
        </w:tc>
      </w:tr>
      <w:tr w:rsidR="006A36F7" w:rsidRPr="00A06F35" w:rsidTr="006A36F7">
        <w:trPr>
          <w:trHeight w:val="60"/>
        </w:trPr>
        <w:tc>
          <w:tcPr>
            <w:tcW w:w="5924" w:type="dxa"/>
          </w:tcPr>
          <w:p w:rsidR="00A06F35" w:rsidRPr="00A06F35" w:rsidRDefault="00A06F35" w:rsidP="00A06F35">
            <w:pPr>
              <w:widowControl/>
              <w:adjustRightInd w:val="0"/>
              <w:rPr>
                <w:rFonts w:eastAsiaTheme="minorHAnsi"/>
                <w:sz w:val="20"/>
                <w:szCs w:val="20"/>
                <w:lang w:eastAsia="en-US" w:bidi="ar-SA"/>
              </w:rPr>
            </w:pPr>
          </w:p>
        </w:tc>
        <w:tc>
          <w:tcPr>
            <w:tcW w:w="2002"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c>
          <w:tcPr>
            <w:tcW w:w="2126"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r>
      <w:tr w:rsidR="006A36F7" w:rsidRPr="00A06F35" w:rsidTr="006A36F7">
        <w:trPr>
          <w:trHeight w:val="60"/>
        </w:trPr>
        <w:tc>
          <w:tcPr>
            <w:tcW w:w="10052" w:type="dxa"/>
            <w:gridSpan w:val="3"/>
          </w:tcPr>
          <w:p w:rsidR="00A06F35" w:rsidRPr="00A06F35" w:rsidRDefault="00A06F35" w:rsidP="00A06F3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06F35">
              <w:rPr>
                <w:rFonts w:eastAsiaTheme="minorHAnsi"/>
                <w:b/>
                <w:bCs/>
                <w:sz w:val="20"/>
                <w:szCs w:val="20"/>
                <w:lang w:eastAsia="en-US" w:bidi="ar-SA"/>
              </w:rPr>
              <w:t>Contractual</w:t>
            </w:r>
          </w:p>
        </w:tc>
      </w:tr>
      <w:tr w:rsidR="006A36F7" w:rsidRPr="00A06F35" w:rsidTr="006A36F7">
        <w:trPr>
          <w:trHeight w:val="355"/>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Creditors and accruals</w:t>
            </w:r>
          </w:p>
        </w:tc>
        <w:tc>
          <w:tcPr>
            <w:tcW w:w="2002"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1,618,790</w:t>
            </w:r>
          </w:p>
        </w:tc>
        <w:tc>
          <w:tcPr>
            <w:tcW w:w="2126"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1,347,406</w:t>
            </w:r>
          </w:p>
        </w:tc>
      </w:tr>
      <w:tr w:rsidR="006A36F7" w:rsidRPr="00A06F35" w:rsidTr="006A36F7">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Total payables</w:t>
            </w:r>
          </w:p>
        </w:tc>
        <w:tc>
          <w:tcPr>
            <w:tcW w:w="2002"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1,618,790</w:t>
            </w:r>
          </w:p>
        </w:tc>
        <w:tc>
          <w:tcPr>
            <w:tcW w:w="2126"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1,347,406</w:t>
            </w:r>
          </w:p>
        </w:tc>
      </w:tr>
      <w:tr w:rsidR="006A36F7" w:rsidRPr="00A06F35" w:rsidTr="006A36F7">
        <w:trPr>
          <w:trHeight w:val="355"/>
        </w:trPr>
        <w:tc>
          <w:tcPr>
            <w:tcW w:w="10052" w:type="dxa"/>
            <w:gridSpan w:val="3"/>
          </w:tcPr>
          <w:p w:rsidR="00A06F35" w:rsidRPr="00A06F35" w:rsidRDefault="00A06F35" w:rsidP="00A06F35">
            <w:pPr>
              <w:widowControl/>
              <w:adjustRightInd w:val="0"/>
              <w:rPr>
                <w:rFonts w:eastAsiaTheme="minorHAnsi"/>
                <w:sz w:val="20"/>
                <w:szCs w:val="20"/>
                <w:lang w:eastAsia="en-US" w:bidi="ar-SA"/>
              </w:rPr>
            </w:pPr>
          </w:p>
        </w:tc>
      </w:tr>
      <w:tr w:rsidR="006A36F7" w:rsidRPr="00A06F35" w:rsidTr="006A36F7">
        <w:trPr>
          <w:trHeight w:val="60"/>
        </w:trPr>
        <w:tc>
          <w:tcPr>
            <w:tcW w:w="10052" w:type="dxa"/>
            <w:gridSpan w:val="3"/>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i/>
                <w:iCs/>
                <w:sz w:val="20"/>
                <w:szCs w:val="20"/>
                <w:lang w:eastAsia="en-US" w:bidi="ar-SA"/>
              </w:rPr>
              <w:t>Represented by:</w:t>
            </w:r>
          </w:p>
        </w:tc>
      </w:tr>
      <w:tr w:rsidR="006A36F7" w:rsidRPr="00A06F35" w:rsidTr="006A36F7">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Current receivables</w:t>
            </w:r>
          </w:p>
        </w:tc>
        <w:tc>
          <w:tcPr>
            <w:tcW w:w="2002"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1,618,790</w:t>
            </w:r>
          </w:p>
        </w:tc>
        <w:tc>
          <w:tcPr>
            <w:tcW w:w="2126"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1,347,406</w:t>
            </w:r>
          </w:p>
        </w:tc>
      </w:tr>
    </w:tbl>
    <w:p w:rsidR="00A06F35" w:rsidRPr="00A06F35" w:rsidRDefault="00A06F35" w:rsidP="00A06F35">
      <w:pPr>
        <w:widowControl/>
        <w:suppressAutoHyphens/>
        <w:adjustRightInd w:val="0"/>
        <w:spacing w:after="113" w:line="220" w:lineRule="atLeast"/>
        <w:textAlignment w:val="center"/>
        <w:rPr>
          <w:rFonts w:eastAsiaTheme="minorHAnsi"/>
          <w:color w:val="000000"/>
          <w:sz w:val="20"/>
          <w:szCs w:val="20"/>
          <w:lang w:eastAsia="en-US" w:bidi="ar-SA"/>
        </w:rPr>
      </w:pPr>
    </w:p>
    <w:p w:rsidR="00A06F35" w:rsidRDefault="00A06F35" w:rsidP="006A36F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Payables consist predominantly of creditors and accruals. Payables represent liabilities for goods and services provided to the Commission that are unpaid at the end of the financial year. Payables are initially measured at fair value, being the cost of the goods and services, and then subsequently measured</w:t>
      </w:r>
      <w:r w:rsidR="006A36F7">
        <w:rPr>
          <w:rFonts w:eastAsiaTheme="minorHAnsi"/>
          <w:color w:val="000000"/>
          <w:sz w:val="20"/>
          <w:szCs w:val="20"/>
          <w:lang w:eastAsia="en-US" w:bidi="ar-SA"/>
        </w:rPr>
        <w:t xml:space="preserve"> </w:t>
      </w:r>
      <w:r w:rsidRPr="00A06F35">
        <w:rPr>
          <w:rFonts w:eastAsiaTheme="minorHAnsi"/>
          <w:color w:val="000000"/>
          <w:sz w:val="20"/>
          <w:szCs w:val="20"/>
          <w:lang w:eastAsia="en-US" w:bidi="ar-SA"/>
        </w:rPr>
        <w:t>at amortised cost.</w:t>
      </w:r>
    </w:p>
    <w:p w:rsidR="006A36F7" w:rsidRPr="00A06F35" w:rsidRDefault="006A36F7" w:rsidP="006A36F7">
      <w:pPr>
        <w:rPr>
          <w:lang w:eastAsia="en-US" w:bidi="ar-SA"/>
        </w:rPr>
      </w:pPr>
    </w:p>
    <w:p w:rsidR="00A06F35" w:rsidRDefault="00A06F35" w:rsidP="006A36F7">
      <w:pPr>
        <w:pStyle w:val="Heading4"/>
        <w:rPr>
          <w:lang w:eastAsia="en-US" w:bidi="ar-SA"/>
        </w:rPr>
      </w:pPr>
      <w:r w:rsidRPr="00A06F35">
        <w:rPr>
          <w:lang w:eastAsia="en-US" w:bidi="ar-SA"/>
        </w:rPr>
        <w:t>5.3</w:t>
      </w:r>
      <w:r w:rsidR="006A36F7">
        <w:rPr>
          <w:lang w:eastAsia="en-US" w:bidi="ar-SA"/>
        </w:rPr>
        <w:t xml:space="preserve"> </w:t>
      </w:r>
      <w:r w:rsidRPr="00A06F35">
        <w:rPr>
          <w:lang w:eastAsia="en-US" w:bidi="ar-SA"/>
        </w:rPr>
        <w:t>Unearned income</w:t>
      </w:r>
    </w:p>
    <w:p w:rsidR="006A36F7" w:rsidRPr="00A06F35" w:rsidRDefault="006A36F7" w:rsidP="006A36F7">
      <w:pPr>
        <w:rPr>
          <w:lang w:eastAsia="en-US" w:bidi="ar-SA"/>
        </w:rPr>
      </w:pPr>
    </w:p>
    <w:tbl>
      <w:tblPr>
        <w:tblStyle w:val="TableGrid"/>
        <w:tblW w:w="0" w:type="auto"/>
        <w:tblInd w:w="689" w:type="dxa"/>
        <w:tblLayout w:type="fixed"/>
        <w:tblLook w:val="0000" w:firstRow="0" w:lastRow="0" w:firstColumn="0" w:lastColumn="0" w:noHBand="0" w:noVBand="0"/>
      </w:tblPr>
      <w:tblGrid>
        <w:gridCol w:w="5969"/>
        <w:gridCol w:w="1984"/>
        <w:gridCol w:w="2126"/>
      </w:tblGrid>
      <w:tr w:rsidR="006A36F7" w:rsidRPr="00A06F35" w:rsidTr="006A36F7">
        <w:trPr>
          <w:trHeight w:val="60"/>
        </w:trPr>
        <w:tc>
          <w:tcPr>
            <w:tcW w:w="5969" w:type="dxa"/>
          </w:tcPr>
          <w:p w:rsidR="00A06F35" w:rsidRPr="00A06F35" w:rsidRDefault="00A06F35" w:rsidP="00A06F35">
            <w:pPr>
              <w:widowControl/>
              <w:adjustRightInd w:val="0"/>
              <w:rPr>
                <w:rFonts w:eastAsiaTheme="minorHAnsi"/>
                <w:sz w:val="20"/>
                <w:szCs w:val="20"/>
                <w:lang w:eastAsia="en-US" w:bidi="ar-SA"/>
              </w:rPr>
            </w:pPr>
          </w:p>
        </w:tc>
        <w:tc>
          <w:tcPr>
            <w:tcW w:w="1984"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2019</w:t>
            </w:r>
          </w:p>
        </w:tc>
        <w:tc>
          <w:tcPr>
            <w:tcW w:w="2126"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2018</w:t>
            </w:r>
          </w:p>
        </w:tc>
      </w:tr>
      <w:tr w:rsidR="006A36F7" w:rsidRPr="00A06F35" w:rsidTr="006A36F7">
        <w:trPr>
          <w:trHeight w:val="60"/>
        </w:trPr>
        <w:tc>
          <w:tcPr>
            <w:tcW w:w="5969" w:type="dxa"/>
          </w:tcPr>
          <w:p w:rsidR="00A06F35" w:rsidRPr="00A06F35" w:rsidRDefault="00A06F35" w:rsidP="00A06F35">
            <w:pPr>
              <w:widowControl/>
              <w:adjustRightInd w:val="0"/>
              <w:rPr>
                <w:rFonts w:eastAsiaTheme="minorHAnsi"/>
                <w:sz w:val="20"/>
                <w:szCs w:val="20"/>
                <w:lang w:eastAsia="en-US" w:bidi="ar-SA"/>
              </w:rPr>
            </w:pPr>
          </w:p>
        </w:tc>
        <w:tc>
          <w:tcPr>
            <w:tcW w:w="1984"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c>
          <w:tcPr>
            <w:tcW w:w="2126"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r>
      <w:tr w:rsidR="006A36F7" w:rsidRPr="00A06F35" w:rsidTr="006A36F7">
        <w:trPr>
          <w:trHeight w:val="60"/>
        </w:trPr>
        <w:tc>
          <w:tcPr>
            <w:tcW w:w="5969"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Unearned income</w:t>
            </w:r>
          </w:p>
        </w:tc>
        <w:tc>
          <w:tcPr>
            <w:tcW w:w="198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601,212</w:t>
            </w:r>
          </w:p>
        </w:tc>
        <w:tc>
          <w:tcPr>
            <w:tcW w:w="2126"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895,068</w:t>
            </w:r>
          </w:p>
        </w:tc>
      </w:tr>
    </w:tbl>
    <w:p w:rsidR="00A06F35" w:rsidRPr="00A06F35" w:rsidRDefault="00A06F35" w:rsidP="006A36F7">
      <w:pPr>
        <w:rPr>
          <w:lang w:eastAsia="en-US" w:bidi="ar-SA"/>
        </w:rPr>
      </w:pPr>
    </w:p>
    <w:p w:rsidR="00A06F35" w:rsidRDefault="00A06F35" w:rsidP="006A36F7">
      <w:pPr>
        <w:widowControl/>
        <w:suppressAutoHyphens/>
        <w:adjustRightInd w:val="0"/>
        <w:spacing w:after="170"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Unearned income predominantly represents fees and charges received for training courses and assessments to be held in future periods for the Graduate Recruitment Scheme and Classification Assessment Implementation, which are disclosed in other income. Such income is recognised</w:t>
      </w:r>
      <w:r w:rsidR="006A36F7">
        <w:rPr>
          <w:rFonts w:eastAsiaTheme="minorHAnsi"/>
          <w:color w:val="000000"/>
          <w:sz w:val="20"/>
          <w:szCs w:val="20"/>
          <w:lang w:eastAsia="en-US" w:bidi="ar-SA"/>
        </w:rPr>
        <w:t xml:space="preserve"> </w:t>
      </w:r>
      <w:r w:rsidRPr="00A06F35">
        <w:rPr>
          <w:rFonts w:eastAsiaTheme="minorHAnsi"/>
          <w:color w:val="000000"/>
          <w:sz w:val="20"/>
          <w:szCs w:val="20"/>
          <w:lang w:eastAsia="en-US" w:bidi="ar-SA"/>
        </w:rPr>
        <w:t>as unearned income within the liabilities section of the balance sheet.</w:t>
      </w:r>
    </w:p>
    <w:p w:rsidR="006A36F7" w:rsidRPr="00A06F35" w:rsidRDefault="006A36F7" w:rsidP="006A36F7">
      <w:pPr>
        <w:rPr>
          <w:lang w:eastAsia="en-US" w:bidi="ar-SA"/>
        </w:rPr>
      </w:pPr>
    </w:p>
    <w:p w:rsidR="00A06F35" w:rsidRPr="006A36F7" w:rsidRDefault="00A06F35" w:rsidP="006A36F7">
      <w:pPr>
        <w:pStyle w:val="Heading4"/>
      </w:pPr>
      <w:r w:rsidRPr="006A36F7">
        <w:rPr>
          <w:lang w:bidi="ar-SA"/>
        </w:rPr>
        <w:t>5.4</w:t>
      </w:r>
      <w:r w:rsidR="006A36F7">
        <w:rPr>
          <w:lang w:bidi="ar-SA"/>
        </w:rPr>
        <w:t xml:space="preserve"> </w:t>
      </w:r>
      <w:r w:rsidRPr="006A36F7">
        <w:rPr>
          <w:lang w:bidi="ar-SA"/>
        </w:rPr>
        <w:t>Prepayments</w:t>
      </w:r>
    </w:p>
    <w:p w:rsidR="006A36F7" w:rsidRPr="00A06F35" w:rsidRDefault="006A36F7" w:rsidP="006A36F7">
      <w:pPr>
        <w:rPr>
          <w:lang w:eastAsia="en-US" w:bidi="ar-SA"/>
        </w:rPr>
      </w:pPr>
    </w:p>
    <w:tbl>
      <w:tblPr>
        <w:tblStyle w:val="TableGrid"/>
        <w:tblW w:w="0" w:type="auto"/>
        <w:tblInd w:w="714" w:type="dxa"/>
        <w:tblLayout w:type="fixed"/>
        <w:tblLook w:val="0000" w:firstRow="0" w:lastRow="0" w:firstColumn="0" w:lastColumn="0" w:noHBand="0" w:noVBand="0"/>
      </w:tblPr>
      <w:tblGrid>
        <w:gridCol w:w="5924"/>
        <w:gridCol w:w="2004"/>
        <w:gridCol w:w="2126"/>
      </w:tblGrid>
      <w:tr w:rsidR="006A36F7" w:rsidRPr="00A06F35" w:rsidTr="006A36F7">
        <w:trPr>
          <w:trHeight w:val="60"/>
        </w:trPr>
        <w:tc>
          <w:tcPr>
            <w:tcW w:w="5924" w:type="dxa"/>
          </w:tcPr>
          <w:p w:rsidR="00A06F35" w:rsidRPr="00A06F35" w:rsidRDefault="00A06F35" w:rsidP="00A06F35">
            <w:pPr>
              <w:widowControl/>
              <w:adjustRightInd w:val="0"/>
              <w:rPr>
                <w:rFonts w:eastAsiaTheme="minorHAnsi"/>
                <w:sz w:val="20"/>
                <w:szCs w:val="20"/>
                <w:lang w:eastAsia="en-US" w:bidi="ar-SA"/>
              </w:rPr>
            </w:pPr>
          </w:p>
        </w:tc>
        <w:tc>
          <w:tcPr>
            <w:tcW w:w="2004"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2019</w:t>
            </w:r>
          </w:p>
        </w:tc>
        <w:tc>
          <w:tcPr>
            <w:tcW w:w="2126"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2018</w:t>
            </w:r>
          </w:p>
        </w:tc>
      </w:tr>
      <w:tr w:rsidR="006A36F7" w:rsidRPr="00A06F35" w:rsidTr="006A36F7">
        <w:trPr>
          <w:trHeight w:val="60"/>
        </w:trPr>
        <w:tc>
          <w:tcPr>
            <w:tcW w:w="5924" w:type="dxa"/>
          </w:tcPr>
          <w:p w:rsidR="00A06F35" w:rsidRPr="00A06F35" w:rsidRDefault="00A06F35" w:rsidP="00A06F35">
            <w:pPr>
              <w:widowControl/>
              <w:adjustRightInd w:val="0"/>
              <w:rPr>
                <w:rFonts w:eastAsiaTheme="minorHAnsi"/>
                <w:sz w:val="20"/>
                <w:szCs w:val="20"/>
                <w:lang w:eastAsia="en-US" w:bidi="ar-SA"/>
              </w:rPr>
            </w:pPr>
          </w:p>
        </w:tc>
        <w:tc>
          <w:tcPr>
            <w:tcW w:w="2004"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c>
          <w:tcPr>
            <w:tcW w:w="2126"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r>
      <w:tr w:rsidR="006A36F7" w:rsidRPr="00A06F35" w:rsidTr="006A36F7">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Prepayments</w:t>
            </w:r>
          </w:p>
        </w:tc>
        <w:tc>
          <w:tcPr>
            <w:tcW w:w="200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128,477</w:t>
            </w:r>
          </w:p>
        </w:tc>
        <w:tc>
          <w:tcPr>
            <w:tcW w:w="2126"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59,174</w:t>
            </w:r>
          </w:p>
        </w:tc>
      </w:tr>
    </w:tbl>
    <w:p w:rsidR="00A06F35" w:rsidRPr="00A06F35" w:rsidRDefault="00A06F35" w:rsidP="00A06F35">
      <w:pPr>
        <w:widowControl/>
        <w:suppressAutoHyphens/>
        <w:adjustRightInd w:val="0"/>
        <w:spacing w:after="227" w:line="220" w:lineRule="atLeast"/>
        <w:textAlignment w:val="center"/>
        <w:rPr>
          <w:rFonts w:eastAsiaTheme="minorHAnsi"/>
          <w:color w:val="000000"/>
          <w:sz w:val="20"/>
          <w:szCs w:val="20"/>
          <w:lang w:eastAsia="en-US" w:bidi="ar-SA"/>
        </w:rPr>
      </w:pPr>
    </w:p>
    <w:p w:rsidR="00A06F35" w:rsidRDefault="00A06F35" w:rsidP="006A36F7">
      <w:pPr>
        <w:widowControl/>
        <w:suppressAutoHyphens/>
        <w:adjustRightInd w:val="0"/>
        <w:spacing w:after="113" w:line="220" w:lineRule="atLeast"/>
        <w:ind w:left="709"/>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 xml:space="preserve">Prepayments represent payments in advance of receipt of goods or </w:t>
      </w:r>
      <w:proofErr w:type="gramStart"/>
      <w:r w:rsidRPr="00A06F35">
        <w:rPr>
          <w:rFonts w:eastAsiaTheme="minorHAnsi"/>
          <w:color w:val="000000"/>
          <w:sz w:val="20"/>
          <w:szCs w:val="20"/>
          <w:lang w:eastAsia="en-US" w:bidi="ar-SA"/>
        </w:rPr>
        <w:t>services</w:t>
      </w:r>
      <w:proofErr w:type="gramEnd"/>
      <w:r w:rsidRPr="00A06F35">
        <w:rPr>
          <w:rFonts w:eastAsiaTheme="minorHAnsi"/>
          <w:color w:val="000000"/>
          <w:sz w:val="20"/>
          <w:szCs w:val="20"/>
          <w:lang w:eastAsia="en-US" w:bidi="ar-SA"/>
        </w:rPr>
        <w:t xml:space="preserve"> or the payments made</w:t>
      </w:r>
      <w:r w:rsidRPr="00A06F35">
        <w:rPr>
          <w:rFonts w:eastAsiaTheme="minorHAnsi"/>
          <w:color w:val="000000"/>
          <w:sz w:val="20"/>
          <w:szCs w:val="20"/>
          <w:lang w:eastAsia="en-US" w:bidi="ar-SA"/>
        </w:rPr>
        <w:br/>
        <w:t>for services covering a term extending beyond that financial accounting period.</w:t>
      </w:r>
    </w:p>
    <w:p w:rsidR="006A36F7" w:rsidRDefault="006A36F7" w:rsidP="006A36F7">
      <w:pPr>
        <w:rPr>
          <w:lang w:eastAsia="en-US" w:bidi="ar-SA"/>
        </w:rPr>
      </w:pPr>
    </w:p>
    <w:p w:rsidR="006A36F7" w:rsidRPr="00A06F35" w:rsidRDefault="006A36F7" w:rsidP="006A36F7">
      <w:pPr>
        <w:rPr>
          <w:lang w:eastAsia="en-US" w:bidi="ar-SA"/>
        </w:rPr>
      </w:pPr>
    </w:p>
    <w:p w:rsidR="00A06F35" w:rsidRDefault="00A06F35" w:rsidP="006A36F7">
      <w:pPr>
        <w:pStyle w:val="Heading4"/>
        <w:rPr>
          <w:lang w:eastAsia="en-US" w:bidi="ar-SA"/>
        </w:rPr>
      </w:pPr>
      <w:r w:rsidRPr="00A06F35">
        <w:rPr>
          <w:lang w:eastAsia="en-US" w:bidi="ar-SA"/>
        </w:rPr>
        <w:lastRenderedPageBreak/>
        <w:t>5.5</w:t>
      </w:r>
      <w:r w:rsidR="006A36F7">
        <w:rPr>
          <w:lang w:eastAsia="en-US" w:bidi="ar-SA"/>
        </w:rPr>
        <w:t xml:space="preserve"> </w:t>
      </w:r>
      <w:r w:rsidRPr="00A06F35">
        <w:rPr>
          <w:lang w:eastAsia="en-US" w:bidi="ar-SA"/>
        </w:rPr>
        <w:t>Other provisions</w:t>
      </w:r>
    </w:p>
    <w:p w:rsidR="006A36F7" w:rsidRPr="00A06F35" w:rsidRDefault="006A36F7" w:rsidP="006A36F7">
      <w:pPr>
        <w:pStyle w:val="Heading4"/>
        <w:rPr>
          <w:lang w:eastAsia="en-US" w:bidi="ar-SA"/>
        </w:rPr>
      </w:pPr>
    </w:p>
    <w:tbl>
      <w:tblPr>
        <w:tblStyle w:val="TableGrid"/>
        <w:tblW w:w="0" w:type="auto"/>
        <w:tblInd w:w="688" w:type="dxa"/>
        <w:tblLayout w:type="fixed"/>
        <w:tblLook w:val="0000" w:firstRow="0" w:lastRow="0" w:firstColumn="0" w:lastColumn="0" w:noHBand="0" w:noVBand="0"/>
      </w:tblPr>
      <w:tblGrid>
        <w:gridCol w:w="5924"/>
        <w:gridCol w:w="2030"/>
        <w:gridCol w:w="2126"/>
      </w:tblGrid>
      <w:tr w:rsidR="006A36F7" w:rsidRPr="00A06F35" w:rsidTr="006A36F7">
        <w:trPr>
          <w:trHeight w:val="60"/>
        </w:trPr>
        <w:tc>
          <w:tcPr>
            <w:tcW w:w="5924" w:type="dxa"/>
          </w:tcPr>
          <w:p w:rsidR="00A06F35" w:rsidRPr="00A06F35" w:rsidRDefault="00A06F35" w:rsidP="00A06F35">
            <w:pPr>
              <w:widowControl/>
              <w:adjustRightInd w:val="0"/>
              <w:rPr>
                <w:rFonts w:eastAsiaTheme="minorHAnsi"/>
                <w:sz w:val="20"/>
                <w:szCs w:val="20"/>
                <w:lang w:eastAsia="en-US" w:bidi="ar-SA"/>
              </w:rPr>
            </w:pPr>
          </w:p>
        </w:tc>
        <w:tc>
          <w:tcPr>
            <w:tcW w:w="2030"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2019</w:t>
            </w:r>
          </w:p>
        </w:tc>
        <w:tc>
          <w:tcPr>
            <w:tcW w:w="2126"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2018</w:t>
            </w:r>
          </w:p>
        </w:tc>
      </w:tr>
      <w:tr w:rsidR="006A36F7" w:rsidRPr="00A06F35" w:rsidTr="006A36F7">
        <w:trPr>
          <w:trHeight w:val="60"/>
        </w:trPr>
        <w:tc>
          <w:tcPr>
            <w:tcW w:w="5924" w:type="dxa"/>
          </w:tcPr>
          <w:p w:rsidR="00A06F35" w:rsidRPr="00A06F35" w:rsidRDefault="00A06F35" w:rsidP="00A06F35">
            <w:pPr>
              <w:widowControl/>
              <w:adjustRightInd w:val="0"/>
              <w:rPr>
                <w:rFonts w:eastAsiaTheme="minorHAnsi"/>
                <w:sz w:val="20"/>
                <w:szCs w:val="20"/>
                <w:lang w:eastAsia="en-US" w:bidi="ar-SA"/>
              </w:rPr>
            </w:pPr>
          </w:p>
        </w:tc>
        <w:tc>
          <w:tcPr>
            <w:tcW w:w="2030"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c>
          <w:tcPr>
            <w:tcW w:w="2126"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r>
      <w:tr w:rsidR="006A36F7" w:rsidRPr="00A06F35" w:rsidTr="006A36F7">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Make-good provision</w:t>
            </w:r>
          </w:p>
        </w:tc>
        <w:tc>
          <w:tcPr>
            <w:tcW w:w="2030"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89,003</w:t>
            </w:r>
          </w:p>
        </w:tc>
        <w:tc>
          <w:tcPr>
            <w:tcW w:w="2126"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w:t>
            </w:r>
          </w:p>
        </w:tc>
      </w:tr>
    </w:tbl>
    <w:p w:rsidR="00A06F35" w:rsidRPr="00A06F35" w:rsidRDefault="00A06F35" w:rsidP="006A36F7">
      <w:pPr>
        <w:widowControl/>
        <w:suppressAutoHyphens/>
        <w:adjustRightInd w:val="0"/>
        <w:spacing w:after="170" w:line="220" w:lineRule="atLeast"/>
        <w:ind w:left="709" w:right="1137"/>
        <w:textAlignment w:val="center"/>
        <w:rPr>
          <w:rFonts w:eastAsiaTheme="minorHAnsi"/>
          <w:color w:val="000000"/>
          <w:sz w:val="20"/>
          <w:szCs w:val="20"/>
          <w:lang w:eastAsia="en-US" w:bidi="ar-SA"/>
        </w:rPr>
      </w:pPr>
    </w:p>
    <w:p w:rsidR="00A06F35" w:rsidRPr="00A06F35" w:rsidRDefault="00A06F35" w:rsidP="006A36F7">
      <w:pPr>
        <w:widowControl/>
        <w:suppressAutoHyphens/>
        <w:adjustRightInd w:val="0"/>
        <w:spacing w:after="170"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The make-good provision is recognised in accordance with the agreement over the leased premises.</w:t>
      </w:r>
      <w:r w:rsidRPr="00A06F35">
        <w:rPr>
          <w:rFonts w:eastAsiaTheme="minorHAnsi"/>
          <w:color w:val="000000"/>
          <w:sz w:val="20"/>
          <w:szCs w:val="20"/>
          <w:lang w:eastAsia="en-US" w:bidi="ar-SA"/>
        </w:rPr>
        <w:br/>
      </w:r>
      <w:r w:rsidRPr="00A06F35">
        <w:rPr>
          <w:rFonts w:eastAsiaTheme="minorHAnsi"/>
          <w:color w:val="000000"/>
          <w:spacing w:val="-1"/>
          <w:sz w:val="20"/>
          <w:szCs w:val="20"/>
          <w:lang w:eastAsia="en-US" w:bidi="ar-SA"/>
        </w:rPr>
        <w:t>The Commission is required to remove any leasehold improvements from the leased premises and restore</w:t>
      </w:r>
      <w:r w:rsidRPr="00A06F35">
        <w:rPr>
          <w:rFonts w:eastAsiaTheme="minorHAnsi"/>
          <w:color w:val="000000"/>
          <w:spacing w:val="-1"/>
          <w:sz w:val="20"/>
          <w:szCs w:val="20"/>
          <w:lang w:eastAsia="en-US" w:bidi="ar-SA"/>
        </w:rPr>
        <w:br/>
        <w:t>the premises to its original condition at the end of the lease term.</w:t>
      </w:r>
    </w:p>
    <w:p w:rsidR="00A06F35" w:rsidRPr="00A06F35" w:rsidRDefault="00A06F35" w:rsidP="006A36F7">
      <w:pPr>
        <w:widowControl/>
        <w:suppressAutoHyphens/>
        <w:adjustRightInd w:val="0"/>
        <w:spacing w:after="170"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The make-good provision relates to the new leasing agreement the Commission entered during 2018–19 financial year on the existing premises.</w:t>
      </w:r>
    </w:p>
    <w:p w:rsidR="00A06F35" w:rsidRPr="00A06F35" w:rsidRDefault="00A06F35" w:rsidP="006A36F7">
      <w:pPr>
        <w:widowControl/>
        <w:suppressAutoHyphens/>
        <w:adjustRightInd w:val="0"/>
        <w:spacing w:after="170" w:line="220" w:lineRule="atLeast"/>
        <w:ind w:left="709" w:right="1137"/>
        <w:textAlignment w:val="center"/>
        <w:rPr>
          <w:rFonts w:eastAsiaTheme="minorHAnsi"/>
          <w:color w:val="000000"/>
          <w:sz w:val="20"/>
          <w:szCs w:val="20"/>
          <w:lang w:eastAsia="en-US" w:bidi="ar-SA"/>
        </w:rPr>
      </w:pPr>
    </w:p>
    <w:p w:rsidR="00A06F35" w:rsidRDefault="00A06F35" w:rsidP="006A36F7">
      <w:pPr>
        <w:pStyle w:val="Heading2"/>
        <w:numPr>
          <w:ilvl w:val="0"/>
          <w:numId w:val="29"/>
        </w:numPr>
      </w:pPr>
      <w:bookmarkStart w:id="45" w:name="_Toc23329744"/>
      <w:r w:rsidRPr="006A36F7">
        <w:t>How we financed our operations</w:t>
      </w:r>
      <w:bookmarkEnd w:id="45"/>
    </w:p>
    <w:p w:rsidR="006A36F7" w:rsidRPr="006A36F7" w:rsidRDefault="006A36F7" w:rsidP="006A36F7"/>
    <w:p w:rsidR="00A06F35" w:rsidRDefault="00A06F35" w:rsidP="006A36F7">
      <w:pPr>
        <w:pStyle w:val="Heading3"/>
        <w:rPr>
          <w:lang w:eastAsia="en-US" w:bidi="ar-SA"/>
        </w:rPr>
      </w:pPr>
      <w:r w:rsidRPr="00A06F35">
        <w:rPr>
          <w:lang w:eastAsia="en-US" w:bidi="ar-SA"/>
        </w:rPr>
        <w:t>Introduction</w:t>
      </w:r>
    </w:p>
    <w:p w:rsidR="006A36F7" w:rsidRPr="00A06F35" w:rsidRDefault="006A36F7" w:rsidP="006A36F7">
      <w:pPr>
        <w:rPr>
          <w:lang w:eastAsia="en-US" w:bidi="ar-SA"/>
        </w:rPr>
      </w:pPr>
    </w:p>
    <w:p w:rsidR="00A06F35" w:rsidRPr="00A06F35" w:rsidRDefault="00A06F35" w:rsidP="006A36F7">
      <w:pPr>
        <w:widowControl/>
        <w:suppressAutoHyphens/>
        <w:adjustRightInd w:val="0"/>
        <w:spacing w:after="170" w:line="220" w:lineRule="atLeast"/>
        <w:ind w:left="709" w:right="1137"/>
        <w:textAlignment w:val="center"/>
        <w:rPr>
          <w:rFonts w:eastAsiaTheme="minorHAnsi"/>
          <w:color w:val="000000"/>
          <w:sz w:val="20"/>
          <w:szCs w:val="20"/>
          <w:lang w:eastAsia="en-US" w:bidi="ar-SA"/>
        </w:rPr>
      </w:pPr>
      <w:r w:rsidRPr="00A06F35">
        <w:rPr>
          <w:rFonts w:eastAsiaTheme="minorHAnsi"/>
          <w:color w:val="000000"/>
          <w:spacing w:val="-1"/>
          <w:sz w:val="20"/>
          <w:szCs w:val="20"/>
          <w:lang w:eastAsia="en-US" w:bidi="ar-SA"/>
        </w:rPr>
        <w:t>This section provides information on the sources of finance available to the Commission during its operations, along with interest expenses (the cost of finance lease liabilities) and other information related to financing activities of the Commission.</w:t>
      </w:r>
    </w:p>
    <w:p w:rsidR="00A06F35" w:rsidRPr="00A06F35" w:rsidRDefault="00A06F35" w:rsidP="006A36F7">
      <w:pPr>
        <w:widowControl/>
        <w:suppressAutoHyphens/>
        <w:adjustRightInd w:val="0"/>
        <w:spacing w:after="170"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This section also includes disclosures on commitments for expenditure.</w:t>
      </w:r>
    </w:p>
    <w:p w:rsidR="00A06F35" w:rsidRDefault="00A06F35" w:rsidP="006A36F7">
      <w:pPr>
        <w:pStyle w:val="Heading3"/>
        <w:rPr>
          <w:lang w:eastAsia="en-US" w:bidi="ar-SA"/>
        </w:rPr>
      </w:pPr>
      <w:r w:rsidRPr="00A06F35">
        <w:rPr>
          <w:lang w:eastAsia="en-US" w:bidi="ar-SA"/>
        </w:rPr>
        <w:t>Structure</w:t>
      </w:r>
    </w:p>
    <w:p w:rsidR="006A36F7" w:rsidRPr="00A06F35" w:rsidRDefault="006A36F7" w:rsidP="006A36F7">
      <w:pPr>
        <w:rPr>
          <w:lang w:eastAsia="en-US" w:bidi="ar-SA"/>
        </w:rPr>
      </w:pPr>
    </w:p>
    <w:p w:rsidR="00A06F35" w:rsidRPr="00A06F35" w:rsidRDefault="00A06F35" w:rsidP="006A36F7">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6.1</w:t>
      </w:r>
      <w:r w:rsidRPr="00A06F35">
        <w:rPr>
          <w:rFonts w:eastAsiaTheme="minorHAnsi"/>
          <w:color w:val="000000"/>
          <w:sz w:val="20"/>
          <w:szCs w:val="20"/>
          <w:lang w:eastAsia="en-US" w:bidi="ar-SA"/>
        </w:rPr>
        <w:t> </w:t>
      </w:r>
      <w:r w:rsidRPr="00A06F35">
        <w:rPr>
          <w:rFonts w:eastAsiaTheme="minorHAnsi"/>
          <w:color w:val="000000"/>
          <w:sz w:val="20"/>
          <w:szCs w:val="20"/>
          <w:lang w:eastAsia="en-US" w:bidi="ar-SA"/>
        </w:rPr>
        <w:t xml:space="preserve">Finance lease liabilities (Borrowings) </w:t>
      </w:r>
    </w:p>
    <w:p w:rsidR="00A06F35" w:rsidRPr="00A06F35" w:rsidRDefault="00A06F35" w:rsidP="006A36F7">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6.2</w:t>
      </w:r>
      <w:r w:rsidRPr="00A06F35">
        <w:rPr>
          <w:rFonts w:eastAsiaTheme="minorHAnsi"/>
          <w:color w:val="000000"/>
          <w:sz w:val="20"/>
          <w:szCs w:val="20"/>
          <w:lang w:eastAsia="en-US" w:bidi="ar-SA"/>
        </w:rPr>
        <w:t> </w:t>
      </w:r>
      <w:r w:rsidRPr="00A06F35">
        <w:rPr>
          <w:rFonts w:eastAsiaTheme="minorHAnsi"/>
          <w:color w:val="000000"/>
          <w:sz w:val="20"/>
          <w:szCs w:val="20"/>
          <w:lang w:eastAsia="en-US" w:bidi="ar-SA"/>
        </w:rPr>
        <w:t xml:space="preserve">Reconciliation of net result for the year to cash flow from operating activities </w:t>
      </w:r>
    </w:p>
    <w:p w:rsidR="00A06F35" w:rsidRDefault="00A06F35" w:rsidP="006A36F7">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6.3</w:t>
      </w:r>
      <w:r w:rsidRPr="00A06F35">
        <w:rPr>
          <w:rFonts w:eastAsiaTheme="minorHAnsi"/>
          <w:color w:val="000000"/>
          <w:sz w:val="20"/>
          <w:szCs w:val="20"/>
          <w:lang w:eastAsia="en-US" w:bidi="ar-SA"/>
        </w:rPr>
        <w:t> </w:t>
      </w:r>
      <w:r w:rsidRPr="00A06F35">
        <w:rPr>
          <w:rFonts w:eastAsiaTheme="minorHAnsi"/>
          <w:color w:val="000000"/>
          <w:sz w:val="20"/>
          <w:szCs w:val="20"/>
          <w:lang w:eastAsia="en-US" w:bidi="ar-SA"/>
        </w:rPr>
        <w:t>Commitments for expenditure</w:t>
      </w:r>
    </w:p>
    <w:p w:rsidR="006A36F7" w:rsidRPr="00A06F35" w:rsidRDefault="006A36F7" w:rsidP="006A36F7">
      <w:pPr>
        <w:rPr>
          <w:lang w:eastAsia="en-US" w:bidi="ar-SA"/>
        </w:rPr>
      </w:pPr>
    </w:p>
    <w:p w:rsidR="00A06F35" w:rsidRDefault="00A06F35" w:rsidP="006A36F7">
      <w:pPr>
        <w:pStyle w:val="Heading4"/>
        <w:rPr>
          <w:lang w:eastAsia="en-US" w:bidi="ar-SA"/>
        </w:rPr>
      </w:pPr>
      <w:r w:rsidRPr="00A06F35">
        <w:rPr>
          <w:lang w:eastAsia="en-US" w:bidi="ar-SA"/>
        </w:rPr>
        <w:t>6.1</w:t>
      </w:r>
      <w:r w:rsidR="009769A3">
        <w:rPr>
          <w:lang w:eastAsia="en-US" w:bidi="ar-SA"/>
        </w:rPr>
        <w:t xml:space="preserve"> </w:t>
      </w:r>
      <w:r w:rsidRPr="00A06F35">
        <w:rPr>
          <w:lang w:eastAsia="en-US" w:bidi="ar-SA"/>
        </w:rPr>
        <w:t>Finance lease liabilities (Borrowings)</w:t>
      </w:r>
    </w:p>
    <w:p w:rsidR="006A36F7" w:rsidRPr="00A06F35" w:rsidRDefault="006A36F7" w:rsidP="006A36F7">
      <w:pPr>
        <w:rPr>
          <w:lang w:eastAsia="en-US" w:bidi="ar-SA"/>
        </w:rPr>
      </w:pPr>
    </w:p>
    <w:tbl>
      <w:tblPr>
        <w:tblStyle w:val="TableGrid"/>
        <w:tblW w:w="0" w:type="auto"/>
        <w:tblInd w:w="676" w:type="dxa"/>
        <w:tblLayout w:type="fixed"/>
        <w:tblLook w:val="0000" w:firstRow="0" w:lastRow="0" w:firstColumn="0" w:lastColumn="0" w:noHBand="0" w:noVBand="0"/>
      </w:tblPr>
      <w:tblGrid>
        <w:gridCol w:w="5982"/>
        <w:gridCol w:w="2126"/>
        <w:gridCol w:w="1984"/>
      </w:tblGrid>
      <w:tr w:rsidR="006A36F7" w:rsidRPr="00A06F35" w:rsidTr="006A36F7">
        <w:trPr>
          <w:trHeight w:val="60"/>
        </w:trPr>
        <w:tc>
          <w:tcPr>
            <w:tcW w:w="5982" w:type="dxa"/>
          </w:tcPr>
          <w:p w:rsidR="00A06F35" w:rsidRPr="00A06F35" w:rsidRDefault="00A06F35" w:rsidP="00A06F35">
            <w:pPr>
              <w:widowControl/>
              <w:adjustRightInd w:val="0"/>
              <w:rPr>
                <w:rFonts w:eastAsiaTheme="minorHAnsi"/>
                <w:sz w:val="20"/>
                <w:szCs w:val="20"/>
                <w:lang w:eastAsia="en-US" w:bidi="ar-SA"/>
              </w:rPr>
            </w:pPr>
          </w:p>
        </w:tc>
        <w:tc>
          <w:tcPr>
            <w:tcW w:w="2126"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2019</w:t>
            </w:r>
          </w:p>
        </w:tc>
        <w:tc>
          <w:tcPr>
            <w:tcW w:w="1984"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2018</w:t>
            </w:r>
          </w:p>
        </w:tc>
      </w:tr>
      <w:tr w:rsidR="006A36F7" w:rsidRPr="00A06F35" w:rsidTr="006A36F7">
        <w:trPr>
          <w:trHeight w:val="60"/>
        </w:trPr>
        <w:tc>
          <w:tcPr>
            <w:tcW w:w="5982" w:type="dxa"/>
          </w:tcPr>
          <w:p w:rsidR="00A06F35" w:rsidRPr="00A06F35" w:rsidRDefault="00A06F35" w:rsidP="00A06F35">
            <w:pPr>
              <w:widowControl/>
              <w:adjustRightInd w:val="0"/>
              <w:rPr>
                <w:rFonts w:eastAsiaTheme="minorHAnsi"/>
                <w:sz w:val="20"/>
                <w:szCs w:val="20"/>
                <w:lang w:eastAsia="en-US" w:bidi="ar-SA"/>
              </w:rPr>
            </w:pPr>
          </w:p>
        </w:tc>
        <w:tc>
          <w:tcPr>
            <w:tcW w:w="2126"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c>
          <w:tcPr>
            <w:tcW w:w="1984"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r>
      <w:tr w:rsidR="006A36F7" w:rsidRPr="00A06F35" w:rsidTr="006A36F7">
        <w:trPr>
          <w:trHeight w:val="60"/>
        </w:trPr>
        <w:tc>
          <w:tcPr>
            <w:tcW w:w="5982"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Secured</w:t>
            </w:r>
          </w:p>
        </w:tc>
        <w:tc>
          <w:tcPr>
            <w:tcW w:w="2126" w:type="dxa"/>
          </w:tcPr>
          <w:p w:rsidR="00A06F35" w:rsidRPr="00A06F35" w:rsidRDefault="00A06F35" w:rsidP="006A36F7">
            <w:pPr>
              <w:widowControl/>
              <w:adjustRightInd w:val="0"/>
              <w:jc w:val="center"/>
              <w:rPr>
                <w:rFonts w:eastAsiaTheme="minorHAnsi"/>
                <w:sz w:val="20"/>
                <w:szCs w:val="20"/>
                <w:lang w:eastAsia="en-US" w:bidi="ar-SA"/>
              </w:rPr>
            </w:pPr>
          </w:p>
        </w:tc>
        <w:tc>
          <w:tcPr>
            <w:tcW w:w="1984" w:type="dxa"/>
          </w:tcPr>
          <w:p w:rsidR="00A06F35" w:rsidRPr="00A06F35" w:rsidRDefault="00A06F35" w:rsidP="006A36F7">
            <w:pPr>
              <w:widowControl/>
              <w:adjustRightInd w:val="0"/>
              <w:jc w:val="center"/>
              <w:rPr>
                <w:rFonts w:eastAsiaTheme="minorHAnsi"/>
                <w:sz w:val="20"/>
                <w:szCs w:val="20"/>
                <w:lang w:eastAsia="en-US" w:bidi="ar-SA"/>
              </w:rPr>
            </w:pPr>
          </w:p>
        </w:tc>
      </w:tr>
      <w:tr w:rsidR="006A36F7" w:rsidRPr="00A06F35" w:rsidTr="006A36F7">
        <w:trPr>
          <w:trHeight w:val="60"/>
        </w:trPr>
        <w:tc>
          <w:tcPr>
            <w:tcW w:w="5982"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Current lease liabilities</w:t>
            </w:r>
          </w:p>
        </w:tc>
        <w:tc>
          <w:tcPr>
            <w:tcW w:w="2126"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25,865</w:t>
            </w:r>
          </w:p>
        </w:tc>
        <w:tc>
          <w:tcPr>
            <w:tcW w:w="198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11,980</w:t>
            </w:r>
          </w:p>
        </w:tc>
      </w:tr>
      <w:tr w:rsidR="006A36F7" w:rsidRPr="00A06F35" w:rsidTr="006A36F7">
        <w:trPr>
          <w:trHeight w:val="60"/>
        </w:trPr>
        <w:tc>
          <w:tcPr>
            <w:tcW w:w="5982"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Non-current lease liabilities</w:t>
            </w:r>
          </w:p>
        </w:tc>
        <w:tc>
          <w:tcPr>
            <w:tcW w:w="2126"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34,693</w:t>
            </w:r>
          </w:p>
        </w:tc>
        <w:tc>
          <w:tcPr>
            <w:tcW w:w="198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43,406</w:t>
            </w:r>
          </w:p>
        </w:tc>
      </w:tr>
      <w:tr w:rsidR="006A36F7" w:rsidRPr="00A06F35" w:rsidTr="006A36F7">
        <w:trPr>
          <w:trHeight w:val="60"/>
        </w:trPr>
        <w:tc>
          <w:tcPr>
            <w:tcW w:w="5982"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Total finance lease liabilities</w:t>
            </w:r>
          </w:p>
        </w:tc>
        <w:tc>
          <w:tcPr>
            <w:tcW w:w="2126"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60,558</w:t>
            </w:r>
          </w:p>
        </w:tc>
        <w:tc>
          <w:tcPr>
            <w:tcW w:w="198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55,386</w:t>
            </w:r>
          </w:p>
        </w:tc>
      </w:tr>
    </w:tbl>
    <w:p w:rsidR="00A06F35" w:rsidRPr="00A06F35" w:rsidRDefault="00A06F35" w:rsidP="006A36F7">
      <w:pPr>
        <w:rPr>
          <w:lang w:eastAsia="en-US" w:bidi="ar-SA"/>
        </w:rPr>
      </w:pPr>
    </w:p>
    <w:p w:rsidR="00A06F35" w:rsidRPr="00A06F35" w:rsidRDefault="00A06F35" w:rsidP="006A36F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Borrowings of the Commission relate to finance lease liabilities on motor vehicles.</w:t>
      </w:r>
    </w:p>
    <w:p w:rsidR="00A06F35" w:rsidRPr="00A06F35" w:rsidRDefault="00A06F35" w:rsidP="006A36F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Finance leases are recognised as assets and liabilities of the Commission at amounts equal to the fair value of the lease asset or, if lower, the present value of the minimum lease payments, each determined at the inception of the lease. The lease asset is depreciated over the shorter of the estimated useful life of the asset or the term of the lease.</w:t>
      </w:r>
    </w:p>
    <w:p w:rsidR="00A06F35" w:rsidRPr="00A06F35" w:rsidRDefault="00A06F35" w:rsidP="006A36F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Minimum finance lease payments are apportioned between reduction of the lease liability and periodic finance charges which are calculated using the interest rate implicit in the lease and charged directly</w:t>
      </w:r>
      <w:r w:rsidR="006A36F7">
        <w:rPr>
          <w:rFonts w:eastAsiaTheme="minorHAnsi"/>
          <w:color w:val="000000"/>
          <w:sz w:val="20"/>
          <w:szCs w:val="20"/>
          <w:lang w:eastAsia="en-US" w:bidi="ar-SA"/>
        </w:rPr>
        <w:t xml:space="preserve"> </w:t>
      </w:r>
      <w:r w:rsidRPr="00A06F35">
        <w:rPr>
          <w:rFonts w:eastAsiaTheme="minorHAnsi"/>
          <w:color w:val="000000"/>
          <w:sz w:val="20"/>
          <w:szCs w:val="20"/>
          <w:lang w:eastAsia="en-US" w:bidi="ar-SA"/>
        </w:rPr>
        <w:t>to the comprehensive operating statement.</w:t>
      </w:r>
    </w:p>
    <w:p w:rsidR="00A06F35" w:rsidRPr="00A06F35" w:rsidRDefault="00A06F35" w:rsidP="006A36F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Leases are secured borrowings as the rights to the leased assets will revert to the lessor in the event</w:t>
      </w:r>
      <w:r w:rsidR="006A36F7">
        <w:rPr>
          <w:rFonts w:eastAsiaTheme="minorHAnsi"/>
          <w:color w:val="000000"/>
          <w:sz w:val="20"/>
          <w:szCs w:val="20"/>
          <w:lang w:eastAsia="en-US" w:bidi="ar-SA"/>
        </w:rPr>
        <w:t xml:space="preserve"> </w:t>
      </w:r>
      <w:r w:rsidRPr="00A06F35">
        <w:rPr>
          <w:rFonts w:eastAsiaTheme="minorHAnsi"/>
          <w:color w:val="000000"/>
          <w:sz w:val="20"/>
          <w:szCs w:val="20"/>
          <w:lang w:eastAsia="en-US" w:bidi="ar-SA"/>
        </w:rPr>
        <w:t>of a default.</w:t>
      </w:r>
    </w:p>
    <w:p w:rsidR="00A06F35" w:rsidRPr="00A06F35" w:rsidRDefault="00A06F35" w:rsidP="006A36F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There were no defaults and breaches of any lease condition during the current or previous year.</w:t>
      </w:r>
    </w:p>
    <w:p w:rsidR="00A06F35" w:rsidRDefault="00A06F35" w:rsidP="006A36F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6A36F7" w:rsidRPr="00A06F35" w:rsidRDefault="006A36F7" w:rsidP="006A36F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A06F35" w:rsidRDefault="00A06F35" w:rsidP="006A36F7">
      <w:pPr>
        <w:pStyle w:val="Heading4"/>
        <w:rPr>
          <w:lang w:eastAsia="en-US" w:bidi="ar-SA"/>
        </w:rPr>
      </w:pPr>
      <w:r w:rsidRPr="00A06F35">
        <w:rPr>
          <w:lang w:eastAsia="en-US" w:bidi="ar-SA"/>
        </w:rPr>
        <w:lastRenderedPageBreak/>
        <w:t>6.2</w:t>
      </w:r>
      <w:r w:rsidR="009769A3">
        <w:rPr>
          <w:lang w:eastAsia="en-US" w:bidi="ar-SA"/>
        </w:rPr>
        <w:t xml:space="preserve"> </w:t>
      </w:r>
      <w:r w:rsidRPr="00A06F35">
        <w:rPr>
          <w:lang w:eastAsia="en-US" w:bidi="ar-SA"/>
        </w:rPr>
        <w:t>Reconciliation of net result to cash flow from operating activities</w:t>
      </w:r>
    </w:p>
    <w:p w:rsidR="006A36F7" w:rsidRPr="00A06F35" w:rsidRDefault="006A36F7" w:rsidP="006A36F7">
      <w:pPr>
        <w:rPr>
          <w:lang w:eastAsia="en-US" w:bidi="ar-SA"/>
        </w:rPr>
      </w:pPr>
    </w:p>
    <w:tbl>
      <w:tblPr>
        <w:tblStyle w:val="TableGrid"/>
        <w:tblW w:w="0" w:type="auto"/>
        <w:tblInd w:w="728" w:type="dxa"/>
        <w:tblLayout w:type="fixed"/>
        <w:tblLook w:val="0000" w:firstRow="0" w:lastRow="0" w:firstColumn="0" w:lastColumn="0" w:noHBand="0" w:noVBand="0"/>
      </w:tblPr>
      <w:tblGrid>
        <w:gridCol w:w="6355"/>
        <w:gridCol w:w="1843"/>
        <w:gridCol w:w="1984"/>
      </w:tblGrid>
      <w:tr w:rsidR="006A36F7" w:rsidRPr="00A06F35" w:rsidTr="006A36F7">
        <w:trPr>
          <w:trHeight w:val="60"/>
        </w:trPr>
        <w:tc>
          <w:tcPr>
            <w:tcW w:w="6355" w:type="dxa"/>
          </w:tcPr>
          <w:p w:rsidR="00A06F35" w:rsidRPr="00A06F35" w:rsidRDefault="00A06F35" w:rsidP="00A06F35">
            <w:pPr>
              <w:widowControl/>
              <w:adjustRightInd w:val="0"/>
              <w:rPr>
                <w:rFonts w:eastAsiaTheme="minorHAnsi"/>
                <w:sz w:val="20"/>
                <w:szCs w:val="20"/>
                <w:lang w:eastAsia="en-US" w:bidi="ar-SA"/>
              </w:rPr>
            </w:pPr>
          </w:p>
        </w:tc>
        <w:tc>
          <w:tcPr>
            <w:tcW w:w="1843"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2019</w:t>
            </w:r>
          </w:p>
        </w:tc>
        <w:tc>
          <w:tcPr>
            <w:tcW w:w="1984"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2018</w:t>
            </w:r>
          </w:p>
        </w:tc>
      </w:tr>
      <w:tr w:rsidR="006A36F7" w:rsidRPr="00A06F35" w:rsidTr="006A36F7">
        <w:trPr>
          <w:trHeight w:val="60"/>
        </w:trPr>
        <w:tc>
          <w:tcPr>
            <w:tcW w:w="6355" w:type="dxa"/>
          </w:tcPr>
          <w:p w:rsidR="00A06F35" w:rsidRPr="00A06F35" w:rsidRDefault="00A06F35" w:rsidP="00A06F35">
            <w:pPr>
              <w:widowControl/>
              <w:adjustRightInd w:val="0"/>
              <w:rPr>
                <w:rFonts w:eastAsiaTheme="minorHAnsi"/>
                <w:sz w:val="20"/>
                <w:szCs w:val="20"/>
                <w:lang w:eastAsia="en-US" w:bidi="ar-SA"/>
              </w:rPr>
            </w:pPr>
          </w:p>
        </w:tc>
        <w:tc>
          <w:tcPr>
            <w:tcW w:w="1843"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c>
          <w:tcPr>
            <w:tcW w:w="1984" w:type="dxa"/>
          </w:tcPr>
          <w:p w:rsidR="00A06F35" w:rsidRPr="00A06F35" w:rsidRDefault="00A06F35" w:rsidP="006A36F7">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r>
      <w:tr w:rsidR="006A36F7" w:rsidRPr="00A06F35" w:rsidTr="006A36F7">
        <w:trPr>
          <w:trHeight w:val="60"/>
        </w:trPr>
        <w:tc>
          <w:tcPr>
            <w:tcW w:w="6355"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Net result</w:t>
            </w:r>
          </w:p>
        </w:tc>
        <w:tc>
          <w:tcPr>
            <w:tcW w:w="1843"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(1,732,718)</w:t>
            </w:r>
          </w:p>
        </w:tc>
        <w:tc>
          <w:tcPr>
            <w:tcW w:w="198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2,817,287</w:t>
            </w:r>
          </w:p>
        </w:tc>
      </w:tr>
      <w:tr w:rsidR="006A36F7" w:rsidRPr="00A06F35" w:rsidTr="006A36F7">
        <w:trPr>
          <w:trHeight w:val="60"/>
        </w:trPr>
        <w:tc>
          <w:tcPr>
            <w:tcW w:w="10182" w:type="dxa"/>
            <w:gridSpan w:val="3"/>
          </w:tcPr>
          <w:p w:rsidR="00A06F35" w:rsidRPr="00A06F35" w:rsidRDefault="00A06F35" w:rsidP="00A06F3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06F35">
              <w:rPr>
                <w:rFonts w:eastAsiaTheme="minorHAnsi"/>
                <w:b/>
                <w:bCs/>
                <w:sz w:val="20"/>
                <w:szCs w:val="20"/>
                <w:lang w:eastAsia="en-US" w:bidi="ar-SA"/>
              </w:rPr>
              <w:t>Non-cash movements</w:t>
            </w:r>
          </w:p>
        </w:tc>
      </w:tr>
      <w:tr w:rsidR="006A36F7" w:rsidRPr="00A06F35" w:rsidTr="006A36F7">
        <w:trPr>
          <w:trHeight w:val="60"/>
        </w:trPr>
        <w:tc>
          <w:tcPr>
            <w:tcW w:w="6355"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Depreciation</w:t>
            </w:r>
          </w:p>
        </w:tc>
        <w:tc>
          <w:tcPr>
            <w:tcW w:w="1843"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215,573</w:t>
            </w:r>
          </w:p>
        </w:tc>
        <w:tc>
          <w:tcPr>
            <w:tcW w:w="198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80,903</w:t>
            </w:r>
          </w:p>
        </w:tc>
      </w:tr>
      <w:tr w:rsidR="006A36F7" w:rsidRPr="00A06F35" w:rsidTr="006A36F7">
        <w:trPr>
          <w:trHeight w:val="60"/>
        </w:trPr>
        <w:tc>
          <w:tcPr>
            <w:tcW w:w="6355"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(Profit)/loss on disposal of non-current assets</w:t>
            </w:r>
          </w:p>
        </w:tc>
        <w:tc>
          <w:tcPr>
            <w:tcW w:w="1843"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4,309</w:t>
            </w:r>
          </w:p>
        </w:tc>
        <w:tc>
          <w:tcPr>
            <w:tcW w:w="198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2,967</w:t>
            </w:r>
          </w:p>
        </w:tc>
      </w:tr>
      <w:tr w:rsidR="006A36F7" w:rsidRPr="00A06F35" w:rsidTr="006A36F7">
        <w:trPr>
          <w:trHeight w:val="60"/>
        </w:trPr>
        <w:tc>
          <w:tcPr>
            <w:tcW w:w="10182" w:type="dxa"/>
            <w:gridSpan w:val="3"/>
          </w:tcPr>
          <w:p w:rsidR="00A06F35" w:rsidRPr="00A06F35" w:rsidRDefault="00A06F35" w:rsidP="00A06F3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06F35">
              <w:rPr>
                <w:rFonts w:eastAsiaTheme="minorHAnsi"/>
                <w:b/>
                <w:bCs/>
                <w:sz w:val="20"/>
                <w:szCs w:val="20"/>
                <w:lang w:eastAsia="en-US" w:bidi="ar-SA"/>
              </w:rPr>
              <w:t>Change in operating assets and liabilities:</w:t>
            </w:r>
          </w:p>
        </w:tc>
      </w:tr>
      <w:tr w:rsidR="006A36F7" w:rsidRPr="00A06F35" w:rsidTr="006A36F7">
        <w:trPr>
          <w:trHeight w:val="60"/>
        </w:trPr>
        <w:tc>
          <w:tcPr>
            <w:tcW w:w="6355"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(Increase)/decrease in receivables</w:t>
            </w:r>
          </w:p>
        </w:tc>
        <w:tc>
          <w:tcPr>
            <w:tcW w:w="1843"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1,423,006</w:t>
            </w:r>
          </w:p>
        </w:tc>
        <w:tc>
          <w:tcPr>
            <w:tcW w:w="198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(2,800,358)</w:t>
            </w:r>
          </w:p>
        </w:tc>
      </w:tr>
      <w:tr w:rsidR="006A36F7" w:rsidRPr="00A06F35" w:rsidTr="006A36F7">
        <w:trPr>
          <w:trHeight w:val="60"/>
        </w:trPr>
        <w:tc>
          <w:tcPr>
            <w:tcW w:w="6355"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(Increase)/decrease in prepayments</w:t>
            </w:r>
          </w:p>
        </w:tc>
        <w:tc>
          <w:tcPr>
            <w:tcW w:w="1843"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(69,303)</w:t>
            </w:r>
          </w:p>
        </w:tc>
        <w:tc>
          <w:tcPr>
            <w:tcW w:w="198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(16,641)</w:t>
            </w:r>
          </w:p>
        </w:tc>
      </w:tr>
      <w:tr w:rsidR="006A36F7" w:rsidRPr="00A06F35" w:rsidTr="006A36F7">
        <w:trPr>
          <w:trHeight w:val="60"/>
        </w:trPr>
        <w:tc>
          <w:tcPr>
            <w:tcW w:w="6355"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Increase/(decrease) in creditors and accruals</w:t>
            </w:r>
          </w:p>
        </w:tc>
        <w:tc>
          <w:tcPr>
            <w:tcW w:w="1843"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271,384</w:t>
            </w:r>
          </w:p>
        </w:tc>
        <w:tc>
          <w:tcPr>
            <w:tcW w:w="198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833,106</w:t>
            </w:r>
          </w:p>
        </w:tc>
      </w:tr>
      <w:tr w:rsidR="006A36F7" w:rsidRPr="00A06F35" w:rsidTr="006A36F7">
        <w:trPr>
          <w:trHeight w:val="60"/>
        </w:trPr>
        <w:tc>
          <w:tcPr>
            <w:tcW w:w="6355"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Increase/(decrease) in provisions</w:t>
            </w:r>
          </w:p>
        </w:tc>
        <w:tc>
          <w:tcPr>
            <w:tcW w:w="1843"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542,444</w:t>
            </w:r>
          </w:p>
        </w:tc>
        <w:tc>
          <w:tcPr>
            <w:tcW w:w="198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35,732</w:t>
            </w:r>
          </w:p>
        </w:tc>
      </w:tr>
      <w:tr w:rsidR="006A36F7" w:rsidRPr="00A06F35" w:rsidTr="006A36F7">
        <w:trPr>
          <w:trHeight w:val="60"/>
        </w:trPr>
        <w:tc>
          <w:tcPr>
            <w:tcW w:w="6355"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Increase/(decrease) in other liabilities</w:t>
            </w:r>
          </w:p>
        </w:tc>
        <w:tc>
          <w:tcPr>
            <w:tcW w:w="1843"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(293,856)</w:t>
            </w:r>
          </w:p>
        </w:tc>
        <w:tc>
          <w:tcPr>
            <w:tcW w:w="198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(182,155)</w:t>
            </w:r>
          </w:p>
        </w:tc>
      </w:tr>
      <w:tr w:rsidR="006A36F7" w:rsidRPr="00A06F35" w:rsidTr="006A36F7">
        <w:trPr>
          <w:trHeight w:val="60"/>
        </w:trPr>
        <w:tc>
          <w:tcPr>
            <w:tcW w:w="10182" w:type="dxa"/>
            <w:gridSpan w:val="3"/>
          </w:tcPr>
          <w:p w:rsidR="00A06F35" w:rsidRPr="00A06F35" w:rsidRDefault="00A06F35" w:rsidP="006A36F7">
            <w:pPr>
              <w:widowControl/>
              <w:adjustRightInd w:val="0"/>
              <w:jc w:val="center"/>
              <w:rPr>
                <w:rFonts w:eastAsiaTheme="minorHAnsi"/>
                <w:sz w:val="20"/>
                <w:szCs w:val="20"/>
                <w:lang w:eastAsia="en-US" w:bidi="ar-SA"/>
              </w:rPr>
            </w:pPr>
          </w:p>
        </w:tc>
      </w:tr>
      <w:tr w:rsidR="006A36F7" w:rsidRPr="00A06F35" w:rsidTr="006A36F7">
        <w:trPr>
          <w:trHeight w:val="60"/>
        </w:trPr>
        <w:tc>
          <w:tcPr>
            <w:tcW w:w="6355"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Net cash flows from operating activities</w:t>
            </w:r>
          </w:p>
        </w:tc>
        <w:tc>
          <w:tcPr>
            <w:tcW w:w="1843"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360,839</w:t>
            </w:r>
          </w:p>
        </w:tc>
        <w:tc>
          <w:tcPr>
            <w:tcW w:w="1984" w:type="dxa"/>
          </w:tcPr>
          <w:p w:rsidR="00A06F35" w:rsidRPr="00A06F35" w:rsidRDefault="00A06F35" w:rsidP="006A36F7">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770,841</w:t>
            </w:r>
          </w:p>
        </w:tc>
      </w:tr>
    </w:tbl>
    <w:p w:rsidR="00A06F35" w:rsidRDefault="00A06F3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Default="00131AC5" w:rsidP="006A36F7">
      <w:pPr>
        <w:rPr>
          <w:lang w:eastAsia="en-US" w:bidi="ar-SA"/>
        </w:rPr>
      </w:pPr>
    </w:p>
    <w:p w:rsidR="00131AC5" w:rsidRPr="00A06F35" w:rsidRDefault="00131AC5" w:rsidP="006A36F7">
      <w:pPr>
        <w:rPr>
          <w:lang w:eastAsia="en-US" w:bidi="ar-SA"/>
        </w:rPr>
      </w:pPr>
    </w:p>
    <w:p w:rsidR="00A06F35" w:rsidRDefault="00A06F35" w:rsidP="006A36F7">
      <w:pPr>
        <w:pStyle w:val="Heading4"/>
        <w:rPr>
          <w:lang w:eastAsia="en-US" w:bidi="ar-SA"/>
        </w:rPr>
      </w:pPr>
      <w:r w:rsidRPr="00A06F35">
        <w:rPr>
          <w:lang w:eastAsia="en-US" w:bidi="ar-SA"/>
        </w:rPr>
        <w:lastRenderedPageBreak/>
        <w:t>6.3</w:t>
      </w:r>
      <w:r w:rsidR="009769A3">
        <w:rPr>
          <w:lang w:eastAsia="en-US" w:bidi="ar-SA"/>
        </w:rPr>
        <w:t xml:space="preserve"> </w:t>
      </w:r>
      <w:r w:rsidRPr="00A06F35">
        <w:rPr>
          <w:lang w:eastAsia="en-US" w:bidi="ar-SA"/>
        </w:rPr>
        <w:t>Commitments for expenditure</w:t>
      </w:r>
    </w:p>
    <w:p w:rsidR="006A36F7" w:rsidRPr="00A06F35" w:rsidRDefault="006A36F7" w:rsidP="006A36F7">
      <w:pPr>
        <w:rPr>
          <w:lang w:eastAsia="en-US" w:bidi="ar-SA"/>
        </w:rPr>
      </w:pPr>
    </w:p>
    <w:p w:rsidR="00A06F35" w:rsidRDefault="00A06F35" w:rsidP="006A36F7">
      <w:pPr>
        <w:widowControl/>
        <w:suppressAutoHyphens/>
        <w:adjustRightInd w:val="0"/>
        <w:spacing w:after="113" w:line="220" w:lineRule="atLeast"/>
        <w:ind w:left="709" w:right="995"/>
        <w:textAlignment w:val="center"/>
        <w:rPr>
          <w:rFonts w:eastAsiaTheme="minorHAnsi"/>
          <w:color w:val="000000"/>
          <w:spacing w:val="-1"/>
          <w:sz w:val="20"/>
          <w:szCs w:val="20"/>
          <w:lang w:eastAsia="en-US" w:bidi="ar-SA"/>
        </w:rPr>
      </w:pPr>
      <w:r w:rsidRPr="00A06F35">
        <w:rPr>
          <w:rFonts w:eastAsiaTheme="minorHAnsi"/>
          <w:color w:val="000000"/>
          <w:spacing w:val="-1"/>
          <w:sz w:val="20"/>
          <w:szCs w:val="20"/>
          <w:lang w:eastAsia="en-US" w:bidi="ar-SA"/>
        </w:rPr>
        <w:t xml:space="preserve">Commitments for future expenditure include operating and capital commitments arising from contracts. </w:t>
      </w:r>
      <w:r w:rsidRPr="00A06F35">
        <w:rPr>
          <w:rFonts w:eastAsiaTheme="minorHAnsi"/>
          <w:color w:val="000000"/>
          <w:spacing w:val="-2"/>
          <w:sz w:val="20"/>
          <w:szCs w:val="20"/>
          <w:lang w:eastAsia="en-US" w:bidi="ar-SA"/>
        </w:rPr>
        <w:t xml:space="preserve">These commitments are recorded below at their nominal value and inclusive of goods and services tax (GST). Where it is considered appropriate, additional relevant information such as the net present values of significant </w:t>
      </w:r>
      <w:r w:rsidRPr="00A06F35">
        <w:rPr>
          <w:rFonts w:eastAsiaTheme="minorHAnsi"/>
          <w:color w:val="000000"/>
          <w:spacing w:val="-1"/>
          <w:sz w:val="20"/>
          <w:szCs w:val="20"/>
          <w:lang w:eastAsia="en-US" w:bidi="ar-SA"/>
        </w:rPr>
        <w:t>individual projects are stated. These future expenditures cease to be disclosed as commitments once the related liabilities are recognised in the balance sheet.</w:t>
      </w:r>
    </w:p>
    <w:p w:rsidR="00131AC5" w:rsidRPr="00A06F35" w:rsidRDefault="00131AC5" w:rsidP="00131AC5">
      <w:pPr>
        <w:rPr>
          <w:lang w:eastAsia="en-US" w:bidi="ar-SA"/>
        </w:rPr>
      </w:pPr>
    </w:p>
    <w:tbl>
      <w:tblPr>
        <w:tblStyle w:val="TableGrid"/>
        <w:tblW w:w="0" w:type="auto"/>
        <w:tblInd w:w="702" w:type="dxa"/>
        <w:tblLayout w:type="fixed"/>
        <w:tblLook w:val="0000" w:firstRow="0" w:lastRow="0" w:firstColumn="0" w:lastColumn="0" w:noHBand="0" w:noVBand="0"/>
      </w:tblPr>
      <w:tblGrid>
        <w:gridCol w:w="5924"/>
        <w:gridCol w:w="2441"/>
        <w:gridCol w:w="1843"/>
      </w:tblGrid>
      <w:tr w:rsidR="00131AC5" w:rsidRPr="00131AC5" w:rsidTr="00131AC5">
        <w:trPr>
          <w:trHeight w:val="60"/>
        </w:trPr>
        <w:tc>
          <w:tcPr>
            <w:tcW w:w="5924" w:type="dxa"/>
          </w:tcPr>
          <w:p w:rsidR="00A06F35" w:rsidRPr="00A06F35" w:rsidRDefault="00A06F35" w:rsidP="00A06F35">
            <w:pPr>
              <w:widowControl/>
              <w:adjustRightInd w:val="0"/>
              <w:rPr>
                <w:rFonts w:eastAsiaTheme="minorHAnsi"/>
                <w:sz w:val="20"/>
                <w:szCs w:val="20"/>
                <w:lang w:eastAsia="en-US" w:bidi="ar-SA"/>
              </w:rPr>
            </w:pPr>
          </w:p>
        </w:tc>
        <w:tc>
          <w:tcPr>
            <w:tcW w:w="2441" w:type="dxa"/>
          </w:tcPr>
          <w:p w:rsidR="00A06F35" w:rsidRPr="00A06F35" w:rsidRDefault="00A06F35" w:rsidP="00131AC5">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2019</w:t>
            </w:r>
          </w:p>
        </w:tc>
        <w:tc>
          <w:tcPr>
            <w:tcW w:w="1843" w:type="dxa"/>
          </w:tcPr>
          <w:p w:rsidR="00A06F35" w:rsidRPr="00A06F35" w:rsidRDefault="00A06F35" w:rsidP="00131AC5">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2018</w:t>
            </w:r>
          </w:p>
        </w:tc>
      </w:tr>
      <w:tr w:rsidR="00131AC5" w:rsidRPr="00131AC5" w:rsidTr="00131AC5">
        <w:trPr>
          <w:trHeight w:val="60"/>
        </w:trPr>
        <w:tc>
          <w:tcPr>
            <w:tcW w:w="5924" w:type="dxa"/>
          </w:tcPr>
          <w:p w:rsidR="00A06F35" w:rsidRPr="00A06F35" w:rsidRDefault="00A06F35" w:rsidP="00A06F35">
            <w:pPr>
              <w:widowControl/>
              <w:adjustRightInd w:val="0"/>
              <w:rPr>
                <w:rFonts w:eastAsiaTheme="minorHAnsi"/>
                <w:sz w:val="20"/>
                <w:szCs w:val="20"/>
                <w:lang w:eastAsia="en-US" w:bidi="ar-SA"/>
              </w:rPr>
            </w:pPr>
          </w:p>
        </w:tc>
        <w:tc>
          <w:tcPr>
            <w:tcW w:w="2441" w:type="dxa"/>
          </w:tcPr>
          <w:p w:rsidR="00A06F35" w:rsidRPr="00A06F35" w:rsidRDefault="00A06F35" w:rsidP="00131AC5">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c>
          <w:tcPr>
            <w:tcW w:w="1843" w:type="dxa"/>
          </w:tcPr>
          <w:p w:rsidR="00A06F35" w:rsidRPr="00A06F35" w:rsidRDefault="00A06F35" w:rsidP="00131AC5">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06F35">
              <w:rPr>
                <w:rFonts w:eastAsiaTheme="minorHAnsi"/>
                <w:b/>
                <w:bCs/>
                <w:sz w:val="20"/>
                <w:szCs w:val="20"/>
                <w:lang w:eastAsia="en-US" w:bidi="ar-SA"/>
              </w:rPr>
              <w:t>$</w:t>
            </w:r>
          </w:p>
        </w:tc>
      </w:tr>
      <w:tr w:rsidR="00131AC5" w:rsidRPr="00131AC5" w:rsidTr="00131AC5">
        <w:trPr>
          <w:trHeight w:val="60"/>
        </w:trPr>
        <w:tc>
          <w:tcPr>
            <w:tcW w:w="10208" w:type="dxa"/>
            <w:gridSpan w:val="3"/>
          </w:tcPr>
          <w:p w:rsidR="00A06F35" w:rsidRPr="00A06F35" w:rsidRDefault="00A06F35" w:rsidP="00A06F3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06F35">
              <w:rPr>
                <w:rFonts w:eastAsiaTheme="minorHAnsi"/>
                <w:b/>
                <w:bCs/>
                <w:sz w:val="20"/>
                <w:szCs w:val="20"/>
                <w:lang w:eastAsia="en-US" w:bidi="ar-SA"/>
              </w:rPr>
              <w:t>Outsourcing commitments</w:t>
            </w:r>
          </w:p>
        </w:tc>
      </w:tr>
      <w:tr w:rsidR="00131AC5" w:rsidRPr="00131AC5" w:rsidTr="00131AC5">
        <w:trPr>
          <w:trHeight w:val="60"/>
        </w:trPr>
        <w:tc>
          <w:tcPr>
            <w:tcW w:w="10208" w:type="dxa"/>
            <w:gridSpan w:val="3"/>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Commitments under outsourcing for recruitment services, payable:</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Within one year</w:t>
            </w:r>
          </w:p>
        </w:tc>
        <w:tc>
          <w:tcPr>
            <w:tcW w:w="2441"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1,388,176</w:t>
            </w:r>
          </w:p>
        </w:tc>
        <w:tc>
          <w:tcPr>
            <w:tcW w:w="1843"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1,048,531</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Later than one year but not later than five years</w:t>
            </w:r>
          </w:p>
        </w:tc>
        <w:tc>
          <w:tcPr>
            <w:tcW w:w="2441"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931,754</w:t>
            </w:r>
          </w:p>
        </w:tc>
        <w:tc>
          <w:tcPr>
            <w:tcW w:w="1843"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270,153</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Total commitments (inclusive of GST)</w:t>
            </w:r>
          </w:p>
        </w:tc>
        <w:tc>
          <w:tcPr>
            <w:tcW w:w="2441"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2,319,930</w:t>
            </w:r>
          </w:p>
        </w:tc>
        <w:tc>
          <w:tcPr>
            <w:tcW w:w="1843"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1,318,684</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Less GST recoverable</w:t>
            </w:r>
          </w:p>
        </w:tc>
        <w:tc>
          <w:tcPr>
            <w:tcW w:w="2441"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(210,903)</w:t>
            </w:r>
          </w:p>
        </w:tc>
        <w:tc>
          <w:tcPr>
            <w:tcW w:w="1843"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(111,608)</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Total commitments (exclusive of GST)</w:t>
            </w:r>
          </w:p>
        </w:tc>
        <w:tc>
          <w:tcPr>
            <w:tcW w:w="2441"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2,109,027</w:t>
            </w:r>
          </w:p>
        </w:tc>
        <w:tc>
          <w:tcPr>
            <w:tcW w:w="1843"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1,207,076</w:t>
            </w:r>
          </w:p>
        </w:tc>
      </w:tr>
      <w:tr w:rsidR="00131AC5" w:rsidRPr="00131AC5" w:rsidTr="00131AC5">
        <w:trPr>
          <w:trHeight w:val="60"/>
        </w:trPr>
        <w:tc>
          <w:tcPr>
            <w:tcW w:w="10208" w:type="dxa"/>
            <w:gridSpan w:val="3"/>
          </w:tcPr>
          <w:p w:rsidR="00A06F35" w:rsidRPr="00A06F35" w:rsidRDefault="00A06F35" w:rsidP="00A06F35">
            <w:pPr>
              <w:widowControl/>
              <w:adjustRightInd w:val="0"/>
              <w:rPr>
                <w:rFonts w:eastAsiaTheme="minorHAnsi"/>
                <w:sz w:val="20"/>
                <w:szCs w:val="20"/>
                <w:lang w:eastAsia="en-US" w:bidi="ar-SA"/>
              </w:rPr>
            </w:pPr>
          </w:p>
        </w:tc>
      </w:tr>
      <w:tr w:rsidR="00131AC5" w:rsidRPr="00131AC5" w:rsidTr="00131AC5">
        <w:trPr>
          <w:trHeight w:val="60"/>
        </w:trPr>
        <w:tc>
          <w:tcPr>
            <w:tcW w:w="10208" w:type="dxa"/>
            <w:gridSpan w:val="3"/>
          </w:tcPr>
          <w:p w:rsidR="00A06F35" w:rsidRPr="00A06F35" w:rsidRDefault="00A06F35" w:rsidP="00A06F3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06F35">
              <w:rPr>
                <w:rFonts w:eastAsiaTheme="minorHAnsi"/>
                <w:b/>
                <w:bCs/>
                <w:sz w:val="20"/>
                <w:szCs w:val="20"/>
                <w:lang w:eastAsia="en-US" w:bidi="ar-SA"/>
              </w:rPr>
              <w:t>Capital commitments</w:t>
            </w:r>
          </w:p>
        </w:tc>
      </w:tr>
      <w:tr w:rsidR="00131AC5" w:rsidRPr="00131AC5" w:rsidTr="00131AC5">
        <w:trPr>
          <w:trHeight w:val="60"/>
        </w:trPr>
        <w:tc>
          <w:tcPr>
            <w:tcW w:w="10208" w:type="dxa"/>
            <w:gridSpan w:val="3"/>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pacing w:val="-2"/>
                <w:sz w:val="20"/>
                <w:szCs w:val="20"/>
                <w:lang w:eastAsia="en-US" w:bidi="ar-SA"/>
              </w:rPr>
              <w:t>Commitments for developing the State Workforce Data Analysis</w:t>
            </w:r>
            <w:r w:rsidR="00131AC5">
              <w:rPr>
                <w:rFonts w:eastAsiaTheme="minorHAnsi"/>
                <w:spacing w:val="-2"/>
                <w:sz w:val="20"/>
                <w:szCs w:val="20"/>
                <w:lang w:eastAsia="en-US" w:bidi="ar-SA"/>
              </w:rPr>
              <w:t xml:space="preserve"> </w:t>
            </w:r>
            <w:r w:rsidRPr="00A06F35">
              <w:rPr>
                <w:rFonts w:eastAsiaTheme="minorHAnsi"/>
                <w:spacing w:val="-2"/>
                <w:sz w:val="20"/>
                <w:szCs w:val="20"/>
                <w:lang w:eastAsia="en-US" w:bidi="ar-SA"/>
              </w:rPr>
              <w:t>and Collection Application are payable as follows:</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Within one year</w:t>
            </w:r>
          </w:p>
        </w:tc>
        <w:tc>
          <w:tcPr>
            <w:tcW w:w="2441"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w:t>
            </w:r>
          </w:p>
        </w:tc>
        <w:tc>
          <w:tcPr>
            <w:tcW w:w="1843"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288,242</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Total commitments (inclusive of GST)</w:t>
            </w:r>
          </w:p>
        </w:tc>
        <w:tc>
          <w:tcPr>
            <w:tcW w:w="2441"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w:t>
            </w:r>
          </w:p>
        </w:tc>
        <w:tc>
          <w:tcPr>
            <w:tcW w:w="1843"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288,242</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Less GST recoverable</w:t>
            </w:r>
          </w:p>
        </w:tc>
        <w:tc>
          <w:tcPr>
            <w:tcW w:w="2441"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w:t>
            </w:r>
          </w:p>
        </w:tc>
        <w:tc>
          <w:tcPr>
            <w:tcW w:w="1843"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(26,204)</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Total commitments (exclusive of GST)</w:t>
            </w:r>
          </w:p>
        </w:tc>
        <w:tc>
          <w:tcPr>
            <w:tcW w:w="2441"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w:t>
            </w:r>
          </w:p>
        </w:tc>
        <w:tc>
          <w:tcPr>
            <w:tcW w:w="1843" w:type="dxa"/>
          </w:tcPr>
          <w:p w:rsidR="00A06F35" w:rsidRPr="00A06F35" w:rsidRDefault="00A06F35" w:rsidP="00131AC5">
            <w:pPr>
              <w:widowControl/>
              <w:suppressAutoHyphens/>
              <w:adjustRightInd w:val="0"/>
              <w:spacing w:after="113" w:line="220" w:lineRule="atLeast"/>
              <w:jc w:val="center"/>
              <w:textAlignment w:val="center"/>
              <w:rPr>
                <w:rFonts w:eastAsiaTheme="minorHAnsi"/>
                <w:sz w:val="20"/>
                <w:szCs w:val="20"/>
                <w:lang w:eastAsia="en-US" w:bidi="ar-SA"/>
              </w:rPr>
            </w:pPr>
            <w:r w:rsidRPr="00A06F35">
              <w:rPr>
                <w:rFonts w:eastAsiaTheme="minorHAnsi"/>
                <w:sz w:val="20"/>
                <w:szCs w:val="20"/>
                <w:lang w:eastAsia="en-US" w:bidi="ar-SA"/>
              </w:rPr>
              <w:t>262,038</w:t>
            </w:r>
          </w:p>
        </w:tc>
      </w:tr>
      <w:tr w:rsidR="00131AC5" w:rsidRPr="00131AC5" w:rsidTr="00131AC5">
        <w:trPr>
          <w:trHeight w:val="60"/>
        </w:trPr>
        <w:tc>
          <w:tcPr>
            <w:tcW w:w="10208" w:type="dxa"/>
            <w:gridSpan w:val="3"/>
          </w:tcPr>
          <w:p w:rsidR="00A06F35" w:rsidRPr="00A06F35" w:rsidRDefault="00A06F35" w:rsidP="00A06F35">
            <w:pPr>
              <w:widowControl/>
              <w:adjustRightInd w:val="0"/>
              <w:rPr>
                <w:rFonts w:eastAsiaTheme="minorHAnsi"/>
                <w:sz w:val="20"/>
                <w:szCs w:val="20"/>
                <w:lang w:eastAsia="en-US" w:bidi="ar-SA"/>
              </w:rPr>
            </w:pPr>
          </w:p>
        </w:tc>
      </w:tr>
      <w:tr w:rsidR="00131AC5" w:rsidRPr="00131AC5" w:rsidTr="00131AC5">
        <w:trPr>
          <w:trHeight w:val="60"/>
        </w:trPr>
        <w:tc>
          <w:tcPr>
            <w:tcW w:w="10208" w:type="dxa"/>
            <w:gridSpan w:val="3"/>
          </w:tcPr>
          <w:p w:rsidR="00A06F35" w:rsidRPr="00A06F35" w:rsidRDefault="00A06F35" w:rsidP="00A06F35">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06F35">
              <w:rPr>
                <w:rFonts w:eastAsiaTheme="minorHAnsi"/>
                <w:b/>
                <w:bCs/>
                <w:sz w:val="20"/>
                <w:szCs w:val="20"/>
                <w:lang w:eastAsia="en-US" w:bidi="ar-SA"/>
              </w:rPr>
              <w:t>Operating lease commitments</w:t>
            </w:r>
          </w:p>
        </w:tc>
      </w:tr>
      <w:tr w:rsidR="00131AC5" w:rsidRPr="00131AC5" w:rsidTr="00131AC5">
        <w:trPr>
          <w:trHeight w:val="60"/>
        </w:trPr>
        <w:tc>
          <w:tcPr>
            <w:tcW w:w="10208" w:type="dxa"/>
            <w:gridSpan w:val="3"/>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pacing w:val="-2"/>
                <w:sz w:val="20"/>
                <w:szCs w:val="20"/>
                <w:lang w:eastAsia="en-US" w:bidi="ar-SA"/>
              </w:rPr>
              <w:t xml:space="preserve">Commitments for minimum lease payments in relation to </w:t>
            </w:r>
            <w:proofErr w:type="spellStart"/>
            <w:r w:rsidRPr="00A06F35">
              <w:rPr>
                <w:rFonts w:eastAsiaTheme="minorHAnsi"/>
                <w:spacing w:val="-2"/>
                <w:sz w:val="20"/>
                <w:szCs w:val="20"/>
                <w:lang w:eastAsia="en-US" w:bidi="ar-SA"/>
              </w:rPr>
              <w:t>non cancellable</w:t>
            </w:r>
            <w:proofErr w:type="spellEnd"/>
            <w:r w:rsidR="00131AC5">
              <w:rPr>
                <w:rFonts w:eastAsiaTheme="minorHAnsi"/>
                <w:spacing w:val="-2"/>
                <w:sz w:val="20"/>
                <w:szCs w:val="20"/>
                <w:lang w:eastAsia="en-US" w:bidi="ar-SA"/>
              </w:rPr>
              <w:t xml:space="preserve"> </w:t>
            </w:r>
            <w:r w:rsidRPr="00A06F35">
              <w:rPr>
                <w:rFonts w:eastAsiaTheme="minorHAnsi"/>
                <w:spacing w:val="-2"/>
                <w:sz w:val="20"/>
                <w:szCs w:val="20"/>
                <w:lang w:eastAsia="en-US" w:bidi="ar-SA"/>
              </w:rPr>
              <w:t>operating leases, not recognised as liabilities, are payable as follows:</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Within one year</w:t>
            </w:r>
          </w:p>
        </w:tc>
        <w:tc>
          <w:tcPr>
            <w:tcW w:w="2441" w:type="dxa"/>
          </w:tcPr>
          <w:p w:rsidR="00A06F35" w:rsidRPr="00A06F35" w:rsidRDefault="00A06F35" w:rsidP="00A06F35">
            <w:pPr>
              <w:widowControl/>
              <w:suppressAutoHyphens/>
              <w:adjustRightInd w:val="0"/>
              <w:spacing w:after="113" w:line="220" w:lineRule="atLeast"/>
              <w:jc w:val="right"/>
              <w:textAlignment w:val="center"/>
              <w:rPr>
                <w:rFonts w:eastAsiaTheme="minorHAnsi"/>
                <w:sz w:val="20"/>
                <w:szCs w:val="20"/>
                <w:lang w:eastAsia="en-US" w:bidi="ar-SA"/>
              </w:rPr>
            </w:pPr>
            <w:r w:rsidRPr="00A06F35">
              <w:rPr>
                <w:rFonts w:eastAsiaTheme="minorHAnsi"/>
                <w:sz w:val="20"/>
                <w:szCs w:val="20"/>
                <w:lang w:eastAsia="en-US" w:bidi="ar-SA"/>
              </w:rPr>
              <w:t>701,757</w:t>
            </w:r>
          </w:p>
        </w:tc>
        <w:tc>
          <w:tcPr>
            <w:tcW w:w="1843" w:type="dxa"/>
          </w:tcPr>
          <w:p w:rsidR="00A06F35" w:rsidRPr="00A06F35" w:rsidRDefault="00A06F35" w:rsidP="00A06F35">
            <w:pPr>
              <w:widowControl/>
              <w:suppressAutoHyphens/>
              <w:adjustRightInd w:val="0"/>
              <w:spacing w:after="113" w:line="220" w:lineRule="atLeast"/>
              <w:jc w:val="right"/>
              <w:textAlignment w:val="center"/>
              <w:rPr>
                <w:rFonts w:eastAsiaTheme="minorHAnsi"/>
                <w:sz w:val="20"/>
                <w:szCs w:val="20"/>
                <w:lang w:eastAsia="en-US" w:bidi="ar-SA"/>
              </w:rPr>
            </w:pPr>
            <w:r w:rsidRPr="00A06F35">
              <w:rPr>
                <w:rFonts w:eastAsiaTheme="minorHAnsi"/>
                <w:sz w:val="20"/>
                <w:szCs w:val="20"/>
                <w:lang w:eastAsia="en-US" w:bidi="ar-SA"/>
              </w:rPr>
              <w:t>690,554</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Later than one year but not later than five years</w:t>
            </w:r>
          </w:p>
        </w:tc>
        <w:tc>
          <w:tcPr>
            <w:tcW w:w="2441" w:type="dxa"/>
          </w:tcPr>
          <w:p w:rsidR="00A06F35" w:rsidRPr="00A06F35" w:rsidRDefault="00A06F35" w:rsidP="00A06F35">
            <w:pPr>
              <w:widowControl/>
              <w:suppressAutoHyphens/>
              <w:adjustRightInd w:val="0"/>
              <w:spacing w:after="113" w:line="220" w:lineRule="atLeast"/>
              <w:jc w:val="right"/>
              <w:textAlignment w:val="center"/>
              <w:rPr>
                <w:rFonts w:eastAsiaTheme="minorHAnsi"/>
                <w:sz w:val="20"/>
                <w:szCs w:val="20"/>
                <w:lang w:eastAsia="en-US" w:bidi="ar-SA"/>
              </w:rPr>
            </w:pPr>
            <w:r w:rsidRPr="00A06F35">
              <w:rPr>
                <w:rFonts w:eastAsiaTheme="minorHAnsi"/>
                <w:sz w:val="20"/>
                <w:szCs w:val="20"/>
                <w:lang w:eastAsia="en-US" w:bidi="ar-SA"/>
              </w:rPr>
              <w:t>–</w:t>
            </w:r>
          </w:p>
        </w:tc>
        <w:tc>
          <w:tcPr>
            <w:tcW w:w="1843" w:type="dxa"/>
          </w:tcPr>
          <w:p w:rsidR="00A06F35" w:rsidRPr="00A06F35" w:rsidRDefault="00A06F35" w:rsidP="00A06F35">
            <w:pPr>
              <w:widowControl/>
              <w:suppressAutoHyphens/>
              <w:adjustRightInd w:val="0"/>
              <w:spacing w:after="113" w:line="220" w:lineRule="atLeast"/>
              <w:jc w:val="right"/>
              <w:textAlignment w:val="center"/>
              <w:rPr>
                <w:rFonts w:eastAsiaTheme="minorHAnsi"/>
                <w:sz w:val="20"/>
                <w:szCs w:val="20"/>
                <w:lang w:eastAsia="en-US" w:bidi="ar-SA"/>
              </w:rPr>
            </w:pPr>
            <w:r w:rsidRPr="00A06F35">
              <w:rPr>
                <w:rFonts w:eastAsiaTheme="minorHAnsi"/>
                <w:sz w:val="20"/>
                <w:szCs w:val="20"/>
                <w:lang w:eastAsia="en-US" w:bidi="ar-SA"/>
              </w:rPr>
              <w:t>3,013,034</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Total commitments (inclusive of GST)</w:t>
            </w:r>
          </w:p>
        </w:tc>
        <w:tc>
          <w:tcPr>
            <w:tcW w:w="2441" w:type="dxa"/>
          </w:tcPr>
          <w:p w:rsidR="00A06F35" w:rsidRPr="00A06F35" w:rsidRDefault="00A06F35" w:rsidP="00A06F35">
            <w:pPr>
              <w:widowControl/>
              <w:suppressAutoHyphens/>
              <w:adjustRightInd w:val="0"/>
              <w:spacing w:after="113" w:line="220" w:lineRule="atLeast"/>
              <w:jc w:val="right"/>
              <w:textAlignment w:val="center"/>
              <w:rPr>
                <w:rFonts w:eastAsiaTheme="minorHAnsi"/>
                <w:sz w:val="20"/>
                <w:szCs w:val="20"/>
                <w:lang w:eastAsia="en-US" w:bidi="ar-SA"/>
              </w:rPr>
            </w:pPr>
            <w:r w:rsidRPr="00A06F35">
              <w:rPr>
                <w:rFonts w:eastAsiaTheme="minorHAnsi"/>
                <w:sz w:val="20"/>
                <w:szCs w:val="20"/>
                <w:lang w:eastAsia="en-US" w:bidi="ar-SA"/>
              </w:rPr>
              <w:t>701,757</w:t>
            </w:r>
          </w:p>
        </w:tc>
        <w:tc>
          <w:tcPr>
            <w:tcW w:w="1843" w:type="dxa"/>
          </w:tcPr>
          <w:p w:rsidR="00A06F35" w:rsidRPr="00A06F35" w:rsidRDefault="00A06F35" w:rsidP="00A06F35">
            <w:pPr>
              <w:widowControl/>
              <w:suppressAutoHyphens/>
              <w:adjustRightInd w:val="0"/>
              <w:spacing w:after="113" w:line="220" w:lineRule="atLeast"/>
              <w:jc w:val="right"/>
              <w:textAlignment w:val="center"/>
              <w:rPr>
                <w:rFonts w:eastAsiaTheme="minorHAnsi"/>
                <w:sz w:val="20"/>
                <w:szCs w:val="20"/>
                <w:lang w:eastAsia="en-US" w:bidi="ar-SA"/>
              </w:rPr>
            </w:pPr>
            <w:r w:rsidRPr="00A06F35">
              <w:rPr>
                <w:rFonts w:eastAsiaTheme="minorHAnsi"/>
                <w:sz w:val="20"/>
                <w:szCs w:val="20"/>
                <w:lang w:eastAsia="en-US" w:bidi="ar-SA"/>
              </w:rPr>
              <w:t>3,703,588</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Less GST recoverable</w:t>
            </w:r>
          </w:p>
        </w:tc>
        <w:tc>
          <w:tcPr>
            <w:tcW w:w="2441" w:type="dxa"/>
          </w:tcPr>
          <w:p w:rsidR="00A06F35" w:rsidRPr="00A06F35" w:rsidRDefault="00A06F35" w:rsidP="00A06F35">
            <w:pPr>
              <w:widowControl/>
              <w:suppressAutoHyphens/>
              <w:adjustRightInd w:val="0"/>
              <w:spacing w:after="113" w:line="220" w:lineRule="atLeast"/>
              <w:jc w:val="right"/>
              <w:textAlignment w:val="center"/>
              <w:rPr>
                <w:rFonts w:eastAsiaTheme="minorHAnsi"/>
                <w:sz w:val="20"/>
                <w:szCs w:val="20"/>
                <w:lang w:eastAsia="en-US" w:bidi="ar-SA"/>
              </w:rPr>
            </w:pPr>
            <w:r w:rsidRPr="00A06F35">
              <w:rPr>
                <w:rFonts w:eastAsiaTheme="minorHAnsi"/>
                <w:sz w:val="20"/>
                <w:szCs w:val="20"/>
                <w:lang w:eastAsia="en-US" w:bidi="ar-SA"/>
              </w:rPr>
              <w:t>(63,796)</w:t>
            </w:r>
          </w:p>
        </w:tc>
        <w:tc>
          <w:tcPr>
            <w:tcW w:w="1843" w:type="dxa"/>
          </w:tcPr>
          <w:p w:rsidR="00A06F35" w:rsidRPr="00A06F35" w:rsidRDefault="00A06F35" w:rsidP="00A06F35">
            <w:pPr>
              <w:widowControl/>
              <w:suppressAutoHyphens/>
              <w:adjustRightInd w:val="0"/>
              <w:spacing w:after="113" w:line="220" w:lineRule="atLeast"/>
              <w:jc w:val="right"/>
              <w:textAlignment w:val="center"/>
              <w:rPr>
                <w:rFonts w:eastAsiaTheme="minorHAnsi"/>
                <w:sz w:val="20"/>
                <w:szCs w:val="20"/>
                <w:lang w:eastAsia="en-US" w:bidi="ar-SA"/>
              </w:rPr>
            </w:pPr>
            <w:r w:rsidRPr="00A06F35">
              <w:rPr>
                <w:rFonts w:eastAsiaTheme="minorHAnsi"/>
                <w:sz w:val="20"/>
                <w:szCs w:val="20"/>
                <w:lang w:eastAsia="en-US" w:bidi="ar-SA"/>
              </w:rPr>
              <w:t>(336,690)</w:t>
            </w:r>
          </w:p>
        </w:tc>
      </w:tr>
      <w:tr w:rsidR="00131AC5" w:rsidRPr="00131AC5" w:rsidTr="00131AC5">
        <w:trPr>
          <w:trHeight w:val="60"/>
        </w:trPr>
        <w:tc>
          <w:tcPr>
            <w:tcW w:w="5924" w:type="dxa"/>
          </w:tcPr>
          <w:p w:rsidR="00A06F35" w:rsidRPr="00A06F35" w:rsidRDefault="00A06F35" w:rsidP="00A06F35">
            <w:pPr>
              <w:widowControl/>
              <w:suppressAutoHyphens/>
              <w:adjustRightInd w:val="0"/>
              <w:spacing w:after="113" w:line="220" w:lineRule="atLeast"/>
              <w:textAlignment w:val="center"/>
              <w:rPr>
                <w:rFonts w:eastAsiaTheme="minorHAnsi"/>
                <w:sz w:val="20"/>
                <w:szCs w:val="20"/>
                <w:lang w:eastAsia="en-US" w:bidi="ar-SA"/>
              </w:rPr>
            </w:pPr>
            <w:r w:rsidRPr="00A06F35">
              <w:rPr>
                <w:rFonts w:eastAsiaTheme="minorHAnsi"/>
                <w:sz w:val="20"/>
                <w:szCs w:val="20"/>
                <w:lang w:eastAsia="en-US" w:bidi="ar-SA"/>
              </w:rPr>
              <w:t>Total commitments (exclusive of GST)</w:t>
            </w:r>
          </w:p>
        </w:tc>
        <w:tc>
          <w:tcPr>
            <w:tcW w:w="2441" w:type="dxa"/>
          </w:tcPr>
          <w:p w:rsidR="00A06F35" w:rsidRPr="00A06F35" w:rsidRDefault="00A06F35" w:rsidP="00A06F35">
            <w:pPr>
              <w:widowControl/>
              <w:suppressAutoHyphens/>
              <w:adjustRightInd w:val="0"/>
              <w:spacing w:after="113" w:line="220" w:lineRule="atLeast"/>
              <w:jc w:val="right"/>
              <w:textAlignment w:val="center"/>
              <w:rPr>
                <w:rFonts w:eastAsiaTheme="minorHAnsi"/>
                <w:sz w:val="20"/>
                <w:szCs w:val="20"/>
                <w:lang w:eastAsia="en-US" w:bidi="ar-SA"/>
              </w:rPr>
            </w:pPr>
            <w:r w:rsidRPr="00A06F35">
              <w:rPr>
                <w:rFonts w:eastAsiaTheme="minorHAnsi"/>
                <w:sz w:val="20"/>
                <w:szCs w:val="20"/>
                <w:lang w:eastAsia="en-US" w:bidi="ar-SA"/>
              </w:rPr>
              <w:t>637,961</w:t>
            </w:r>
          </w:p>
        </w:tc>
        <w:tc>
          <w:tcPr>
            <w:tcW w:w="1843" w:type="dxa"/>
          </w:tcPr>
          <w:p w:rsidR="00A06F35" w:rsidRPr="00A06F35" w:rsidRDefault="00A06F35" w:rsidP="00A06F35">
            <w:pPr>
              <w:widowControl/>
              <w:suppressAutoHyphens/>
              <w:adjustRightInd w:val="0"/>
              <w:spacing w:after="113" w:line="220" w:lineRule="atLeast"/>
              <w:jc w:val="right"/>
              <w:textAlignment w:val="center"/>
              <w:rPr>
                <w:rFonts w:eastAsiaTheme="minorHAnsi"/>
                <w:sz w:val="20"/>
                <w:szCs w:val="20"/>
                <w:lang w:eastAsia="en-US" w:bidi="ar-SA"/>
              </w:rPr>
            </w:pPr>
            <w:r w:rsidRPr="00A06F35">
              <w:rPr>
                <w:rFonts w:eastAsiaTheme="minorHAnsi"/>
                <w:sz w:val="20"/>
                <w:szCs w:val="20"/>
                <w:lang w:eastAsia="en-US" w:bidi="ar-SA"/>
              </w:rPr>
              <w:t>3,366,898</w:t>
            </w:r>
          </w:p>
        </w:tc>
      </w:tr>
    </w:tbl>
    <w:p w:rsidR="00760EA0" w:rsidRDefault="00760EA0" w:rsidP="00760EA0"/>
    <w:p w:rsidR="00760EA0" w:rsidRDefault="00760EA0" w:rsidP="00760EA0"/>
    <w:p w:rsidR="00760EA0" w:rsidRDefault="00760EA0" w:rsidP="00760EA0"/>
    <w:p w:rsidR="00760EA0" w:rsidRDefault="00760EA0" w:rsidP="00760EA0"/>
    <w:p w:rsidR="00760EA0" w:rsidRDefault="00760EA0" w:rsidP="00760EA0"/>
    <w:p w:rsidR="00760EA0" w:rsidRDefault="00760EA0" w:rsidP="00760EA0"/>
    <w:p w:rsidR="00760EA0" w:rsidRDefault="00760EA0" w:rsidP="00760EA0"/>
    <w:p w:rsidR="00760EA0" w:rsidRDefault="00760EA0" w:rsidP="00760EA0"/>
    <w:p w:rsidR="00760EA0" w:rsidRDefault="00760EA0" w:rsidP="00760EA0"/>
    <w:p w:rsidR="00760EA0" w:rsidRDefault="00760EA0" w:rsidP="00760EA0"/>
    <w:p w:rsidR="00760EA0" w:rsidRDefault="00760EA0" w:rsidP="00760EA0"/>
    <w:p w:rsidR="00760EA0" w:rsidRDefault="00760EA0" w:rsidP="00760EA0"/>
    <w:p w:rsidR="00760EA0" w:rsidRDefault="00760EA0" w:rsidP="00760EA0"/>
    <w:p w:rsidR="00760EA0" w:rsidRDefault="00760EA0" w:rsidP="00760EA0"/>
    <w:p w:rsidR="00760EA0" w:rsidRDefault="00760EA0" w:rsidP="00760EA0"/>
    <w:p w:rsidR="00760EA0" w:rsidRDefault="00760EA0" w:rsidP="00760EA0"/>
    <w:p w:rsidR="00A06F35" w:rsidRPr="00BF29AB" w:rsidRDefault="00A06F35" w:rsidP="00760EA0">
      <w:pPr>
        <w:pStyle w:val="Heading2"/>
        <w:numPr>
          <w:ilvl w:val="0"/>
          <w:numId w:val="29"/>
        </w:numPr>
      </w:pPr>
      <w:bookmarkStart w:id="46" w:name="_Toc23329745"/>
      <w:r w:rsidRPr="00BF29AB">
        <w:lastRenderedPageBreak/>
        <w:t>Risks, contingencies and valuation judgements</w:t>
      </w:r>
      <w:bookmarkEnd w:id="46"/>
    </w:p>
    <w:p w:rsidR="00760EA0" w:rsidRDefault="00760EA0" w:rsidP="00760EA0">
      <w:pPr>
        <w:rPr>
          <w:lang w:eastAsia="en-US" w:bidi="ar-SA"/>
        </w:rPr>
      </w:pPr>
    </w:p>
    <w:p w:rsidR="00A06F35" w:rsidRPr="00A06F35" w:rsidRDefault="00A06F35" w:rsidP="00760EA0">
      <w:pPr>
        <w:pStyle w:val="Heading3"/>
        <w:rPr>
          <w:lang w:eastAsia="en-US" w:bidi="ar-SA"/>
        </w:rPr>
      </w:pPr>
      <w:r w:rsidRPr="00A06F35">
        <w:rPr>
          <w:lang w:eastAsia="en-US" w:bidi="ar-SA"/>
        </w:rPr>
        <w:t>Introduction</w:t>
      </w:r>
    </w:p>
    <w:p w:rsidR="00760EA0" w:rsidRDefault="00760EA0" w:rsidP="00760EA0">
      <w:pPr>
        <w:rPr>
          <w:lang w:eastAsia="en-US" w:bidi="ar-SA"/>
        </w:rPr>
      </w:pP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The Commission is exposed to risk from its activities and outside factors. In addition, it is often necessary to make judgements and estimates associated with recognition and measurement of items in the financial statements.</w:t>
      </w: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This section sets out financial instrument specific information (including exposures to financial risks)</w:t>
      </w:r>
      <w:r w:rsidRPr="00A06F35">
        <w:rPr>
          <w:rFonts w:eastAsiaTheme="minorHAnsi"/>
          <w:color w:val="000000"/>
          <w:sz w:val="20"/>
          <w:szCs w:val="20"/>
          <w:lang w:eastAsia="en-US" w:bidi="ar-SA"/>
        </w:rPr>
        <w:br/>
        <w:t>as well as those items that are contingent in nature or require a higher level of judgement to be applied, which for the Commission relates mainly to fair value determination.</w:t>
      </w:r>
    </w:p>
    <w:p w:rsidR="00760EA0" w:rsidRDefault="00760EA0" w:rsidP="00760EA0">
      <w:pPr>
        <w:rPr>
          <w:lang w:eastAsia="en-US" w:bidi="ar-SA"/>
        </w:rPr>
      </w:pPr>
    </w:p>
    <w:p w:rsidR="00A06F35" w:rsidRPr="00760EA0" w:rsidRDefault="00A06F35" w:rsidP="00760EA0">
      <w:pPr>
        <w:pStyle w:val="Heading3"/>
      </w:pPr>
      <w:r w:rsidRPr="00760EA0">
        <w:t>Structure</w:t>
      </w:r>
    </w:p>
    <w:p w:rsidR="00760EA0" w:rsidRPr="00A06F35" w:rsidRDefault="00760EA0" w:rsidP="00760EA0">
      <w:pPr>
        <w:rPr>
          <w:lang w:eastAsia="en-US" w:bidi="ar-SA"/>
        </w:rPr>
      </w:pPr>
    </w:p>
    <w:p w:rsidR="00A06F35" w:rsidRPr="00A06F35" w:rsidRDefault="00A06F35" w:rsidP="009B6377">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7.1</w:t>
      </w:r>
      <w:r w:rsidRPr="00A06F35">
        <w:rPr>
          <w:rFonts w:eastAsiaTheme="minorHAnsi"/>
          <w:color w:val="000000"/>
          <w:sz w:val="20"/>
          <w:szCs w:val="20"/>
          <w:lang w:eastAsia="en-US" w:bidi="ar-SA"/>
        </w:rPr>
        <w:t> </w:t>
      </w:r>
      <w:r w:rsidRPr="00A06F35">
        <w:rPr>
          <w:rFonts w:eastAsiaTheme="minorHAnsi"/>
          <w:color w:val="000000"/>
          <w:sz w:val="20"/>
          <w:szCs w:val="20"/>
          <w:lang w:eastAsia="en-US" w:bidi="ar-SA"/>
        </w:rPr>
        <w:t>Financial instruments specific disclosures</w:t>
      </w:r>
    </w:p>
    <w:p w:rsidR="00A06F35" w:rsidRPr="00A06F35" w:rsidRDefault="00A06F35" w:rsidP="009B6377">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7.2</w:t>
      </w:r>
      <w:r w:rsidRPr="00A06F35">
        <w:rPr>
          <w:rFonts w:eastAsiaTheme="minorHAnsi"/>
          <w:color w:val="000000"/>
          <w:sz w:val="20"/>
          <w:szCs w:val="20"/>
          <w:lang w:eastAsia="en-US" w:bidi="ar-SA"/>
        </w:rPr>
        <w:t> </w:t>
      </w:r>
      <w:r w:rsidRPr="00A06F35">
        <w:rPr>
          <w:rFonts w:eastAsiaTheme="minorHAnsi"/>
          <w:color w:val="000000"/>
          <w:sz w:val="20"/>
          <w:szCs w:val="20"/>
          <w:lang w:eastAsia="en-US" w:bidi="ar-SA"/>
        </w:rPr>
        <w:t>Categorisation of financial instruments</w:t>
      </w:r>
    </w:p>
    <w:p w:rsidR="00A06F35" w:rsidRPr="00A06F35" w:rsidRDefault="00A06F35" w:rsidP="009B6377">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7.3</w:t>
      </w:r>
      <w:r w:rsidRPr="00A06F35">
        <w:rPr>
          <w:rFonts w:eastAsiaTheme="minorHAnsi"/>
          <w:color w:val="000000"/>
          <w:sz w:val="20"/>
          <w:szCs w:val="20"/>
          <w:lang w:eastAsia="en-US" w:bidi="ar-SA"/>
        </w:rPr>
        <w:t> </w:t>
      </w:r>
      <w:r w:rsidRPr="00A06F35">
        <w:rPr>
          <w:rFonts w:eastAsiaTheme="minorHAnsi"/>
          <w:color w:val="000000"/>
          <w:sz w:val="20"/>
          <w:szCs w:val="20"/>
          <w:lang w:eastAsia="en-US" w:bidi="ar-SA"/>
        </w:rPr>
        <w:t>Financial risk management objectives and policies</w:t>
      </w:r>
    </w:p>
    <w:p w:rsidR="00A06F35" w:rsidRDefault="00A06F35" w:rsidP="009B6377">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7.4</w:t>
      </w:r>
      <w:r w:rsidRPr="00A06F35">
        <w:rPr>
          <w:rFonts w:eastAsiaTheme="minorHAnsi"/>
          <w:color w:val="000000"/>
          <w:sz w:val="20"/>
          <w:szCs w:val="20"/>
          <w:lang w:eastAsia="en-US" w:bidi="ar-SA"/>
        </w:rPr>
        <w:t> </w:t>
      </w:r>
      <w:r w:rsidRPr="00A06F35">
        <w:rPr>
          <w:rFonts w:eastAsiaTheme="minorHAnsi"/>
          <w:color w:val="000000"/>
          <w:sz w:val="20"/>
          <w:szCs w:val="20"/>
          <w:lang w:eastAsia="en-US" w:bidi="ar-SA"/>
        </w:rPr>
        <w:t xml:space="preserve">Contingent assets and contingent liabilities </w:t>
      </w:r>
    </w:p>
    <w:p w:rsidR="00760EA0" w:rsidRPr="00A06F35" w:rsidRDefault="00760EA0" w:rsidP="00760EA0">
      <w:pPr>
        <w:rPr>
          <w:lang w:eastAsia="en-US" w:bidi="ar-SA"/>
        </w:rPr>
      </w:pPr>
    </w:p>
    <w:p w:rsidR="00A06F35" w:rsidRPr="00760EA0" w:rsidRDefault="00A06F35" w:rsidP="00760EA0">
      <w:pPr>
        <w:pStyle w:val="Heading4"/>
      </w:pPr>
      <w:r w:rsidRPr="00760EA0">
        <w:t>7.1</w:t>
      </w:r>
      <w:r w:rsidR="009769A3">
        <w:t xml:space="preserve"> </w:t>
      </w:r>
      <w:r w:rsidRPr="00760EA0">
        <w:t xml:space="preserve">Financial instruments specific disclosures </w:t>
      </w:r>
    </w:p>
    <w:p w:rsidR="00760EA0" w:rsidRPr="00A06F35" w:rsidRDefault="00760EA0" w:rsidP="00760EA0">
      <w:pPr>
        <w:rPr>
          <w:lang w:eastAsia="en-US" w:bidi="ar-SA"/>
        </w:rPr>
      </w:pPr>
    </w:p>
    <w:p w:rsidR="00A06F35" w:rsidRDefault="00A06F35" w:rsidP="009B6377">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A06F35">
        <w:rPr>
          <w:rFonts w:eastAsiaTheme="minorHAnsi"/>
          <w:b/>
          <w:bCs/>
          <w:color w:val="000000"/>
          <w:sz w:val="20"/>
          <w:szCs w:val="20"/>
          <w:lang w:eastAsia="en-US" w:bidi="ar-SA"/>
        </w:rPr>
        <w:t>Introduction</w:t>
      </w:r>
    </w:p>
    <w:p w:rsidR="00760EA0" w:rsidRPr="00A06F35" w:rsidRDefault="00760EA0" w:rsidP="00760EA0">
      <w:pPr>
        <w:rPr>
          <w:lang w:eastAsia="en-US" w:bidi="ar-SA"/>
        </w:rPr>
      </w:pP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Financial instruments arise out of contractual agreements between entities that give rise to a financial</w:t>
      </w:r>
      <w:r w:rsidR="00760EA0">
        <w:rPr>
          <w:rFonts w:eastAsiaTheme="minorHAnsi"/>
          <w:color w:val="000000"/>
          <w:sz w:val="20"/>
          <w:szCs w:val="20"/>
          <w:lang w:eastAsia="en-US" w:bidi="ar-SA"/>
        </w:rPr>
        <w:t xml:space="preserve"> </w:t>
      </w:r>
      <w:r w:rsidRPr="00A06F35">
        <w:rPr>
          <w:rFonts w:eastAsiaTheme="minorHAnsi"/>
          <w:color w:val="000000"/>
          <w:sz w:val="20"/>
          <w:szCs w:val="20"/>
          <w:lang w:eastAsia="en-US" w:bidi="ar-SA"/>
        </w:rPr>
        <w:t>asset of one entity and a financial liability or equity instrument of another entity. Due to the nature</w:t>
      </w:r>
      <w:r w:rsidR="00760EA0">
        <w:rPr>
          <w:rFonts w:eastAsiaTheme="minorHAnsi"/>
          <w:color w:val="000000"/>
          <w:sz w:val="20"/>
          <w:szCs w:val="20"/>
          <w:lang w:eastAsia="en-US" w:bidi="ar-SA"/>
        </w:rPr>
        <w:t xml:space="preserve"> </w:t>
      </w:r>
      <w:r w:rsidRPr="00A06F35">
        <w:rPr>
          <w:rFonts w:eastAsiaTheme="minorHAnsi"/>
          <w:color w:val="000000"/>
          <w:sz w:val="20"/>
          <w:szCs w:val="20"/>
          <w:lang w:eastAsia="en-US" w:bidi="ar-SA"/>
        </w:rPr>
        <w:t>of the Commission’s activities, certain financial assets and financial liabilities arise under statute rather</w:t>
      </w:r>
      <w:r w:rsidR="00760EA0">
        <w:rPr>
          <w:rFonts w:eastAsiaTheme="minorHAnsi"/>
          <w:color w:val="000000"/>
          <w:sz w:val="20"/>
          <w:szCs w:val="20"/>
          <w:lang w:eastAsia="en-US" w:bidi="ar-SA"/>
        </w:rPr>
        <w:t xml:space="preserve"> </w:t>
      </w:r>
      <w:r w:rsidRPr="00A06F35">
        <w:rPr>
          <w:rFonts w:eastAsiaTheme="minorHAnsi"/>
          <w:color w:val="000000"/>
          <w:sz w:val="20"/>
          <w:szCs w:val="20"/>
          <w:lang w:eastAsia="en-US" w:bidi="ar-SA"/>
        </w:rPr>
        <w:t>than a contract. Such financial assets and financial liabilities do not meet the definition of financial</w:t>
      </w:r>
      <w:r w:rsidR="00760EA0">
        <w:rPr>
          <w:rFonts w:eastAsiaTheme="minorHAnsi"/>
          <w:color w:val="000000"/>
          <w:sz w:val="20"/>
          <w:szCs w:val="20"/>
          <w:lang w:eastAsia="en-US" w:bidi="ar-SA"/>
        </w:rPr>
        <w:t xml:space="preserve"> </w:t>
      </w:r>
      <w:r w:rsidRPr="00A06F35">
        <w:rPr>
          <w:rFonts w:eastAsiaTheme="minorHAnsi"/>
          <w:color w:val="000000"/>
          <w:spacing w:val="-1"/>
          <w:sz w:val="20"/>
          <w:szCs w:val="20"/>
          <w:lang w:eastAsia="en-US" w:bidi="ar-SA"/>
        </w:rPr>
        <w:t xml:space="preserve">instruments in AASB 132 </w:t>
      </w:r>
      <w:r w:rsidRPr="00A06F35">
        <w:rPr>
          <w:rFonts w:eastAsiaTheme="minorHAnsi"/>
          <w:i/>
          <w:iCs/>
          <w:color w:val="000000"/>
          <w:spacing w:val="-1"/>
          <w:sz w:val="20"/>
          <w:szCs w:val="20"/>
          <w:lang w:eastAsia="en-US" w:bidi="ar-SA"/>
        </w:rPr>
        <w:t>Financial Instruments: Presentation</w:t>
      </w:r>
      <w:r w:rsidRPr="00A06F35">
        <w:rPr>
          <w:rFonts w:eastAsiaTheme="minorHAnsi"/>
          <w:color w:val="000000"/>
          <w:spacing w:val="-1"/>
          <w:sz w:val="20"/>
          <w:szCs w:val="20"/>
          <w:lang w:eastAsia="en-US" w:bidi="ar-SA"/>
        </w:rPr>
        <w:t>. For example, statutory receivables do not</w:t>
      </w:r>
      <w:r w:rsidR="00760EA0">
        <w:rPr>
          <w:rFonts w:eastAsiaTheme="minorHAnsi"/>
          <w:color w:val="000000"/>
          <w:spacing w:val="-1"/>
          <w:sz w:val="20"/>
          <w:szCs w:val="20"/>
          <w:lang w:eastAsia="en-US" w:bidi="ar-SA"/>
        </w:rPr>
        <w:t xml:space="preserve"> </w:t>
      </w:r>
      <w:r w:rsidRPr="00A06F35">
        <w:rPr>
          <w:rFonts w:eastAsiaTheme="minorHAnsi"/>
          <w:color w:val="000000"/>
          <w:spacing w:val="-1"/>
          <w:sz w:val="20"/>
          <w:szCs w:val="20"/>
          <w:lang w:eastAsia="en-US" w:bidi="ar-SA"/>
        </w:rPr>
        <w:t>meet the definition of financial instruments as they do not arise under contract. The Commission’s</w:t>
      </w:r>
      <w:r w:rsidR="00760EA0">
        <w:rPr>
          <w:rFonts w:eastAsiaTheme="minorHAnsi"/>
          <w:color w:val="000000"/>
          <w:spacing w:val="-1"/>
          <w:sz w:val="20"/>
          <w:szCs w:val="20"/>
          <w:lang w:eastAsia="en-US" w:bidi="ar-SA"/>
        </w:rPr>
        <w:t xml:space="preserve"> </w:t>
      </w:r>
      <w:r w:rsidRPr="00A06F35">
        <w:rPr>
          <w:rFonts w:eastAsiaTheme="minorHAnsi"/>
          <w:color w:val="000000"/>
          <w:spacing w:val="-1"/>
          <w:sz w:val="20"/>
          <w:szCs w:val="20"/>
          <w:lang w:eastAsia="en-US" w:bidi="ar-SA"/>
        </w:rPr>
        <w:t>statutory receivables are disclosed in note 5.1.</w:t>
      </w: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pacing w:val="-1"/>
          <w:sz w:val="20"/>
          <w:szCs w:val="20"/>
          <w:lang w:eastAsia="en-US" w:bidi="ar-SA"/>
        </w:rPr>
        <w:t xml:space="preserve">From July 2018, the Commission applies AASB 9 </w:t>
      </w:r>
      <w:r w:rsidRPr="00A06F35">
        <w:rPr>
          <w:rFonts w:eastAsiaTheme="minorHAnsi"/>
          <w:i/>
          <w:iCs/>
          <w:color w:val="000000"/>
          <w:spacing w:val="-1"/>
          <w:sz w:val="20"/>
          <w:szCs w:val="20"/>
          <w:lang w:eastAsia="en-US" w:bidi="ar-SA"/>
        </w:rPr>
        <w:t>Financial Instruments</w:t>
      </w:r>
      <w:r w:rsidRPr="00A06F35">
        <w:rPr>
          <w:rFonts w:eastAsiaTheme="minorHAnsi"/>
          <w:color w:val="000000"/>
          <w:spacing w:val="-1"/>
          <w:sz w:val="20"/>
          <w:szCs w:val="20"/>
          <w:lang w:eastAsia="en-US" w:bidi="ar-SA"/>
        </w:rPr>
        <w:t xml:space="preserve"> and classifies all its financial assets based on the business model for managing the assets and the asset’s contractual terms.</w:t>
      </w:r>
    </w:p>
    <w:p w:rsidR="00A06F35" w:rsidRPr="00A06F35" w:rsidRDefault="00A06F35" w:rsidP="009B6377">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A06F35">
        <w:rPr>
          <w:rFonts w:eastAsiaTheme="minorHAnsi"/>
          <w:b/>
          <w:bCs/>
          <w:color w:val="000000"/>
          <w:sz w:val="20"/>
          <w:szCs w:val="20"/>
          <w:lang w:eastAsia="en-US" w:bidi="ar-SA"/>
        </w:rPr>
        <w:t>Categories of financial assets under AASB 9</w:t>
      </w:r>
    </w:p>
    <w:p w:rsidR="00A06F35" w:rsidRPr="00A06F35" w:rsidRDefault="00A06F35" w:rsidP="009B6377">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A06F35">
        <w:rPr>
          <w:rFonts w:eastAsiaTheme="minorHAnsi"/>
          <w:b/>
          <w:bCs/>
          <w:color w:val="000000"/>
          <w:sz w:val="20"/>
          <w:szCs w:val="20"/>
          <w:lang w:eastAsia="en-US" w:bidi="ar-SA"/>
        </w:rPr>
        <w:t>Financial assets at amortised cost</w:t>
      </w:r>
      <w:r w:rsidRPr="00A06F35">
        <w:rPr>
          <w:rFonts w:eastAsiaTheme="minorHAnsi"/>
          <w:b/>
          <w:bCs/>
          <w:color w:val="000000"/>
          <w:sz w:val="20"/>
          <w:szCs w:val="20"/>
          <w:lang w:eastAsia="en-US" w:bidi="ar-SA"/>
        </w:rPr>
        <w:br/>
      </w:r>
      <w:r w:rsidRPr="00A06F35">
        <w:rPr>
          <w:rFonts w:eastAsiaTheme="minorHAnsi"/>
          <w:color w:val="000000"/>
          <w:sz w:val="20"/>
          <w:szCs w:val="20"/>
          <w:lang w:eastAsia="en-US" w:bidi="ar-SA"/>
        </w:rPr>
        <w:t>Financial assets are measured at amortised costs. These assets are initially recognised at fair value plus any directly attributable transaction costs and subsequently measured at amortised cost using the effective interest method less any impairment.</w:t>
      </w: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The Commission recognises the following assets in this category:</w:t>
      </w:r>
    </w:p>
    <w:p w:rsidR="00A06F35" w:rsidRPr="00760EA0" w:rsidRDefault="00A06F35" w:rsidP="00760EA0">
      <w:pPr>
        <w:pStyle w:val="ListParagraph"/>
        <w:widowControl/>
        <w:numPr>
          <w:ilvl w:val="0"/>
          <w:numId w:val="32"/>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760EA0">
        <w:rPr>
          <w:rFonts w:eastAsiaTheme="minorHAnsi"/>
          <w:color w:val="000000"/>
          <w:sz w:val="20"/>
          <w:szCs w:val="20"/>
          <w:lang w:eastAsia="en-US" w:bidi="ar-SA"/>
        </w:rPr>
        <w:t>cash and deposits</w:t>
      </w:r>
    </w:p>
    <w:p w:rsidR="00A06F35" w:rsidRPr="00760EA0" w:rsidRDefault="00A06F35" w:rsidP="00760EA0">
      <w:pPr>
        <w:pStyle w:val="ListParagraph"/>
        <w:widowControl/>
        <w:numPr>
          <w:ilvl w:val="0"/>
          <w:numId w:val="32"/>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760EA0">
        <w:rPr>
          <w:rFonts w:eastAsiaTheme="minorHAnsi"/>
          <w:color w:val="000000"/>
          <w:sz w:val="20"/>
          <w:szCs w:val="20"/>
          <w:lang w:eastAsia="en-US" w:bidi="ar-SA"/>
        </w:rPr>
        <w:t>trade receivables (excluding statutory receivables).</w:t>
      </w:r>
    </w:p>
    <w:p w:rsidR="00A06F35" w:rsidRPr="00760EA0" w:rsidRDefault="00A06F35" w:rsidP="009B6377">
      <w:pPr>
        <w:widowControl/>
        <w:suppressAutoHyphens/>
        <w:adjustRightInd w:val="0"/>
        <w:spacing w:after="113" w:line="220" w:lineRule="atLeast"/>
        <w:ind w:left="709" w:right="1137"/>
        <w:textAlignment w:val="center"/>
        <w:rPr>
          <w:rFonts w:eastAsiaTheme="minorHAnsi"/>
          <w:b/>
          <w:bCs/>
          <w:color w:val="000000"/>
          <w:sz w:val="20"/>
          <w:szCs w:val="20"/>
          <w:lang w:eastAsia="en-US" w:bidi="ar-SA"/>
        </w:rPr>
      </w:pPr>
      <w:r w:rsidRPr="00760EA0">
        <w:rPr>
          <w:rFonts w:eastAsiaTheme="minorHAnsi"/>
          <w:b/>
          <w:bCs/>
          <w:color w:val="000000"/>
          <w:sz w:val="20"/>
          <w:szCs w:val="20"/>
          <w:lang w:eastAsia="en-US" w:bidi="ar-SA"/>
        </w:rPr>
        <w:t>Categories of financial assets previously under AASB 139</w:t>
      </w: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760EA0">
        <w:rPr>
          <w:rFonts w:eastAsiaTheme="minorHAnsi"/>
          <w:b/>
          <w:bCs/>
          <w:color w:val="000000"/>
          <w:sz w:val="20"/>
          <w:szCs w:val="20"/>
          <w:lang w:eastAsia="en-US" w:bidi="ar-SA"/>
        </w:rPr>
        <w:t>Receivables and cash</w:t>
      </w:r>
      <w:r w:rsidRPr="00A06F35">
        <w:rPr>
          <w:rFonts w:eastAsiaTheme="minorHAnsi"/>
          <w:color w:val="000000"/>
          <w:sz w:val="20"/>
          <w:szCs w:val="20"/>
          <w:lang w:eastAsia="en-US" w:bidi="ar-SA"/>
        </w:rPr>
        <w:br/>
        <w:t>Receivables and cash are financial instrument assets with fixed and determinable payments that are not quoted on an active market. These assets are initially recognised at fair value plus any directly attributable transaction costs. Subsequent to initial measurement, receivables and cash are measured at amortised</w:t>
      </w:r>
      <w:r w:rsidRPr="00A06F35">
        <w:rPr>
          <w:rFonts w:eastAsiaTheme="minorHAnsi"/>
          <w:color w:val="000000"/>
          <w:sz w:val="20"/>
          <w:szCs w:val="20"/>
          <w:lang w:eastAsia="en-US" w:bidi="ar-SA"/>
        </w:rPr>
        <w:br/>
        <w:t>cost using the effective interest method, less any impairment.</w:t>
      </w: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Receivables and cash include trade receivables, but not statutory receivables.</w:t>
      </w:r>
    </w:p>
    <w:p w:rsidR="00A06F35" w:rsidRPr="00A06F35" w:rsidRDefault="00A06F35" w:rsidP="00760EA0">
      <w:pPr>
        <w:rPr>
          <w:lang w:eastAsia="en-US" w:bidi="ar-SA"/>
        </w:rPr>
      </w:pPr>
    </w:p>
    <w:p w:rsidR="00A06F35" w:rsidRPr="00760EA0" w:rsidRDefault="00A06F35" w:rsidP="009B6377">
      <w:pPr>
        <w:widowControl/>
        <w:suppressAutoHyphens/>
        <w:adjustRightInd w:val="0"/>
        <w:spacing w:after="113" w:line="220" w:lineRule="atLeast"/>
        <w:ind w:left="709" w:right="1137"/>
        <w:textAlignment w:val="center"/>
        <w:rPr>
          <w:rFonts w:eastAsiaTheme="minorHAnsi"/>
          <w:b/>
          <w:bCs/>
          <w:color w:val="000000"/>
          <w:sz w:val="20"/>
          <w:szCs w:val="20"/>
          <w:lang w:eastAsia="en-US" w:bidi="ar-SA"/>
        </w:rPr>
      </w:pPr>
      <w:r w:rsidRPr="00760EA0">
        <w:rPr>
          <w:rFonts w:eastAsiaTheme="minorHAnsi"/>
          <w:b/>
          <w:bCs/>
          <w:color w:val="000000"/>
          <w:sz w:val="20"/>
          <w:szCs w:val="20"/>
          <w:lang w:eastAsia="en-US" w:bidi="ar-SA"/>
        </w:rPr>
        <w:t>Categories of financial liabilities under AASB 9 and previously under AASB 139</w:t>
      </w:r>
    </w:p>
    <w:p w:rsidR="00A06F35" w:rsidRPr="00760EA0" w:rsidRDefault="00A06F35" w:rsidP="00760EA0">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760EA0">
        <w:rPr>
          <w:rFonts w:eastAsiaTheme="minorHAnsi"/>
          <w:b/>
          <w:bCs/>
          <w:color w:val="000000"/>
          <w:sz w:val="20"/>
          <w:szCs w:val="20"/>
          <w:lang w:eastAsia="en-US" w:bidi="ar-SA"/>
        </w:rPr>
        <w:t>Financial liabilities at amortised cost</w:t>
      </w:r>
      <w:r w:rsidRPr="00760EA0">
        <w:rPr>
          <w:sz w:val="20"/>
          <w:szCs w:val="20"/>
          <w:lang w:eastAsia="en-US" w:bidi="ar-SA"/>
        </w:rPr>
        <w:br/>
        <w:t>Financial instrument liabilities are initially recognised on the date they are originated. They are initially measured at fair value plus any directly attributable transaction costs.</w:t>
      </w:r>
    </w:p>
    <w:p w:rsidR="00A06F35" w:rsidRDefault="00A06F35" w:rsidP="00760EA0">
      <w:pPr>
        <w:widowControl/>
        <w:suppressAutoHyphens/>
        <w:adjustRightInd w:val="0"/>
        <w:spacing w:after="113" w:line="220" w:lineRule="atLeast"/>
        <w:ind w:left="709" w:right="1137"/>
        <w:textAlignment w:val="center"/>
        <w:rPr>
          <w:rFonts w:eastAsiaTheme="minorHAnsi"/>
          <w:color w:val="000000"/>
          <w:spacing w:val="-2"/>
          <w:sz w:val="20"/>
          <w:szCs w:val="20"/>
          <w:lang w:eastAsia="en-US" w:bidi="ar-SA"/>
        </w:rPr>
      </w:pPr>
      <w:r w:rsidRPr="00760EA0">
        <w:rPr>
          <w:rFonts w:eastAsiaTheme="minorHAnsi"/>
          <w:color w:val="000000"/>
          <w:spacing w:val="-2"/>
          <w:sz w:val="20"/>
          <w:szCs w:val="20"/>
          <w:lang w:eastAsia="en-US" w:bidi="ar-SA"/>
        </w:rPr>
        <w:t>Financial instrument liabilities measured at amortised cost include all of the Commission’s contractual</w:t>
      </w:r>
      <w:r w:rsidRPr="00760EA0">
        <w:rPr>
          <w:rFonts w:eastAsiaTheme="minorHAnsi"/>
          <w:color w:val="000000"/>
          <w:spacing w:val="-2"/>
          <w:sz w:val="20"/>
          <w:szCs w:val="20"/>
          <w:lang w:eastAsia="en-US" w:bidi="ar-SA"/>
        </w:rPr>
        <w:br/>
        <w:t>payables and borrowings.</w:t>
      </w:r>
    </w:p>
    <w:p w:rsidR="00760EA0" w:rsidRDefault="00760EA0" w:rsidP="00760EA0">
      <w:pPr>
        <w:rPr>
          <w:lang w:eastAsia="en-US" w:bidi="ar-SA"/>
        </w:rPr>
      </w:pPr>
    </w:p>
    <w:p w:rsidR="00760EA0" w:rsidRDefault="00760EA0" w:rsidP="00760EA0">
      <w:pPr>
        <w:rPr>
          <w:lang w:eastAsia="en-US" w:bidi="ar-SA"/>
        </w:rPr>
      </w:pPr>
    </w:p>
    <w:p w:rsidR="00760EA0" w:rsidRDefault="00760EA0" w:rsidP="00760EA0">
      <w:pPr>
        <w:rPr>
          <w:lang w:eastAsia="en-US" w:bidi="ar-SA"/>
        </w:rPr>
      </w:pPr>
    </w:p>
    <w:p w:rsidR="00760EA0" w:rsidRPr="00760EA0" w:rsidRDefault="00760EA0" w:rsidP="00760EA0">
      <w:pPr>
        <w:rPr>
          <w:lang w:eastAsia="en-US" w:bidi="ar-SA"/>
        </w:rPr>
      </w:pPr>
    </w:p>
    <w:p w:rsidR="00A06F35" w:rsidRPr="00760EA0" w:rsidRDefault="00A06F35" w:rsidP="009B6377">
      <w:pPr>
        <w:widowControl/>
        <w:suppressAutoHyphens/>
        <w:adjustRightInd w:val="0"/>
        <w:spacing w:after="113" w:line="220" w:lineRule="atLeast"/>
        <w:ind w:left="709" w:right="1137"/>
        <w:textAlignment w:val="center"/>
        <w:rPr>
          <w:rFonts w:eastAsiaTheme="minorHAnsi"/>
          <w:b/>
          <w:bCs/>
          <w:color w:val="000000"/>
          <w:spacing w:val="-2"/>
          <w:sz w:val="20"/>
          <w:szCs w:val="20"/>
          <w:lang w:eastAsia="en-US" w:bidi="ar-SA"/>
        </w:rPr>
      </w:pPr>
      <w:r w:rsidRPr="00760EA0">
        <w:rPr>
          <w:rFonts w:eastAsiaTheme="minorHAnsi"/>
          <w:b/>
          <w:bCs/>
          <w:color w:val="000000"/>
          <w:spacing w:val="-2"/>
          <w:sz w:val="20"/>
          <w:szCs w:val="20"/>
          <w:lang w:eastAsia="en-US" w:bidi="ar-SA"/>
        </w:rPr>
        <w:lastRenderedPageBreak/>
        <w:t>Derecognition of financial assets and liabilities</w:t>
      </w: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pacing w:val="-2"/>
          <w:sz w:val="20"/>
          <w:szCs w:val="20"/>
          <w:lang w:eastAsia="en-US" w:bidi="ar-SA"/>
        </w:rPr>
      </w:pPr>
      <w:r w:rsidRPr="00760EA0">
        <w:rPr>
          <w:rFonts w:eastAsiaTheme="minorHAnsi"/>
          <w:b/>
          <w:bCs/>
          <w:color w:val="000000"/>
          <w:spacing w:val="-2"/>
          <w:sz w:val="20"/>
          <w:szCs w:val="20"/>
          <w:lang w:eastAsia="en-US" w:bidi="ar-SA"/>
        </w:rPr>
        <w:t>Derecognition of financial assets</w:t>
      </w:r>
      <w:r w:rsidRPr="00A06F35">
        <w:rPr>
          <w:rFonts w:eastAsiaTheme="minorHAnsi"/>
          <w:color w:val="000000"/>
          <w:spacing w:val="-2"/>
          <w:sz w:val="20"/>
          <w:szCs w:val="20"/>
          <w:lang w:eastAsia="en-US" w:bidi="ar-SA"/>
        </w:rPr>
        <w:br/>
        <w:t>A financial asset (or, where applicable, a part of a financial asset or part of a group of similar financial assets)</w:t>
      </w:r>
      <w:r w:rsidRPr="00A06F35">
        <w:rPr>
          <w:rFonts w:eastAsiaTheme="minorHAnsi"/>
          <w:color w:val="000000"/>
          <w:spacing w:val="-2"/>
          <w:sz w:val="20"/>
          <w:szCs w:val="20"/>
          <w:lang w:eastAsia="en-US" w:bidi="ar-SA"/>
        </w:rPr>
        <w:br/>
        <w:t>is derecognised when the rights to receive cash flows from the asset have expired.</w:t>
      </w:r>
    </w:p>
    <w:p w:rsidR="00A06F35" w:rsidRDefault="00A06F35" w:rsidP="009B6377">
      <w:pPr>
        <w:widowControl/>
        <w:suppressAutoHyphens/>
        <w:adjustRightInd w:val="0"/>
        <w:spacing w:after="113" w:line="220" w:lineRule="atLeast"/>
        <w:ind w:left="709" w:right="1137"/>
        <w:textAlignment w:val="center"/>
        <w:rPr>
          <w:rFonts w:eastAsiaTheme="minorHAnsi"/>
          <w:color w:val="000000"/>
          <w:spacing w:val="-2"/>
          <w:sz w:val="20"/>
          <w:szCs w:val="20"/>
          <w:lang w:eastAsia="en-US" w:bidi="ar-SA"/>
        </w:rPr>
      </w:pPr>
      <w:r w:rsidRPr="00760EA0">
        <w:rPr>
          <w:rFonts w:eastAsiaTheme="minorHAnsi"/>
          <w:b/>
          <w:bCs/>
          <w:color w:val="000000"/>
          <w:spacing w:val="-2"/>
          <w:sz w:val="20"/>
          <w:szCs w:val="20"/>
          <w:lang w:eastAsia="en-US" w:bidi="ar-SA"/>
        </w:rPr>
        <w:t>Derecognition of financial liabilities</w:t>
      </w:r>
      <w:r w:rsidRPr="00A06F35">
        <w:rPr>
          <w:rFonts w:eastAsiaTheme="minorHAnsi"/>
          <w:color w:val="000000"/>
          <w:spacing w:val="-2"/>
          <w:sz w:val="20"/>
          <w:szCs w:val="20"/>
          <w:lang w:eastAsia="en-US" w:bidi="ar-SA"/>
        </w:rPr>
        <w:br/>
        <w:t>A financial liability is derecognised when the obligation under the liability is discharged, cancelled or expires.</w:t>
      </w:r>
    </w:p>
    <w:p w:rsidR="00760EA0" w:rsidRPr="00A06F35" w:rsidRDefault="00760EA0" w:rsidP="00760EA0">
      <w:pPr>
        <w:rPr>
          <w:lang w:eastAsia="en-US" w:bidi="ar-SA"/>
        </w:rPr>
      </w:pPr>
    </w:p>
    <w:p w:rsidR="00A06F35" w:rsidRDefault="00A06F35" w:rsidP="00760EA0">
      <w:pPr>
        <w:pStyle w:val="Heading4"/>
        <w:rPr>
          <w:lang w:eastAsia="en-US" w:bidi="ar-SA"/>
        </w:rPr>
      </w:pPr>
      <w:r w:rsidRPr="00A06F35">
        <w:rPr>
          <w:lang w:eastAsia="en-US" w:bidi="ar-SA"/>
        </w:rPr>
        <w:t>7.2</w:t>
      </w:r>
      <w:r w:rsidR="00760EA0">
        <w:rPr>
          <w:lang w:eastAsia="en-US" w:bidi="ar-SA"/>
        </w:rPr>
        <w:t xml:space="preserve"> </w:t>
      </w:r>
      <w:r w:rsidRPr="00A06F35">
        <w:rPr>
          <w:lang w:eastAsia="en-US" w:bidi="ar-SA"/>
        </w:rPr>
        <w:t>Categorisation of financial instruments</w:t>
      </w:r>
    </w:p>
    <w:p w:rsidR="00760EA0" w:rsidRPr="00A06F35" w:rsidRDefault="00760EA0" w:rsidP="00760EA0">
      <w:pPr>
        <w:rPr>
          <w:lang w:eastAsia="en-US" w:bidi="ar-SA"/>
        </w:rPr>
      </w:pPr>
    </w:p>
    <w:tbl>
      <w:tblPr>
        <w:tblStyle w:val="TableGrid"/>
        <w:tblW w:w="0" w:type="auto"/>
        <w:tblInd w:w="742" w:type="dxa"/>
        <w:tblLayout w:type="fixed"/>
        <w:tblLook w:val="0000" w:firstRow="0" w:lastRow="0" w:firstColumn="0" w:lastColumn="0" w:noHBand="0" w:noVBand="0"/>
      </w:tblPr>
      <w:tblGrid>
        <w:gridCol w:w="2514"/>
        <w:gridCol w:w="1134"/>
        <w:gridCol w:w="3543"/>
        <w:gridCol w:w="1276"/>
        <w:gridCol w:w="1418"/>
      </w:tblGrid>
      <w:tr w:rsidR="00A06F35" w:rsidRPr="00A06F35" w:rsidTr="00A134B1">
        <w:trPr>
          <w:trHeight w:val="60"/>
        </w:trPr>
        <w:tc>
          <w:tcPr>
            <w:tcW w:w="2514" w:type="dxa"/>
            <w:vMerge w:val="restart"/>
          </w:tcPr>
          <w:p w:rsidR="00A06F35" w:rsidRPr="00A134B1" w:rsidRDefault="00A06F35" w:rsidP="00A134B1">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A134B1">
              <w:rPr>
                <w:rFonts w:eastAsiaTheme="minorHAnsi"/>
                <w:b/>
                <w:bCs/>
                <w:sz w:val="20"/>
                <w:szCs w:val="20"/>
                <w:lang w:eastAsia="en-US" w:bidi="ar-SA"/>
              </w:rPr>
              <w:t>Financial assets</w:t>
            </w:r>
          </w:p>
        </w:tc>
        <w:tc>
          <w:tcPr>
            <w:tcW w:w="1134" w:type="dxa"/>
            <w:vMerge w:val="restart"/>
          </w:tcPr>
          <w:p w:rsidR="00A06F35" w:rsidRPr="00A134B1" w:rsidRDefault="00A06F35" w:rsidP="00A134B1">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134B1">
              <w:rPr>
                <w:rFonts w:eastAsiaTheme="minorHAnsi"/>
                <w:b/>
                <w:bCs/>
                <w:sz w:val="20"/>
                <w:szCs w:val="20"/>
                <w:lang w:eastAsia="en-US" w:bidi="ar-SA"/>
              </w:rPr>
              <w:t>Note</w:t>
            </w:r>
          </w:p>
        </w:tc>
        <w:tc>
          <w:tcPr>
            <w:tcW w:w="3543" w:type="dxa"/>
            <w:vMerge w:val="restart"/>
          </w:tcPr>
          <w:p w:rsidR="00A06F35" w:rsidRPr="00A134B1" w:rsidRDefault="00A06F35" w:rsidP="00A134B1">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134B1">
              <w:rPr>
                <w:rFonts w:eastAsiaTheme="minorHAnsi"/>
                <w:b/>
                <w:bCs/>
                <w:sz w:val="20"/>
                <w:szCs w:val="20"/>
                <w:lang w:eastAsia="en-US" w:bidi="ar-SA"/>
              </w:rPr>
              <w:t>Category</w:t>
            </w:r>
          </w:p>
        </w:tc>
        <w:tc>
          <w:tcPr>
            <w:tcW w:w="2694" w:type="dxa"/>
            <w:gridSpan w:val="2"/>
          </w:tcPr>
          <w:p w:rsidR="00A06F35" w:rsidRPr="00A134B1" w:rsidRDefault="00A06F35" w:rsidP="00A134B1">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134B1">
              <w:rPr>
                <w:rFonts w:eastAsiaTheme="minorHAnsi"/>
                <w:b/>
                <w:bCs/>
                <w:sz w:val="20"/>
                <w:szCs w:val="20"/>
                <w:lang w:eastAsia="en-US" w:bidi="ar-SA"/>
              </w:rPr>
              <w:t>Carrying amount</w:t>
            </w:r>
          </w:p>
        </w:tc>
      </w:tr>
      <w:tr w:rsidR="00A06F35" w:rsidRPr="00A06F35" w:rsidTr="00A134B1">
        <w:trPr>
          <w:trHeight w:val="60"/>
        </w:trPr>
        <w:tc>
          <w:tcPr>
            <w:tcW w:w="2514" w:type="dxa"/>
            <w:vMerge/>
          </w:tcPr>
          <w:p w:rsidR="00A06F35" w:rsidRPr="00A134B1" w:rsidRDefault="00A06F35" w:rsidP="00A06F35">
            <w:pPr>
              <w:widowControl/>
              <w:adjustRightInd w:val="0"/>
              <w:rPr>
                <w:rFonts w:eastAsiaTheme="minorHAnsi"/>
                <w:sz w:val="20"/>
                <w:szCs w:val="20"/>
                <w:lang w:eastAsia="en-US" w:bidi="ar-SA"/>
              </w:rPr>
            </w:pPr>
          </w:p>
        </w:tc>
        <w:tc>
          <w:tcPr>
            <w:tcW w:w="1134" w:type="dxa"/>
            <w:vMerge/>
          </w:tcPr>
          <w:p w:rsidR="00A06F35" w:rsidRPr="00A134B1" w:rsidRDefault="00A06F35" w:rsidP="00A134B1">
            <w:pPr>
              <w:widowControl/>
              <w:adjustRightInd w:val="0"/>
              <w:jc w:val="center"/>
              <w:rPr>
                <w:rFonts w:eastAsiaTheme="minorHAnsi"/>
                <w:sz w:val="20"/>
                <w:szCs w:val="20"/>
                <w:lang w:eastAsia="en-US" w:bidi="ar-SA"/>
              </w:rPr>
            </w:pPr>
          </w:p>
        </w:tc>
        <w:tc>
          <w:tcPr>
            <w:tcW w:w="3543" w:type="dxa"/>
            <w:vMerge/>
          </w:tcPr>
          <w:p w:rsidR="00A06F35" w:rsidRPr="00A134B1" w:rsidRDefault="00A06F35" w:rsidP="00A06F35">
            <w:pPr>
              <w:widowControl/>
              <w:adjustRightInd w:val="0"/>
              <w:rPr>
                <w:rFonts w:eastAsiaTheme="minorHAnsi"/>
                <w:sz w:val="20"/>
                <w:szCs w:val="20"/>
                <w:lang w:eastAsia="en-US" w:bidi="ar-SA"/>
              </w:rPr>
            </w:pPr>
          </w:p>
        </w:tc>
        <w:tc>
          <w:tcPr>
            <w:tcW w:w="1276" w:type="dxa"/>
          </w:tcPr>
          <w:p w:rsidR="00A06F35" w:rsidRPr="00A134B1" w:rsidRDefault="00A06F35" w:rsidP="00A134B1">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134B1">
              <w:rPr>
                <w:rFonts w:eastAsiaTheme="minorHAnsi"/>
                <w:b/>
                <w:bCs/>
                <w:sz w:val="20"/>
                <w:szCs w:val="20"/>
                <w:lang w:eastAsia="en-US" w:bidi="ar-SA"/>
              </w:rPr>
              <w:t>2019</w:t>
            </w:r>
          </w:p>
        </w:tc>
        <w:tc>
          <w:tcPr>
            <w:tcW w:w="1418" w:type="dxa"/>
          </w:tcPr>
          <w:p w:rsidR="00A06F35" w:rsidRPr="00A134B1" w:rsidRDefault="00A06F35" w:rsidP="00A134B1">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134B1">
              <w:rPr>
                <w:rFonts w:eastAsiaTheme="minorHAnsi"/>
                <w:b/>
                <w:bCs/>
                <w:sz w:val="20"/>
                <w:szCs w:val="20"/>
                <w:lang w:eastAsia="en-US" w:bidi="ar-SA"/>
              </w:rPr>
              <w:t>2018</w:t>
            </w:r>
          </w:p>
        </w:tc>
      </w:tr>
      <w:tr w:rsidR="00A06F35" w:rsidRPr="00A06F35" w:rsidTr="00A134B1">
        <w:trPr>
          <w:trHeight w:val="60"/>
        </w:trPr>
        <w:tc>
          <w:tcPr>
            <w:tcW w:w="2514" w:type="dxa"/>
            <w:vMerge/>
          </w:tcPr>
          <w:p w:rsidR="00A06F35" w:rsidRPr="00A134B1" w:rsidRDefault="00A06F35" w:rsidP="00A06F35">
            <w:pPr>
              <w:widowControl/>
              <w:adjustRightInd w:val="0"/>
              <w:rPr>
                <w:rFonts w:eastAsiaTheme="minorHAnsi"/>
                <w:sz w:val="20"/>
                <w:szCs w:val="20"/>
                <w:lang w:eastAsia="en-US" w:bidi="ar-SA"/>
              </w:rPr>
            </w:pPr>
          </w:p>
        </w:tc>
        <w:tc>
          <w:tcPr>
            <w:tcW w:w="1134" w:type="dxa"/>
            <w:vMerge/>
          </w:tcPr>
          <w:p w:rsidR="00A06F35" w:rsidRPr="00A134B1" w:rsidRDefault="00A06F35" w:rsidP="00A134B1">
            <w:pPr>
              <w:widowControl/>
              <w:adjustRightInd w:val="0"/>
              <w:jc w:val="center"/>
              <w:rPr>
                <w:rFonts w:eastAsiaTheme="minorHAnsi"/>
                <w:sz w:val="20"/>
                <w:szCs w:val="20"/>
                <w:lang w:eastAsia="en-US" w:bidi="ar-SA"/>
              </w:rPr>
            </w:pPr>
          </w:p>
        </w:tc>
        <w:tc>
          <w:tcPr>
            <w:tcW w:w="3543" w:type="dxa"/>
            <w:vMerge/>
          </w:tcPr>
          <w:p w:rsidR="00A06F35" w:rsidRPr="00A134B1" w:rsidRDefault="00A06F35" w:rsidP="00A06F35">
            <w:pPr>
              <w:widowControl/>
              <w:adjustRightInd w:val="0"/>
              <w:rPr>
                <w:rFonts w:eastAsiaTheme="minorHAnsi"/>
                <w:sz w:val="20"/>
                <w:szCs w:val="20"/>
                <w:lang w:eastAsia="en-US" w:bidi="ar-SA"/>
              </w:rPr>
            </w:pPr>
          </w:p>
        </w:tc>
        <w:tc>
          <w:tcPr>
            <w:tcW w:w="1276" w:type="dxa"/>
          </w:tcPr>
          <w:p w:rsidR="00A06F35" w:rsidRPr="00A134B1" w:rsidRDefault="00A06F35" w:rsidP="00A134B1">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134B1">
              <w:rPr>
                <w:rFonts w:eastAsiaTheme="minorHAnsi"/>
                <w:b/>
                <w:bCs/>
                <w:sz w:val="20"/>
                <w:szCs w:val="20"/>
                <w:lang w:eastAsia="en-US" w:bidi="ar-SA"/>
              </w:rPr>
              <w:t>$</w:t>
            </w:r>
          </w:p>
        </w:tc>
        <w:tc>
          <w:tcPr>
            <w:tcW w:w="1418" w:type="dxa"/>
          </w:tcPr>
          <w:p w:rsidR="00A06F35" w:rsidRPr="00A134B1" w:rsidRDefault="00A06F35" w:rsidP="00A134B1">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A134B1">
              <w:rPr>
                <w:rFonts w:eastAsiaTheme="minorHAnsi"/>
                <w:b/>
                <w:bCs/>
                <w:sz w:val="20"/>
                <w:szCs w:val="20"/>
                <w:lang w:eastAsia="en-US" w:bidi="ar-SA"/>
              </w:rPr>
              <w:t>$</w:t>
            </w:r>
          </w:p>
        </w:tc>
      </w:tr>
      <w:tr w:rsidR="00A06F35" w:rsidRPr="00A06F35" w:rsidTr="00A134B1">
        <w:trPr>
          <w:trHeight w:val="60"/>
        </w:trPr>
        <w:tc>
          <w:tcPr>
            <w:tcW w:w="2514" w:type="dxa"/>
          </w:tcPr>
          <w:p w:rsidR="00A06F35" w:rsidRPr="00A06F35" w:rsidRDefault="00A06F35" w:rsidP="00A06F35">
            <w:pPr>
              <w:widowControl/>
              <w:suppressAutoHyphens/>
              <w:adjustRightInd w:val="0"/>
              <w:spacing w:after="113" w:line="220" w:lineRule="atLeast"/>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Cash and deposits</w:t>
            </w:r>
          </w:p>
        </w:tc>
        <w:tc>
          <w:tcPr>
            <w:tcW w:w="1134" w:type="dxa"/>
          </w:tcPr>
          <w:p w:rsidR="00A06F35" w:rsidRPr="00A06F35" w:rsidRDefault="00A06F35" w:rsidP="00A134B1">
            <w:pPr>
              <w:widowControl/>
              <w:adjustRightInd w:val="0"/>
              <w:jc w:val="center"/>
              <w:rPr>
                <w:rFonts w:eastAsiaTheme="minorHAnsi"/>
                <w:sz w:val="20"/>
                <w:szCs w:val="20"/>
                <w:lang w:eastAsia="en-US" w:bidi="ar-SA"/>
              </w:rPr>
            </w:pPr>
          </w:p>
        </w:tc>
        <w:tc>
          <w:tcPr>
            <w:tcW w:w="3543" w:type="dxa"/>
          </w:tcPr>
          <w:p w:rsidR="00A06F35" w:rsidRPr="00A06F35" w:rsidRDefault="00A06F35" w:rsidP="00A06F35">
            <w:pPr>
              <w:widowControl/>
              <w:suppressAutoHyphens/>
              <w:adjustRightInd w:val="0"/>
              <w:spacing w:after="113" w:line="220" w:lineRule="atLeast"/>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Financial assets at amortised cost</w:t>
            </w:r>
          </w:p>
        </w:tc>
        <w:tc>
          <w:tcPr>
            <w:tcW w:w="1276"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600</w:t>
            </w:r>
          </w:p>
        </w:tc>
        <w:tc>
          <w:tcPr>
            <w:tcW w:w="1418"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600</w:t>
            </w:r>
          </w:p>
        </w:tc>
      </w:tr>
      <w:tr w:rsidR="00A06F35" w:rsidRPr="00A06F35" w:rsidTr="00A134B1">
        <w:trPr>
          <w:trHeight w:val="60"/>
        </w:trPr>
        <w:tc>
          <w:tcPr>
            <w:tcW w:w="2514" w:type="dxa"/>
          </w:tcPr>
          <w:p w:rsidR="00A06F35" w:rsidRPr="00A06F35" w:rsidRDefault="00A06F35" w:rsidP="00A06F35">
            <w:pPr>
              <w:widowControl/>
              <w:suppressAutoHyphens/>
              <w:adjustRightInd w:val="0"/>
              <w:spacing w:after="113" w:line="220" w:lineRule="atLeast"/>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Receivables</w:t>
            </w:r>
            <w:r w:rsidRPr="00A06F35">
              <w:rPr>
                <w:rFonts w:eastAsiaTheme="minorHAnsi"/>
                <w:color w:val="000000"/>
                <w:sz w:val="20"/>
                <w:szCs w:val="20"/>
                <w:vertAlign w:val="superscript"/>
                <w:lang w:eastAsia="en-US" w:bidi="ar-SA"/>
              </w:rPr>
              <w:t>(a)</w:t>
            </w:r>
          </w:p>
        </w:tc>
        <w:tc>
          <w:tcPr>
            <w:tcW w:w="1134"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5.1</w:t>
            </w:r>
          </w:p>
        </w:tc>
        <w:tc>
          <w:tcPr>
            <w:tcW w:w="3543" w:type="dxa"/>
          </w:tcPr>
          <w:p w:rsidR="00A06F35" w:rsidRPr="00A06F35" w:rsidRDefault="00A06F35" w:rsidP="00A06F35">
            <w:pPr>
              <w:widowControl/>
              <w:suppressAutoHyphens/>
              <w:adjustRightInd w:val="0"/>
              <w:spacing w:after="113" w:line="220" w:lineRule="atLeast"/>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Financial assets at amortised cost</w:t>
            </w:r>
          </w:p>
        </w:tc>
        <w:tc>
          <w:tcPr>
            <w:tcW w:w="1276"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1,682,253</w:t>
            </w:r>
          </w:p>
        </w:tc>
        <w:tc>
          <w:tcPr>
            <w:tcW w:w="1418"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1,434,082</w:t>
            </w:r>
          </w:p>
        </w:tc>
      </w:tr>
      <w:tr w:rsidR="00A06F35" w:rsidRPr="00A06F35" w:rsidTr="00A134B1">
        <w:trPr>
          <w:trHeight w:val="60"/>
        </w:trPr>
        <w:tc>
          <w:tcPr>
            <w:tcW w:w="2514" w:type="dxa"/>
          </w:tcPr>
          <w:p w:rsidR="00A06F35" w:rsidRPr="00A06F35" w:rsidRDefault="00A06F35" w:rsidP="00A06F35">
            <w:pPr>
              <w:widowControl/>
              <w:adjustRightInd w:val="0"/>
              <w:rPr>
                <w:rFonts w:eastAsiaTheme="minorHAnsi"/>
                <w:sz w:val="20"/>
                <w:szCs w:val="20"/>
                <w:lang w:eastAsia="en-US" w:bidi="ar-SA"/>
              </w:rPr>
            </w:pPr>
          </w:p>
        </w:tc>
        <w:tc>
          <w:tcPr>
            <w:tcW w:w="1134" w:type="dxa"/>
          </w:tcPr>
          <w:p w:rsidR="00A06F35" w:rsidRPr="00A06F35" w:rsidRDefault="00A06F35" w:rsidP="00A06F35">
            <w:pPr>
              <w:widowControl/>
              <w:adjustRightInd w:val="0"/>
              <w:rPr>
                <w:rFonts w:eastAsiaTheme="minorHAnsi"/>
                <w:sz w:val="20"/>
                <w:szCs w:val="20"/>
                <w:lang w:eastAsia="en-US" w:bidi="ar-SA"/>
              </w:rPr>
            </w:pPr>
          </w:p>
        </w:tc>
        <w:tc>
          <w:tcPr>
            <w:tcW w:w="3543" w:type="dxa"/>
          </w:tcPr>
          <w:p w:rsidR="00A06F35" w:rsidRPr="00A06F35" w:rsidRDefault="00A06F35" w:rsidP="00A06F35">
            <w:pPr>
              <w:widowControl/>
              <w:adjustRightInd w:val="0"/>
              <w:rPr>
                <w:rFonts w:eastAsiaTheme="minorHAnsi"/>
                <w:sz w:val="20"/>
                <w:szCs w:val="20"/>
                <w:lang w:eastAsia="en-US" w:bidi="ar-SA"/>
              </w:rPr>
            </w:pPr>
          </w:p>
        </w:tc>
        <w:tc>
          <w:tcPr>
            <w:tcW w:w="1276"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1,682,853</w:t>
            </w:r>
          </w:p>
        </w:tc>
        <w:tc>
          <w:tcPr>
            <w:tcW w:w="1418"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1,434,682</w:t>
            </w:r>
          </w:p>
        </w:tc>
      </w:tr>
      <w:tr w:rsidR="00A06F35" w:rsidRPr="00A06F35" w:rsidTr="00A134B1">
        <w:trPr>
          <w:trHeight w:val="60"/>
        </w:trPr>
        <w:tc>
          <w:tcPr>
            <w:tcW w:w="9885" w:type="dxa"/>
            <w:gridSpan w:val="5"/>
          </w:tcPr>
          <w:p w:rsidR="00A06F35" w:rsidRPr="00A06F35" w:rsidRDefault="00A06F35" w:rsidP="00A134B1">
            <w:pPr>
              <w:widowControl/>
              <w:tabs>
                <w:tab w:val="right" w:pos="7370"/>
              </w:tabs>
              <w:suppressAutoHyphens/>
              <w:adjustRightInd w:val="0"/>
              <w:spacing w:before="170" w:after="113" w:line="260" w:lineRule="atLeast"/>
              <w:textAlignment w:val="center"/>
              <w:rPr>
                <w:rFonts w:eastAsiaTheme="minorHAnsi"/>
                <w:b/>
                <w:bCs/>
                <w:color w:val="000000"/>
                <w:sz w:val="20"/>
                <w:szCs w:val="20"/>
                <w:lang w:eastAsia="en-US" w:bidi="ar-SA"/>
              </w:rPr>
            </w:pPr>
            <w:r w:rsidRPr="00A06F35">
              <w:rPr>
                <w:rFonts w:eastAsiaTheme="minorHAnsi"/>
                <w:b/>
                <w:bCs/>
                <w:color w:val="000000"/>
                <w:sz w:val="20"/>
                <w:szCs w:val="20"/>
                <w:lang w:eastAsia="en-US" w:bidi="ar-SA"/>
              </w:rPr>
              <w:t>Financial liabilities</w:t>
            </w:r>
          </w:p>
        </w:tc>
      </w:tr>
      <w:tr w:rsidR="00A06F35" w:rsidRPr="00A06F35" w:rsidTr="00A134B1">
        <w:trPr>
          <w:trHeight w:val="60"/>
        </w:trPr>
        <w:tc>
          <w:tcPr>
            <w:tcW w:w="2514" w:type="dxa"/>
          </w:tcPr>
          <w:p w:rsidR="00A06F35" w:rsidRPr="00A06F35" w:rsidRDefault="00A06F35" w:rsidP="00A06F35">
            <w:pPr>
              <w:widowControl/>
              <w:suppressAutoHyphens/>
              <w:adjustRightInd w:val="0"/>
              <w:spacing w:after="113" w:line="220" w:lineRule="atLeast"/>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Payables</w:t>
            </w:r>
          </w:p>
        </w:tc>
        <w:tc>
          <w:tcPr>
            <w:tcW w:w="1134"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5.2</w:t>
            </w:r>
          </w:p>
        </w:tc>
        <w:tc>
          <w:tcPr>
            <w:tcW w:w="3543" w:type="dxa"/>
          </w:tcPr>
          <w:p w:rsidR="00A06F35" w:rsidRPr="00A06F35" w:rsidRDefault="00A06F35" w:rsidP="00A06F35">
            <w:pPr>
              <w:widowControl/>
              <w:suppressAutoHyphens/>
              <w:adjustRightInd w:val="0"/>
              <w:spacing w:after="113" w:line="220" w:lineRule="atLeast"/>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Financial liabilities at amortised cost</w:t>
            </w:r>
          </w:p>
        </w:tc>
        <w:tc>
          <w:tcPr>
            <w:tcW w:w="1276"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1,618,790</w:t>
            </w:r>
          </w:p>
        </w:tc>
        <w:tc>
          <w:tcPr>
            <w:tcW w:w="1418"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1,347,406</w:t>
            </w:r>
          </w:p>
        </w:tc>
      </w:tr>
      <w:tr w:rsidR="00A06F35" w:rsidRPr="00A06F35" w:rsidTr="00A134B1">
        <w:trPr>
          <w:trHeight w:val="60"/>
        </w:trPr>
        <w:tc>
          <w:tcPr>
            <w:tcW w:w="2514" w:type="dxa"/>
          </w:tcPr>
          <w:p w:rsidR="00A06F35" w:rsidRPr="00A06F35" w:rsidRDefault="00A06F35" w:rsidP="00A06F35">
            <w:pPr>
              <w:widowControl/>
              <w:suppressAutoHyphens/>
              <w:adjustRightInd w:val="0"/>
              <w:spacing w:after="113" w:line="220" w:lineRule="atLeast"/>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Borrowings</w:t>
            </w:r>
          </w:p>
        </w:tc>
        <w:tc>
          <w:tcPr>
            <w:tcW w:w="1134"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6.1</w:t>
            </w:r>
          </w:p>
        </w:tc>
        <w:tc>
          <w:tcPr>
            <w:tcW w:w="3543" w:type="dxa"/>
          </w:tcPr>
          <w:p w:rsidR="00A06F35" w:rsidRPr="00A06F35" w:rsidRDefault="00A06F35" w:rsidP="00A06F35">
            <w:pPr>
              <w:widowControl/>
              <w:suppressAutoHyphens/>
              <w:adjustRightInd w:val="0"/>
              <w:spacing w:after="113" w:line="220" w:lineRule="atLeast"/>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Financial liabilities at amortised cost</w:t>
            </w:r>
          </w:p>
        </w:tc>
        <w:tc>
          <w:tcPr>
            <w:tcW w:w="1276"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60,558</w:t>
            </w:r>
          </w:p>
        </w:tc>
        <w:tc>
          <w:tcPr>
            <w:tcW w:w="1418"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55,386</w:t>
            </w:r>
          </w:p>
        </w:tc>
      </w:tr>
      <w:tr w:rsidR="00A06F35" w:rsidRPr="00A06F35" w:rsidTr="00A134B1">
        <w:trPr>
          <w:trHeight w:val="60"/>
        </w:trPr>
        <w:tc>
          <w:tcPr>
            <w:tcW w:w="2514" w:type="dxa"/>
          </w:tcPr>
          <w:p w:rsidR="00A06F35" w:rsidRPr="00A06F35" w:rsidRDefault="00A06F35" w:rsidP="00A06F35">
            <w:pPr>
              <w:widowControl/>
              <w:adjustRightInd w:val="0"/>
              <w:rPr>
                <w:rFonts w:eastAsiaTheme="minorHAnsi"/>
                <w:sz w:val="20"/>
                <w:szCs w:val="20"/>
                <w:lang w:eastAsia="en-US" w:bidi="ar-SA"/>
              </w:rPr>
            </w:pPr>
          </w:p>
        </w:tc>
        <w:tc>
          <w:tcPr>
            <w:tcW w:w="1134" w:type="dxa"/>
          </w:tcPr>
          <w:p w:rsidR="00A06F35" w:rsidRPr="00A06F35" w:rsidRDefault="00A06F35" w:rsidP="00A06F35">
            <w:pPr>
              <w:widowControl/>
              <w:adjustRightInd w:val="0"/>
              <w:rPr>
                <w:rFonts w:eastAsiaTheme="minorHAnsi"/>
                <w:sz w:val="20"/>
                <w:szCs w:val="20"/>
                <w:lang w:eastAsia="en-US" w:bidi="ar-SA"/>
              </w:rPr>
            </w:pPr>
          </w:p>
        </w:tc>
        <w:tc>
          <w:tcPr>
            <w:tcW w:w="3543" w:type="dxa"/>
          </w:tcPr>
          <w:p w:rsidR="00A06F35" w:rsidRPr="00A06F35" w:rsidRDefault="00A06F35" w:rsidP="00A06F35">
            <w:pPr>
              <w:widowControl/>
              <w:adjustRightInd w:val="0"/>
              <w:rPr>
                <w:rFonts w:eastAsiaTheme="minorHAnsi"/>
                <w:sz w:val="20"/>
                <w:szCs w:val="20"/>
                <w:lang w:eastAsia="en-US" w:bidi="ar-SA"/>
              </w:rPr>
            </w:pPr>
          </w:p>
        </w:tc>
        <w:tc>
          <w:tcPr>
            <w:tcW w:w="1276"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1,679,348</w:t>
            </w:r>
          </w:p>
        </w:tc>
        <w:tc>
          <w:tcPr>
            <w:tcW w:w="1418" w:type="dxa"/>
          </w:tcPr>
          <w:p w:rsidR="00A06F35" w:rsidRPr="00A06F35" w:rsidRDefault="00A06F35" w:rsidP="00A134B1">
            <w:pPr>
              <w:widowControl/>
              <w:suppressAutoHyphens/>
              <w:adjustRightInd w:val="0"/>
              <w:spacing w:after="113" w:line="220" w:lineRule="atLeast"/>
              <w:jc w:val="center"/>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1,402,792</w:t>
            </w:r>
          </w:p>
        </w:tc>
      </w:tr>
    </w:tbl>
    <w:p w:rsidR="00A06F35" w:rsidRPr="00A06F35" w:rsidRDefault="00A06F35" w:rsidP="00A134B1">
      <w:pPr>
        <w:rPr>
          <w:lang w:eastAsia="en-US" w:bidi="ar-SA"/>
        </w:rPr>
      </w:pPr>
    </w:p>
    <w:p w:rsidR="00A06F35" w:rsidRPr="00A06F35" w:rsidRDefault="00A06F35" w:rsidP="009B6377">
      <w:pPr>
        <w:widowControl/>
        <w:suppressAutoHyphens/>
        <w:adjustRightInd w:val="0"/>
        <w:spacing w:line="200" w:lineRule="atLeast"/>
        <w:ind w:left="709" w:right="1137"/>
        <w:textAlignment w:val="center"/>
        <w:rPr>
          <w:rFonts w:eastAsiaTheme="minorHAnsi"/>
          <w:i/>
          <w:iCs/>
          <w:color w:val="000000"/>
          <w:sz w:val="20"/>
          <w:szCs w:val="20"/>
          <w:lang w:eastAsia="en-US" w:bidi="ar-SA"/>
        </w:rPr>
      </w:pPr>
      <w:r w:rsidRPr="00A06F35">
        <w:rPr>
          <w:rFonts w:eastAsiaTheme="minorHAnsi"/>
          <w:i/>
          <w:iCs/>
          <w:color w:val="000000"/>
          <w:sz w:val="20"/>
          <w:szCs w:val="20"/>
          <w:lang w:eastAsia="en-US" w:bidi="ar-SA"/>
        </w:rPr>
        <w:t>Note:</w:t>
      </w:r>
      <w:r w:rsidRPr="00A06F35">
        <w:rPr>
          <w:rFonts w:eastAsiaTheme="minorHAnsi"/>
          <w:i/>
          <w:iCs/>
          <w:color w:val="000000"/>
          <w:sz w:val="20"/>
          <w:szCs w:val="20"/>
          <w:lang w:eastAsia="en-US" w:bidi="ar-SA"/>
        </w:rPr>
        <w:br/>
        <w:t>(a) Receivables disclosed here exclude statutory receivables (i.e. amounts receivable from government departments</w:t>
      </w:r>
      <w:r w:rsidR="00A134B1">
        <w:rPr>
          <w:rFonts w:eastAsiaTheme="minorHAnsi"/>
          <w:i/>
          <w:iCs/>
          <w:color w:val="000000"/>
          <w:sz w:val="20"/>
          <w:szCs w:val="20"/>
          <w:lang w:eastAsia="en-US" w:bidi="ar-SA"/>
        </w:rPr>
        <w:t xml:space="preserve"> </w:t>
      </w:r>
      <w:r w:rsidRPr="00A06F35">
        <w:rPr>
          <w:rFonts w:eastAsiaTheme="minorHAnsi"/>
          <w:i/>
          <w:iCs/>
          <w:color w:val="000000"/>
          <w:sz w:val="20"/>
          <w:szCs w:val="20"/>
          <w:lang w:eastAsia="en-US" w:bidi="ar-SA"/>
        </w:rPr>
        <w:t>and GST recoverable)</w:t>
      </w:r>
    </w:p>
    <w:p w:rsidR="00A06F35" w:rsidRPr="00A06F35" w:rsidRDefault="00A06F35" w:rsidP="00A134B1">
      <w:pPr>
        <w:rPr>
          <w:lang w:eastAsia="en-US" w:bidi="ar-SA"/>
        </w:rPr>
      </w:pPr>
    </w:p>
    <w:p w:rsidR="00A06F35" w:rsidRPr="00A134B1" w:rsidRDefault="00A06F35" w:rsidP="00A134B1">
      <w:pPr>
        <w:pStyle w:val="Heading4"/>
      </w:pPr>
      <w:r w:rsidRPr="00A134B1">
        <w:t>7.3</w:t>
      </w:r>
      <w:r w:rsidR="00A134B1">
        <w:t xml:space="preserve"> </w:t>
      </w:r>
      <w:r w:rsidRPr="00A134B1">
        <w:t>Financial risk management objectives and policies</w:t>
      </w:r>
    </w:p>
    <w:p w:rsidR="00A134B1" w:rsidRPr="00A06F35" w:rsidRDefault="00A134B1" w:rsidP="00A134B1">
      <w:pPr>
        <w:rPr>
          <w:lang w:eastAsia="en-US" w:bidi="ar-SA"/>
        </w:rPr>
      </w:pP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pacing w:val="-2"/>
          <w:sz w:val="20"/>
          <w:szCs w:val="20"/>
          <w:lang w:eastAsia="en-US" w:bidi="ar-SA"/>
        </w:rPr>
      </w:pPr>
      <w:r w:rsidRPr="00A06F35">
        <w:rPr>
          <w:rFonts w:eastAsiaTheme="minorHAnsi"/>
          <w:color w:val="000000"/>
          <w:spacing w:val="-2"/>
          <w:sz w:val="20"/>
          <w:szCs w:val="20"/>
          <w:lang w:eastAsia="en-US" w:bidi="ar-SA"/>
        </w:rPr>
        <w:t>As a whole, the Commission’s financial risk management program seeks to manage the risks arising</w:t>
      </w:r>
      <w:r w:rsidR="00A134B1">
        <w:rPr>
          <w:rFonts w:eastAsiaTheme="minorHAnsi"/>
          <w:color w:val="000000"/>
          <w:spacing w:val="-2"/>
          <w:sz w:val="20"/>
          <w:szCs w:val="20"/>
          <w:lang w:eastAsia="en-US" w:bidi="ar-SA"/>
        </w:rPr>
        <w:t xml:space="preserve"> </w:t>
      </w:r>
      <w:r w:rsidRPr="00A06F35">
        <w:rPr>
          <w:rFonts w:eastAsiaTheme="minorHAnsi"/>
          <w:color w:val="000000"/>
          <w:spacing w:val="-2"/>
          <w:sz w:val="20"/>
          <w:szCs w:val="20"/>
          <w:lang w:eastAsia="en-US" w:bidi="ar-SA"/>
        </w:rPr>
        <w:t>from volatility in financial instruments.</w:t>
      </w:r>
    </w:p>
    <w:p w:rsidR="00A06F35" w:rsidRDefault="00A06F35" w:rsidP="009B6377">
      <w:pPr>
        <w:widowControl/>
        <w:suppressAutoHyphens/>
        <w:adjustRightInd w:val="0"/>
        <w:spacing w:after="113" w:line="220" w:lineRule="atLeast"/>
        <w:ind w:left="709" w:right="1137"/>
        <w:textAlignment w:val="center"/>
        <w:rPr>
          <w:rFonts w:eastAsiaTheme="minorHAnsi"/>
          <w:color w:val="000000"/>
          <w:spacing w:val="-2"/>
          <w:sz w:val="20"/>
          <w:szCs w:val="20"/>
          <w:lang w:eastAsia="en-US" w:bidi="ar-SA"/>
        </w:rPr>
      </w:pPr>
      <w:r w:rsidRPr="00A06F35">
        <w:rPr>
          <w:rFonts w:eastAsiaTheme="minorHAnsi"/>
          <w:color w:val="000000"/>
          <w:spacing w:val="-2"/>
          <w:sz w:val="20"/>
          <w:szCs w:val="20"/>
          <w:lang w:eastAsia="en-US" w:bidi="ar-SA"/>
        </w:rPr>
        <w:t>The Commission’s main financial risks include credit risk, liquidity risk and market risk. The Commission manages these financial risks in accordance with its financial risk management policy.</w:t>
      </w:r>
    </w:p>
    <w:p w:rsidR="00A134B1" w:rsidRPr="00A06F35" w:rsidRDefault="00A134B1" w:rsidP="00A134B1">
      <w:pPr>
        <w:rPr>
          <w:lang w:eastAsia="en-US" w:bidi="ar-SA"/>
        </w:rPr>
      </w:pPr>
    </w:p>
    <w:p w:rsidR="00A06F35" w:rsidRPr="00A06F35" w:rsidRDefault="00A06F35" w:rsidP="009B6377">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A06F35">
        <w:rPr>
          <w:rFonts w:eastAsiaTheme="minorHAnsi"/>
          <w:b/>
          <w:bCs/>
          <w:color w:val="000000"/>
          <w:sz w:val="20"/>
          <w:szCs w:val="20"/>
          <w:lang w:eastAsia="en-US" w:bidi="ar-SA"/>
        </w:rPr>
        <w:t>Credit risk</w:t>
      </w:r>
      <w:r w:rsidRPr="00A06F35">
        <w:rPr>
          <w:rFonts w:eastAsiaTheme="minorHAnsi"/>
          <w:b/>
          <w:bCs/>
          <w:color w:val="000000"/>
          <w:sz w:val="20"/>
          <w:szCs w:val="20"/>
          <w:lang w:eastAsia="en-US" w:bidi="ar-SA"/>
        </w:rPr>
        <w:br/>
      </w:r>
      <w:r w:rsidRPr="00A06F35">
        <w:rPr>
          <w:rFonts w:eastAsiaTheme="minorHAnsi"/>
          <w:color w:val="000000"/>
          <w:sz w:val="20"/>
          <w:szCs w:val="20"/>
          <w:lang w:eastAsia="en-US" w:bidi="ar-SA"/>
        </w:rPr>
        <w:t>Credit risk arises from the financial assets of the Commission, which comprise cash and receivables.</w:t>
      </w:r>
      <w:r w:rsidRPr="00A06F35">
        <w:rPr>
          <w:rFonts w:eastAsiaTheme="minorHAnsi"/>
          <w:color w:val="000000"/>
          <w:sz w:val="20"/>
          <w:szCs w:val="20"/>
          <w:lang w:eastAsia="en-US" w:bidi="ar-SA"/>
        </w:rPr>
        <w:br/>
        <w:t xml:space="preserve">The Commission’s exposure to credit risk arises from the potential default of counterparties on their </w:t>
      </w:r>
      <w:r w:rsidRPr="00A06F35">
        <w:rPr>
          <w:rFonts w:eastAsiaTheme="minorHAnsi"/>
          <w:color w:val="000000"/>
          <w:spacing w:val="-1"/>
          <w:sz w:val="20"/>
          <w:szCs w:val="20"/>
          <w:lang w:eastAsia="en-US" w:bidi="ar-SA"/>
        </w:rPr>
        <w:t>contractual obligations resulting in financial loss to the Commission. Credit risk is measured at fair value</w:t>
      </w:r>
      <w:r w:rsidR="00A134B1">
        <w:rPr>
          <w:rFonts w:eastAsiaTheme="minorHAnsi"/>
          <w:color w:val="000000"/>
          <w:spacing w:val="-1"/>
          <w:sz w:val="20"/>
          <w:szCs w:val="20"/>
          <w:lang w:eastAsia="en-US" w:bidi="ar-SA"/>
        </w:rPr>
        <w:t xml:space="preserve"> </w:t>
      </w:r>
      <w:r w:rsidRPr="00A06F35">
        <w:rPr>
          <w:rFonts w:eastAsiaTheme="minorHAnsi"/>
          <w:color w:val="000000"/>
          <w:spacing w:val="-1"/>
          <w:sz w:val="20"/>
          <w:szCs w:val="20"/>
          <w:lang w:eastAsia="en-US" w:bidi="ar-SA"/>
        </w:rPr>
        <w:t>and is monitored on a regular basis.</w:t>
      </w:r>
    </w:p>
    <w:p w:rsid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Credit risk associated with the Commission’s financial assets is minimal because the main debtor</w:t>
      </w:r>
      <w:r w:rsidRPr="00A06F35">
        <w:rPr>
          <w:rFonts w:eastAsiaTheme="minorHAnsi"/>
          <w:color w:val="000000"/>
          <w:sz w:val="20"/>
          <w:szCs w:val="20"/>
          <w:lang w:eastAsia="en-US" w:bidi="ar-SA"/>
        </w:rPr>
        <w:br/>
        <w:t>is the Victorian government.</w:t>
      </w:r>
    </w:p>
    <w:p w:rsidR="00A134B1" w:rsidRPr="00A06F35" w:rsidRDefault="00A134B1" w:rsidP="00A134B1">
      <w:pPr>
        <w:rPr>
          <w:lang w:eastAsia="en-US" w:bidi="ar-SA"/>
        </w:rPr>
      </w:pPr>
    </w:p>
    <w:p w:rsidR="00A06F35" w:rsidRPr="00A06F35" w:rsidRDefault="00A06F35" w:rsidP="009B6377">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A06F35">
        <w:rPr>
          <w:rFonts w:eastAsiaTheme="minorHAnsi"/>
          <w:b/>
          <w:bCs/>
          <w:color w:val="000000"/>
          <w:sz w:val="20"/>
          <w:szCs w:val="20"/>
          <w:lang w:eastAsia="en-US" w:bidi="ar-SA"/>
        </w:rPr>
        <w:t>Liquidity risk</w:t>
      </w:r>
      <w:r w:rsidRPr="00A06F35">
        <w:rPr>
          <w:rFonts w:eastAsiaTheme="minorHAnsi"/>
          <w:b/>
          <w:bCs/>
          <w:color w:val="000000"/>
          <w:sz w:val="20"/>
          <w:szCs w:val="20"/>
          <w:lang w:eastAsia="en-US" w:bidi="ar-SA"/>
        </w:rPr>
        <w:br/>
      </w:r>
      <w:r w:rsidRPr="00A06F35">
        <w:rPr>
          <w:rFonts w:eastAsiaTheme="minorHAnsi"/>
          <w:color w:val="000000"/>
          <w:sz w:val="20"/>
          <w:szCs w:val="20"/>
          <w:lang w:eastAsia="en-US" w:bidi="ar-SA"/>
        </w:rPr>
        <w:t>Liquidity risk arises when the Commission is unable to meet its financial obligations as they fall due.</w:t>
      </w:r>
      <w:r w:rsidRPr="00A06F35">
        <w:rPr>
          <w:rFonts w:eastAsiaTheme="minorHAnsi"/>
          <w:color w:val="000000"/>
          <w:sz w:val="20"/>
          <w:szCs w:val="20"/>
          <w:lang w:eastAsia="en-US" w:bidi="ar-SA"/>
        </w:rPr>
        <w:br/>
        <w:t>The Commission operates under the Victorian government’s fair payments policy of settling financial obligations within 30 days and in the event of a dispute, making payments within 30 days from</w:t>
      </w:r>
      <w:r w:rsidR="00A134B1">
        <w:rPr>
          <w:rFonts w:eastAsiaTheme="minorHAnsi"/>
          <w:color w:val="000000"/>
          <w:sz w:val="20"/>
          <w:szCs w:val="20"/>
          <w:lang w:eastAsia="en-US" w:bidi="ar-SA"/>
        </w:rPr>
        <w:t xml:space="preserve"> </w:t>
      </w:r>
      <w:r w:rsidRPr="00A06F35">
        <w:rPr>
          <w:rFonts w:eastAsiaTheme="minorHAnsi"/>
          <w:color w:val="000000"/>
          <w:sz w:val="20"/>
          <w:szCs w:val="20"/>
          <w:lang w:eastAsia="en-US" w:bidi="ar-SA"/>
        </w:rPr>
        <w:t>the date of resolution.</w:t>
      </w: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pacing w:val="-2"/>
          <w:sz w:val="20"/>
          <w:szCs w:val="20"/>
          <w:lang w:eastAsia="en-US" w:bidi="ar-SA"/>
        </w:rPr>
      </w:pPr>
      <w:r w:rsidRPr="00A06F35">
        <w:rPr>
          <w:rFonts w:eastAsiaTheme="minorHAnsi"/>
          <w:color w:val="000000"/>
          <w:sz w:val="20"/>
          <w:szCs w:val="20"/>
          <w:lang w:eastAsia="en-US" w:bidi="ar-SA"/>
        </w:rPr>
        <w:t>The Commission’s exposure to liquidity risk is deemed insignificant based on prior period data</w:t>
      </w:r>
      <w:r w:rsidRPr="00A06F35">
        <w:rPr>
          <w:rFonts w:eastAsiaTheme="minorHAnsi"/>
          <w:color w:val="000000"/>
          <w:sz w:val="20"/>
          <w:szCs w:val="20"/>
          <w:lang w:eastAsia="en-US" w:bidi="ar-SA"/>
        </w:rPr>
        <w:br/>
        <w:t>and a current assessment of this risk. Maximum exposure to liquidity risk is the carrying amount</w:t>
      </w:r>
      <w:r w:rsidRPr="00A06F35">
        <w:rPr>
          <w:rFonts w:eastAsiaTheme="minorHAnsi"/>
          <w:color w:val="000000"/>
          <w:sz w:val="20"/>
          <w:szCs w:val="20"/>
          <w:lang w:eastAsia="en-US" w:bidi="ar-SA"/>
        </w:rPr>
        <w:br/>
        <w:t>of financial liabilities. The Commission manages its liquidity risk by maintaining an adequate level</w:t>
      </w:r>
      <w:r w:rsidRPr="00A06F35">
        <w:rPr>
          <w:rFonts w:eastAsiaTheme="minorHAnsi"/>
          <w:color w:val="000000"/>
          <w:sz w:val="20"/>
          <w:szCs w:val="20"/>
          <w:lang w:eastAsia="en-US" w:bidi="ar-SA"/>
        </w:rPr>
        <w:br/>
        <w:t>of uncommitted funds that can be used at short notice to meet its short-term obligations.</w:t>
      </w:r>
    </w:p>
    <w:p w:rsidR="00A134B1" w:rsidRDefault="00A134B1" w:rsidP="00A134B1">
      <w:pPr>
        <w:rPr>
          <w:lang w:eastAsia="en-US" w:bidi="ar-SA"/>
        </w:rPr>
      </w:pPr>
    </w:p>
    <w:p w:rsidR="00A06F35" w:rsidRPr="00A06F35" w:rsidRDefault="00A06F35" w:rsidP="009B6377">
      <w:pPr>
        <w:widowControl/>
        <w:suppressAutoHyphens/>
        <w:adjustRightInd w:val="0"/>
        <w:spacing w:after="57" w:line="220" w:lineRule="atLeast"/>
        <w:ind w:left="709" w:right="1137"/>
        <w:textAlignment w:val="center"/>
        <w:rPr>
          <w:rFonts w:eastAsiaTheme="minorHAnsi"/>
          <w:color w:val="000000"/>
          <w:spacing w:val="-2"/>
          <w:sz w:val="20"/>
          <w:szCs w:val="20"/>
          <w:lang w:eastAsia="en-US" w:bidi="ar-SA"/>
        </w:rPr>
      </w:pPr>
      <w:r w:rsidRPr="00A06F35">
        <w:rPr>
          <w:rFonts w:eastAsiaTheme="minorHAnsi"/>
          <w:b/>
          <w:bCs/>
          <w:color w:val="000000"/>
          <w:sz w:val="20"/>
          <w:szCs w:val="20"/>
          <w:lang w:eastAsia="en-US" w:bidi="ar-SA"/>
        </w:rPr>
        <w:t>Market risk</w:t>
      </w:r>
      <w:r w:rsidRPr="00A06F35">
        <w:rPr>
          <w:rFonts w:eastAsiaTheme="minorHAnsi"/>
          <w:b/>
          <w:bCs/>
          <w:color w:val="000000"/>
          <w:sz w:val="20"/>
          <w:szCs w:val="20"/>
          <w:lang w:eastAsia="en-US" w:bidi="ar-SA"/>
        </w:rPr>
        <w:br/>
      </w:r>
      <w:r w:rsidRPr="00A06F35">
        <w:rPr>
          <w:rFonts w:eastAsiaTheme="minorHAnsi"/>
          <w:color w:val="000000"/>
          <w:spacing w:val="-2"/>
          <w:sz w:val="20"/>
          <w:szCs w:val="20"/>
          <w:lang w:eastAsia="en-US" w:bidi="ar-SA"/>
        </w:rPr>
        <w:t>The Commission has no material exposure to interest rate, foreign currency or other price risks.</w:t>
      </w:r>
      <w:r w:rsidRPr="00A06F35">
        <w:rPr>
          <w:rFonts w:eastAsiaTheme="minorHAnsi"/>
          <w:color w:val="000000"/>
          <w:spacing w:val="-2"/>
          <w:sz w:val="20"/>
          <w:szCs w:val="20"/>
          <w:lang w:eastAsia="en-US" w:bidi="ar-SA"/>
        </w:rPr>
        <w:br/>
        <w:t>Interest rates on the Commission’s finance lease liabilities are fixed.</w:t>
      </w:r>
    </w:p>
    <w:p w:rsidR="00A06F35" w:rsidRPr="00A06F35" w:rsidRDefault="00A06F35" w:rsidP="009B6377">
      <w:pPr>
        <w:widowControl/>
        <w:adjustRightInd w:val="0"/>
        <w:spacing w:before="113" w:after="170" w:line="280" w:lineRule="atLeast"/>
        <w:ind w:left="709" w:right="1137"/>
        <w:textAlignment w:val="center"/>
        <w:rPr>
          <w:rFonts w:eastAsiaTheme="minorHAnsi"/>
          <w:b/>
          <w:bCs/>
          <w:color w:val="000000"/>
          <w:sz w:val="20"/>
          <w:szCs w:val="20"/>
          <w:lang w:eastAsia="en-US" w:bidi="ar-SA"/>
        </w:rPr>
      </w:pPr>
    </w:p>
    <w:p w:rsidR="00A06F35" w:rsidRPr="00A06F35" w:rsidRDefault="00A06F35" w:rsidP="009769A3">
      <w:pPr>
        <w:pStyle w:val="Heading4"/>
        <w:rPr>
          <w:lang w:eastAsia="en-US" w:bidi="ar-SA"/>
        </w:rPr>
      </w:pPr>
      <w:r w:rsidRPr="00A06F35">
        <w:rPr>
          <w:lang w:eastAsia="en-US" w:bidi="ar-SA"/>
        </w:rPr>
        <w:lastRenderedPageBreak/>
        <w:t>7.4</w:t>
      </w:r>
      <w:r w:rsidR="00A134B1">
        <w:rPr>
          <w:lang w:eastAsia="en-US" w:bidi="ar-SA"/>
        </w:rPr>
        <w:t xml:space="preserve"> </w:t>
      </w:r>
      <w:r w:rsidRPr="00A06F35">
        <w:rPr>
          <w:lang w:eastAsia="en-US" w:bidi="ar-SA"/>
        </w:rPr>
        <w:t>Contingent assets and contingent liabilities</w:t>
      </w:r>
    </w:p>
    <w:p w:rsidR="00A134B1" w:rsidRDefault="00A134B1" w:rsidP="00A134B1">
      <w:pPr>
        <w:rPr>
          <w:lang w:eastAsia="en-US" w:bidi="ar-SA"/>
        </w:rPr>
      </w:pP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Contingent assets and contingent liabilities are not recognised in the balance sheet but are disclosed</w:t>
      </w:r>
      <w:r w:rsidR="00A134B1">
        <w:rPr>
          <w:rFonts w:eastAsiaTheme="minorHAnsi"/>
          <w:color w:val="000000"/>
          <w:sz w:val="20"/>
          <w:szCs w:val="20"/>
          <w:lang w:eastAsia="en-US" w:bidi="ar-SA"/>
        </w:rPr>
        <w:t xml:space="preserve"> </w:t>
      </w:r>
      <w:r w:rsidRPr="00A06F35">
        <w:rPr>
          <w:rFonts w:eastAsiaTheme="minorHAnsi"/>
          <w:color w:val="000000"/>
          <w:sz w:val="20"/>
          <w:szCs w:val="20"/>
          <w:lang w:eastAsia="en-US" w:bidi="ar-SA"/>
        </w:rPr>
        <w:t>and, if quantifiable, are measured at nominal value.</w:t>
      </w:r>
    </w:p>
    <w:p w:rsid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Contingent assets and liabilities are presented inclusive of GST receivable or payable respectively.</w:t>
      </w:r>
    </w:p>
    <w:p w:rsidR="00A134B1" w:rsidRPr="00A06F35" w:rsidRDefault="00A134B1" w:rsidP="00A134B1">
      <w:pPr>
        <w:rPr>
          <w:lang w:eastAsia="en-US" w:bidi="ar-SA"/>
        </w:rPr>
      </w:pPr>
    </w:p>
    <w:p w:rsidR="00A06F35" w:rsidRPr="00A06F35" w:rsidRDefault="00A06F35" w:rsidP="009B6377">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A06F35">
        <w:rPr>
          <w:rFonts w:eastAsiaTheme="minorHAnsi"/>
          <w:b/>
          <w:bCs/>
          <w:color w:val="000000"/>
          <w:sz w:val="20"/>
          <w:szCs w:val="20"/>
          <w:lang w:eastAsia="en-US" w:bidi="ar-SA"/>
        </w:rPr>
        <w:t>Contingent assets</w:t>
      </w:r>
      <w:r w:rsidRPr="00A06F35">
        <w:rPr>
          <w:rFonts w:eastAsiaTheme="minorHAnsi"/>
          <w:b/>
          <w:bCs/>
          <w:color w:val="000000"/>
          <w:sz w:val="20"/>
          <w:szCs w:val="20"/>
          <w:lang w:eastAsia="en-US" w:bidi="ar-SA"/>
        </w:rPr>
        <w:br/>
      </w:r>
      <w:r w:rsidRPr="00A06F35">
        <w:rPr>
          <w:rFonts w:eastAsiaTheme="minorHAnsi"/>
          <w:color w:val="000000"/>
          <w:sz w:val="20"/>
          <w:szCs w:val="20"/>
          <w:lang w:eastAsia="en-US" w:bidi="ar-SA"/>
        </w:rPr>
        <w:t>Contingent assets are possible assets that arise from past events, whose existence will be confirmed only</w:t>
      </w:r>
      <w:r w:rsidRPr="00A06F35">
        <w:rPr>
          <w:rFonts w:eastAsiaTheme="minorHAnsi"/>
          <w:color w:val="000000"/>
          <w:sz w:val="20"/>
          <w:szCs w:val="20"/>
          <w:lang w:eastAsia="en-US" w:bidi="ar-SA"/>
        </w:rPr>
        <w:br/>
        <w:t>by the occurrence or non-occurrence of one or more uncertain future events not wholly within the control</w:t>
      </w:r>
      <w:r w:rsidRPr="00A06F35">
        <w:rPr>
          <w:rFonts w:eastAsiaTheme="minorHAnsi"/>
          <w:color w:val="000000"/>
          <w:sz w:val="20"/>
          <w:szCs w:val="20"/>
          <w:lang w:eastAsia="en-US" w:bidi="ar-SA"/>
        </w:rPr>
        <w:br/>
        <w:t>of the entity.</w:t>
      </w: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pacing w:val="-1"/>
          <w:sz w:val="20"/>
          <w:szCs w:val="20"/>
          <w:lang w:eastAsia="en-US" w:bidi="ar-SA"/>
        </w:rPr>
        <w:t xml:space="preserve">These are classified as either quantifiable, where the potential economic benefit is known, or </w:t>
      </w:r>
      <w:proofErr w:type="spellStart"/>
      <w:r w:rsidRPr="00A06F35">
        <w:rPr>
          <w:rFonts w:eastAsiaTheme="minorHAnsi"/>
          <w:color w:val="000000"/>
          <w:spacing w:val="-1"/>
          <w:sz w:val="20"/>
          <w:szCs w:val="20"/>
          <w:lang w:eastAsia="en-US" w:bidi="ar-SA"/>
        </w:rPr>
        <w:t>non quantifiable</w:t>
      </w:r>
      <w:proofErr w:type="spellEnd"/>
      <w:r w:rsidRPr="00A06F35">
        <w:rPr>
          <w:rFonts w:eastAsiaTheme="minorHAnsi"/>
          <w:color w:val="000000"/>
          <w:spacing w:val="-1"/>
          <w:sz w:val="20"/>
          <w:szCs w:val="20"/>
          <w:lang w:eastAsia="en-US" w:bidi="ar-SA"/>
        </w:rPr>
        <w:t>.</w:t>
      </w:r>
    </w:p>
    <w:p w:rsid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There were no contingent assets based on the above definitions relating to the Commission</w:t>
      </w:r>
      <w:r w:rsidR="00A134B1">
        <w:rPr>
          <w:rFonts w:eastAsiaTheme="minorHAnsi"/>
          <w:color w:val="000000"/>
          <w:sz w:val="20"/>
          <w:szCs w:val="20"/>
          <w:lang w:eastAsia="en-US" w:bidi="ar-SA"/>
        </w:rPr>
        <w:t xml:space="preserve"> </w:t>
      </w:r>
      <w:r w:rsidRPr="00A06F35">
        <w:rPr>
          <w:rFonts w:eastAsiaTheme="minorHAnsi"/>
          <w:color w:val="000000"/>
          <w:sz w:val="20"/>
          <w:szCs w:val="20"/>
          <w:lang w:eastAsia="en-US" w:bidi="ar-SA"/>
        </w:rPr>
        <w:t>as at 30 June 2019 (30 June 2018: Nil).</w:t>
      </w:r>
    </w:p>
    <w:p w:rsidR="00A134B1" w:rsidRPr="00A06F35" w:rsidRDefault="00A134B1" w:rsidP="00A134B1">
      <w:pPr>
        <w:rPr>
          <w:lang w:eastAsia="en-US" w:bidi="ar-SA"/>
        </w:rPr>
      </w:pPr>
    </w:p>
    <w:p w:rsidR="00A06F35" w:rsidRPr="00A06F35" w:rsidRDefault="00A06F35" w:rsidP="009B6377">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A06F35">
        <w:rPr>
          <w:rFonts w:eastAsiaTheme="minorHAnsi"/>
          <w:b/>
          <w:bCs/>
          <w:color w:val="000000"/>
          <w:sz w:val="20"/>
          <w:szCs w:val="20"/>
          <w:lang w:eastAsia="en-US" w:bidi="ar-SA"/>
        </w:rPr>
        <w:t>Contingent liabilities</w:t>
      </w:r>
      <w:r w:rsidRPr="00A06F35">
        <w:rPr>
          <w:rFonts w:eastAsiaTheme="minorHAnsi"/>
          <w:b/>
          <w:bCs/>
          <w:color w:val="000000"/>
          <w:sz w:val="20"/>
          <w:szCs w:val="20"/>
          <w:lang w:eastAsia="en-US" w:bidi="ar-SA"/>
        </w:rPr>
        <w:br/>
      </w:r>
      <w:r w:rsidRPr="00A06F35">
        <w:rPr>
          <w:rFonts w:eastAsiaTheme="minorHAnsi"/>
          <w:color w:val="000000"/>
          <w:sz w:val="20"/>
          <w:szCs w:val="20"/>
          <w:lang w:eastAsia="en-US" w:bidi="ar-SA"/>
        </w:rPr>
        <w:t xml:space="preserve">Contingent liabilities are: </w:t>
      </w:r>
    </w:p>
    <w:p w:rsidR="00A06F35" w:rsidRPr="00A134B1" w:rsidRDefault="00A06F35" w:rsidP="00A134B1">
      <w:pPr>
        <w:pStyle w:val="ListParagraph"/>
        <w:widowControl/>
        <w:numPr>
          <w:ilvl w:val="0"/>
          <w:numId w:val="33"/>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A134B1">
        <w:rPr>
          <w:rFonts w:eastAsiaTheme="minorHAnsi"/>
          <w:color w:val="000000"/>
          <w:spacing w:val="-1"/>
          <w:sz w:val="20"/>
          <w:szCs w:val="20"/>
          <w:lang w:eastAsia="en-US" w:bidi="ar-SA"/>
        </w:rPr>
        <w:t xml:space="preserve">possible obligations that arise from past events, whose existence will be confirmed only by the occurrence or non-occurrence of one or more uncertain future events not wholly within the control of the entity; or </w:t>
      </w:r>
    </w:p>
    <w:p w:rsidR="00A06F35" w:rsidRPr="00A134B1" w:rsidRDefault="00A06F35" w:rsidP="00A134B1">
      <w:pPr>
        <w:pStyle w:val="ListParagraph"/>
        <w:widowControl/>
        <w:numPr>
          <w:ilvl w:val="0"/>
          <w:numId w:val="33"/>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A134B1">
        <w:rPr>
          <w:rFonts w:eastAsiaTheme="minorHAnsi"/>
          <w:color w:val="000000"/>
          <w:sz w:val="20"/>
          <w:szCs w:val="20"/>
          <w:lang w:eastAsia="en-US" w:bidi="ar-SA"/>
        </w:rPr>
        <w:t xml:space="preserve">present obligations that arise from past events but are not recognised because: </w:t>
      </w:r>
    </w:p>
    <w:p w:rsidR="00A06F35" w:rsidRPr="00A134B1" w:rsidRDefault="00A06F35" w:rsidP="00A134B1">
      <w:pPr>
        <w:pStyle w:val="ListParagraph"/>
        <w:widowControl/>
        <w:numPr>
          <w:ilvl w:val="0"/>
          <w:numId w:val="33"/>
        </w:numPr>
        <w:tabs>
          <w:tab w:val="left" w:pos="227"/>
          <w:tab w:val="left" w:pos="283"/>
        </w:tabs>
        <w:suppressAutoHyphens/>
        <w:adjustRightInd w:val="0"/>
        <w:spacing w:after="57" w:line="220" w:lineRule="atLeast"/>
        <w:ind w:right="1137"/>
        <w:textAlignment w:val="center"/>
        <w:rPr>
          <w:rFonts w:eastAsiaTheme="minorHAnsi"/>
          <w:color w:val="000000"/>
          <w:sz w:val="20"/>
          <w:szCs w:val="20"/>
          <w:lang w:eastAsia="en-US" w:bidi="ar-SA"/>
        </w:rPr>
      </w:pPr>
      <w:r w:rsidRPr="00A134B1">
        <w:rPr>
          <w:rFonts w:eastAsiaTheme="minorHAnsi"/>
          <w:color w:val="000000"/>
          <w:sz w:val="20"/>
          <w:szCs w:val="20"/>
          <w:lang w:eastAsia="en-US" w:bidi="ar-SA"/>
        </w:rPr>
        <w:t>it is not probable that an outflow of resources embodying economic benefits will be required</w:t>
      </w:r>
      <w:r w:rsidRPr="00A134B1">
        <w:rPr>
          <w:rFonts w:eastAsiaTheme="minorHAnsi"/>
          <w:color w:val="000000"/>
          <w:sz w:val="20"/>
          <w:szCs w:val="20"/>
          <w:lang w:eastAsia="en-US" w:bidi="ar-SA"/>
        </w:rPr>
        <w:br/>
        <w:t xml:space="preserve">to settle the obligations; or </w:t>
      </w:r>
    </w:p>
    <w:p w:rsidR="00A06F35" w:rsidRPr="00A134B1" w:rsidRDefault="00A06F35" w:rsidP="00A134B1">
      <w:pPr>
        <w:pStyle w:val="ListParagraph"/>
        <w:widowControl/>
        <w:numPr>
          <w:ilvl w:val="0"/>
          <w:numId w:val="33"/>
        </w:numPr>
        <w:tabs>
          <w:tab w:val="left" w:pos="227"/>
          <w:tab w:val="left" w:pos="283"/>
        </w:tabs>
        <w:suppressAutoHyphens/>
        <w:adjustRightInd w:val="0"/>
        <w:spacing w:after="227" w:line="220" w:lineRule="atLeast"/>
        <w:ind w:right="1137"/>
        <w:textAlignment w:val="center"/>
        <w:rPr>
          <w:rFonts w:eastAsiaTheme="minorHAnsi"/>
          <w:color w:val="000000"/>
          <w:sz w:val="20"/>
          <w:szCs w:val="20"/>
          <w:lang w:eastAsia="en-US" w:bidi="ar-SA"/>
        </w:rPr>
      </w:pPr>
      <w:r w:rsidRPr="00A134B1">
        <w:rPr>
          <w:rFonts w:eastAsiaTheme="minorHAnsi"/>
          <w:color w:val="000000"/>
          <w:sz w:val="20"/>
          <w:szCs w:val="20"/>
          <w:lang w:eastAsia="en-US" w:bidi="ar-SA"/>
        </w:rPr>
        <w:t>the amount of the obligations cannot be measured with sufficient reliability.</w:t>
      </w: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Contingent liabilities are also classified as either quantifiable or non-quantifiable.</w:t>
      </w:r>
    </w:p>
    <w:p w:rsidR="00A06F35" w:rsidRPr="00A06F35" w:rsidRDefault="00A06F35" w:rsidP="009B6377">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A06F35">
        <w:rPr>
          <w:rFonts w:eastAsiaTheme="minorHAnsi"/>
          <w:color w:val="000000"/>
          <w:sz w:val="20"/>
          <w:szCs w:val="20"/>
          <w:lang w:eastAsia="en-US" w:bidi="ar-SA"/>
        </w:rPr>
        <w:t>There were no contingent liabilities based on the above definitions relating to the Commission</w:t>
      </w:r>
      <w:r w:rsidR="00A134B1">
        <w:rPr>
          <w:rFonts w:eastAsiaTheme="minorHAnsi"/>
          <w:color w:val="000000"/>
          <w:sz w:val="20"/>
          <w:szCs w:val="20"/>
          <w:lang w:eastAsia="en-US" w:bidi="ar-SA"/>
        </w:rPr>
        <w:t xml:space="preserve"> </w:t>
      </w:r>
      <w:r w:rsidRPr="00A06F35">
        <w:rPr>
          <w:rFonts w:eastAsiaTheme="minorHAnsi"/>
          <w:color w:val="000000"/>
          <w:sz w:val="20"/>
          <w:szCs w:val="20"/>
          <w:lang w:eastAsia="en-US" w:bidi="ar-SA"/>
        </w:rPr>
        <w:t>as at 30 June 2019 (30 June 2018: Nil).</w:t>
      </w:r>
    </w:p>
    <w:p w:rsidR="00BB74EA" w:rsidRPr="00BF29AB" w:rsidRDefault="00BB74EA" w:rsidP="00BB74EA">
      <w:pPr>
        <w:widowControl/>
        <w:suppressAutoHyphens/>
        <w:adjustRightInd w:val="0"/>
        <w:spacing w:after="113" w:line="220" w:lineRule="atLeast"/>
        <w:textAlignment w:val="center"/>
        <w:rPr>
          <w:rFonts w:eastAsiaTheme="minorHAnsi"/>
          <w:color w:val="000000"/>
          <w:sz w:val="20"/>
          <w:szCs w:val="20"/>
          <w:lang w:eastAsia="en-US" w:bidi="ar-SA"/>
        </w:rPr>
      </w:pPr>
    </w:p>
    <w:p w:rsidR="00BB74EA" w:rsidRPr="00BF29AB" w:rsidRDefault="00BB74EA" w:rsidP="000C4C8F">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6A5918" w:rsidRPr="00BF29AB" w:rsidRDefault="006A5918" w:rsidP="006A5918">
      <w:pPr>
        <w:widowControl/>
        <w:suppressAutoHyphens/>
        <w:adjustRightInd w:val="0"/>
        <w:spacing w:after="170" w:line="400" w:lineRule="atLeast"/>
        <w:textAlignment w:val="center"/>
        <w:rPr>
          <w:rFonts w:eastAsiaTheme="minorHAnsi"/>
          <w:color w:val="000000"/>
          <w:sz w:val="20"/>
          <w:szCs w:val="20"/>
          <w:lang w:eastAsia="en-US" w:bidi="ar-SA"/>
        </w:rPr>
      </w:pPr>
    </w:p>
    <w:p w:rsidR="006A5918" w:rsidRPr="00BF29AB" w:rsidRDefault="006A5918">
      <w:pPr>
        <w:pStyle w:val="BodyText"/>
      </w:pPr>
    </w:p>
    <w:p w:rsidR="006A5918" w:rsidRPr="00BF29AB"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CF1B2E" w:rsidRDefault="00CF1B2E" w:rsidP="0042128D">
      <w:pPr>
        <w:pStyle w:val="Heading2"/>
        <w:numPr>
          <w:ilvl w:val="0"/>
          <w:numId w:val="29"/>
        </w:numPr>
      </w:pPr>
      <w:bookmarkStart w:id="47" w:name="_Toc23329746"/>
      <w:r>
        <w:t>Other disclosures</w:t>
      </w:r>
      <w:bookmarkEnd w:id="47"/>
    </w:p>
    <w:p w:rsidR="0042128D" w:rsidRDefault="0042128D" w:rsidP="0042128D"/>
    <w:p w:rsidR="00CF1B2E" w:rsidRDefault="00CF1B2E" w:rsidP="00102361">
      <w:pPr>
        <w:pStyle w:val="Heading3"/>
        <w:rPr>
          <w:lang w:eastAsia="en-US" w:bidi="ar-SA"/>
        </w:rPr>
      </w:pPr>
      <w:r w:rsidRPr="00CF1B2E">
        <w:rPr>
          <w:lang w:eastAsia="en-US" w:bidi="ar-SA"/>
        </w:rPr>
        <w:t>Introduction</w:t>
      </w:r>
    </w:p>
    <w:p w:rsidR="00102361" w:rsidRPr="00CF1B2E" w:rsidRDefault="00102361" w:rsidP="00102361">
      <w:pPr>
        <w:rPr>
          <w:lang w:eastAsia="en-US" w:bidi="ar-SA"/>
        </w:rPr>
      </w:pPr>
    </w:p>
    <w:p w:rsid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This section includes additional material disclosures required by accounting standards or otherwise</w:t>
      </w:r>
      <w:r w:rsidRPr="00CF1B2E">
        <w:rPr>
          <w:rFonts w:eastAsiaTheme="minorHAnsi"/>
          <w:color w:val="000000"/>
          <w:sz w:val="20"/>
          <w:szCs w:val="20"/>
          <w:lang w:eastAsia="en-US" w:bidi="ar-SA"/>
        </w:rPr>
        <w:br/>
        <w:t>for the understanding of this financial report.</w:t>
      </w:r>
    </w:p>
    <w:p w:rsidR="00102361" w:rsidRPr="00CF1B2E" w:rsidRDefault="00102361" w:rsidP="00102361">
      <w:pPr>
        <w:rPr>
          <w:lang w:eastAsia="en-US" w:bidi="ar-SA"/>
        </w:rPr>
      </w:pPr>
    </w:p>
    <w:p w:rsidR="00CF1B2E" w:rsidRDefault="00CF1B2E" w:rsidP="00102361">
      <w:pPr>
        <w:pStyle w:val="Heading3"/>
        <w:rPr>
          <w:lang w:eastAsia="en-US" w:bidi="ar-SA"/>
        </w:rPr>
      </w:pPr>
      <w:r w:rsidRPr="00CF1B2E">
        <w:rPr>
          <w:lang w:eastAsia="en-US" w:bidi="ar-SA"/>
        </w:rPr>
        <w:t>Structure</w:t>
      </w:r>
    </w:p>
    <w:p w:rsidR="00102361" w:rsidRPr="00CF1B2E" w:rsidRDefault="00102361" w:rsidP="00102361">
      <w:pPr>
        <w:rPr>
          <w:lang w:eastAsia="en-US" w:bidi="ar-SA"/>
        </w:rPr>
      </w:pPr>
    </w:p>
    <w:p w:rsidR="00CF1B2E" w:rsidRPr="00CF1B2E" w:rsidRDefault="00CF1B2E" w:rsidP="0042128D">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8.1</w:t>
      </w:r>
      <w:r w:rsidRPr="00CF1B2E">
        <w:rPr>
          <w:rFonts w:eastAsiaTheme="minorHAnsi"/>
          <w:color w:val="000000"/>
          <w:sz w:val="20"/>
          <w:szCs w:val="20"/>
          <w:lang w:eastAsia="en-US" w:bidi="ar-SA"/>
        </w:rPr>
        <w:t> </w:t>
      </w:r>
      <w:r w:rsidRPr="00CF1B2E">
        <w:rPr>
          <w:rFonts w:eastAsiaTheme="minorHAnsi"/>
          <w:color w:val="000000"/>
          <w:sz w:val="20"/>
          <w:szCs w:val="20"/>
          <w:lang w:eastAsia="en-US" w:bidi="ar-SA"/>
        </w:rPr>
        <w:t>Subsequent events</w:t>
      </w:r>
    </w:p>
    <w:p w:rsidR="00CF1B2E" w:rsidRPr="00CF1B2E" w:rsidRDefault="00CF1B2E" w:rsidP="0042128D">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8.2</w:t>
      </w:r>
      <w:r w:rsidRPr="00CF1B2E">
        <w:rPr>
          <w:rFonts w:eastAsiaTheme="minorHAnsi"/>
          <w:color w:val="000000"/>
          <w:sz w:val="20"/>
          <w:szCs w:val="20"/>
          <w:lang w:eastAsia="en-US" w:bidi="ar-SA"/>
        </w:rPr>
        <w:t> </w:t>
      </w:r>
      <w:r w:rsidRPr="00CF1B2E">
        <w:rPr>
          <w:rFonts w:eastAsiaTheme="minorHAnsi"/>
          <w:color w:val="000000"/>
          <w:sz w:val="20"/>
          <w:szCs w:val="20"/>
          <w:lang w:eastAsia="en-US" w:bidi="ar-SA"/>
        </w:rPr>
        <w:t>Changes in accounting policies</w:t>
      </w:r>
    </w:p>
    <w:p w:rsidR="00CF1B2E" w:rsidRPr="00CF1B2E" w:rsidRDefault="00CF1B2E" w:rsidP="0042128D">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8.3</w:t>
      </w:r>
      <w:r w:rsidRPr="00CF1B2E">
        <w:rPr>
          <w:rFonts w:eastAsiaTheme="minorHAnsi"/>
          <w:color w:val="000000"/>
          <w:sz w:val="20"/>
          <w:szCs w:val="20"/>
          <w:lang w:eastAsia="en-US" w:bidi="ar-SA"/>
        </w:rPr>
        <w:t> </w:t>
      </w:r>
      <w:r w:rsidRPr="00CF1B2E">
        <w:rPr>
          <w:rFonts w:eastAsiaTheme="minorHAnsi"/>
          <w:color w:val="000000"/>
          <w:sz w:val="20"/>
          <w:szCs w:val="20"/>
          <w:lang w:eastAsia="en-US" w:bidi="ar-SA"/>
        </w:rPr>
        <w:t>Responsible persons</w:t>
      </w:r>
    </w:p>
    <w:p w:rsidR="00CF1B2E" w:rsidRPr="00CF1B2E" w:rsidRDefault="00CF1B2E" w:rsidP="0042128D">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8.4</w:t>
      </w:r>
      <w:r w:rsidRPr="00CF1B2E">
        <w:rPr>
          <w:rFonts w:eastAsiaTheme="minorHAnsi"/>
          <w:color w:val="000000"/>
          <w:sz w:val="20"/>
          <w:szCs w:val="20"/>
          <w:lang w:eastAsia="en-US" w:bidi="ar-SA"/>
        </w:rPr>
        <w:t> </w:t>
      </w:r>
      <w:r w:rsidRPr="00CF1B2E">
        <w:rPr>
          <w:rFonts w:eastAsiaTheme="minorHAnsi"/>
          <w:color w:val="000000"/>
          <w:sz w:val="20"/>
          <w:szCs w:val="20"/>
          <w:lang w:eastAsia="en-US" w:bidi="ar-SA"/>
        </w:rPr>
        <w:t>Remuneration of executives</w:t>
      </w:r>
    </w:p>
    <w:p w:rsidR="00CF1B2E" w:rsidRPr="00CF1B2E" w:rsidRDefault="00CF1B2E" w:rsidP="0042128D">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8.5</w:t>
      </w:r>
      <w:r w:rsidRPr="00CF1B2E">
        <w:rPr>
          <w:rFonts w:eastAsiaTheme="minorHAnsi"/>
          <w:color w:val="000000"/>
          <w:sz w:val="20"/>
          <w:szCs w:val="20"/>
          <w:lang w:eastAsia="en-US" w:bidi="ar-SA"/>
        </w:rPr>
        <w:t> </w:t>
      </w:r>
      <w:r w:rsidRPr="00CF1B2E">
        <w:rPr>
          <w:rFonts w:eastAsiaTheme="minorHAnsi"/>
          <w:color w:val="000000"/>
          <w:sz w:val="20"/>
          <w:szCs w:val="20"/>
          <w:lang w:eastAsia="en-US" w:bidi="ar-SA"/>
        </w:rPr>
        <w:t>Related parties</w:t>
      </w:r>
    </w:p>
    <w:p w:rsidR="00CF1B2E" w:rsidRPr="00CF1B2E" w:rsidRDefault="00CF1B2E" w:rsidP="0042128D">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8.6</w:t>
      </w:r>
      <w:r w:rsidRPr="00CF1B2E">
        <w:rPr>
          <w:rFonts w:eastAsiaTheme="minorHAnsi"/>
          <w:color w:val="000000"/>
          <w:sz w:val="20"/>
          <w:szCs w:val="20"/>
          <w:lang w:eastAsia="en-US" w:bidi="ar-SA"/>
        </w:rPr>
        <w:t> </w:t>
      </w:r>
      <w:r w:rsidRPr="00CF1B2E">
        <w:rPr>
          <w:rFonts w:eastAsiaTheme="minorHAnsi"/>
          <w:color w:val="000000"/>
          <w:sz w:val="20"/>
          <w:szCs w:val="20"/>
          <w:lang w:eastAsia="en-US" w:bidi="ar-SA"/>
        </w:rPr>
        <w:t>Remuneration of auditors</w:t>
      </w:r>
    </w:p>
    <w:p w:rsidR="00CF1B2E" w:rsidRDefault="00CF1B2E" w:rsidP="0042128D">
      <w:pPr>
        <w:widowControl/>
        <w:suppressAutoHyphens/>
        <w:adjustRightInd w:val="0"/>
        <w:spacing w:after="57"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8.7</w:t>
      </w:r>
      <w:r w:rsidRPr="00CF1B2E">
        <w:rPr>
          <w:rFonts w:eastAsiaTheme="minorHAnsi"/>
          <w:color w:val="000000"/>
          <w:sz w:val="20"/>
          <w:szCs w:val="20"/>
          <w:lang w:eastAsia="en-US" w:bidi="ar-SA"/>
        </w:rPr>
        <w:t> </w:t>
      </w:r>
      <w:r w:rsidRPr="00CF1B2E">
        <w:rPr>
          <w:rFonts w:eastAsiaTheme="minorHAnsi"/>
          <w:color w:val="000000"/>
          <w:sz w:val="20"/>
          <w:szCs w:val="20"/>
          <w:lang w:eastAsia="en-US" w:bidi="ar-SA"/>
        </w:rPr>
        <w:t>Australian Accounting Standards issued that are not yet effective</w:t>
      </w:r>
    </w:p>
    <w:p w:rsidR="00102361" w:rsidRPr="00CF1B2E" w:rsidRDefault="00102361" w:rsidP="00102361">
      <w:pPr>
        <w:rPr>
          <w:lang w:eastAsia="en-US" w:bidi="ar-SA"/>
        </w:rPr>
      </w:pPr>
    </w:p>
    <w:p w:rsidR="00CF1B2E" w:rsidRDefault="00CF1B2E" w:rsidP="00102361">
      <w:pPr>
        <w:pStyle w:val="Heading4"/>
        <w:rPr>
          <w:lang w:eastAsia="en-US" w:bidi="ar-SA"/>
        </w:rPr>
      </w:pPr>
      <w:r w:rsidRPr="00CF1B2E">
        <w:rPr>
          <w:lang w:eastAsia="en-US" w:bidi="ar-SA"/>
        </w:rPr>
        <w:t>8.1</w:t>
      </w:r>
      <w:r w:rsidR="009769A3">
        <w:rPr>
          <w:lang w:eastAsia="en-US" w:bidi="ar-SA"/>
        </w:rPr>
        <w:t xml:space="preserve"> </w:t>
      </w:r>
      <w:r w:rsidRPr="00CF1B2E">
        <w:rPr>
          <w:lang w:eastAsia="en-US" w:bidi="ar-SA"/>
        </w:rPr>
        <w:t>Responsible persons</w:t>
      </w:r>
    </w:p>
    <w:p w:rsidR="00102361" w:rsidRPr="00CF1B2E" w:rsidRDefault="00102361" w:rsidP="00102361">
      <w:pPr>
        <w:rPr>
          <w:lang w:eastAsia="en-US" w:bidi="ar-SA"/>
        </w:rPr>
      </w:pPr>
    </w:p>
    <w:p w:rsid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There were no subsequent events that had the potential to significantly affect the ongoing structure</w:t>
      </w:r>
      <w:r w:rsidRPr="00CF1B2E">
        <w:rPr>
          <w:rFonts w:eastAsiaTheme="minorHAnsi"/>
          <w:color w:val="000000"/>
          <w:sz w:val="20"/>
          <w:szCs w:val="20"/>
          <w:lang w:eastAsia="en-US" w:bidi="ar-SA"/>
        </w:rPr>
        <w:br/>
        <w:t>and financial activities of the Commission.</w:t>
      </w:r>
    </w:p>
    <w:p w:rsidR="00102361" w:rsidRPr="00CF1B2E" w:rsidRDefault="00102361" w:rsidP="00102361">
      <w:pPr>
        <w:rPr>
          <w:lang w:eastAsia="en-US" w:bidi="ar-SA"/>
        </w:rPr>
      </w:pPr>
    </w:p>
    <w:p w:rsidR="00CF1B2E" w:rsidRPr="009769A3" w:rsidRDefault="00CF1B2E" w:rsidP="009769A3">
      <w:pPr>
        <w:pStyle w:val="Heading4"/>
      </w:pPr>
      <w:r w:rsidRPr="009769A3">
        <w:rPr>
          <w:lang w:bidi="ar-SA"/>
        </w:rPr>
        <w:t>8.2</w:t>
      </w:r>
      <w:r w:rsidR="009769A3" w:rsidRPr="009769A3">
        <w:t xml:space="preserve"> </w:t>
      </w:r>
      <w:r w:rsidRPr="009769A3">
        <w:rPr>
          <w:lang w:bidi="ar-SA"/>
        </w:rPr>
        <w:t xml:space="preserve">Changes in accounting policies </w:t>
      </w:r>
    </w:p>
    <w:p w:rsidR="00102361" w:rsidRPr="00CF1B2E" w:rsidRDefault="00102361" w:rsidP="00102361">
      <w:pPr>
        <w:rPr>
          <w:lang w:eastAsia="en-US" w:bidi="ar-SA"/>
        </w:rPr>
      </w:pP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This note explains the impact of the adoption of AASB 9 Financial Instruments on the Commission’s</w:t>
      </w:r>
      <w:r w:rsidR="00102361">
        <w:rPr>
          <w:rFonts w:eastAsiaTheme="minorHAnsi"/>
          <w:color w:val="000000"/>
          <w:sz w:val="20"/>
          <w:szCs w:val="20"/>
          <w:lang w:eastAsia="en-US" w:bidi="ar-SA"/>
        </w:rPr>
        <w:t xml:space="preserve"> </w:t>
      </w:r>
      <w:r w:rsidRPr="00CF1B2E">
        <w:rPr>
          <w:rFonts w:eastAsiaTheme="minorHAnsi"/>
          <w:color w:val="000000"/>
          <w:sz w:val="20"/>
          <w:szCs w:val="20"/>
          <w:lang w:eastAsia="en-US" w:bidi="ar-SA"/>
        </w:rPr>
        <w:t>financial statements.</w:t>
      </w: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Commission has elected to apply the limited exemption in AASB 9 paragraph 7.2.15 relating to transition for classification and measurement and impairment, and accordingly has not restated comparative periods in the year of initial application. As a result:</w:t>
      </w:r>
    </w:p>
    <w:p w:rsidR="00CF1B2E" w:rsidRPr="00102361" w:rsidRDefault="00CF1B2E" w:rsidP="00102361">
      <w:pPr>
        <w:pStyle w:val="ListParagraph"/>
        <w:widowControl/>
        <w:numPr>
          <w:ilvl w:val="0"/>
          <w:numId w:val="34"/>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102361">
        <w:rPr>
          <w:rFonts w:eastAsiaTheme="minorHAnsi"/>
          <w:color w:val="000000"/>
          <w:sz w:val="20"/>
          <w:szCs w:val="20"/>
          <w:lang w:eastAsia="en-US" w:bidi="ar-SA"/>
        </w:rPr>
        <w:t>any adjustments to carrying amounts of financial assets or liabilities are recognised at the beginning</w:t>
      </w:r>
      <w:r w:rsidR="00102361">
        <w:rPr>
          <w:rFonts w:eastAsiaTheme="minorHAnsi"/>
          <w:color w:val="000000"/>
          <w:sz w:val="20"/>
          <w:szCs w:val="20"/>
          <w:lang w:eastAsia="en-US" w:bidi="ar-SA"/>
        </w:rPr>
        <w:t xml:space="preserve"> </w:t>
      </w:r>
      <w:r w:rsidRPr="00102361">
        <w:rPr>
          <w:rFonts w:eastAsiaTheme="minorHAnsi"/>
          <w:color w:val="000000"/>
          <w:sz w:val="20"/>
          <w:szCs w:val="20"/>
          <w:lang w:eastAsia="en-US" w:bidi="ar-SA"/>
        </w:rPr>
        <w:t>of the current reporting period with the difference recognised in opening retained earnings</w:t>
      </w:r>
    </w:p>
    <w:p w:rsidR="00CF1B2E" w:rsidRPr="00102361" w:rsidRDefault="00CF1B2E" w:rsidP="00102361">
      <w:pPr>
        <w:pStyle w:val="ListParagraph"/>
        <w:widowControl/>
        <w:numPr>
          <w:ilvl w:val="0"/>
          <w:numId w:val="34"/>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102361">
        <w:rPr>
          <w:rFonts w:eastAsiaTheme="minorHAnsi"/>
          <w:color w:val="000000"/>
          <w:sz w:val="20"/>
          <w:szCs w:val="20"/>
          <w:lang w:eastAsia="en-US" w:bidi="ar-SA"/>
        </w:rPr>
        <w:t>financial assets and provision for impairment have not been reclassified and/or restated</w:t>
      </w:r>
      <w:r w:rsidR="00102361">
        <w:rPr>
          <w:rFonts w:eastAsiaTheme="minorHAnsi"/>
          <w:color w:val="000000"/>
          <w:sz w:val="20"/>
          <w:szCs w:val="20"/>
          <w:lang w:eastAsia="en-US" w:bidi="ar-SA"/>
        </w:rPr>
        <w:t xml:space="preserve"> </w:t>
      </w:r>
      <w:r w:rsidRPr="00102361">
        <w:rPr>
          <w:rFonts w:eastAsiaTheme="minorHAnsi"/>
          <w:color w:val="000000"/>
          <w:sz w:val="20"/>
          <w:szCs w:val="20"/>
          <w:lang w:eastAsia="en-US" w:bidi="ar-SA"/>
        </w:rPr>
        <w:t>in the comparative period.</w:t>
      </w:r>
    </w:p>
    <w:p w:rsidR="00CF1B2E" w:rsidRPr="00CF1B2E" w:rsidRDefault="00CF1B2E" w:rsidP="0042128D">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CF1B2E">
        <w:rPr>
          <w:rFonts w:eastAsiaTheme="minorHAnsi"/>
          <w:b/>
          <w:bCs/>
          <w:color w:val="000000"/>
          <w:sz w:val="20"/>
          <w:szCs w:val="20"/>
          <w:lang w:eastAsia="en-US" w:bidi="ar-SA"/>
        </w:rPr>
        <w:t xml:space="preserve">8.2.1 Changes to classification and measurement </w:t>
      </w: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pacing w:val="-1"/>
          <w:sz w:val="20"/>
          <w:szCs w:val="20"/>
          <w:lang w:eastAsia="en-US" w:bidi="ar-SA"/>
        </w:rPr>
        <w:t>On initial application of AASB 9 on 1 July 2018, the Commission’s management has assessed all the financial assets based on the Commission’s business models for managing the assets. The following is the change</w:t>
      </w:r>
      <w:r w:rsidRPr="00CF1B2E">
        <w:rPr>
          <w:rFonts w:eastAsiaTheme="minorHAnsi"/>
          <w:color w:val="000000"/>
          <w:spacing w:val="-1"/>
          <w:sz w:val="20"/>
          <w:szCs w:val="20"/>
          <w:lang w:eastAsia="en-US" w:bidi="ar-SA"/>
        </w:rPr>
        <w:br/>
        <w:t>in the classification of the Commission’s financial assets:</w:t>
      </w: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(a) Contractual receivables previously classified as other loans and receivables under AASB 139 are now reclassified as financial assets at amortised cost under AASB 9. There was no difference between the previous carrying amount and the revised carrying amount at 1 July 2018 to be recognised in opening retained earnings.</w:t>
      </w: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accounting for financial liabilities remains largely the same as it was under AASB 139.</w:t>
      </w: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accounting policies for financial assets and liabilities are set out in note 7.1.</w:t>
      </w:r>
    </w:p>
    <w:p w:rsidR="00CF1B2E" w:rsidRPr="00CF1B2E" w:rsidRDefault="00CF1B2E" w:rsidP="0042128D">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CF1B2E">
        <w:rPr>
          <w:rFonts w:eastAsiaTheme="minorHAnsi"/>
          <w:b/>
          <w:bCs/>
          <w:color w:val="000000"/>
          <w:sz w:val="20"/>
          <w:szCs w:val="20"/>
          <w:lang w:eastAsia="en-US" w:bidi="ar-SA"/>
        </w:rPr>
        <w:t>8.2.2 Changes to the impairment of financial assets</w:t>
      </w: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Under AASB 9, all loans and receivables as well as other debt instruments not carried at fair value through net result are subject to AASB 9’s new expected credit loss (ECL) impairment model, which replaces</w:t>
      </w:r>
      <w:r w:rsidR="00102361">
        <w:rPr>
          <w:rFonts w:eastAsiaTheme="minorHAnsi"/>
          <w:color w:val="000000"/>
          <w:sz w:val="20"/>
          <w:szCs w:val="20"/>
          <w:lang w:eastAsia="en-US" w:bidi="ar-SA"/>
        </w:rPr>
        <w:t xml:space="preserve"> </w:t>
      </w:r>
      <w:r w:rsidRPr="00CF1B2E">
        <w:rPr>
          <w:rFonts w:eastAsiaTheme="minorHAnsi"/>
          <w:color w:val="000000"/>
          <w:sz w:val="20"/>
          <w:szCs w:val="20"/>
          <w:lang w:eastAsia="en-US" w:bidi="ar-SA"/>
        </w:rPr>
        <w:t>AASB 139’s incurred loss approach.</w:t>
      </w: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For other loans and receivables, the Commission applies the AASB 9 simplified approach to measure expected credit losses based on the change in the ECLs over the life of the asset. Application of the lifetime ECL allowance method results in no difference to the nil impairment loss allowance.</w:t>
      </w:r>
    </w:p>
    <w:p w:rsidR="00CF1B2E" w:rsidRDefault="00CF1B2E" w:rsidP="00102361">
      <w:pPr>
        <w:rPr>
          <w:lang w:eastAsia="en-US" w:bidi="ar-SA"/>
        </w:rPr>
      </w:pPr>
      <w:r w:rsidRPr="00CF1B2E">
        <w:rPr>
          <w:lang w:eastAsia="en-US" w:bidi="ar-SA"/>
        </w:rPr>
        <w:t> </w:t>
      </w:r>
    </w:p>
    <w:p w:rsidR="009769A3" w:rsidRDefault="009769A3" w:rsidP="00102361">
      <w:pPr>
        <w:rPr>
          <w:lang w:eastAsia="en-US" w:bidi="ar-SA"/>
        </w:rPr>
      </w:pPr>
    </w:p>
    <w:p w:rsidR="009769A3" w:rsidRDefault="009769A3" w:rsidP="00102361">
      <w:pPr>
        <w:rPr>
          <w:lang w:eastAsia="en-US" w:bidi="ar-SA"/>
        </w:rPr>
      </w:pPr>
    </w:p>
    <w:p w:rsidR="009769A3" w:rsidRDefault="009769A3" w:rsidP="00102361">
      <w:pPr>
        <w:rPr>
          <w:lang w:eastAsia="en-US" w:bidi="ar-SA"/>
        </w:rPr>
      </w:pPr>
    </w:p>
    <w:p w:rsidR="009769A3" w:rsidRPr="00CF1B2E" w:rsidRDefault="009769A3" w:rsidP="00102361">
      <w:pPr>
        <w:rPr>
          <w:lang w:eastAsia="en-US" w:bidi="ar-SA"/>
        </w:rPr>
      </w:pPr>
    </w:p>
    <w:p w:rsidR="00CF1B2E" w:rsidRDefault="00CF1B2E" w:rsidP="009769A3">
      <w:pPr>
        <w:pStyle w:val="Heading4"/>
        <w:rPr>
          <w:lang w:bidi="ar-SA"/>
        </w:rPr>
      </w:pPr>
      <w:r w:rsidRPr="009769A3">
        <w:rPr>
          <w:lang w:bidi="ar-SA"/>
        </w:rPr>
        <w:lastRenderedPageBreak/>
        <w:t>8.3</w:t>
      </w:r>
      <w:r w:rsidR="009769A3" w:rsidRPr="009769A3">
        <w:t xml:space="preserve"> </w:t>
      </w:r>
      <w:r w:rsidRPr="009769A3">
        <w:rPr>
          <w:lang w:bidi="ar-SA"/>
        </w:rPr>
        <w:t>Responsible persons</w:t>
      </w:r>
    </w:p>
    <w:p w:rsidR="009769A3" w:rsidRPr="009769A3" w:rsidRDefault="009769A3" w:rsidP="009769A3">
      <w:pPr>
        <w:rPr>
          <w:lang w:bidi="ar-SA"/>
        </w:rPr>
      </w:pPr>
    </w:p>
    <w:p w:rsid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 xml:space="preserve">In accordance with the Ministerial Directions issued by the Minister for Finance under the </w:t>
      </w:r>
      <w:r w:rsidRPr="00CF1B2E">
        <w:rPr>
          <w:rFonts w:eastAsiaTheme="minorHAnsi"/>
          <w:i/>
          <w:iCs/>
          <w:color w:val="000000"/>
          <w:sz w:val="20"/>
          <w:szCs w:val="20"/>
          <w:lang w:eastAsia="en-US" w:bidi="ar-SA"/>
        </w:rPr>
        <w:t>Financial Management Act 1994</w:t>
      </w:r>
      <w:r w:rsidRPr="00CF1B2E">
        <w:rPr>
          <w:rFonts w:eastAsiaTheme="minorHAnsi"/>
          <w:color w:val="000000"/>
          <w:sz w:val="20"/>
          <w:szCs w:val="20"/>
          <w:lang w:eastAsia="en-US" w:bidi="ar-SA"/>
        </w:rPr>
        <w:t>, the following disclosures are made regarding responsible persons</w:t>
      </w:r>
      <w:r w:rsidRPr="00CF1B2E">
        <w:rPr>
          <w:rFonts w:eastAsiaTheme="minorHAnsi"/>
          <w:color w:val="000000"/>
          <w:sz w:val="20"/>
          <w:szCs w:val="20"/>
          <w:lang w:eastAsia="en-US" w:bidi="ar-SA"/>
        </w:rPr>
        <w:br/>
        <w:t>for the reporting period.</w:t>
      </w:r>
    </w:p>
    <w:p w:rsidR="009769A3" w:rsidRPr="00CF1B2E" w:rsidRDefault="009769A3" w:rsidP="009769A3">
      <w:pPr>
        <w:rPr>
          <w:lang w:eastAsia="en-US" w:bidi="ar-SA"/>
        </w:rPr>
      </w:pPr>
    </w:p>
    <w:p w:rsidR="00CF1B2E" w:rsidRPr="00CF1B2E" w:rsidRDefault="00CF1B2E" w:rsidP="0042128D">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CF1B2E">
        <w:rPr>
          <w:rFonts w:eastAsiaTheme="minorHAnsi"/>
          <w:b/>
          <w:bCs/>
          <w:color w:val="000000"/>
          <w:sz w:val="20"/>
          <w:szCs w:val="20"/>
          <w:lang w:eastAsia="en-US" w:bidi="ar-SA"/>
        </w:rPr>
        <w:t>Names</w:t>
      </w:r>
    </w:p>
    <w:p w:rsid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persons who held the positions of Minister and Accountable Officer in the Commission during</w:t>
      </w:r>
      <w:r w:rsidRPr="00CF1B2E">
        <w:rPr>
          <w:rFonts w:eastAsiaTheme="minorHAnsi"/>
          <w:color w:val="000000"/>
          <w:sz w:val="20"/>
          <w:szCs w:val="20"/>
          <w:lang w:eastAsia="en-US" w:bidi="ar-SA"/>
        </w:rPr>
        <w:br/>
        <w:t>the financial year were as follows:</w:t>
      </w:r>
    </w:p>
    <w:p w:rsidR="00102361" w:rsidRPr="00CF1B2E" w:rsidRDefault="00102361" w:rsidP="00102361">
      <w:pPr>
        <w:rPr>
          <w:lang w:eastAsia="en-US" w:bidi="ar-SA"/>
        </w:rPr>
      </w:pPr>
    </w:p>
    <w:tbl>
      <w:tblPr>
        <w:tblW w:w="0" w:type="auto"/>
        <w:tblInd w:w="686" w:type="dxa"/>
        <w:tblLayout w:type="fixed"/>
        <w:tblCellMar>
          <w:left w:w="0" w:type="dxa"/>
          <w:right w:w="0" w:type="dxa"/>
        </w:tblCellMar>
        <w:tblLook w:val="0000" w:firstRow="0" w:lastRow="0" w:firstColumn="0" w:lastColumn="0" w:noHBand="0" w:noVBand="0"/>
      </w:tblPr>
      <w:tblGrid>
        <w:gridCol w:w="2268"/>
        <w:gridCol w:w="4268"/>
        <w:gridCol w:w="3402"/>
      </w:tblGrid>
      <w:tr w:rsidR="00CF1B2E" w:rsidRPr="00CF1B2E" w:rsidTr="00102361">
        <w:trPr>
          <w:trHeight w:val="68"/>
        </w:trPr>
        <w:tc>
          <w:tcPr>
            <w:tcW w:w="2268"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rsidR="00CF1B2E" w:rsidRPr="00CF1B2E" w:rsidRDefault="00CF1B2E" w:rsidP="00102361">
            <w:pPr>
              <w:widowControl/>
              <w:suppressAutoHyphens/>
              <w:adjustRightInd w:val="0"/>
              <w:spacing w:after="113" w:line="220" w:lineRule="atLeast"/>
              <w:ind w:left="158"/>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Position</w:t>
            </w:r>
          </w:p>
        </w:tc>
        <w:tc>
          <w:tcPr>
            <w:tcW w:w="4268"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rsidR="00CF1B2E" w:rsidRPr="00CF1B2E" w:rsidRDefault="00CF1B2E" w:rsidP="00102361">
            <w:pPr>
              <w:widowControl/>
              <w:suppressAutoHyphens/>
              <w:adjustRightInd w:val="0"/>
              <w:spacing w:after="113" w:line="220" w:lineRule="atLeast"/>
              <w:ind w:left="159"/>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Name</w:t>
            </w:r>
          </w:p>
        </w:tc>
        <w:tc>
          <w:tcPr>
            <w:tcW w:w="3402"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rsidR="00CF1B2E" w:rsidRPr="00CF1B2E" w:rsidRDefault="00CF1B2E" w:rsidP="00102361">
            <w:pPr>
              <w:widowControl/>
              <w:suppressAutoHyphens/>
              <w:adjustRightInd w:val="0"/>
              <w:spacing w:after="113" w:line="220" w:lineRule="atLeast"/>
              <w:ind w:left="144"/>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Term</w:t>
            </w:r>
          </w:p>
        </w:tc>
      </w:tr>
      <w:tr w:rsidR="00CF1B2E" w:rsidRPr="00CF1B2E" w:rsidTr="00102361">
        <w:trPr>
          <w:trHeight w:val="166"/>
        </w:trPr>
        <w:tc>
          <w:tcPr>
            <w:tcW w:w="2268"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rsidR="00CF1B2E" w:rsidRPr="00CF1B2E" w:rsidRDefault="00CF1B2E" w:rsidP="00102361">
            <w:pPr>
              <w:widowControl/>
              <w:suppressAutoHyphens/>
              <w:adjustRightInd w:val="0"/>
              <w:spacing w:after="113" w:line="220" w:lineRule="atLeast"/>
              <w:ind w:left="158"/>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Responsible Minister</w:t>
            </w:r>
          </w:p>
        </w:tc>
        <w:tc>
          <w:tcPr>
            <w:tcW w:w="4268"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rsidR="00CF1B2E" w:rsidRPr="00CF1B2E" w:rsidRDefault="00CF1B2E" w:rsidP="00102361">
            <w:pPr>
              <w:widowControl/>
              <w:suppressAutoHyphens/>
              <w:adjustRightInd w:val="0"/>
              <w:spacing w:after="113" w:line="220" w:lineRule="atLeast"/>
              <w:ind w:left="159"/>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Hon Daniel Andrews, MP, Premier</w:t>
            </w:r>
          </w:p>
        </w:tc>
        <w:tc>
          <w:tcPr>
            <w:tcW w:w="3402"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rsidR="00CF1B2E" w:rsidRPr="00CF1B2E" w:rsidRDefault="00CF1B2E" w:rsidP="00102361">
            <w:pPr>
              <w:widowControl/>
              <w:suppressAutoHyphens/>
              <w:adjustRightInd w:val="0"/>
              <w:spacing w:after="113" w:line="220" w:lineRule="atLeast"/>
              <w:ind w:left="144"/>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1 July 2018 to 30 June 2019</w:t>
            </w:r>
          </w:p>
        </w:tc>
      </w:tr>
      <w:tr w:rsidR="00CF1B2E" w:rsidRPr="00CF1B2E" w:rsidTr="00102361">
        <w:trPr>
          <w:trHeight w:val="60"/>
        </w:trPr>
        <w:tc>
          <w:tcPr>
            <w:tcW w:w="2268"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rsidR="00CF1B2E" w:rsidRPr="00CF1B2E" w:rsidRDefault="00CF1B2E" w:rsidP="00102361">
            <w:pPr>
              <w:widowControl/>
              <w:suppressAutoHyphens/>
              <w:adjustRightInd w:val="0"/>
              <w:spacing w:after="113" w:line="220" w:lineRule="atLeast"/>
              <w:ind w:left="158"/>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Accountable Officer</w:t>
            </w:r>
          </w:p>
        </w:tc>
        <w:tc>
          <w:tcPr>
            <w:tcW w:w="4268"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rsidR="00CF1B2E" w:rsidRPr="00CF1B2E" w:rsidRDefault="00CF1B2E" w:rsidP="00102361">
            <w:pPr>
              <w:widowControl/>
              <w:suppressAutoHyphens/>
              <w:adjustRightInd w:val="0"/>
              <w:spacing w:after="113" w:line="220" w:lineRule="atLeast"/>
              <w:ind w:left="159"/>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Dr Paul Grimes, Commissioner</w:t>
            </w:r>
          </w:p>
        </w:tc>
        <w:tc>
          <w:tcPr>
            <w:tcW w:w="3402"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rsidR="00CF1B2E" w:rsidRPr="00CF1B2E" w:rsidRDefault="00CF1B2E" w:rsidP="00102361">
            <w:pPr>
              <w:widowControl/>
              <w:suppressAutoHyphens/>
              <w:adjustRightInd w:val="0"/>
              <w:spacing w:after="113" w:line="220" w:lineRule="atLeast"/>
              <w:ind w:left="144"/>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1 July 2018 to 30 June 2019</w:t>
            </w:r>
          </w:p>
        </w:tc>
      </w:tr>
    </w:tbl>
    <w:p w:rsidR="00CF1B2E" w:rsidRPr="00CF1B2E" w:rsidRDefault="00CF1B2E" w:rsidP="0042128D">
      <w:pPr>
        <w:widowControl/>
        <w:suppressAutoHyphens/>
        <w:adjustRightInd w:val="0"/>
        <w:spacing w:after="113" w:line="220" w:lineRule="atLeast"/>
        <w:ind w:left="709"/>
        <w:textAlignment w:val="center"/>
        <w:rPr>
          <w:rFonts w:eastAsiaTheme="minorHAnsi"/>
          <w:color w:val="000000"/>
          <w:sz w:val="20"/>
          <w:szCs w:val="20"/>
          <w:lang w:eastAsia="en-US" w:bidi="ar-SA"/>
        </w:rPr>
      </w:pPr>
    </w:p>
    <w:p w:rsidR="00CF1B2E" w:rsidRPr="00CF1B2E" w:rsidRDefault="00CF1B2E" w:rsidP="0042128D">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CF1B2E">
        <w:rPr>
          <w:rFonts w:eastAsiaTheme="minorHAnsi"/>
          <w:b/>
          <w:bCs/>
          <w:color w:val="000000"/>
          <w:sz w:val="20"/>
          <w:szCs w:val="20"/>
          <w:lang w:eastAsia="en-US" w:bidi="ar-SA"/>
        </w:rPr>
        <w:t>Remuneration</w:t>
      </w: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Remuneration received or receivable by the Accountable Officer, in connection with the management</w:t>
      </w:r>
      <w:r w:rsidR="00102361">
        <w:rPr>
          <w:rFonts w:eastAsiaTheme="minorHAnsi"/>
          <w:color w:val="000000"/>
          <w:sz w:val="20"/>
          <w:szCs w:val="20"/>
          <w:lang w:eastAsia="en-US" w:bidi="ar-SA"/>
        </w:rPr>
        <w:t xml:space="preserve"> </w:t>
      </w:r>
      <w:r w:rsidRPr="00CF1B2E">
        <w:rPr>
          <w:rFonts w:eastAsiaTheme="minorHAnsi"/>
          <w:color w:val="000000"/>
          <w:sz w:val="20"/>
          <w:szCs w:val="20"/>
          <w:lang w:eastAsia="en-US" w:bidi="ar-SA"/>
        </w:rPr>
        <w:t>of the Commission during the reporting period was in the range of $540,000 – $549,999 ($500,000 –</w:t>
      </w:r>
      <w:r w:rsidR="00102361">
        <w:rPr>
          <w:rFonts w:eastAsiaTheme="minorHAnsi"/>
          <w:color w:val="000000"/>
          <w:sz w:val="20"/>
          <w:szCs w:val="20"/>
          <w:lang w:eastAsia="en-US" w:bidi="ar-SA"/>
        </w:rPr>
        <w:t xml:space="preserve"> </w:t>
      </w:r>
      <w:r w:rsidRPr="00CF1B2E">
        <w:rPr>
          <w:rFonts w:eastAsiaTheme="minorHAnsi"/>
          <w:color w:val="000000"/>
          <w:sz w:val="20"/>
          <w:szCs w:val="20"/>
          <w:lang w:eastAsia="en-US" w:bidi="ar-SA"/>
        </w:rPr>
        <w:t>$509,999 in 2017–18).</w:t>
      </w:r>
    </w:p>
    <w:p w:rsid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Amounts relating to the Minister are reported in the financial statements of the Department</w:t>
      </w:r>
      <w:r w:rsidR="00102361">
        <w:rPr>
          <w:rFonts w:eastAsiaTheme="minorHAnsi"/>
          <w:color w:val="000000"/>
          <w:sz w:val="20"/>
          <w:szCs w:val="20"/>
          <w:lang w:eastAsia="en-US" w:bidi="ar-SA"/>
        </w:rPr>
        <w:t xml:space="preserve"> </w:t>
      </w:r>
      <w:r w:rsidRPr="00CF1B2E">
        <w:rPr>
          <w:rFonts w:eastAsiaTheme="minorHAnsi"/>
          <w:color w:val="000000"/>
          <w:sz w:val="20"/>
          <w:szCs w:val="20"/>
          <w:lang w:eastAsia="en-US" w:bidi="ar-SA"/>
        </w:rPr>
        <w:t>of Parliamentary Services.</w:t>
      </w:r>
    </w:p>
    <w:p w:rsidR="00102361" w:rsidRPr="00CF1B2E" w:rsidRDefault="00102361" w:rsidP="00102361">
      <w:pPr>
        <w:rPr>
          <w:lang w:eastAsia="en-US" w:bidi="ar-SA"/>
        </w:rPr>
      </w:pPr>
    </w:p>
    <w:p w:rsidR="00CF1B2E" w:rsidRDefault="00CF1B2E" w:rsidP="009769A3">
      <w:pPr>
        <w:pStyle w:val="Heading4"/>
        <w:rPr>
          <w:lang w:eastAsia="en-US" w:bidi="ar-SA"/>
        </w:rPr>
      </w:pPr>
      <w:r w:rsidRPr="00CF1B2E">
        <w:rPr>
          <w:lang w:eastAsia="en-US" w:bidi="ar-SA"/>
        </w:rPr>
        <w:t>8.4</w:t>
      </w:r>
      <w:r w:rsidR="00102361">
        <w:rPr>
          <w:lang w:eastAsia="en-US" w:bidi="ar-SA"/>
        </w:rPr>
        <w:t xml:space="preserve"> </w:t>
      </w:r>
      <w:r w:rsidRPr="00CF1B2E">
        <w:rPr>
          <w:lang w:eastAsia="en-US" w:bidi="ar-SA"/>
        </w:rPr>
        <w:t>Remuneration of executives</w:t>
      </w:r>
    </w:p>
    <w:p w:rsidR="00102361" w:rsidRPr="00CF1B2E" w:rsidRDefault="00102361" w:rsidP="00102361">
      <w:pPr>
        <w:rPr>
          <w:lang w:eastAsia="en-US" w:bidi="ar-SA"/>
        </w:rPr>
      </w:pP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number of executive officers, other than Ministers and Accountable Officers, and their total remuneration during the reporting period are shown in the table below. Total annualised employee equivalents provide</w:t>
      </w:r>
      <w:r w:rsidRPr="00CF1B2E">
        <w:rPr>
          <w:rFonts w:eastAsiaTheme="minorHAnsi"/>
          <w:color w:val="000000"/>
          <w:sz w:val="20"/>
          <w:szCs w:val="20"/>
          <w:lang w:eastAsia="en-US" w:bidi="ar-SA"/>
        </w:rPr>
        <w:br/>
        <w:t>a measure of full time equivalent executive officers over the reporting period.</w:t>
      </w: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pacing w:val="-1"/>
          <w:sz w:val="20"/>
          <w:szCs w:val="20"/>
          <w:lang w:eastAsia="en-US" w:bidi="ar-SA"/>
        </w:rPr>
        <w:t>Remuneration comprises employee expenses in all forms of consideration paid, payable or provided by the entity or on behalf of the entity, in exchange for services rendered, and is disclosed in the following categories:</w:t>
      </w:r>
    </w:p>
    <w:p w:rsidR="00CF1B2E" w:rsidRPr="00102361" w:rsidRDefault="00CF1B2E" w:rsidP="00102361">
      <w:pPr>
        <w:pStyle w:val="ListParagraph"/>
        <w:widowControl/>
        <w:numPr>
          <w:ilvl w:val="0"/>
          <w:numId w:val="35"/>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102361">
        <w:rPr>
          <w:rFonts w:eastAsiaTheme="minorHAnsi"/>
          <w:color w:val="000000"/>
          <w:sz w:val="20"/>
          <w:szCs w:val="20"/>
          <w:lang w:eastAsia="en-US" w:bidi="ar-SA"/>
        </w:rPr>
        <w:t>short-term employee expenses include amounts such as wages, salaries, annual leave or sick leave</w:t>
      </w:r>
      <w:r w:rsidRPr="00102361">
        <w:rPr>
          <w:rFonts w:eastAsiaTheme="minorHAnsi"/>
          <w:color w:val="000000"/>
          <w:sz w:val="20"/>
          <w:szCs w:val="20"/>
          <w:lang w:eastAsia="en-US" w:bidi="ar-SA"/>
        </w:rPr>
        <w:br/>
        <w:t>that are usually paid or payable on a regular basis, as well as non-monetary benefits such as allowances and free or subsidised goods or services</w:t>
      </w:r>
    </w:p>
    <w:p w:rsidR="00CF1B2E" w:rsidRPr="00102361" w:rsidRDefault="00CF1B2E" w:rsidP="00102361">
      <w:pPr>
        <w:pStyle w:val="ListParagraph"/>
        <w:widowControl/>
        <w:numPr>
          <w:ilvl w:val="0"/>
          <w:numId w:val="35"/>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102361">
        <w:rPr>
          <w:rFonts w:eastAsiaTheme="minorHAnsi"/>
          <w:color w:val="000000"/>
          <w:sz w:val="20"/>
          <w:szCs w:val="20"/>
          <w:lang w:eastAsia="en-US" w:bidi="ar-SA"/>
        </w:rPr>
        <w:t>post-employment benefits include employer contributions for members of both defined benefit</w:t>
      </w:r>
      <w:r w:rsidRPr="00102361">
        <w:rPr>
          <w:rFonts w:eastAsiaTheme="minorHAnsi"/>
          <w:color w:val="000000"/>
          <w:sz w:val="20"/>
          <w:szCs w:val="20"/>
          <w:lang w:eastAsia="en-US" w:bidi="ar-SA"/>
        </w:rPr>
        <w:br/>
        <w:t>and defined contribution superannuation plans</w:t>
      </w:r>
    </w:p>
    <w:p w:rsidR="00CF1B2E" w:rsidRPr="00102361" w:rsidRDefault="00CF1B2E" w:rsidP="00102361">
      <w:pPr>
        <w:pStyle w:val="ListParagraph"/>
        <w:widowControl/>
        <w:numPr>
          <w:ilvl w:val="0"/>
          <w:numId w:val="35"/>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102361">
        <w:rPr>
          <w:rFonts w:eastAsiaTheme="minorHAnsi"/>
          <w:color w:val="000000"/>
          <w:sz w:val="20"/>
          <w:szCs w:val="20"/>
          <w:lang w:eastAsia="en-US" w:bidi="ar-SA"/>
        </w:rPr>
        <w:t>other long-term benefits include long service leave, other long-service benefit or deferred compensation</w:t>
      </w:r>
    </w:p>
    <w:p w:rsidR="00CF1B2E" w:rsidRPr="00102361" w:rsidRDefault="00CF1B2E" w:rsidP="00102361">
      <w:pPr>
        <w:pStyle w:val="ListParagraph"/>
        <w:widowControl/>
        <w:numPr>
          <w:ilvl w:val="0"/>
          <w:numId w:val="35"/>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102361">
        <w:rPr>
          <w:rFonts w:eastAsiaTheme="minorHAnsi"/>
          <w:color w:val="000000"/>
          <w:sz w:val="20"/>
          <w:szCs w:val="20"/>
          <w:lang w:eastAsia="en-US" w:bidi="ar-SA"/>
        </w:rPr>
        <w:t>termination benefits include termination of employment payments, such as severance packages.</w:t>
      </w:r>
    </w:p>
    <w:p w:rsidR="00CF1B2E" w:rsidRPr="00CF1B2E" w:rsidRDefault="00CF1B2E" w:rsidP="00102361">
      <w:pPr>
        <w:rPr>
          <w:lang w:eastAsia="en-US" w:bidi="ar-SA"/>
        </w:rPr>
      </w:pPr>
    </w:p>
    <w:p w:rsidR="00CF1B2E" w:rsidRPr="00102361" w:rsidRDefault="00CF1B2E" w:rsidP="0042128D">
      <w:pPr>
        <w:widowControl/>
        <w:suppressAutoHyphens/>
        <w:adjustRightInd w:val="0"/>
        <w:spacing w:after="57" w:line="220" w:lineRule="atLeast"/>
        <w:ind w:left="709" w:right="1137"/>
        <w:textAlignment w:val="center"/>
        <w:rPr>
          <w:rFonts w:eastAsiaTheme="minorHAnsi"/>
          <w:b/>
          <w:bCs/>
          <w:sz w:val="20"/>
          <w:szCs w:val="20"/>
          <w:lang w:eastAsia="en-US" w:bidi="ar-SA"/>
        </w:rPr>
      </w:pPr>
      <w:r w:rsidRPr="00CF1B2E">
        <w:rPr>
          <w:rFonts w:eastAsiaTheme="minorHAnsi"/>
          <w:b/>
          <w:bCs/>
          <w:sz w:val="20"/>
          <w:szCs w:val="20"/>
          <w:lang w:eastAsia="en-US" w:bidi="ar-SA"/>
        </w:rPr>
        <w:t>Remuneration of executive officers</w:t>
      </w:r>
    </w:p>
    <w:p w:rsidR="00102361" w:rsidRPr="00CF1B2E" w:rsidRDefault="00102361" w:rsidP="00102361">
      <w:pPr>
        <w:rPr>
          <w:lang w:eastAsia="en-US" w:bidi="ar-SA"/>
        </w:rPr>
      </w:pPr>
    </w:p>
    <w:tbl>
      <w:tblPr>
        <w:tblStyle w:val="TableGrid"/>
        <w:tblW w:w="0" w:type="auto"/>
        <w:tblInd w:w="688" w:type="dxa"/>
        <w:tblLayout w:type="fixed"/>
        <w:tblLook w:val="0000" w:firstRow="0" w:lastRow="0" w:firstColumn="0" w:lastColumn="0" w:noHBand="0" w:noVBand="0"/>
      </w:tblPr>
      <w:tblGrid>
        <w:gridCol w:w="6293"/>
        <w:gridCol w:w="1945"/>
        <w:gridCol w:w="1842"/>
      </w:tblGrid>
      <w:tr w:rsidR="0042128D" w:rsidRPr="0042128D" w:rsidTr="00102361">
        <w:trPr>
          <w:trHeight w:val="60"/>
        </w:trPr>
        <w:tc>
          <w:tcPr>
            <w:tcW w:w="6293" w:type="dxa"/>
          </w:tcPr>
          <w:p w:rsidR="00CF1B2E" w:rsidRPr="00CF1B2E" w:rsidRDefault="00CF1B2E" w:rsidP="00CF1B2E">
            <w:pPr>
              <w:widowControl/>
              <w:adjustRightInd w:val="0"/>
              <w:rPr>
                <w:rFonts w:eastAsiaTheme="minorHAnsi"/>
                <w:sz w:val="20"/>
                <w:szCs w:val="20"/>
                <w:lang w:eastAsia="en-US" w:bidi="ar-SA"/>
              </w:rPr>
            </w:pPr>
          </w:p>
        </w:tc>
        <w:tc>
          <w:tcPr>
            <w:tcW w:w="1945" w:type="dxa"/>
          </w:tcPr>
          <w:p w:rsidR="00CF1B2E" w:rsidRPr="00CF1B2E" w:rsidRDefault="00CF1B2E" w:rsidP="0042128D">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F1B2E">
              <w:rPr>
                <w:rFonts w:eastAsiaTheme="minorHAnsi"/>
                <w:b/>
                <w:bCs/>
                <w:sz w:val="20"/>
                <w:szCs w:val="20"/>
                <w:lang w:eastAsia="en-US" w:bidi="ar-SA"/>
              </w:rPr>
              <w:t>2019</w:t>
            </w:r>
          </w:p>
        </w:tc>
        <w:tc>
          <w:tcPr>
            <w:tcW w:w="1842" w:type="dxa"/>
          </w:tcPr>
          <w:p w:rsidR="00CF1B2E" w:rsidRPr="00CF1B2E" w:rsidRDefault="00CF1B2E" w:rsidP="0042128D">
            <w:pPr>
              <w:widowControl/>
              <w:tabs>
                <w:tab w:val="right" w:pos="7370"/>
              </w:tabs>
              <w:suppressAutoHyphens/>
              <w:adjustRightInd w:val="0"/>
              <w:spacing w:before="113" w:line="260" w:lineRule="atLeast"/>
              <w:jc w:val="center"/>
              <w:textAlignment w:val="center"/>
              <w:rPr>
                <w:rFonts w:eastAsiaTheme="minorHAnsi"/>
                <w:b/>
                <w:bCs/>
                <w:sz w:val="20"/>
                <w:szCs w:val="20"/>
                <w:lang w:eastAsia="en-US" w:bidi="ar-SA"/>
              </w:rPr>
            </w:pPr>
            <w:r w:rsidRPr="0042128D">
              <w:rPr>
                <w:rFonts w:eastAsiaTheme="minorHAnsi"/>
                <w:b/>
                <w:bCs/>
                <w:sz w:val="20"/>
                <w:szCs w:val="20"/>
                <w:lang w:eastAsia="en-US" w:bidi="ar-SA"/>
                <w14:textOutline w14:w="9525" w14:cap="flat" w14:cmpd="sng" w14:algn="ctr">
                  <w14:noFill/>
                  <w14:prstDash w14:val="solid"/>
                  <w14:round/>
                </w14:textOutline>
              </w:rPr>
              <w:t>2018</w:t>
            </w:r>
          </w:p>
        </w:tc>
      </w:tr>
      <w:tr w:rsidR="0042128D" w:rsidRPr="0042128D" w:rsidTr="00102361">
        <w:trPr>
          <w:trHeight w:val="60"/>
        </w:trPr>
        <w:tc>
          <w:tcPr>
            <w:tcW w:w="6293" w:type="dxa"/>
          </w:tcPr>
          <w:p w:rsidR="00CF1B2E" w:rsidRPr="00CF1B2E" w:rsidRDefault="00CF1B2E" w:rsidP="00CF1B2E">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F1B2E">
              <w:rPr>
                <w:rFonts w:eastAsiaTheme="minorHAnsi"/>
                <w:b/>
                <w:bCs/>
                <w:sz w:val="20"/>
                <w:szCs w:val="20"/>
                <w:lang w:eastAsia="en-US" w:bidi="ar-SA"/>
              </w:rPr>
              <w:t>Compensation of KMPs</w:t>
            </w:r>
          </w:p>
        </w:tc>
        <w:tc>
          <w:tcPr>
            <w:tcW w:w="1945" w:type="dxa"/>
          </w:tcPr>
          <w:p w:rsidR="00CF1B2E" w:rsidRPr="00CF1B2E" w:rsidRDefault="00CF1B2E" w:rsidP="0042128D">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F1B2E">
              <w:rPr>
                <w:rFonts w:eastAsiaTheme="minorHAnsi"/>
                <w:b/>
                <w:bCs/>
                <w:sz w:val="20"/>
                <w:szCs w:val="20"/>
                <w:lang w:eastAsia="en-US" w:bidi="ar-SA"/>
              </w:rPr>
              <w:t>$</w:t>
            </w:r>
          </w:p>
        </w:tc>
        <w:tc>
          <w:tcPr>
            <w:tcW w:w="1842" w:type="dxa"/>
          </w:tcPr>
          <w:p w:rsidR="00CF1B2E" w:rsidRPr="00CF1B2E" w:rsidRDefault="00CF1B2E" w:rsidP="0042128D">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F1B2E">
              <w:rPr>
                <w:rFonts w:eastAsiaTheme="minorHAnsi"/>
                <w:b/>
                <w:bCs/>
                <w:sz w:val="20"/>
                <w:szCs w:val="20"/>
                <w:lang w:eastAsia="en-US" w:bidi="ar-SA"/>
              </w:rPr>
              <w:t>$</w:t>
            </w:r>
          </w:p>
        </w:tc>
      </w:tr>
      <w:tr w:rsidR="0042128D" w:rsidRPr="0042128D" w:rsidTr="00102361">
        <w:trPr>
          <w:trHeight w:val="288"/>
        </w:trPr>
        <w:tc>
          <w:tcPr>
            <w:tcW w:w="6293"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Short-term employee benefits</w:t>
            </w:r>
          </w:p>
        </w:tc>
        <w:tc>
          <w:tcPr>
            <w:tcW w:w="1945"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1,094,840</w:t>
            </w:r>
          </w:p>
        </w:tc>
        <w:tc>
          <w:tcPr>
            <w:tcW w:w="1842"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1,088,575</w:t>
            </w:r>
          </w:p>
        </w:tc>
      </w:tr>
      <w:tr w:rsidR="0042128D" w:rsidRPr="0042128D" w:rsidTr="00102361">
        <w:trPr>
          <w:trHeight w:val="60"/>
        </w:trPr>
        <w:tc>
          <w:tcPr>
            <w:tcW w:w="6293"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 xml:space="preserve">Post-employment benefits </w:t>
            </w:r>
          </w:p>
        </w:tc>
        <w:tc>
          <w:tcPr>
            <w:tcW w:w="1945"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103,892</w:t>
            </w:r>
          </w:p>
        </w:tc>
        <w:tc>
          <w:tcPr>
            <w:tcW w:w="1842"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138,268</w:t>
            </w:r>
          </w:p>
        </w:tc>
      </w:tr>
      <w:tr w:rsidR="0042128D" w:rsidRPr="0042128D" w:rsidTr="00102361">
        <w:trPr>
          <w:trHeight w:val="60"/>
        </w:trPr>
        <w:tc>
          <w:tcPr>
            <w:tcW w:w="6293"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 xml:space="preserve">Other long-term benefits </w:t>
            </w:r>
          </w:p>
        </w:tc>
        <w:tc>
          <w:tcPr>
            <w:tcW w:w="1945"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90,558</w:t>
            </w:r>
          </w:p>
        </w:tc>
        <w:tc>
          <w:tcPr>
            <w:tcW w:w="1842"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48,785</w:t>
            </w:r>
          </w:p>
        </w:tc>
      </w:tr>
      <w:tr w:rsidR="0042128D" w:rsidRPr="0042128D" w:rsidTr="00102361">
        <w:trPr>
          <w:trHeight w:val="60"/>
        </w:trPr>
        <w:tc>
          <w:tcPr>
            <w:tcW w:w="6293"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 xml:space="preserve">Termination benefits </w:t>
            </w:r>
          </w:p>
        </w:tc>
        <w:tc>
          <w:tcPr>
            <w:tcW w:w="1945"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24,359</w:t>
            </w:r>
          </w:p>
        </w:tc>
        <w:tc>
          <w:tcPr>
            <w:tcW w:w="1842"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88,400</w:t>
            </w:r>
          </w:p>
        </w:tc>
      </w:tr>
      <w:tr w:rsidR="0042128D" w:rsidRPr="0042128D" w:rsidTr="00102361">
        <w:trPr>
          <w:trHeight w:val="60"/>
        </w:trPr>
        <w:tc>
          <w:tcPr>
            <w:tcW w:w="6293"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Total remuneration</w:t>
            </w:r>
          </w:p>
        </w:tc>
        <w:tc>
          <w:tcPr>
            <w:tcW w:w="1945"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1,313,649</w:t>
            </w:r>
          </w:p>
        </w:tc>
        <w:tc>
          <w:tcPr>
            <w:tcW w:w="1842"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1,364,028</w:t>
            </w:r>
          </w:p>
        </w:tc>
      </w:tr>
      <w:tr w:rsidR="0042128D" w:rsidRPr="0042128D" w:rsidTr="00102361">
        <w:trPr>
          <w:trHeight w:val="60"/>
        </w:trPr>
        <w:tc>
          <w:tcPr>
            <w:tcW w:w="6293"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Total number of executives</w:t>
            </w:r>
          </w:p>
        </w:tc>
        <w:tc>
          <w:tcPr>
            <w:tcW w:w="1945"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8</w:t>
            </w:r>
          </w:p>
        </w:tc>
        <w:tc>
          <w:tcPr>
            <w:tcW w:w="1842"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10</w:t>
            </w:r>
          </w:p>
        </w:tc>
      </w:tr>
      <w:tr w:rsidR="0042128D" w:rsidRPr="0042128D" w:rsidTr="00102361">
        <w:trPr>
          <w:trHeight w:val="60"/>
        </w:trPr>
        <w:tc>
          <w:tcPr>
            <w:tcW w:w="6293"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Total annualised employee equivalents</w:t>
            </w:r>
            <w:r w:rsidRPr="00CF1B2E">
              <w:rPr>
                <w:rFonts w:eastAsiaTheme="minorHAnsi"/>
                <w:sz w:val="20"/>
                <w:szCs w:val="20"/>
                <w:vertAlign w:val="superscript"/>
                <w:lang w:eastAsia="en-US" w:bidi="ar-SA"/>
              </w:rPr>
              <w:t>(a)</w:t>
            </w:r>
          </w:p>
        </w:tc>
        <w:tc>
          <w:tcPr>
            <w:tcW w:w="1945"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4.8</w:t>
            </w:r>
          </w:p>
        </w:tc>
        <w:tc>
          <w:tcPr>
            <w:tcW w:w="1842" w:type="dxa"/>
          </w:tcPr>
          <w:p w:rsidR="00CF1B2E" w:rsidRPr="00CF1B2E" w:rsidRDefault="00CF1B2E" w:rsidP="0042128D">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5.9</w:t>
            </w:r>
          </w:p>
        </w:tc>
      </w:tr>
    </w:tbl>
    <w:p w:rsidR="00CF1B2E" w:rsidRPr="00CF1B2E" w:rsidRDefault="00CF1B2E" w:rsidP="00102361">
      <w:pPr>
        <w:rPr>
          <w:lang w:eastAsia="en-US" w:bidi="ar-SA"/>
        </w:rPr>
      </w:pPr>
    </w:p>
    <w:p w:rsidR="00CF1B2E" w:rsidRPr="00CF1B2E" w:rsidRDefault="00CF1B2E" w:rsidP="0042128D">
      <w:pPr>
        <w:widowControl/>
        <w:suppressAutoHyphens/>
        <w:adjustRightInd w:val="0"/>
        <w:spacing w:line="200" w:lineRule="atLeast"/>
        <w:ind w:left="709" w:right="1137"/>
        <w:textAlignment w:val="center"/>
        <w:rPr>
          <w:rFonts w:eastAsiaTheme="minorHAnsi"/>
          <w:i/>
          <w:iCs/>
          <w:color w:val="000000"/>
          <w:sz w:val="20"/>
          <w:szCs w:val="20"/>
          <w:lang w:eastAsia="en-US" w:bidi="ar-SA"/>
        </w:rPr>
      </w:pPr>
      <w:r w:rsidRPr="00CF1B2E">
        <w:rPr>
          <w:rFonts w:eastAsiaTheme="minorHAnsi"/>
          <w:i/>
          <w:iCs/>
          <w:color w:val="000000"/>
          <w:sz w:val="20"/>
          <w:szCs w:val="20"/>
          <w:lang w:eastAsia="en-US" w:bidi="ar-SA"/>
        </w:rPr>
        <w:lastRenderedPageBreak/>
        <w:t>Notes:</w:t>
      </w:r>
    </w:p>
    <w:p w:rsidR="00CF1B2E" w:rsidRPr="00CF1B2E" w:rsidRDefault="00CF1B2E" w:rsidP="0042128D">
      <w:pPr>
        <w:widowControl/>
        <w:suppressAutoHyphens/>
        <w:adjustRightInd w:val="0"/>
        <w:spacing w:after="113" w:line="200" w:lineRule="atLeast"/>
        <w:ind w:left="709" w:right="1137"/>
        <w:textAlignment w:val="center"/>
        <w:rPr>
          <w:rFonts w:eastAsiaTheme="minorHAnsi"/>
          <w:i/>
          <w:iCs/>
          <w:color w:val="000000"/>
          <w:sz w:val="20"/>
          <w:szCs w:val="20"/>
          <w:lang w:eastAsia="en-US" w:bidi="ar-SA"/>
        </w:rPr>
      </w:pPr>
      <w:r w:rsidRPr="00CF1B2E">
        <w:rPr>
          <w:rFonts w:eastAsiaTheme="minorHAnsi"/>
          <w:i/>
          <w:iCs/>
          <w:color w:val="000000"/>
          <w:sz w:val="20"/>
          <w:szCs w:val="20"/>
          <w:lang w:eastAsia="en-US" w:bidi="ar-SA"/>
        </w:rPr>
        <w:t>(a) Annualised employee equivalent is based on paid working hours of 38 ordinary hours per week over the 52 weeks</w:t>
      </w:r>
      <w:r w:rsidR="00102361">
        <w:rPr>
          <w:rFonts w:eastAsiaTheme="minorHAnsi"/>
          <w:i/>
          <w:iCs/>
          <w:color w:val="000000"/>
          <w:sz w:val="20"/>
          <w:szCs w:val="20"/>
          <w:lang w:eastAsia="en-US" w:bidi="ar-SA"/>
        </w:rPr>
        <w:t xml:space="preserve"> </w:t>
      </w:r>
      <w:r w:rsidRPr="00CF1B2E">
        <w:rPr>
          <w:rFonts w:eastAsiaTheme="minorHAnsi"/>
          <w:i/>
          <w:iCs/>
          <w:color w:val="000000"/>
          <w:sz w:val="20"/>
          <w:szCs w:val="20"/>
          <w:lang w:eastAsia="en-US" w:bidi="ar-SA"/>
        </w:rPr>
        <w:t>for the reporting period</w:t>
      </w:r>
    </w:p>
    <w:p w:rsidR="00102361" w:rsidRDefault="00102361" w:rsidP="00102361">
      <w:pPr>
        <w:rPr>
          <w:lang w:eastAsia="en-US" w:bidi="ar-SA"/>
        </w:rPr>
      </w:pPr>
    </w:p>
    <w:p w:rsidR="00CF1B2E" w:rsidRDefault="00CF1B2E" w:rsidP="009769A3">
      <w:pPr>
        <w:pStyle w:val="Heading4"/>
        <w:rPr>
          <w:lang w:eastAsia="en-US" w:bidi="ar-SA"/>
        </w:rPr>
      </w:pPr>
      <w:r w:rsidRPr="00CF1B2E">
        <w:rPr>
          <w:lang w:eastAsia="en-US" w:bidi="ar-SA"/>
        </w:rPr>
        <w:t>8.5</w:t>
      </w:r>
      <w:r w:rsidR="00102361">
        <w:rPr>
          <w:lang w:eastAsia="en-US" w:bidi="ar-SA"/>
        </w:rPr>
        <w:t xml:space="preserve"> </w:t>
      </w:r>
      <w:r w:rsidRPr="00CF1B2E">
        <w:rPr>
          <w:lang w:eastAsia="en-US" w:bidi="ar-SA"/>
        </w:rPr>
        <w:t>Related parties</w:t>
      </w:r>
    </w:p>
    <w:p w:rsidR="00102361" w:rsidRPr="00CF1B2E" w:rsidRDefault="00102361" w:rsidP="00102361">
      <w:pPr>
        <w:rPr>
          <w:lang w:eastAsia="en-US" w:bidi="ar-SA"/>
        </w:rPr>
      </w:pP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Commission is a wholly owned and controlled entity of the State of Victoria. Related parties</w:t>
      </w:r>
      <w:r w:rsidR="00665555">
        <w:rPr>
          <w:rFonts w:eastAsiaTheme="minorHAnsi"/>
          <w:color w:val="000000"/>
          <w:sz w:val="20"/>
          <w:szCs w:val="20"/>
          <w:lang w:eastAsia="en-US" w:bidi="ar-SA"/>
        </w:rPr>
        <w:t xml:space="preserve"> </w:t>
      </w:r>
      <w:r w:rsidRPr="00CF1B2E">
        <w:rPr>
          <w:rFonts w:eastAsiaTheme="minorHAnsi"/>
          <w:color w:val="000000"/>
          <w:sz w:val="20"/>
          <w:szCs w:val="20"/>
          <w:lang w:eastAsia="en-US" w:bidi="ar-SA"/>
        </w:rPr>
        <w:t>of the Commission include:</w:t>
      </w:r>
    </w:p>
    <w:p w:rsidR="00CF1B2E" w:rsidRPr="00665555" w:rsidRDefault="00CF1B2E" w:rsidP="00665555">
      <w:pPr>
        <w:pStyle w:val="ListParagraph"/>
        <w:widowControl/>
        <w:numPr>
          <w:ilvl w:val="0"/>
          <w:numId w:val="36"/>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665555">
        <w:rPr>
          <w:rFonts w:eastAsiaTheme="minorHAnsi"/>
          <w:color w:val="000000"/>
          <w:sz w:val="20"/>
          <w:szCs w:val="20"/>
          <w:lang w:eastAsia="en-US" w:bidi="ar-SA"/>
        </w:rPr>
        <w:t>all key management personnel and their close family members</w:t>
      </w:r>
    </w:p>
    <w:p w:rsidR="00CF1B2E" w:rsidRPr="00665555" w:rsidRDefault="00CF1B2E" w:rsidP="00665555">
      <w:pPr>
        <w:pStyle w:val="ListParagraph"/>
        <w:widowControl/>
        <w:numPr>
          <w:ilvl w:val="0"/>
          <w:numId w:val="36"/>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665555">
        <w:rPr>
          <w:rFonts w:eastAsiaTheme="minorHAnsi"/>
          <w:color w:val="000000"/>
          <w:sz w:val="20"/>
          <w:szCs w:val="20"/>
          <w:lang w:eastAsia="en-US" w:bidi="ar-SA"/>
        </w:rPr>
        <w:t>all cabinet ministers and their close family members</w:t>
      </w:r>
    </w:p>
    <w:p w:rsidR="00CF1B2E" w:rsidRPr="00665555" w:rsidRDefault="00CF1B2E" w:rsidP="00665555">
      <w:pPr>
        <w:pStyle w:val="ListParagraph"/>
        <w:widowControl/>
        <w:numPr>
          <w:ilvl w:val="0"/>
          <w:numId w:val="36"/>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665555">
        <w:rPr>
          <w:rFonts w:eastAsiaTheme="minorHAnsi"/>
          <w:color w:val="000000"/>
          <w:sz w:val="20"/>
          <w:szCs w:val="20"/>
          <w:lang w:eastAsia="en-US" w:bidi="ar-SA"/>
        </w:rPr>
        <w:t>all departments and public sector entities that are controlled and consolidated into the whole</w:t>
      </w:r>
      <w:r w:rsidRPr="00665555">
        <w:rPr>
          <w:rFonts w:eastAsiaTheme="minorHAnsi"/>
          <w:color w:val="000000"/>
          <w:sz w:val="20"/>
          <w:szCs w:val="20"/>
          <w:lang w:eastAsia="en-US" w:bidi="ar-SA"/>
        </w:rPr>
        <w:br/>
        <w:t>of State consolidated financial statements.</w:t>
      </w:r>
    </w:p>
    <w:p w:rsidR="00CF1B2E" w:rsidRPr="00CF1B2E" w:rsidRDefault="00CF1B2E" w:rsidP="00665555">
      <w:pPr>
        <w:rPr>
          <w:lang w:eastAsia="en-US" w:bidi="ar-SA"/>
        </w:rPr>
      </w:pPr>
    </w:p>
    <w:p w:rsidR="00CF1B2E" w:rsidRPr="00CF1B2E" w:rsidRDefault="00CF1B2E" w:rsidP="0042128D">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CF1B2E">
        <w:rPr>
          <w:rFonts w:eastAsiaTheme="minorHAnsi"/>
          <w:b/>
          <w:bCs/>
          <w:color w:val="000000"/>
          <w:sz w:val="20"/>
          <w:szCs w:val="20"/>
          <w:lang w:eastAsia="en-US" w:bidi="ar-SA"/>
        </w:rPr>
        <w:t>Significant transactions with government-related entities</w:t>
      </w: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 xml:space="preserve">The Commission received grants from DPC of $9.9 million (2018: $6.7 million) </w:t>
      </w: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During 2018–19, the Commission received funding of $2.5 million ($2.3 million in 2017–18) for the annual operating contribution to the Victorian Leadership Academy (VLA). The funding comprised equal contributions by the seven State departments and Victorian Police.</w:t>
      </w: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VLA is an emerging and progressive program to support leadership development aligned to the future needs of the sector. VLA’s goal is to provide leaders with the required skills and capabilities to operate in an increasingly complex and changeable environment and to deliver on the government’s priorities for Victoria.</w:t>
      </w:r>
    </w:p>
    <w:p w:rsid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Key management personnel (KMP) of the Commission during the financial year include the Portfolio</w:t>
      </w:r>
      <w:r w:rsidR="00665555">
        <w:rPr>
          <w:rFonts w:eastAsiaTheme="minorHAnsi"/>
          <w:color w:val="000000"/>
          <w:sz w:val="20"/>
          <w:szCs w:val="20"/>
          <w:lang w:eastAsia="en-US" w:bidi="ar-SA"/>
        </w:rPr>
        <w:t xml:space="preserve"> </w:t>
      </w:r>
      <w:r w:rsidRPr="00CF1B2E">
        <w:rPr>
          <w:rFonts w:eastAsiaTheme="minorHAnsi"/>
          <w:color w:val="000000"/>
          <w:sz w:val="20"/>
          <w:szCs w:val="20"/>
          <w:lang w:eastAsia="en-US" w:bidi="ar-SA"/>
        </w:rPr>
        <w:t>Minister being the Hon. Daniel Andrews MP, the Commissioner Dr Paul Grimes and the members</w:t>
      </w:r>
      <w:r w:rsidR="00665555">
        <w:rPr>
          <w:rFonts w:eastAsiaTheme="minorHAnsi"/>
          <w:color w:val="000000"/>
          <w:sz w:val="20"/>
          <w:szCs w:val="20"/>
          <w:lang w:eastAsia="en-US" w:bidi="ar-SA"/>
        </w:rPr>
        <w:t xml:space="preserve"> </w:t>
      </w:r>
      <w:r w:rsidRPr="00CF1B2E">
        <w:rPr>
          <w:rFonts w:eastAsiaTheme="minorHAnsi"/>
          <w:color w:val="000000"/>
          <w:sz w:val="20"/>
          <w:szCs w:val="20"/>
          <w:lang w:eastAsia="en-US" w:bidi="ar-SA"/>
        </w:rPr>
        <w:t>of the Senior Executive Team.</w:t>
      </w:r>
    </w:p>
    <w:p w:rsidR="00665555" w:rsidRPr="00CF1B2E" w:rsidRDefault="00665555" w:rsidP="00665555">
      <w:pPr>
        <w:rPr>
          <w:lang w:eastAsia="en-US" w:bidi="ar-SA"/>
        </w:rPr>
      </w:pPr>
    </w:p>
    <w:tbl>
      <w:tblPr>
        <w:tblStyle w:val="TableGrid"/>
        <w:tblW w:w="0" w:type="auto"/>
        <w:tblInd w:w="702" w:type="dxa"/>
        <w:tblLayout w:type="fixed"/>
        <w:tblLook w:val="0000" w:firstRow="0" w:lastRow="0" w:firstColumn="0" w:lastColumn="0" w:noHBand="0" w:noVBand="0"/>
      </w:tblPr>
      <w:tblGrid>
        <w:gridCol w:w="2979"/>
        <w:gridCol w:w="7229"/>
      </w:tblGrid>
      <w:tr w:rsidR="0042128D" w:rsidRPr="00CF1B2E" w:rsidTr="00665555">
        <w:trPr>
          <w:trHeight w:val="60"/>
        </w:trPr>
        <w:tc>
          <w:tcPr>
            <w:tcW w:w="2979" w:type="dxa"/>
          </w:tcPr>
          <w:p w:rsidR="00CF1B2E" w:rsidRPr="00CF1B2E" w:rsidRDefault="00CF1B2E" w:rsidP="00CF1B2E">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F1B2E">
              <w:rPr>
                <w:rFonts w:eastAsiaTheme="minorHAnsi"/>
                <w:b/>
                <w:bCs/>
                <w:sz w:val="20"/>
                <w:szCs w:val="20"/>
                <w:lang w:eastAsia="en-US" w:bidi="ar-SA"/>
              </w:rPr>
              <w:t>Key management personnel</w:t>
            </w:r>
          </w:p>
        </w:tc>
        <w:tc>
          <w:tcPr>
            <w:tcW w:w="7229" w:type="dxa"/>
          </w:tcPr>
          <w:p w:rsidR="00CF1B2E" w:rsidRPr="00CF1B2E" w:rsidRDefault="00CF1B2E" w:rsidP="00CF1B2E">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F1B2E">
              <w:rPr>
                <w:rFonts w:eastAsiaTheme="minorHAnsi"/>
                <w:b/>
                <w:bCs/>
                <w:sz w:val="20"/>
                <w:szCs w:val="20"/>
                <w:lang w:eastAsia="en-US" w:bidi="ar-SA"/>
              </w:rPr>
              <w:t>Role at Victorian Public Sector Commission</w:t>
            </w:r>
          </w:p>
        </w:tc>
      </w:tr>
      <w:tr w:rsidR="0042128D" w:rsidRPr="00CF1B2E" w:rsidTr="00665555">
        <w:trPr>
          <w:trHeight w:val="60"/>
        </w:trPr>
        <w:tc>
          <w:tcPr>
            <w:tcW w:w="297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Dr Paul Grimes</w:t>
            </w:r>
          </w:p>
        </w:tc>
        <w:tc>
          <w:tcPr>
            <w:tcW w:w="722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Commissioner (1 July 2018 to 30 June 2019)</w:t>
            </w:r>
          </w:p>
        </w:tc>
      </w:tr>
      <w:tr w:rsidR="0042128D" w:rsidRPr="00CF1B2E" w:rsidTr="00665555">
        <w:trPr>
          <w:trHeight w:val="60"/>
        </w:trPr>
        <w:tc>
          <w:tcPr>
            <w:tcW w:w="297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Elizabeth Langdon</w:t>
            </w:r>
          </w:p>
        </w:tc>
        <w:tc>
          <w:tcPr>
            <w:tcW w:w="722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 xml:space="preserve">Deputy Commissioner (1 July 2018 to 17 June 2019) </w:t>
            </w:r>
          </w:p>
        </w:tc>
      </w:tr>
      <w:tr w:rsidR="0042128D" w:rsidRPr="00CF1B2E" w:rsidTr="00665555">
        <w:trPr>
          <w:trHeight w:val="60"/>
        </w:trPr>
        <w:tc>
          <w:tcPr>
            <w:tcW w:w="297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Verity Harris</w:t>
            </w:r>
          </w:p>
        </w:tc>
        <w:tc>
          <w:tcPr>
            <w:tcW w:w="722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Executive Director, Integrity and Advisory (30 July 2018 to 30 June 2019)</w:t>
            </w:r>
          </w:p>
        </w:tc>
      </w:tr>
      <w:tr w:rsidR="0042128D" w:rsidRPr="00CF1B2E" w:rsidTr="00665555">
        <w:trPr>
          <w:trHeight w:val="60"/>
        </w:trPr>
        <w:tc>
          <w:tcPr>
            <w:tcW w:w="297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Janine Bush</w:t>
            </w:r>
          </w:p>
        </w:tc>
        <w:tc>
          <w:tcPr>
            <w:tcW w:w="722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Taskforce Director (15 September 2018 to 28 February 2019)</w:t>
            </w:r>
          </w:p>
        </w:tc>
      </w:tr>
      <w:tr w:rsidR="0042128D" w:rsidRPr="00CF1B2E" w:rsidTr="00665555">
        <w:trPr>
          <w:trHeight w:val="60"/>
        </w:trPr>
        <w:tc>
          <w:tcPr>
            <w:tcW w:w="297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Natasha Thompson</w:t>
            </w:r>
          </w:p>
        </w:tc>
        <w:tc>
          <w:tcPr>
            <w:tcW w:w="722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Executive Director, People and Analytics</w:t>
            </w:r>
            <w:r w:rsidR="00665555">
              <w:rPr>
                <w:rFonts w:eastAsiaTheme="minorHAnsi"/>
                <w:sz w:val="20"/>
                <w:szCs w:val="20"/>
                <w:lang w:eastAsia="en-US" w:bidi="ar-SA"/>
              </w:rPr>
              <w:t xml:space="preserve"> </w:t>
            </w:r>
            <w:r w:rsidRPr="00CF1B2E">
              <w:rPr>
                <w:rFonts w:eastAsiaTheme="minorHAnsi"/>
                <w:sz w:val="20"/>
                <w:szCs w:val="20"/>
                <w:lang w:eastAsia="en-US" w:bidi="ar-SA"/>
              </w:rPr>
              <w:t>(12 March 2019 to 30 June 2019)</w:t>
            </w:r>
          </w:p>
        </w:tc>
      </w:tr>
      <w:tr w:rsidR="0042128D" w:rsidRPr="00CF1B2E" w:rsidTr="00665555">
        <w:trPr>
          <w:trHeight w:val="60"/>
        </w:trPr>
        <w:tc>
          <w:tcPr>
            <w:tcW w:w="297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proofErr w:type="spellStart"/>
            <w:r w:rsidRPr="00CF1B2E">
              <w:rPr>
                <w:rFonts w:eastAsiaTheme="minorHAnsi"/>
                <w:sz w:val="20"/>
                <w:szCs w:val="20"/>
                <w:lang w:eastAsia="en-US" w:bidi="ar-SA"/>
              </w:rPr>
              <w:t>Daen</w:t>
            </w:r>
            <w:proofErr w:type="spellEnd"/>
            <w:r w:rsidRPr="00CF1B2E">
              <w:rPr>
                <w:rFonts w:eastAsiaTheme="minorHAnsi"/>
                <w:sz w:val="20"/>
                <w:szCs w:val="20"/>
                <w:lang w:eastAsia="en-US" w:bidi="ar-SA"/>
              </w:rPr>
              <w:t xml:space="preserve"> </w:t>
            </w:r>
            <w:proofErr w:type="spellStart"/>
            <w:r w:rsidRPr="00CF1B2E">
              <w:rPr>
                <w:rFonts w:eastAsiaTheme="minorHAnsi"/>
                <w:sz w:val="20"/>
                <w:szCs w:val="20"/>
                <w:lang w:eastAsia="en-US" w:bidi="ar-SA"/>
              </w:rPr>
              <w:t>Dorazio</w:t>
            </w:r>
            <w:proofErr w:type="spellEnd"/>
          </w:p>
        </w:tc>
        <w:tc>
          <w:tcPr>
            <w:tcW w:w="722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Executive Director Workforce (23 April 2019 to 30 June 2019)</w:t>
            </w:r>
          </w:p>
        </w:tc>
      </w:tr>
      <w:tr w:rsidR="0042128D" w:rsidRPr="00CF1B2E" w:rsidTr="00665555">
        <w:trPr>
          <w:trHeight w:val="60"/>
        </w:trPr>
        <w:tc>
          <w:tcPr>
            <w:tcW w:w="297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Julia Griffith</w:t>
            </w:r>
          </w:p>
        </w:tc>
        <w:tc>
          <w:tcPr>
            <w:tcW w:w="722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Acting-Deputy Commissioner (17 June 2019 to 30 June 2019)</w:t>
            </w:r>
          </w:p>
        </w:tc>
      </w:tr>
    </w:tbl>
    <w:p w:rsidR="00CF1B2E" w:rsidRPr="00CF1B2E" w:rsidRDefault="00CF1B2E" w:rsidP="00665555">
      <w:pPr>
        <w:rPr>
          <w:lang w:eastAsia="en-US" w:bidi="ar-SA"/>
        </w:rPr>
      </w:pPr>
    </w:p>
    <w:p w:rsid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compensation detailed below excludes the salary and benefit the Portfolio Minister receives.</w:t>
      </w:r>
      <w:r w:rsidRPr="00CF1B2E">
        <w:rPr>
          <w:rFonts w:eastAsiaTheme="minorHAnsi"/>
          <w:color w:val="000000"/>
          <w:sz w:val="20"/>
          <w:szCs w:val="20"/>
          <w:lang w:eastAsia="en-US" w:bidi="ar-SA"/>
        </w:rPr>
        <w:br/>
        <w:t xml:space="preserve">The Minister’s remuneration and allowance are set by the </w:t>
      </w:r>
      <w:r w:rsidRPr="00CF1B2E">
        <w:rPr>
          <w:rFonts w:eastAsiaTheme="minorHAnsi"/>
          <w:i/>
          <w:iCs/>
          <w:color w:val="000000"/>
          <w:sz w:val="20"/>
          <w:szCs w:val="20"/>
          <w:lang w:eastAsia="en-US" w:bidi="ar-SA"/>
        </w:rPr>
        <w:t>Parliamentary Salaries and Superannuation Act 1968</w:t>
      </w:r>
      <w:r w:rsidRPr="00CF1B2E">
        <w:rPr>
          <w:rFonts w:eastAsiaTheme="minorHAnsi"/>
          <w:color w:val="000000"/>
          <w:sz w:val="20"/>
          <w:szCs w:val="20"/>
          <w:lang w:eastAsia="en-US" w:bidi="ar-SA"/>
        </w:rPr>
        <w:t xml:space="preserve"> and are reported in the financial report of the Department of Parliamentary Services.</w:t>
      </w:r>
    </w:p>
    <w:p w:rsidR="00665555" w:rsidRPr="00CF1B2E" w:rsidRDefault="00665555" w:rsidP="00665555">
      <w:pPr>
        <w:rPr>
          <w:lang w:eastAsia="en-US" w:bidi="ar-SA"/>
        </w:rPr>
      </w:pPr>
    </w:p>
    <w:tbl>
      <w:tblPr>
        <w:tblStyle w:val="TableGrid"/>
        <w:tblW w:w="0" w:type="auto"/>
        <w:tblInd w:w="675" w:type="dxa"/>
        <w:tblLayout w:type="fixed"/>
        <w:tblLook w:val="0000" w:firstRow="0" w:lastRow="0" w:firstColumn="0" w:lastColumn="0" w:noHBand="0" w:noVBand="0"/>
      </w:tblPr>
      <w:tblGrid>
        <w:gridCol w:w="6293"/>
        <w:gridCol w:w="2099"/>
        <w:gridCol w:w="1843"/>
      </w:tblGrid>
      <w:tr w:rsidR="006849E2" w:rsidRPr="006849E2" w:rsidTr="00665555">
        <w:trPr>
          <w:trHeight w:val="60"/>
        </w:trPr>
        <w:tc>
          <w:tcPr>
            <w:tcW w:w="6293" w:type="dxa"/>
          </w:tcPr>
          <w:p w:rsidR="00CF1B2E" w:rsidRPr="00CF1B2E" w:rsidRDefault="00CF1B2E" w:rsidP="00CF1B2E">
            <w:pPr>
              <w:widowControl/>
              <w:adjustRightInd w:val="0"/>
              <w:rPr>
                <w:rFonts w:eastAsiaTheme="minorHAnsi"/>
                <w:sz w:val="20"/>
                <w:szCs w:val="20"/>
                <w:lang w:eastAsia="en-US" w:bidi="ar-SA"/>
              </w:rPr>
            </w:pPr>
          </w:p>
        </w:tc>
        <w:tc>
          <w:tcPr>
            <w:tcW w:w="2099" w:type="dxa"/>
          </w:tcPr>
          <w:p w:rsidR="00CF1B2E" w:rsidRPr="00CF1B2E" w:rsidRDefault="00CF1B2E" w:rsidP="006849E2">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F1B2E">
              <w:rPr>
                <w:rFonts w:eastAsiaTheme="minorHAnsi"/>
                <w:b/>
                <w:bCs/>
                <w:sz w:val="20"/>
                <w:szCs w:val="20"/>
                <w:lang w:eastAsia="en-US" w:bidi="ar-SA"/>
              </w:rPr>
              <w:t>2019</w:t>
            </w:r>
          </w:p>
        </w:tc>
        <w:tc>
          <w:tcPr>
            <w:tcW w:w="1843" w:type="dxa"/>
          </w:tcPr>
          <w:p w:rsidR="00CF1B2E" w:rsidRPr="00CF1B2E" w:rsidRDefault="00CF1B2E" w:rsidP="006849E2">
            <w:pPr>
              <w:widowControl/>
              <w:tabs>
                <w:tab w:val="right" w:pos="7370"/>
              </w:tabs>
              <w:suppressAutoHyphens/>
              <w:adjustRightInd w:val="0"/>
              <w:spacing w:before="113" w:line="260" w:lineRule="atLeast"/>
              <w:jc w:val="center"/>
              <w:textAlignment w:val="center"/>
              <w:rPr>
                <w:rFonts w:eastAsiaTheme="minorHAnsi"/>
                <w:b/>
                <w:bCs/>
                <w:sz w:val="20"/>
                <w:szCs w:val="20"/>
                <w:lang w:eastAsia="en-US" w:bidi="ar-SA"/>
              </w:rPr>
            </w:pPr>
            <w:r w:rsidRPr="006849E2">
              <w:rPr>
                <w:rFonts w:eastAsiaTheme="minorHAnsi"/>
                <w:b/>
                <w:bCs/>
                <w:sz w:val="20"/>
                <w:szCs w:val="20"/>
                <w:lang w:eastAsia="en-US" w:bidi="ar-SA"/>
                <w14:textOutline w14:w="9525" w14:cap="flat" w14:cmpd="sng" w14:algn="ctr">
                  <w14:noFill/>
                  <w14:prstDash w14:val="solid"/>
                  <w14:round/>
                </w14:textOutline>
              </w:rPr>
              <w:t>2018</w:t>
            </w:r>
          </w:p>
        </w:tc>
      </w:tr>
      <w:tr w:rsidR="006849E2" w:rsidRPr="006849E2" w:rsidTr="00665555">
        <w:trPr>
          <w:trHeight w:val="60"/>
        </w:trPr>
        <w:tc>
          <w:tcPr>
            <w:tcW w:w="6293" w:type="dxa"/>
          </w:tcPr>
          <w:p w:rsidR="00CF1B2E" w:rsidRPr="00CF1B2E" w:rsidRDefault="00CF1B2E" w:rsidP="00CF1B2E">
            <w:pPr>
              <w:widowControl/>
              <w:tabs>
                <w:tab w:val="right" w:pos="7370"/>
              </w:tabs>
              <w:suppressAutoHyphens/>
              <w:adjustRightInd w:val="0"/>
              <w:spacing w:before="170" w:after="113" w:line="260" w:lineRule="atLeast"/>
              <w:textAlignment w:val="center"/>
              <w:rPr>
                <w:rFonts w:eastAsiaTheme="minorHAnsi"/>
                <w:b/>
                <w:bCs/>
                <w:sz w:val="20"/>
                <w:szCs w:val="20"/>
                <w:lang w:eastAsia="en-US" w:bidi="ar-SA"/>
              </w:rPr>
            </w:pPr>
            <w:r w:rsidRPr="00CF1B2E">
              <w:rPr>
                <w:rFonts w:eastAsiaTheme="minorHAnsi"/>
                <w:b/>
                <w:bCs/>
                <w:sz w:val="20"/>
                <w:szCs w:val="20"/>
                <w:lang w:eastAsia="en-US" w:bidi="ar-SA"/>
              </w:rPr>
              <w:t>Compensation of KMPs</w:t>
            </w:r>
          </w:p>
        </w:tc>
        <w:tc>
          <w:tcPr>
            <w:tcW w:w="2099" w:type="dxa"/>
          </w:tcPr>
          <w:p w:rsidR="00CF1B2E" w:rsidRPr="00CF1B2E" w:rsidRDefault="00CF1B2E" w:rsidP="006849E2">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F1B2E">
              <w:rPr>
                <w:rFonts w:eastAsiaTheme="minorHAnsi"/>
                <w:b/>
                <w:bCs/>
                <w:sz w:val="20"/>
                <w:szCs w:val="20"/>
                <w:lang w:eastAsia="en-US" w:bidi="ar-SA"/>
              </w:rPr>
              <w:t>$</w:t>
            </w:r>
          </w:p>
        </w:tc>
        <w:tc>
          <w:tcPr>
            <w:tcW w:w="1843" w:type="dxa"/>
          </w:tcPr>
          <w:p w:rsidR="00CF1B2E" w:rsidRPr="00CF1B2E" w:rsidRDefault="00CF1B2E" w:rsidP="006849E2">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F1B2E">
              <w:rPr>
                <w:rFonts w:eastAsiaTheme="minorHAnsi"/>
                <w:b/>
                <w:bCs/>
                <w:sz w:val="20"/>
                <w:szCs w:val="20"/>
                <w:lang w:eastAsia="en-US" w:bidi="ar-SA"/>
              </w:rPr>
              <w:t>$</w:t>
            </w:r>
          </w:p>
        </w:tc>
      </w:tr>
      <w:tr w:rsidR="006849E2" w:rsidRPr="006849E2" w:rsidTr="00665555">
        <w:trPr>
          <w:trHeight w:val="288"/>
        </w:trPr>
        <w:tc>
          <w:tcPr>
            <w:tcW w:w="6293"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Short-term employee benefits</w:t>
            </w:r>
          </w:p>
        </w:tc>
        <w:tc>
          <w:tcPr>
            <w:tcW w:w="2099" w:type="dxa"/>
          </w:tcPr>
          <w:p w:rsidR="00CF1B2E" w:rsidRPr="00CF1B2E" w:rsidRDefault="00CF1B2E" w:rsidP="006849E2">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1,265,450</w:t>
            </w:r>
          </w:p>
        </w:tc>
        <w:tc>
          <w:tcPr>
            <w:tcW w:w="1843" w:type="dxa"/>
          </w:tcPr>
          <w:p w:rsidR="00CF1B2E" w:rsidRPr="00CF1B2E" w:rsidRDefault="00CF1B2E" w:rsidP="006849E2">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929,685</w:t>
            </w:r>
          </w:p>
        </w:tc>
      </w:tr>
      <w:tr w:rsidR="006849E2" w:rsidRPr="006849E2" w:rsidTr="00665555">
        <w:trPr>
          <w:trHeight w:val="60"/>
        </w:trPr>
        <w:tc>
          <w:tcPr>
            <w:tcW w:w="6293"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 xml:space="preserve">Post-employment benefits </w:t>
            </w:r>
          </w:p>
        </w:tc>
        <w:tc>
          <w:tcPr>
            <w:tcW w:w="2099" w:type="dxa"/>
          </w:tcPr>
          <w:p w:rsidR="00CF1B2E" w:rsidRPr="00CF1B2E" w:rsidRDefault="00CF1B2E" w:rsidP="006849E2">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85,401</w:t>
            </w:r>
          </w:p>
        </w:tc>
        <w:tc>
          <w:tcPr>
            <w:tcW w:w="1843" w:type="dxa"/>
          </w:tcPr>
          <w:p w:rsidR="00CF1B2E" w:rsidRPr="00CF1B2E" w:rsidRDefault="00CF1B2E" w:rsidP="006849E2">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75,888</w:t>
            </w:r>
          </w:p>
        </w:tc>
      </w:tr>
      <w:tr w:rsidR="006849E2" w:rsidRPr="006849E2" w:rsidTr="00665555">
        <w:trPr>
          <w:trHeight w:val="60"/>
        </w:trPr>
        <w:tc>
          <w:tcPr>
            <w:tcW w:w="6293"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 xml:space="preserve">Other long-term benefits </w:t>
            </w:r>
          </w:p>
        </w:tc>
        <w:tc>
          <w:tcPr>
            <w:tcW w:w="2099" w:type="dxa"/>
          </w:tcPr>
          <w:p w:rsidR="00CF1B2E" w:rsidRPr="00CF1B2E" w:rsidRDefault="00CF1B2E" w:rsidP="006849E2">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84,130</w:t>
            </w:r>
          </w:p>
        </w:tc>
        <w:tc>
          <w:tcPr>
            <w:tcW w:w="1843" w:type="dxa"/>
          </w:tcPr>
          <w:p w:rsidR="00CF1B2E" w:rsidRPr="00CF1B2E" w:rsidRDefault="00CF1B2E" w:rsidP="006849E2">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24,410</w:t>
            </w:r>
          </w:p>
        </w:tc>
      </w:tr>
      <w:tr w:rsidR="006849E2" w:rsidRPr="006849E2" w:rsidTr="00665555">
        <w:trPr>
          <w:trHeight w:val="60"/>
        </w:trPr>
        <w:tc>
          <w:tcPr>
            <w:tcW w:w="6293"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 xml:space="preserve">Termination benefits </w:t>
            </w:r>
          </w:p>
        </w:tc>
        <w:tc>
          <w:tcPr>
            <w:tcW w:w="2099" w:type="dxa"/>
          </w:tcPr>
          <w:p w:rsidR="00CF1B2E" w:rsidRPr="00CF1B2E" w:rsidRDefault="00CF1B2E" w:rsidP="006849E2">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24,359</w:t>
            </w:r>
          </w:p>
        </w:tc>
        <w:tc>
          <w:tcPr>
            <w:tcW w:w="1843" w:type="dxa"/>
          </w:tcPr>
          <w:p w:rsidR="00CF1B2E" w:rsidRPr="00CF1B2E" w:rsidRDefault="00CF1B2E" w:rsidP="006849E2">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88,400</w:t>
            </w:r>
          </w:p>
        </w:tc>
      </w:tr>
      <w:tr w:rsidR="006849E2" w:rsidRPr="006849E2" w:rsidTr="00665555">
        <w:trPr>
          <w:trHeight w:val="60"/>
        </w:trPr>
        <w:tc>
          <w:tcPr>
            <w:tcW w:w="6293"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Total remuneration</w:t>
            </w:r>
          </w:p>
        </w:tc>
        <w:tc>
          <w:tcPr>
            <w:tcW w:w="2099" w:type="dxa"/>
          </w:tcPr>
          <w:p w:rsidR="00CF1B2E" w:rsidRPr="00CF1B2E" w:rsidRDefault="00CF1B2E" w:rsidP="006849E2">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1,459,340</w:t>
            </w:r>
          </w:p>
        </w:tc>
        <w:tc>
          <w:tcPr>
            <w:tcW w:w="1843" w:type="dxa"/>
          </w:tcPr>
          <w:p w:rsidR="00CF1B2E" w:rsidRPr="00CF1B2E" w:rsidRDefault="00CF1B2E" w:rsidP="006849E2">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1,118,383</w:t>
            </w:r>
          </w:p>
        </w:tc>
      </w:tr>
    </w:tbl>
    <w:p w:rsidR="00CF1B2E" w:rsidRPr="00CF1B2E" w:rsidRDefault="00CF1B2E" w:rsidP="00665555">
      <w:pPr>
        <w:rPr>
          <w:lang w:eastAsia="en-US" w:bidi="ar-SA"/>
        </w:rPr>
      </w:pPr>
    </w:p>
    <w:p w:rsidR="00CF1B2E" w:rsidRPr="00CF1B2E" w:rsidRDefault="00CF1B2E" w:rsidP="0042128D">
      <w:pPr>
        <w:widowControl/>
        <w:suppressAutoHyphens/>
        <w:adjustRightInd w:val="0"/>
        <w:spacing w:line="200" w:lineRule="atLeast"/>
        <w:ind w:left="709" w:right="1137"/>
        <w:textAlignment w:val="center"/>
        <w:rPr>
          <w:rFonts w:eastAsiaTheme="minorHAnsi"/>
          <w:i/>
          <w:iCs/>
          <w:color w:val="000000"/>
          <w:sz w:val="20"/>
          <w:szCs w:val="20"/>
          <w:lang w:eastAsia="en-US" w:bidi="ar-SA"/>
        </w:rPr>
      </w:pPr>
      <w:r w:rsidRPr="00CF1B2E">
        <w:rPr>
          <w:rFonts w:eastAsiaTheme="minorHAnsi"/>
          <w:i/>
          <w:iCs/>
          <w:color w:val="000000"/>
          <w:sz w:val="20"/>
          <w:szCs w:val="20"/>
          <w:lang w:eastAsia="en-US" w:bidi="ar-SA"/>
        </w:rPr>
        <w:t>Notes:</w:t>
      </w:r>
    </w:p>
    <w:p w:rsidR="00CF1B2E" w:rsidRPr="00CF1B2E" w:rsidRDefault="00CF1B2E" w:rsidP="0042128D">
      <w:pPr>
        <w:widowControl/>
        <w:suppressAutoHyphens/>
        <w:adjustRightInd w:val="0"/>
        <w:spacing w:after="113" w:line="200" w:lineRule="atLeast"/>
        <w:ind w:left="709" w:right="1137"/>
        <w:textAlignment w:val="center"/>
        <w:rPr>
          <w:rFonts w:eastAsiaTheme="minorHAnsi"/>
          <w:i/>
          <w:iCs/>
          <w:color w:val="000000"/>
          <w:sz w:val="20"/>
          <w:szCs w:val="20"/>
          <w:lang w:eastAsia="en-US" w:bidi="ar-SA"/>
        </w:rPr>
      </w:pPr>
      <w:r w:rsidRPr="00CF1B2E">
        <w:rPr>
          <w:rFonts w:eastAsiaTheme="minorHAnsi"/>
          <w:i/>
          <w:iCs/>
          <w:color w:val="000000"/>
          <w:sz w:val="20"/>
          <w:szCs w:val="20"/>
          <w:lang w:eastAsia="en-US" w:bidi="ar-SA"/>
        </w:rPr>
        <w:t>(a) The Overall 2019 KMP Compensation is higher compared to the previous year, as there were a few executive positions vacant for most of the previous year.</w:t>
      </w:r>
    </w:p>
    <w:p w:rsidR="00CF1B2E" w:rsidRDefault="00CF1B2E" w:rsidP="00665555">
      <w:pPr>
        <w:rPr>
          <w:lang w:eastAsia="en-US" w:bidi="ar-SA"/>
        </w:rPr>
      </w:pPr>
    </w:p>
    <w:p w:rsidR="009769A3" w:rsidRPr="00CF1B2E" w:rsidRDefault="009769A3" w:rsidP="00665555">
      <w:pPr>
        <w:rPr>
          <w:lang w:eastAsia="en-US" w:bidi="ar-SA"/>
        </w:rPr>
      </w:pPr>
    </w:p>
    <w:p w:rsidR="00CF1B2E" w:rsidRPr="00CF1B2E" w:rsidRDefault="00CF1B2E" w:rsidP="0042128D">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CF1B2E">
        <w:rPr>
          <w:rFonts w:eastAsiaTheme="minorHAnsi"/>
          <w:b/>
          <w:bCs/>
          <w:color w:val="000000"/>
          <w:sz w:val="20"/>
          <w:szCs w:val="20"/>
          <w:lang w:eastAsia="en-US" w:bidi="ar-SA"/>
        </w:rPr>
        <w:t>Transactions with KMPs and other related parties</w:t>
      </w:r>
    </w:p>
    <w:p w:rsidR="00CF1B2E" w:rsidRP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 xml:space="preserve">Given the breadth and depth of state government activities, related parties transact with the Victorian public sector in a manner consistent with other members of the public. Further employment of processes within the Victorian public sector occur on terms and conditions consistent with the </w:t>
      </w:r>
      <w:r w:rsidRPr="00CF1B2E">
        <w:rPr>
          <w:rFonts w:eastAsiaTheme="minorHAnsi"/>
          <w:i/>
          <w:iCs/>
          <w:color w:val="000000"/>
          <w:sz w:val="20"/>
          <w:szCs w:val="20"/>
          <w:lang w:eastAsia="en-US" w:bidi="ar-SA"/>
        </w:rPr>
        <w:t>Public Administration Act 2004</w:t>
      </w:r>
      <w:r w:rsidRPr="00CF1B2E">
        <w:rPr>
          <w:rFonts w:eastAsiaTheme="minorHAnsi"/>
          <w:color w:val="000000"/>
          <w:sz w:val="20"/>
          <w:szCs w:val="20"/>
          <w:lang w:eastAsia="en-US" w:bidi="ar-SA"/>
        </w:rPr>
        <w:t xml:space="preserve"> and Codes of Conduct and Standards issued by the VPSC. Procurement processes occur on terms and conditions consistent with the Victorian Government Procurement Board requirements.</w:t>
      </w:r>
    </w:p>
    <w:p w:rsidR="00CF1B2E" w:rsidRDefault="00CF1B2E" w:rsidP="0042128D">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Outside of normal citizen type transactions with the Commission, there were no related party transactions that involved KMPs and their close family members. No provision has been required, nor any expense recognised, for impairment of receivables from related parties.</w:t>
      </w:r>
    </w:p>
    <w:p w:rsidR="009769A3" w:rsidRPr="00CF1B2E" w:rsidRDefault="009769A3" w:rsidP="009769A3">
      <w:pPr>
        <w:rPr>
          <w:lang w:eastAsia="en-US" w:bidi="ar-SA"/>
        </w:rPr>
      </w:pPr>
    </w:p>
    <w:p w:rsidR="00CF1B2E" w:rsidRPr="009769A3" w:rsidRDefault="00CF1B2E" w:rsidP="009769A3">
      <w:pPr>
        <w:pStyle w:val="Heading4"/>
      </w:pPr>
      <w:r w:rsidRPr="009769A3">
        <w:rPr>
          <w:lang w:bidi="ar-SA"/>
        </w:rPr>
        <w:t>8.6</w:t>
      </w:r>
      <w:r w:rsidR="009769A3">
        <w:rPr>
          <w:lang w:bidi="ar-SA"/>
        </w:rPr>
        <w:t xml:space="preserve"> </w:t>
      </w:r>
      <w:r w:rsidRPr="009769A3">
        <w:rPr>
          <w:lang w:bidi="ar-SA"/>
        </w:rPr>
        <w:t xml:space="preserve">Remuneration of auditors </w:t>
      </w:r>
    </w:p>
    <w:p w:rsidR="009769A3" w:rsidRPr="00CF1B2E" w:rsidRDefault="009769A3" w:rsidP="009769A3">
      <w:pPr>
        <w:rPr>
          <w:lang w:eastAsia="en-US" w:bidi="ar-SA"/>
        </w:rPr>
      </w:pPr>
    </w:p>
    <w:tbl>
      <w:tblPr>
        <w:tblStyle w:val="TableGrid"/>
        <w:tblW w:w="0" w:type="auto"/>
        <w:tblInd w:w="649" w:type="dxa"/>
        <w:tblLayout w:type="fixed"/>
        <w:tblLook w:val="0000" w:firstRow="0" w:lastRow="0" w:firstColumn="0" w:lastColumn="0" w:noHBand="0" w:noVBand="0"/>
      </w:tblPr>
      <w:tblGrid>
        <w:gridCol w:w="6859"/>
        <w:gridCol w:w="1701"/>
        <w:gridCol w:w="1701"/>
      </w:tblGrid>
      <w:tr w:rsidR="006849E2" w:rsidRPr="006849E2" w:rsidTr="009769A3">
        <w:trPr>
          <w:trHeight w:val="60"/>
        </w:trPr>
        <w:tc>
          <w:tcPr>
            <w:tcW w:w="6859" w:type="dxa"/>
          </w:tcPr>
          <w:p w:rsidR="00CF1B2E" w:rsidRPr="00CF1B2E" w:rsidRDefault="00CF1B2E" w:rsidP="00CF1B2E">
            <w:pPr>
              <w:widowControl/>
              <w:adjustRightInd w:val="0"/>
              <w:rPr>
                <w:rFonts w:eastAsiaTheme="minorHAnsi"/>
                <w:sz w:val="20"/>
                <w:szCs w:val="20"/>
                <w:lang w:eastAsia="en-US" w:bidi="ar-SA"/>
              </w:rPr>
            </w:pPr>
          </w:p>
        </w:tc>
        <w:tc>
          <w:tcPr>
            <w:tcW w:w="1701" w:type="dxa"/>
          </w:tcPr>
          <w:p w:rsidR="00CF1B2E" w:rsidRPr="00CF1B2E" w:rsidRDefault="00CF1B2E" w:rsidP="006849E2">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F1B2E">
              <w:rPr>
                <w:rFonts w:eastAsiaTheme="minorHAnsi"/>
                <w:b/>
                <w:bCs/>
                <w:sz w:val="20"/>
                <w:szCs w:val="20"/>
                <w:lang w:eastAsia="en-US" w:bidi="ar-SA"/>
              </w:rPr>
              <w:t>2019</w:t>
            </w:r>
          </w:p>
        </w:tc>
        <w:tc>
          <w:tcPr>
            <w:tcW w:w="1701" w:type="dxa"/>
          </w:tcPr>
          <w:p w:rsidR="00CF1B2E" w:rsidRPr="00CF1B2E" w:rsidRDefault="00CF1B2E" w:rsidP="006849E2">
            <w:pPr>
              <w:widowControl/>
              <w:tabs>
                <w:tab w:val="right" w:pos="7370"/>
              </w:tabs>
              <w:suppressAutoHyphens/>
              <w:adjustRightInd w:val="0"/>
              <w:spacing w:before="113" w:line="260" w:lineRule="atLeast"/>
              <w:jc w:val="center"/>
              <w:textAlignment w:val="center"/>
              <w:rPr>
                <w:rFonts w:eastAsiaTheme="minorHAnsi"/>
                <w:b/>
                <w:bCs/>
                <w:sz w:val="20"/>
                <w:szCs w:val="20"/>
                <w:lang w:eastAsia="en-US" w:bidi="ar-SA"/>
              </w:rPr>
            </w:pPr>
            <w:r w:rsidRPr="006849E2">
              <w:rPr>
                <w:rFonts w:eastAsiaTheme="minorHAnsi"/>
                <w:b/>
                <w:bCs/>
                <w:sz w:val="20"/>
                <w:szCs w:val="20"/>
                <w:lang w:eastAsia="en-US" w:bidi="ar-SA"/>
                <w14:textOutline w14:w="9525" w14:cap="flat" w14:cmpd="sng" w14:algn="ctr">
                  <w14:noFill/>
                  <w14:prstDash w14:val="solid"/>
                  <w14:round/>
                </w14:textOutline>
              </w:rPr>
              <w:t>2018</w:t>
            </w:r>
          </w:p>
        </w:tc>
      </w:tr>
      <w:tr w:rsidR="006849E2" w:rsidRPr="006849E2" w:rsidTr="009769A3">
        <w:trPr>
          <w:trHeight w:val="60"/>
        </w:trPr>
        <w:tc>
          <w:tcPr>
            <w:tcW w:w="6859" w:type="dxa"/>
          </w:tcPr>
          <w:p w:rsidR="00CF1B2E" w:rsidRPr="00CF1B2E" w:rsidRDefault="00CF1B2E" w:rsidP="00CF1B2E">
            <w:pPr>
              <w:widowControl/>
              <w:adjustRightInd w:val="0"/>
              <w:rPr>
                <w:rFonts w:eastAsiaTheme="minorHAnsi"/>
                <w:sz w:val="20"/>
                <w:szCs w:val="20"/>
                <w:lang w:eastAsia="en-US" w:bidi="ar-SA"/>
              </w:rPr>
            </w:pPr>
          </w:p>
        </w:tc>
        <w:tc>
          <w:tcPr>
            <w:tcW w:w="1701" w:type="dxa"/>
          </w:tcPr>
          <w:p w:rsidR="00CF1B2E" w:rsidRPr="00CF1B2E" w:rsidRDefault="00CF1B2E" w:rsidP="006849E2">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F1B2E">
              <w:rPr>
                <w:rFonts w:eastAsiaTheme="minorHAnsi"/>
                <w:b/>
                <w:bCs/>
                <w:sz w:val="20"/>
                <w:szCs w:val="20"/>
                <w:lang w:eastAsia="en-US" w:bidi="ar-SA"/>
              </w:rPr>
              <w:t>$</w:t>
            </w:r>
          </w:p>
        </w:tc>
        <w:tc>
          <w:tcPr>
            <w:tcW w:w="1701" w:type="dxa"/>
          </w:tcPr>
          <w:p w:rsidR="00CF1B2E" w:rsidRPr="00CF1B2E" w:rsidRDefault="00CF1B2E" w:rsidP="006849E2">
            <w:pPr>
              <w:widowControl/>
              <w:tabs>
                <w:tab w:val="right" w:pos="7370"/>
              </w:tabs>
              <w:suppressAutoHyphens/>
              <w:adjustRightInd w:val="0"/>
              <w:spacing w:before="170" w:after="113" w:line="260" w:lineRule="atLeast"/>
              <w:jc w:val="center"/>
              <w:textAlignment w:val="center"/>
              <w:rPr>
                <w:rFonts w:eastAsiaTheme="minorHAnsi"/>
                <w:b/>
                <w:bCs/>
                <w:sz w:val="20"/>
                <w:szCs w:val="20"/>
                <w:lang w:eastAsia="en-US" w:bidi="ar-SA"/>
              </w:rPr>
            </w:pPr>
            <w:r w:rsidRPr="00CF1B2E">
              <w:rPr>
                <w:rFonts w:eastAsiaTheme="minorHAnsi"/>
                <w:b/>
                <w:bCs/>
                <w:sz w:val="20"/>
                <w:szCs w:val="20"/>
                <w:lang w:eastAsia="en-US" w:bidi="ar-SA"/>
              </w:rPr>
              <w:t>$</w:t>
            </w:r>
          </w:p>
        </w:tc>
      </w:tr>
      <w:tr w:rsidR="006849E2" w:rsidRPr="006849E2" w:rsidTr="009769A3">
        <w:trPr>
          <w:trHeight w:val="288"/>
        </w:trPr>
        <w:tc>
          <w:tcPr>
            <w:tcW w:w="685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Audit fees paid or payable to the Victorian Auditor-General’s Office</w:t>
            </w:r>
          </w:p>
        </w:tc>
        <w:tc>
          <w:tcPr>
            <w:tcW w:w="1701" w:type="dxa"/>
          </w:tcPr>
          <w:p w:rsidR="00CF1B2E" w:rsidRPr="00CF1B2E" w:rsidRDefault="00CF1B2E" w:rsidP="006849E2">
            <w:pPr>
              <w:widowControl/>
              <w:adjustRightInd w:val="0"/>
              <w:jc w:val="center"/>
              <w:rPr>
                <w:rFonts w:eastAsiaTheme="minorHAnsi"/>
                <w:sz w:val="20"/>
                <w:szCs w:val="20"/>
                <w:lang w:eastAsia="en-US" w:bidi="ar-SA"/>
              </w:rPr>
            </w:pPr>
          </w:p>
        </w:tc>
        <w:tc>
          <w:tcPr>
            <w:tcW w:w="1701" w:type="dxa"/>
          </w:tcPr>
          <w:p w:rsidR="00CF1B2E" w:rsidRPr="00CF1B2E" w:rsidRDefault="00CF1B2E" w:rsidP="006849E2">
            <w:pPr>
              <w:widowControl/>
              <w:adjustRightInd w:val="0"/>
              <w:jc w:val="center"/>
              <w:rPr>
                <w:rFonts w:eastAsiaTheme="minorHAnsi"/>
                <w:sz w:val="20"/>
                <w:szCs w:val="20"/>
                <w:lang w:eastAsia="en-US" w:bidi="ar-SA"/>
              </w:rPr>
            </w:pPr>
          </w:p>
        </w:tc>
      </w:tr>
      <w:tr w:rsidR="006849E2" w:rsidRPr="006849E2" w:rsidTr="009769A3">
        <w:trPr>
          <w:trHeight w:val="60"/>
        </w:trPr>
        <w:tc>
          <w:tcPr>
            <w:tcW w:w="6859" w:type="dxa"/>
          </w:tcPr>
          <w:p w:rsidR="00CF1B2E" w:rsidRPr="00CF1B2E" w:rsidRDefault="00CF1B2E" w:rsidP="00CF1B2E">
            <w:pPr>
              <w:widowControl/>
              <w:suppressAutoHyphens/>
              <w:adjustRightInd w:val="0"/>
              <w:spacing w:after="113" w:line="220" w:lineRule="atLeast"/>
              <w:textAlignment w:val="center"/>
              <w:rPr>
                <w:rFonts w:eastAsiaTheme="minorHAnsi"/>
                <w:sz w:val="20"/>
                <w:szCs w:val="20"/>
                <w:lang w:eastAsia="en-US" w:bidi="ar-SA"/>
              </w:rPr>
            </w:pPr>
            <w:r w:rsidRPr="00CF1B2E">
              <w:rPr>
                <w:rFonts w:eastAsiaTheme="minorHAnsi"/>
                <w:sz w:val="20"/>
                <w:szCs w:val="20"/>
                <w:lang w:eastAsia="en-US" w:bidi="ar-SA"/>
              </w:rPr>
              <w:t>Audit of the annual financial statements</w:t>
            </w:r>
          </w:p>
        </w:tc>
        <w:tc>
          <w:tcPr>
            <w:tcW w:w="1701" w:type="dxa"/>
          </w:tcPr>
          <w:p w:rsidR="00CF1B2E" w:rsidRPr="00CF1B2E" w:rsidRDefault="00CF1B2E" w:rsidP="006849E2">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17,100</w:t>
            </w:r>
          </w:p>
        </w:tc>
        <w:tc>
          <w:tcPr>
            <w:tcW w:w="1701" w:type="dxa"/>
          </w:tcPr>
          <w:p w:rsidR="00CF1B2E" w:rsidRPr="00CF1B2E" w:rsidRDefault="00CF1B2E" w:rsidP="006849E2">
            <w:pPr>
              <w:widowControl/>
              <w:suppressAutoHyphens/>
              <w:adjustRightInd w:val="0"/>
              <w:spacing w:after="113" w:line="220" w:lineRule="atLeast"/>
              <w:jc w:val="center"/>
              <w:textAlignment w:val="center"/>
              <w:rPr>
                <w:rFonts w:eastAsiaTheme="minorHAnsi"/>
                <w:sz w:val="20"/>
                <w:szCs w:val="20"/>
                <w:lang w:eastAsia="en-US" w:bidi="ar-SA"/>
              </w:rPr>
            </w:pPr>
            <w:r w:rsidRPr="00CF1B2E">
              <w:rPr>
                <w:rFonts w:eastAsiaTheme="minorHAnsi"/>
                <w:sz w:val="20"/>
                <w:szCs w:val="20"/>
                <w:lang w:eastAsia="en-US" w:bidi="ar-SA"/>
              </w:rPr>
              <w:t>16,700</w:t>
            </w:r>
          </w:p>
        </w:tc>
      </w:tr>
    </w:tbl>
    <w:p w:rsidR="00CF1B2E" w:rsidRPr="00CF1B2E" w:rsidRDefault="00CF1B2E" w:rsidP="009769A3">
      <w:pPr>
        <w:ind w:left="709" w:right="1137"/>
        <w:rPr>
          <w:lang w:eastAsia="en-US" w:bidi="ar-SA"/>
        </w:rPr>
      </w:pPr>
    </w:p>
    <w:p w:rsid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No other services were provided by the Victorian Auditor-General’s Office.</w:t>
      </w:r>
    </w:p>
    <w:p w:rsidR="009769A3" w:rsidRPr="00CF1B2E" w:rsidRDefault="009769A3"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CF1B2E" w:rsidRDefault="00CF1B2E" w:rsidP="009769A3">
      <w:pPr>
        <w:pStyle w:val="Heading4"/>
        <w:ind w:left="709" w:right="1137"/>
        <w:rPr>
          <w:lang w:eastAsia="en-US" w:bidi="ar-SA"/>
        </w:rPr>
      </w:pPr>
      <w:r w:rsidRPr="00CF1B2E">
        <w:rPr>
          <w:lang w:eastAsia="en-US" w:bidi="ar-SA"/>
        </w:rPr>
        <w:t>8.7</w:t>
      </w:r>
      <w:r w:rsidR="009769A3">
        <w:rPr>
          <w:lang w:eastAsia="en-US" w:bidi="ar-SA"/>
        </w:rPr>
        <w:t xml:space="preserve"> </w:t>
      </w:r>
      <w:r w:rsidRPr="00CF1B2E">
        <w:rPr>
          <w:lang w:eastAsia="en-US" w:bidi="ar-SA"/>
        </w:rPr>
        <w:t>Australian Accounting Standards issued that are not yet effective which are applicable</w:t>
      </w:r>
      <w:r w:rsidR="009769A3">
        <w:rPr>
          <w:lang w:eastAsia="en-US" w:bidi="ar-SA"/>
        </w:rPr>
        <w:t xml:space="preserve"> </w:t>
      </w:r>
      <w:r w:rsidRPr="00CF1B2E">
        <w:rPr>
          <w:lang w:eastAsia="en-US" w:bidi="ar-SA"/>
        </w:rPr>
        <w:t>to the Victorian Public Sector Commission</w:t>
      </w:r>
    </w:p>
    <w:p w:rsidR="009769A3" w:rsidRPr="00CF1B2E" w:rsidRDefault="009769A3" w:rsidP="009769A3">
      <w:pPr>
        <w:rPr>
          <w:lang w:eastAsia="en-US" w:bidi="ar-SA"/>
        </w:rPr>
      </w:pP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 xml:space="preserve">The following AASs become effective for reporting periods commencing after 1 July 2019: </w:t>
      </w:r>
    </w:p>
    <w:p w:rsidR="00CF1B2E" w:rsidRPr="009769A3" w:rsidRDefault="00CF1B2E" w:rsidP="009769A3">
      <w:pPr>
        <w:pStyle w:val="ListParagraph"/>
        <w:widowControl/>
        <w:numPr>
          <w:ilvl w:val="0"/>
          <w:numId w:val="37"/>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9769A3">
        <w:rPr>
          <w:rFonts w:eastAsiaTheme="minorHAnsi"/>
          <w:color w:val="000000"/>
          <w:sz w:val="20"/>
          <w:szCs w:val="20"/>
          <w:lang w:eastAsia="en-US" w:bidi="ar-SA"/>
        </w:rPr>
        <w:t>AASB 16 Leases</w:t>
      </w:r>
    </w:p>
    <w:p w:rsidR="00CF1B2E" w:rsidRPr="009769A3" w:rsidRDefault="00CF1B2E" w:rsidP="009769A3">
      <w:pPr>
        <w:pStyle w:val="ListParagraph"/>
        <w:widowControl/>
        <w:numPr>
          <w:ilvl w:val="0"/>
          <w:numId w:val="37"/>
        </w:numPr>
        <w:tabs>
          <w:tab w:val="left" w:pos="227"/>
          <w:tab w:val="left" w:pos="283"/>
        </w:tabs>
        <w:suppressAutoHyphens/>
        <w:adjustRightInd w:val="0"/>
        <w:spacing w:after="113" w:line="220" w:lineRule="atLeast"/>
        <w:ind w:right="1137"/>
        <w:textAlignment w:val="center"/>
        <w:rPr>
          <w:rFonts w:eastAsiaTheme="minorHAnsi"/>
          <w:i/>
          <w:iCs/>
          <w:color w:val="000000"/>
          <w:sz w:val="20"/>
          <w:szCs w:val="20"/>
          <w:lang w:eastAsia="en-US" w:bidi="ar-SA"/>
        </w:rPr>
      </w:pPr>
      <w:r w:rsidRPr="009769A3">
        <w:rPr>
          <w:rFonts w:eastAsiaTheme="minorHAnsi"/>
          <w:color w:val="000000"/>
          <w:sz w:val="20"/>
          <w:szCs w:val="20"/>
          <w:lang w:eastAsia="en-US" w:bidi="ar-SA"/>
        </w:rPr>
        <w:t xml:space="preserve">AASB 15 </w:t>
      </w:r>
      <w:r w:rsidRPr="009769A3">
        <w:rPr>
          <w:rFonts w:eastAsiaTheme="minorHAnsi"/>
          <w:i/>
          <w:iCs/>
          <w:color w:val="000000"/>
          <w:sz w:val="20"/>
          <w:szCs w:val="20"/>
          <w:lang w:eastAsia="en-US" w:bidi="ar-SA"/>
        </w:rPr>
        <w:t>Revenue from Contract with Customers</w:t>
      </w:r>
    </w:p>
    <w:p w:rsidR="00CF1B2E" w:rsidRPr="009769A3" w:rsidRDefault="00CF1B2E" w:rsidP="009769A3">
      <w:pPr>
        <w:pStyle w:val="ListParagraph"/>
        <w:widowControl/>
        <w:numPr>
          <w:ilvl w:val="0"/>
          <w:numId w:val="37"/>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9769A3">
        <w:rPr>
          <w:rFonts w:eastAsiaTheme="minorHAnsi"/>
          <w:color w:val="000000"/>
          <w:sz w:val="20"/>
          <w:szCs w:val="20"/>
          <w:lang w:eastAsia="en-US" w:bidi="ar-SA"/>
        </w:rPr>
        <w:t xml:space="preserve">AASB 1058 </w:t>
      </w:r>
      <w:r w:rsidRPr="009769A3">
        <w:rPr>
          <w:rFonts w:eastAsiaTheme="minorHAnsi"/>
          <w:i/>
          <w:iCs/>
          <w:color w:val="000000"/>
          <w:sz w:val="20"/>
          <w:szCs w:val="20"/>
          <w:lang w:eastAsia="en-US" w:bidi="ar-SA"/>
        </w:rPr>
        <w:t>Income of Not-for-Profit Entities</w:t>
      </w:r>
      <w:r w:rsidRPr="009769A3">
        <w:rPr>
          <w:rFonts w:eastAsiaTheme="minorHAnsi"/>
          <w:color w:val="000000"/>
          <w:sz w:val="20"/>
          <w:szCs w:val="20"/>
          <w:lang w:eastAsia="en-US" w:bidi="ar-SA"/>
        </w:rPr>
        <w:t>.</w:t>
      </w:r>
    </w:p>
    <w:p w:rsidR="00CF1B2E" w:rsidRPr="00CF1B2E" w:rsidRDefault="00CF1B2E" w:rsidP="009769A3">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CF1B2E">
        <w:rPr>
          <w:rFonts w:eastAsiaTheme="minorHAnsi"/>
          <w:b/>
          <w:bCs/>
          <w:color w:val="000000"/>
          <w:sz w:val="20"/>
          <w:szCs w:val="20"/>
          <w:lang w:eastAsia="en-US" w:bidi="ar-SA"/>
        </w:rPr>
        <w:t xml:space="preserve">Leases </w:t>
      </w: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 xml:space="preserve">AASB 16 Leases replaces AASB 117 Leases, AASB Interpretation 4 </w:t>
      </w:r>
      <w:r w:rsidRPr="00CF1B2E">
        <w:rPr>
          <w:rFonts w:eastAsiaTheme="minorHAnsi"/>
          <w:i/>
          <w:iCs/>
          <w:color w:val="000000"/>
          <w:sz w:val="20"/>
          <w:szCs w:val="20"/>
          <w:lang w:eastAsia="en-US" w:bidi="ar-SA"/>
        </w:rPr>
        <w:t>Determining whether an Arrangement contains a Lease</w:t>
      </w:r>
      <w:r w:rsidRPr="00CF1B2E">
        <w:rPr>
          <w:rFonts w:eastAsiaTheme="minorHAnsi"/>
          <w:color w:val="000000"/>
          <w:sz w:val="20"/>
          <w:szCs w:val="20"/>
          <w:lang w:eastAsia="en-US" w:bidi="ar-SA"/>
        </w:rPr>
        <w:t xml:space="preserve">, AASB Interpretation 115 Operating </w:t>
      </w:r>
      <w:r w:rsidRPr="00CF1B2E">
        <w:rPr>
          <w:rFonts w:eastAsiaTheme="minorHAnsi"/>
          <w:i/>
          <w:iCs/>
          <w:color w:val="000000"/>
          <w:sz w:val="20"/>
          <w:szCs w:val="20"/>
          <w:lang w:eastAsia="en-US" w:bidi="ar-SA"/>
        </w:rPr>
        <w:t>Leases-Incentives</w:t>
      </w:r>
      <w:r w:rsidRPr="00CF1B2E">
        <w:rPr>
          <w:rFonts w:eastAsiaTheme="minorHAnsi"/>
          <w:color w:val="000000"/>
          <w:sz w:val="20"/>
          <w:szCs w:val="20"/>
          <w:lang w:eastAsia="en-US" w:bidi="ar-SA"/>
        </w:rPr>
        <w:t xml:space="preserve"> and AASB Interpretation 127 </w:t>
      </w:r>
      <w:r w:rsidRPr="00CF1B2E">
        <w:rPr>
          <w:rFonts w:eastAsiaTheme="minorHAnsi"/>
          <w:i/>
          <w:iCs/>
          <w:color w:val="000000"/>
          <w:sz w:val="20"/>
          <w:szCs w:val="20"/>
          <w:lang w:eastAsia="en-US" w:bidi="ar-SA"/>
        </w:rPr>
        <w:t>Evaluating the Substance of Transactions Involving the Legal Form of a Lease</w:t>
      </w:r>
      <w:r w:rsidRPr="00CF1B2E">
        <w:rPr>
          <w:rFonts w:eastAsiaTheme="minorHAnsi"/>
          <w:color w:val="000000"/>
          <w:sz w:val="20"/>
          <w:szCs w:val="20"/>
          <w:lang w:eastAsia="en-US" w:bidi="ar-SA"/>
        </w:rPr>
        <w:t>.</w:t>
      </w: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AASB 16 sets out the principles for the recognition, measurement, presentation and disclosure of leases</w:t>
      </w:r>
      <w:r w:rsidR="0018589A">
        <w:rPr>
          <w:rFonts w:eastAsiaTheme="minorHAnsi"/>
          <w:color w:val="000000"/>
          <w:sz w:val="20"/>
          <w:szCs w:val="20"/>
          <w:lang w:eastAsia="en-US" w:bidi="ar-SA"/>
        </w:rPr>
        <w:t xml:space="preserve"> </w:t>
      </w:r>
      <w:r w:rsidRPr="00CF1B2E">
        <w:rPr>
          <w:rFonts w:eastAsiaTheme="minorHAnsi"/>
          <w:color w:val="000000"/>
          <w:sz w:val="20"/>
          <w:szCs w:val="20"/>
          <w:lang w:eastAsia="en-US" w:bidi="ar-SA"/>
        </w:rPr>
        <w:t>and requires lessees to account for all leases on the balance sheet by recording a Right-Of-Use (</w:t>
      </w:r>
      <w:proofErr w:type="spellStart"/>
      <w:r w:rsidRPr="00CF1B2E">
        <w:rPr>
          <w:rFonts w:eastAsiaTheme="minorHAnsi"/>
          <w:color w:val="000000"/>
          <w:sz w:val="20"/>
          <w:szCs w:val="20"/>
          <w:lang w:eastAsia="en-US" w:bidi="ar-SA"/>
        </w:rPr>
        <w:t>RoU</w:t>
      </w:r>
      <w:proofErr w:type="spellEnd"/>
      <w:r w:rsidRPr="00CF1B2E">
        <w:rPr>
          <w:rFonts w:eastAsiaTheme="minorHAnsi"/>
          <w:color w:val="000000"/>
          <w:sz w:val="20"/>
          <w:szCs w:val="20"/>
          <w:lang w:eastAsia="en-US" w:bidi="ar-SA"/>
        </w:rPr>
        <w:t>) asset and a lease liability except for leases that are shorter than 12 months and leases where the underlying asset is of low value (deemed to be below $10,000).</w:t>
      </w: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AASB 16 also requires the lessees to separately recognise the interest expense on the lease liability and</w:t>
      </w:r>
      <w:r w:rsidR="0018589A">
        <w:rPr>
          <w:rFonts w:eastAsiaTheme="minorHAnsi"/>
          <w:color w:val="000000"/>
          <w:sz w:val="20"/>
          <w:szCs w:val="20"/>
          <w:lang w:eastAsia="en-US" w:bidi="ar-SA"/>
        </w:rPr>
        <w:t xml:space="preserve"> </w:t>
      </w:r>
      <w:r w:rsidRPr="00CF1B2E">
        <w:rPr>
          <w:rFonts w:eastAsiaTheme="minorHAnsi"/>
          <w:color w:val="000000"/>
          <w:sz w:val="20"/>
          <w:szCs w:val="20"/>
          <w:lang w:eastAsia="en-US" w:bidi="ar-SA"/>
        </w:rPr>
        <w:t xml:space="preserve">the depreciation expense on the </w:t>
      </w:r>
      <w:proofErr w:type="spellStart"/>
      <w:r w:rsidRPr="00CF1B2E">
        <w:rPr>
          <w:rFonts w:eastAsiaTheme="minorHAnsi"/>
          <w:color w:val="000000"/>
          <w:sz w:val="20"/>
          <w:szCs w:val="20"/>
          <w:lang w:eastAsia="en-US" w:bidi="ar-SA"/>
        </w:rPr>
        <w:t>RoU</w:t>
      </w:r>
      <w:proofErr w:type="spellEnd"/>
      <w:r w:rsidRPr="00CF1B2E">
        <w:rPr>
          <w:rFonts w:eastAsiaTheme="minorHAnsi"/>
          <w:color w:val="000000"/>
          <w:sz w:val="20"/>
          <w:szCs w:val="20"/>
          <w:lang w:eastAsia="en-US" w:bidi="ar-SA"/>
        </w:rPr>
        <w:t xml:space="preserve"> asset and remeasure the lease liability upon the occurrence of certain events (e.g. a change in the lease term, a change in future lease payments resulting from a change in an index or rate used to determine those payments). The amount of the remeasurement of the lease liability</w:t>
      </w:r>
      <w:r w:rsidR="0018589A">
        <w:rPr>
          <w:rFonts w:eastAsiaTheme="minorHAnsi"/>
          <w:color w:val="000000"/>
          <w:sz w:val="20"/>
          <w:szCs w:val="20"/>
          <w:lang w:eastAsia="en-US" w:bidi="ar-SA"/>
        </w:rPr>
        <w:t xml:space="preserve"> </w:t>
      </w:r>
      <w:r w:rsidRPr="00CF1B2E">
        <w:rPr>
          <w:rFonts w:eastAsiaTheme="minorHAnsi"/>
          <w:color w:val="000000"/>
          <w:sz w:val="20"/>
          <w:szCs w:val="20"/>
          <w:lang w:eastAsia="en-US" w:bidi="ar-SA"/>
        </w:rPr>
        <w:t xml:space="preserve">will generally be recognised as an adjustment to the </w:t>
      </w:r>
      <w:proofErr w:type="spellStart"/>
      <w:r w:rsidRPr="00CF1B2E">
        <w:rPr>
          <w:rFonts w:eastAsiaTheme="minorHAnsi"/>
          <w:color w:val="000000"/>
          <w:sz w:val="20"/>
          <w:szCs w:val="20"/>
          <w:lang w:eastAsia="en-US" w:bidi="ar-SA"/>
        </w:rPr>
        <w:t>RoU</w:t>
      </w:r>
      <w:proofErr w:type="spellEnd"/>
      <w:r w:rsidRPr="00CF1B2E">
        <w:rPr>
          <w:rFonts w:eastAsiaTheme="minorHAnsi"/>
          <w:color w:val="000000"/>
          <w:sz w:val="20"/>
          <w:szCs w:val="20"/>
          <w:lang w:eastAsia="en-US" w:bidi="ar-SA"/>
        </w:rPr>
        <w:t xml:space="preserve"> asset.</w:t>
      </w: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Lessor accounting under AASB 16 is substantially unchanged from AASB 117. Lessors will continue</w:t>
      </w:r>
      <w:r w:rsidR="0018589A">
        <w:rPr>
          <w:rFonts w:eastAsiaTheme="minorHAnsi"/>
          <w:color w:val="000000"/>
          <w:sz w:val="20"/>
          <w:szCs w:val="20"/>
          <w:lang w:eastAsia="en-US" w:bidi="ar-SA"/>
        </w:rPr>
        <w:t xml:space="preserve"> </w:t>
      </w:r>
      <w:r w:rsidRPr="00CF1B2E">
        <w:rPr>
          <w:rFonts w:eastAsiaTheme="minorHAnsi"/>
          <w:color w:val="000000"/>
          <w:sz w:val="20"/>
          <w:szCs w:val="20"/>
          <w:lang w:eastAsia="en-US" w:bidi="ar-SA"/>
        </w:rPr>
        <w:t>to classify all leases using the same classification principle as in AASB 117 and distinguish between</w:t>
      </w:r>
      <w:r w:rsidR="0018589A">
        <w:rPr>
          <w:rFonts w:eastAsiaTheme="minorHAnsi"/>
          <w:color w:val="000000"/>
          <w:sz w:val="20"/>
          <w:szCs w:val="20"/>
          <w:lang w:eastAsia="en-US" w:bidi="ar-SA"/>
        </w:rPr>
        <w:t xml:space="preserve"> </w:t>
      </w:r>
      <w:r w:rsidRPr="00CF1B2E">
        <w:rPr>
          <w:rFonts w:eastAsiaTheme="minorHAnsi"/>
          <w:color w:val="000000"/>
          <w:sz w:val="20"/>
          <w:szCs w:val="20"/>
          <w:lang w:eastAsia="en-US" w:bidi="ar-SA"/>
        </w:rPr>
        <w:t>two types of leases: operating and finance leases.</w:t>
      </w: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effective date is for annual reporting periods beginning on or after 1 January 2019. The Commission intends to adopt AASB 16 in the 2019–20 financial year when it becomes effective.</w:t>
      </w: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Commission will apply the standard using a modified retrospective approach with the cumulative</w:t>
      </w:r>
      <w:r w:rsidR="0018589A">
        <w:rPr>
          <w:rFonts w:eastAsiaTheme="minorHAnsi"/>
          <w:color w:val="000000"/>
          <w:sz w:val="20"/>
          <w:szCs w:val="20"/>
          <w:lang w:eastAsia="en-US" w:bidi="ar-SA"/>
        </w:rPr>
        <w:t xml:space="preserve"> </w:t>
      </w:r>
      <w:r w:rsidRPr="00CF1B2E">
        <w:rPr>
          <w:rFonts w:eastAsiaTheme="minorHAnsi"/>
          <w:color w:val="000000"/>
          <w:sz w:val="20"/>
          <w:szCs w:val="20"/>
          <w:lang w:eastAsia="en-US" w:bidi="ar-SA"/>
        </w:rPr>
        <w:t>effect of initial application recognised as an adjustment to the opening balance of the accumulated surplus</w:t>
      </w:r>
      <w:r w:rsidR="0018589A">
        <w:rPr>
          <w:rFonts w:eastAsiaTheme="minorHAnsi"/>
          <w:color w:val="000000"/>
          <w:sz w:val="20"/>
          <w:szCs w:val="20"/>
          <w:lang w:eastAsia="en-US" w:bidi="ar-SA"/>
        </w:rPr>
        <w:t xml:space="preserve"> </w:t>
      </w:r>
      <w:r w:rsidRPr="00CF1B2E">
        <w:rPr>
          <w:rFonts w:eastAsiaTheme="minorHAnsi"/>
          <w:color w:val="000000"/>
          <w:sz w:val="20"/>
          <w:szCs w:val="20"/>
          <w:lang w:eastAsia="en-US" w:bidi="ar-SA"/>
        </w:rPr>
        <w:t>at 1 July 2019, with no restatement of comparative information.</w:t>
      </w:r>
    </w:p>
    <w:p w:rsid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Various practical expedients are available on adoption to account for leases previously classified by a lessee as operating leases under AASB 117. The Commission will elect to use the exemptions for all short-term leases (lease term less than 12 months) and low value leases (deemed to be below $10,000).</w:t>
      </w:r>
    </w:p>
    <w:p w:rsidR="0018589A" w:rsidRDefault="0018589A"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18589A" w:rsidRDefault="0018589A"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18589A" w:rsidRPr="00CF1B2E" w:rsidRDefault="0018589A"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Commission has performed a detailed impact assessment of AASB 16 and the potential impact</w:t>
      </w:r>
      <w:r w:rsidR="0018589A">
        <w:rPr>
          <w:rFonts w:eastAsiaTheme="minorHAnsi"/>
          <w:color w:val="000000"/>
          <w:sz w:val="20"/>
          <w:szCs w:val="20"/>
          <w:lang w:eastAsia="en-US" w:bidi="ar-SA"/>
        </w:rPr>
        <w:t xml:space="preserve"> </w:t>
      </w:r>
      <w:r w:rsidRPr="00CF1B2E">
        <w:rPr>
          <w:rFonts w:eastAsiaTheme="minorHAnsi"/>
          <w:color w:val="000000"/>
          <w:sz w:val="20"/>
          <w:szCs w:val="20"/>
          <w:lang w:eastAsia="en-US" w:bidi="ar-SA"/>
        </w:rPr>
        <w:t>in the initial year of application has been estimated as follows:</w:t>
      </w:r>
    </w:p>
    <w:p w:rsidR="00CF1B2E" w:rsidRPr="0018589A" w:rsidRDefault="00CF1B2E" w:rsidP="0018589A">
      <w:pPr>
        <w:pStyle w:val="ListParagraph"/>
        <w:widowControl/>
        <w:numPr>
          <w:ilvl w:val="0"/>
          <w:numId w:val="3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18589A">
        <w:rPr>
          <w:rFonts w:eastAsiaTheme="minorHAnsi"/>
          <w:color w:val="000000"/>
          <w:sz w:val="20"/>
          <w:szCs w:val="20"/>
          <w:lang w:eastAsia="en-US" w:bidi="ar-SA"/>
        </w:rPr>
        <w:t xml:space="preserve">increase in </w:t>
      </w:r>
      <w:proofErr w:type="spellStart"/>
      <w:r w:rsidRPr="0018589A">
        <w:rPr>
          <w:rFonts w:eastAsiaTheme="minorHAnsi"/>
          <w:color w:val="000000"/>
          <w:sz w:val="20"/>
          <w:szCs w:val="20"/>
          <w:lang w:eastAsia="en-US" w:bidi="ar-SA"/>
        </w:rPr>
        <w:t>RoU</w:t>
      </w:r>
      <w:proofErr w:type="spellEnd"/>
      <w:r w:rsidRPr="0018589A">
        <w:rPr>
          <w:rFonts w:eastAsiaTheme="minorHAnsi"/>
          <w:color w:val="000000"/>
          <w:sz w:val="20"/>
          <w:szCs w:val="20"/>
          <w:lang w:eastAsia="en-US" w:bidi="ar-SA"/>
        </w:rPr>
        <w:t xml:space="preserve"> ($2,159,729),</w:t>
      </w:r>
    </w:p>
    <w:p w:rsidR="00CF1B2E" w:rsidRPr="0018589A" w:rsidRDefault="00CF1B2E" w:rsidP="0018589A">
      <w:pPr>
        <w:pStyle w:val="ListParagraph"/>
        <w:widowControl/>
        <w:numPr>
          <w:ilvl w:val="0"/>
          <w:numId w:val="3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18589A">
        <w:rPr>
          <w:rFonts w:eastAsiaTheme="minorHAnsi"/>
          <w:color w:val="000000"/>
          <w:sz w:val="20"/>
          <w:szCs w:val="20"/>
          <w:lang w:eastAsia="en-US" w:bidi="ar-SA"/>
        </w:rPr>
        <w:t>increase in related depreciation ($716,240),</w:t>
      </w:r>
    </w:p>
    <w:p w:rsidR="00CF1B2E" w:rsidRPr="0018589A" w:rsidRDefault="00CF1B2E" w:rsidP="0018589A">
      <w:pPr>
        <w:pStyle w:val="ListParagraph"/>
        <w:widowControl/>
        <w:numPr>
          <w:ilvl w:val="0"/>
          <w:numId w:val="3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18589A">
        <w:rPr>
          <w:rFonts w:eastAsiaTheme="minorHAnsi"/>
          <w:color w:val="000000"/>
          <w:sz w:val="20"/>
          <w:szCs w:val="20"/>
          <w:lang w:eastAsia="en-US" w:bidi="ar-SA"/>
        </w:rPr>
        <w:t>increase in lease liability ($2,258,840),</w:t>
      </w:r>
    </w:p>
    <w:p w:rsidR="00CF1B2E" w:rsidRPr="0018589A" w:rsidRDefault="00CF1B2E" w:rsidP="0018589A">
      <w:pPr>
        <w:pStyle w:val="ListParagraph"/>
        <w:widowControl/>
        <w:numPr>
          <w:ilvl w:val="0"/>
          <w:numId w:val="38"/>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18589A">
        <w:rPr>
          <w:rFonts w:eastAsiaTheme="minorHAnsi"/>
          <w:color w:val="000000"/>
          <w:sz w:val="20"/>
          <w:szCs w:val="20"/>
          <w:lang w:eastAsia="en-US" w:bidi="ar-SA"/>
        </w:rPr>
        <w:t>increase in related interest ($67,314) calculated using the effective interest method, and</w:t>
      </w:r>
    </w:p>
    <w:p w:rsidR="00CF1B2E" w:rsidRPr="0018589A" w:rsidRDefault="00CF1B2E" w:rsidP="0018589A">
      <w:pPr>
        <w:pStyle w:val="ListParagraph"/>
        <w:widowControl/>
        <w:numPr>
          <w:ilvl w:val="0"/>
          <w:numId w:val="38"/>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18589A">
        <w:rPr>
          <w:rFonts w:eastAsiaTheme="minorHAnsi"/>
          <w:color w:val="000000"/>
          <w:sz w:val="20"/>
          <w:szCs w:val="20"/>
          <w:lang w:eastAsia="en-US" w:bidi="ar-SA"/>
        </w:rPr>
        <w:t>decrease in rental expense ($684,444).</w:t>
      </w:r>
    </w:p>
    <w:p w:rsidR="00CF1B2E" w:rsidRPr="00CF1B2E" w:rsidRDefault="00CF1B2E" w:rsidP="009769A3">
      <w:pPr>
        <w:widowControl/>
        <w:suppressAutoHyphens/>
        <w:adjustRightInd w:val="0"/>
        <w:spacing w:after="57" w:line="220" w:lineRule="atLeast"/>
        <w:ind w:left="709" w:right="1137"/>
        <w:textAlignment w:val="center"/>
        <w:rPr>
          <w:rFonts w:eastAsiaTheme="minorHAnsi"/>
          <w:b/>
          <w:bCs/>
          <w:color w:val="000000"/>
          <w:sz w:val="20"/>
          <w:szCs w:val="20"/>
          <w:lang w:eastAsia="en-US" w:bidi="ar-SA"/>
        </w:rPr>
      </w:pPr>
      <w:r w:rsidRPr="00CF1B2E">
        <w:rPr>
          <w:rFonts w:eastAsiaTheme="minorHAnsi"/>
          <w:b/>
          <w:bCs/>
          <w:color w:val="000000"/>
          <w:sz w:val="20"/>
          <w:szCs w:val="20"/>
          <w:lang w:eastAsia="en-US" w:bidi="ar-SA"/>
        </w:rPr>
        <w:t xml:space="preserve">Revenue and Income </w:t>
      </w: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AASB 15 supersedes AASB 118 Revenue, applying to all revenue arising from contracts with its customers. AASB 15 establishes a five-step model to account for revenue arising from an enforceable contract that imposes a sufficiently specific performance obligation on an entity to transfer goods or services. AASB 15 requires entities to only recognise revenue upon the fulfilment of the performance obligation. Therefore, entities need to allocate the transaction price to each performance obligation in a contract and recognise</w:t>
      </w:r>
      <w:r w:rsidRPr="00CF1B2E">
        <w:rPr>
          <w:rFonts w:eastAsiaTheme="minorHAnsi"/>
          <w:color w:val="000000"/>
          <w:sz w:val="20"/>
          <w:szCs w:val="20"/>
          <w:lang w:eastAsia="en-US" w:bidi="ar-SA"/>
        </w:rPr>
        <w:br/>
        <w:t>the revenue only when the related obligation is satisfied.</w:t>
      </w: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To address specific concerns from the ‘not-for-profit’ sector in Australia, the AASB also released the following standards and guidance:</w:t>
      </w:r>
    </w:p>
    <w:p w:rsidR="00CF1B2E" w:rsidRPr="0018589A" w:rsidRDefault="00CF1B2E" w:rsidP="0018589A">
      <w:pPr>
        <w:pStyle w:val="ListParagraph"/>
        <w:widowControl/>
        <w:numPr>
          <w:ilvl w:val="0"/>
          <w:numId w:val="39"/>
        </w:numPr>
        <w:tabs>
          <w:tab w:val="left" w:pos="227"/>
          <w:tab w:val="left" w:pos="283"/>
        </w:tabs>
        <w:suppressAutoHyphens/>
        <w:adjustRightInd w:val="0"/>
        <w:spacing w:after="113" w:line="220" w:lineRule="atLeast"/>
        <w:ind w:right="1137"/>
        <w:textAlignment w:val="center"/>
        <w:rPr>
          <w:rFonts w:eastAsiaTheme="minorHAnsi"/>
          <w:color w:val="000000"/>
          <w:sz w:val="20"/>
          <w:szCs w:val="20"/>
          <w:lang w:eastAsia="en-US" w:bidi="ar-SA"/>
        </w:rPr>
      </w:pPr>
      <w:r w:rsidRPr="0018589A">
        <w:rPr>
          <w:rFonts w:eastAsiaTheme="minorHAnsi"/>
          <w:color w:val="000000"/>
          <w:sz w:val="20"/>
          <w:szCs w:val="20"/>
          <w:lang w:eastAsia="en-US" w:bidi="ar-SA"/>
        </w:rPr>
        <w:t xml:space="preserve">AASB 2016-8 </w:t>
      </w:r>
      <w:r w:rsidRPr="0018589A">
        <w:rPr>
          <w:rFonts w:eastAsiaTheme="minorHAnsi"/>
          <w:i/>
          <w:iCs/>
          <w:color w:val="000000"/>
          <w:sz w:val="20"/>
          <w:szCs w:val="20"/>
          <w:lang w:eastAsia="en-US" w:bidi="ar-SA"/>
        </w:rPr>
        <w:t>Amendments to Australian Accounting Standards – Australian implementation guidance</w:t>
      </w:r>
      <w:r w:rsidRPr="0018589A">
        <w:rPr>
          <w:rFonts w:eastAsiaTheme="minorHAnsi"/>
          <w:i/>
          <w:iCs/>
          <w:color w:val="000000"/>
          <w:sz w:val="20"/>
          <w:szCs w:val="20"/>
          <w:lang w:eastAsia="en-US" w:bidi="ar-SA"/>
        </w:rPr>
        <w:br/>
        <w:t>for NFP entities</w:t>
      </w:r>
      <w:r w:rsidRPr="0018589A">
        <w:rPr>
          <w:rFonts w:eastAsiaTheme="minorHAnsi"/>
          <w:color w:val="000000"/>
          <w:sz w:val="20"/>
          <w:szCs w:val="20"/>
          <w:lang w:eastAsia="en-US" w:bidi="ar-SA"/>
        </w:rPr>
        <w:t xml:space="preserve"> (AASB 2016-8), to provide guidance on application of revenue recognition principles under AASB 15 in the not-for-profit sector.</w:t>
      </w:r>
    </w:p>
    <w:p w:rsidR="00CF1B2E" w:rsidRPr="0018589A" w:rsidRDefault="00CF1B2E" w:rsidP="0018589A">
      <w:pPr>
        <w:pStyle w:val="ListParagraph"/>
        <w:widowControl/>
        <w:numPr>
          <w:ilvl w:val="0"/>
          <w:numId w:val="39"/>
        </w:numPr>
        <w:tabs>
          <w:tab w:val="left" w:pos="227"/>
          <w:tab w:val="left" w:pos="283"/>
        </w:tabs>
        <w:suppressAutoHyphens/>
        <w:adjustRightInd w:val="0"/>
        <w:spacing w:after="170" w:line="220" w:lineRule="atLeast"/>
        <w:ind w:right="1137"/>
        <w:textAlignment w:val="center"/>
        <w:rPr>
          <w:rFonts w:eastAsiaTheme="minorHAnsi"/>
          <w:color w:val="000000"/>
          <w:sz w:val="20"/>
          <w:szCs w:val="20"/>
          <w:lang w:eastAsia="en-US" w:bidi="ar-SA"/>
        </w:rPr>
      </w:pPr>
      <w:r w:rsidRPr="0018589A">
        <w:rPr>
          <w:rFonts w:eastAsiaTheme="minorHAnsi"/>
          <w:color w:val="000000"/>
          <w:sz w:val="20"/>
          <w:szCs w:val="20"/>
          <w:lang w:eastAsia="en-US" w:bidi="ar-SA"/>
        </w:rPr>
        <w:t xml:space="preserve">AASB 1058 Income of </w:t>
      </w:r>
      <w:r w:rsidRPr="0018589A">
        <w:rPr>
          <w:rFonts w:eastAsiaTheme="minorHAnsi"/>
          <w:i/>
          <w:iCs/>
          <w:color w:val="000000"/>
          <w:sz w:val="20"/>
          <w:szCs w:val="20"/>
          <w:lang w:eastAsia="en-US" w:bidi="ar-SA"/>
        </w:rPr>
        <w:t>Not-for-Profit Entities</w:t>
      </w:r>
      <w:r w:rsidRPr="0018589A">
        <w:rPr>
          <w:rFonts w:eastAsiaTheme="minorHAnsi"/>
          <w:color w:val="000000"/>
          <w:sz w:val="20"/>
          <w:szCs w:val="20"/>
          <w:lang w:eastAsia="en-US" w:bidi="ar-SA"/>
        </w:rPr>
        <w:t>, to supplement AASB 15 and provide criteria to be applied by not-for-profit entities in establishing the timing of recognising income for government grants and other types of contributions previously contained within AASB 1004 Contributions.</w:t>
      </w: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AASB 15, AASB 1058 and the related guidance will come into effect for not-for-profit entities for annual reporting periods beginning on or after 1 January 2019. The Commission intends to adopt these standards in the 2019–20 financial year when it becomes effective.</w:t>
      </w: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Commission has performed an impact assessment in readiness to adopt AASB 15 and AASB 1058 from financial year 2019–20. The impacted revenue stream for the Commission would be the Graduate Recruitment Services provided to Victorian government departments and agencies. The Commission is currently undertaking a comprehensive review of its cost recovery model, which will identify the performance obligations to allocate revenue as required by AASB 15.</w:t>
      </w: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At the balance date, this review is yet to be completed, therefore the Commission does not have sufficient information to quantify the potential impacts on adoption of the new revenue standards.</w:t>
      </w:r>
    </w:p>
    <w:p w:rsidR="00CF1B2E" w:rsidRPr="00CF1B2E" w:rsidRDefault="00CF1B2E" w:rsidP="009769A3">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Commission will apply the new standards using a modified retrospective approach with the cumulative effect of initial application recognised as an adjustment to the opening balance of the accumulated surplus at 1 July 2019, with no restatement of comparative information.</w:t>
      </w:r>
    </w:p>
    <w:p w:rsidR="00CF1B2E" w:rsidRDefault="00CF1B2E"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Default="0018589A" w:rsidP="0018589A">
      <w:pPr>
        <w:rPr>
          <w:lang w:eastAsia="en-US" w:bidi="ar-SA"/>
        </w:rPr>
      </w:pPr>
    </w:p>
    <w:p w:rsidR="0018589A" w:rsidRPr="00CF1B2E" w:rsidRDefault="0018589A" w:rsidP="0018589A">
      <w:pPr>
        <w:rPr>
          <w:lang w:eastAsia="en-US" w:bidi="ar-SA"/>
        </w:rPr>
      </w:pPr>
    </w:p>
    <w:p w:rsidR="00CF1B2E" w:rsidRDefault="00CF1B2E" w:rsidP="0018589A">
      <w:pPr>
        <w:pStyle w:val="Heading2"/>
        <w:ind w:right="1137"/>
        <w:rPr>
          <w:lang w:eastAsia="en-US" w:bidi="ar-SA"/>
        </w:rPr>
      </w:pPr>
      <w:bookmarkStart w:id="48" w:name="_Toc23329747"/>
      <w:r w:rsidRPr="00CF1B2E">
        <w:rPr>
          <w:lang w:eastAsia="en-US" w:bidi="ar-SA"/>
        </w:rPr>
        <w:t xml:space="preserve">Accountable Officer’s </w:t>
      </w:r>
      <w:r w:rsidR="00877EF9">
        <w:rPr>
          <w:lang w:eastAsia="en-US" w:bidi="ar-SA"/>
        </w:rPr>
        <w:t>a</w:t>
      </w:r>
      <w:r w:rsidRPr="00CF1B2E">
        <w:rPr>
          <w:lang w:eastAsia="en-US" w:bidi="ar-SA"/>
        </w:rPr>
        <w:t xml:space="preserve">nd Chief Financial Officer’s </w:t>
      </w:r>
      <w:r w:rsidR="00877EF9">
        <w:rPr>
          <w:lang w:eastAsia="en-US" w:bidi="ar-SA"/>
        </w:rPr>
        <w:t>D</w:t>
      </w:r>
      <w:r w:rsidRPr="00CF1B2E">
        <w:rPr>
          <w:lang w:eastAsia="en-US" w:bidi="ar-SA"/>
        </w:rPr>
        <w:t>eclaration</w:t>
      </w:r>
      <w:bookmarkEnd w:id="48"/>
    </w:p>
    <w:p w:rsidR="0018589A" w:rsidRPr="00CF1B2E" w:rsidRDefault="0018589A" w:rsidP="0018589A">
      <w:pPr>
        <w:rPr>
          <w:lang w:eastAsia="en-US" w:bidi="ar-SA"/>
        </w:rPr>
      </w:pPr>
    </w:p>
    <w:p w:rsidR="00CF1B2E" w:rsidRPr="00CF1B2E" w:rsidRDefault="00CF1B2E" w:rsidP="0018589A">
      <w:pPr>
        <w:widowControl/>
        <w:suppressAutoHyphens/>
        <w:adjustRightInd w:val="0"/>
        <w:spacing w:after="170" w:line="276" w:lineRule="auto"/>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The attached financial statements for the Victorian Public Sector Commission have been prepared in accordance</w:t>
      </w:r>
      <w:r w:rsidR="0018589A">
        <w:rPr>
          <w:rFonts w:eastAsiaTheme="minorHAnsi"/>
          <w:color w:val="000000"/>
          <w:sz w:val="20"/>
          <w:szCs w:val="20"/>
          <w:lang w:eastAsia="en-US" w:bidi="ar-SA"/>
        </w:rPr>
        <w:t xml:space="preserve"> </w:t>
      </w:r>
      <w:r w:rsidRPr="00CF1B2E">
        <w:rPr>
          <w:rFonts w:eastAsiaTheme="minorHAnsi"/>
          <w:color w:val="000000"/>
          <w:sz w:val="20"/>
          <w:szCs w:val="20"/>
          <w:lang w:eastAsia="en-US" w:bidi="ar-SA"/>
        </w:rPr>
        <w:t xml:space="preserve">with Direction 5.2 of the Standing Directions of the Minister of Finance under the </w:t>
      </w:r>
      <w:r w:rsidRPr="00CF1B2E">
        <w:rPr>
          <w:rFonts w:eastAsiaTheme="minorHAnsi"/>
          <w:i/>
          <w:iCs/>
          <w:color w:val="000000"/>
          <w:sz w:val="20"/>
          <w:szCs w:val="20"/>
          <w:lang w:eastAsia="en-US" w:bidi="ar-SA"/>
        </w:rPr>
        <w:t>Financial Management Act 1994</w:t>
      </w:r>
      <w:r w:rsidRPr="00CF1B2E">
        <w:rPr>
          <w:rFonts w:eastAsiaTheme="minorHAnsi"/>
          <w:color w:val="000000"/>
          <w:sz w:val="20"/>
          <w:szCs w:val="20"/>
          <w:lang w:eastAsia="en-US" w:bidi="ar-SA"/>
        </w:rPr>
        <w:t>, applicable Financial Reporting Directions, Australian Accounting Standards</w:t>
      </w:r>
      <w:r w:rsidR="0018589A">
        <w:rPr>
          <w:rFonts w:eastAsiaTheme="minorHAnsi"/>
          <w:color w:val="000000"/>
          <w:sz w:val="20"/>
          <w:szCs w:val="20"/>
          <w:lang w:eastAsia="en-US" w:bidi="ar-SA"/>
        </w:rPr>
        <w:t xml:space="preserve"> </w:t>
      </w:r>
      <w:r w:rsidRPr="00CF1B2E">
        <w:rPr>
          <w:rFonts w:eastAsiaTheme="minorHAnsi"/>
          <w:color w:val="000000"/>
          <w:sz w:val="20"/>
          <w:szCs w:val="20"/>
          <w:lang w:eastAsia="en-US" w:bidi="ar-SA"/>
        </w:rPr>
        <w:t>including interpretations, and other mandatory professional reporting requirements.</w:t>
      </w:r>
    </w:p>
    <w:p w:rsidR="00CF1B2E" w:rsidRPr="00CF1B2E" w:rsidRDefault="00CF1B2E" w:rsidP="0018589A">
      <w:pPr>
        <w:widowControl/>
        <w:suppressAutoHyphens/>
        <w:adjustRightInd w:val="0"/>
        <w:spacing w:after="113" w:line="276" w:lineRule="auto"/>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We further state that, in our opinion, the information set out in the comprehensive operating statement, balance sheet, cash flow statement, statement of changes in equity and accompanying notes,</w:t>
      </w:r>
      <w:r w:rsidR="0018589A">
        <w:rPr>
          <w:rFonts w:eastAsiaTheme="minorHAnsi"/>
          <w:color w:val="000000"/>
          <w:sz w:val="20"/>
          <w:szCs w:val="20"/>
          <w:lang w:eastAsia="en-US" w:bidi="ar-SA"/>
        </w:rPr>
        <w:t xml:space="preserve"> </w:t>
      </w:r>
      <w:r w:rsidRPr="00CF1B2E">
        <w:rPr>
          <w:rFonts w:eastAsiaTheme="minorHAnsi"/>
          <w:color w:val="000000"/>
          <w:sz w:val="20"/>
          <w:szCs w:val="20"/>
          <w:lang w:eastAsia="en-US" w:bidi="ar-SA"/>
        </w:rPr>
        <w:t>presents fairly the financial transactions during the year ended 30 June 2019 and the financial position</w:t>
      </w:r>
      <w:r w:rsidR="0018589A">
        <w:rPr>
          <w:rFonts w:eastAsiaTheme="minorHAnsi"/>
          <w:color w:val="000000"/>
          <w:sz w:val="20"/>
          <w:szCs w:val="20"/>
          <w:lang w:eastAsia="en-US" w:bidi="ar-SA"/>
        </w:rPr>
        <w:t xml:space="preserve"> </w:t>
      </w:r>
      <w:r w:rsidRPr="00CF1B2E">
        <w:rPr>
          <w:rFonts w:eastAsiaTheme="minorHAnsi"/>
          <w:color w:val="000000"/>
          <w:sz w:val="20"/>
          <w:szCs w:val="20"/>
          <w:lang w:eastAsia="en-US" w:bidi="ar-SA"/>
        </w:rPr>
        <w:t>of the Victorian Public Sector Commission as at 30 June 2019.</w:t>
      </w:r>
    </w:p>
    <w:p w:rsidR="00CF1B2E" w:rsidRPr="00CF1B2E" w:rsidRDefault="00CF1B2E" w:rsidP="0018589A">
      <w:pPr>
        <w:widowControl/>
        <w:suppressAutoHyphens/>
        <w:adjustRightInd w:val="0"/>
        <w:spacing w:after="113" w:line="276" w:lineRule="auto"/>
        <w:ind w:left="709" w:right="1137"/>
        <w:textAlignment w:val="center"/>
        <w:rPr>
          <w:rFonts w:eastAsiaTheme="minorHAnsi"/>
          <w:color w:val="000000"/>
          <w:sz w:val="20"/>
          <w:szCs w:val="20"/>
          <w:lang w:eastAsia="en-US" w:bidi="ar-SA"/>
        </w:rPr>
      </w:pPr>
      <w:r w:rsidRPr="00CF1B2E">
        <w:rPr>
          <w:rFonts w:eastAsiaTheme="minorHAnsi"/>
          <w:color w:val="000000"/>
          <w:sz w:val="20"/>
          <w:szCs w:val="20"/>
          <w:lang w:eastAsia="en-US" w:bidi="ar-SA"/>
        </w:rPr>
        <w:t>At the time of signing, we are not aware of any circumstance which would render any particulars</w:t>
      </w:r>
      <w:r w:rsidR="0018589A">
        <w:rPr>
          <w:rFonts w:eastAsiaTheme="minorHAnsi"/>
          <w:color w:val="000000"/>
          <w:sz w:val="20"/>
          <w:szCs w:val="20"/>
          <w:lang w:eastAsia="en-US" w:bidi="ar-SA"/>
        </w:rPr>
        <w:t xml:space="preserve"> </w:t>
      </w:r>
      <w:r w:rsidRPr="00CF1B2E">
        <w:rPr>
          <w:rFonts w:eastAsiaTheme="minorHAnsi"/>
          <w:color w:val="000000"/>
          <w:sz w:val="20"/>
          <w:szCs w:val="20"/>
          <w:lang w:eastAsia="en-US" w:bidi="ar-SA"/>
        </w:rPr>
        <w:t>included in the financial statements to be misleading or inaccurate.</w:t>
      </w:r>
    </w:p>
    <w:p w:rsidR="006A5918" w:rsidRDefault="00CF1B2E" w:rsidP="0018589A">
      <w:pPr>
        <w:pStyle w:val="BodyText"/>
        <w:spacing w:line="276" w:lineRule="auto"/>
        <w:ind w:left="709" w:right="1137"/>
        <w:rPr>
          <w:rFonts w:eastAsiaTheme="minorHAnsi"/>
          <w:color w:val="000000"/>
          <w:lang w:eastAsia="en-US" w:bidi="ar-SA"/>
        </w:rPr>
      </w:pPr>
      <w:r w:rsidRPr="0042128D">
        <w:rPr>
          <w:rFonts w:eastAsiaTheme="minorHAnsi"/>
          <w:color w:val="000000"/>
          <w:lang w:eastAsia="en-US" w:bidi="ar-SA"/>
        </w:rPr>
        <w:t>We authorise the attached financial statements for issue on 27 August 2019.</w:t>
      </w:r>
    </w:p>
    <w:p w:rsidR="0018589A" w:rsidRDefault="0018589A" w:rsidP="009769A3">
      <w:pPr>
        <w:pStyle w:val="BodyText"/>
        <w:ind w:left="709" w:right="1137"/>
        <w:rPr>
          <w:rFonts w:eastAsiaTheme="minorHAnsi"/>
          <w:color w:val="000000"/>
          <w:lang w:eastAsia="en-US" w:bidi="ar-SA"/>
        </w:rPr>
      </w:pPr>
    </w:p>
    <w:p w:rsidR="0018589A" w:rsidRPr="0018589A" w:rsidRDefault="0018589A" w:rsidP="00C17D84">
      <w:pPr>
        <w:widowControl/>
        <w:suppressAutoHyphens/>
        <w:adjustRightInd w:val="0"/>
        <w:spacing w:after="113" w:line="220" w:lineRule="atLeast"/>
        <w:ind w:left="709" w:right="1137"/>
        <w:textAlignment w:val="center"/>
        <w:rPr>
          <w:rFonts w:eastAsiaTheme="minorHAnsi"/>
          <w:color w:val="000000"/>
          <w:sz w:val="20"/>
          <w:szCs w:val="20"/>
          <w:lang w:eastAsia="en-US" w:bidi="ar-SA"/>
        </w:rPr>
      </w:pPr>
      <w:r w:rsidRPr="0018589A">
        <w:rPr>
          <w:rFonts w:eastAsiaTheme="minorHAnsi"/>
          <w:color w:val="000000"/>
          <w:sz w:val="20"/>
          <w:szCs w:val="20"/>
          <w:lang w:eastAsia="en-US" w:bidi="ar-SA"/>
        </w:rPr>
        <w:t>Andrew Davis</w:t>
      </w:r>
      <w:r w:rsidR="00C17D84">
        <w:rPr>
          <w:rFonts w:eastAsiaTheme="minorHAnsi"/>
          <w:color w:val="000000"/>
          <w:sz w:val="20"/>
          <w:szCs w:val="20"/>
          <w:lang w:eastAsia="en-US" w:bidi="ar-SA"/>
        </w:rPr>
        <w:t xml:space="preserve">, </w:t>
      </w:r>
      <w:r w:rsidRPr="0018589A">
        <w:rPr>
          <w:rFonts w:eastAsiaTheme="minorHAnsi"/>
          <w:color w:val="000000"/>
          <w:sz w:val="20"/>
          <w:szCs w:val="20"/>
          <w:lang w:eastAsia="en-US" w:bidi="ar-SA"/>
        </w:rPr>
        <w:t>Chief Financial Officer</w:t>
      </w:r>
      <w:r w:rsidR="00C17D84">
        <w:rPr>
          <w:rFonts w:eastAsiaTheme="minorHAnsi"/>
          <w:color w:val="000000"/>
          <w:sz w:val="20"/>
          <w:szCs w:val="20"/>
          <w:lang w:eastAsia="en-US" w:bidi="ar-SA"/>
        </w:rPr>
        <w:t xml:space="preserve">, </w:t>
      </w:r>
      <w:r w:rsidRPr="0018589A">
        <w:rPr>
          <w:rFonts w:eastAsiaTheme="minorHAnsi"/>
          <w:color w:val="000000"/>
          <w:sz w:val="20"/>
          <w:szCs w:val="20"/>
          <w:lang w:eastAsia="en-US" w:bidi="ar-SA"/>
        </w:rPr>
        <w:t>Melbourne</w:t>
      </w:r>
      <w:r w:rsidR="00C17D84">
        <w:rPr>
          <w:rFonts w:eastAsiaTheme="minorHAnsi"/>
          <w:color w:val="000000"/>
          <w:sz w:val="20"/>
          <w:szCs w:val="20"/>
          <w:lang w:eastAsia="en-US" w:bidi="ar-SA"/>
        </w:rPr>
        <w:t xml:space="preserve"> </w:t>
      </w:r>
      <w:r w:rsidRPr="0018589A">
        <w:rPr>
          <w:rFonts w:eastAsiaTheme="minorHAnsi"/>
          <w:color w:val="000000"/>
          <w:sz w:val="20"/>
          <w:szCs w:val="20"/>
          <w:lang w:eastAsia="en-US" w:bidi="ar-SA"/>
        </w:rPr>
        <w:t>27 August 2019</w:t>
      </w:r>
    </w:p>
    <w:p w:rsidR="0018589A" w:rsidRPr="0018589A" w:rsidRDefault="0018589A" w:rsidP="0018589A">
      <w:pPr>
        <w:pStyle w:val="BodyText"/>
        <w:ind w:left="709" w:right="1137"/>
        <w:rPr>
          <w:rFonts w:eastAsiaTheme="minorHAnsi"/>
          <w:color w:val="000000"/>
          <w:lang w:eastAsia="en-US" w:bidi="ar-SA"/>
        </w:rPr>
      </w:pPr>
    </w:p>
    <w:p w:rsidR="0018589A" w:rsidRPr="0018589A" w:rsidRDefault="0018589A" w:rsidP="00C17D84">
      <w:pPr>
        <w:widowControl/>
        <w:suppressAutoHyphens/>
        <w:adjustRightInd w:val="0"/>
        <w:spacing w:after="113" w:line="220" w:lineRule="atLeast"/>
        <w:ind w:left="709" w:right="1137"/>
        <w:textAlignment w:val="center"/>
        <w:rPr>
          <w:sz w:val="20"/>
          <w:szCs w:val="20"/>
        </w:rPr>
      </w:pPr>
      <w:r w:rsidRPr="0018589A">
        <w:rPr>
          <w:rFonts w:eastAsiaTheme="minorHAnsi"/>
          <w:color w:val="000000"/>
          <w:sz w:val="20"/>
          <w:szCs w:val="20"/>
          <w:lang w:eastAsia="en-US" w:bidi="ar-SA"/>
        </w:rPr>
        <w:t>Dr Paul Grimes</w:t>
      </w:r>
      <w:r w:rsidR="00C17D84">
        <w:rPr>
          <w:rFonts w:eastAsiaTheme="minorHAnsi"/>
          <w:color w:val="000000"/>
          <w:sz w:val="20"/>
          <w:szCs w:val="20"/>
          <w:lang w:eastAsia="en-US" w:bidi="ar-SA"/>
        </w:rPr>
        <w:t xml:space="preserve">, </w:t>
      </w:r>
      <w:r w:rsidRPr="0018589A">
        <w:rPr>
          <w:rFonts w:eastAsiaTheme="minorHAnsi"/>
          <w:color w:val="000000"/>
          <w:sz w:val="20"/>
          <w:szCs w:val="20"/>
          <w:lang w:eastAsia="en-US" w:bidi="ar-SA"/>
        </w:rPr>
        <w:t>Victorian Public Sector Commissioner</w:t>
      </w:r>
      <w:r w:rsidR="00C17D84">
        <w:rPr>
          <w:rFonts w:eastAsiaTheme="minorHAnsi"/>
          <w:color w:val="000000"/>
          <w:sz w:val="20"/>
          <w:szCs w:val="20"/>
          <w:lang w:eastAsia="en-US" w:bidi="ar-SA"/>
        </w:rPr>
        <w:t xml:space="preserve">, </w:t>
      </w:r>
      <w:r w:rsidRPr="0018589A">
        <w:rPr>
          <w:rFonts w:eastAsiaTheme="minorHAnsi"/>
          <w:color w:val="000000"/>
          <w:sz w:val="20"/>
          <w:szCs w:val="20"/>
          <w:lang w:eastAsia="en-US" w:bidi="ar-SA"/>
        </w:rPr>
        <w:t>Melbourne</w:t>
      </w:r>
      <w:r w:rsidR="00C17D84">
        <w:rPr>
          <w:rFonts w:eastAsiaTheme="minorHAnsi"/>
          <w:color w:val="000000"/>
          <w:sz w:val="20"/>
          <w:szCs w:val="20"/>
          <w:lang w:eastAsia="en-US" w:bidi="ar-SA"/>
        </w:rPr>
        <w:t xml:space="preserve"> </w:t>
      </w:r>
      <w:r w:rsidRPr="0018589A">
        <w:rPr>
          <w:rFonts w:eastAsiaTheme="minorHAnsi"/>
          <w:color w:val="000000"/>
          <w:sz w:val="20"/>
          <w:szCs w:val="20"/>
          <w:lang w:eastAsia="en-US" w:bidi="ar-SA"/>
        </w:rPr>
        <w:t>27 August 2019</w:t>
      </w:r>
    </w:p>
    <w:p w:rsidR="006A5918" w:rsidRPr="0018589A" w:rsidRDefault="006A5918" w:rsidP="009769A3">
      <w:pPr>
        <w:pStyle w:val="BodyText"/>
        <w:ind w:left="709"/>
      </w:pPr>
    </w:p>
    <w:p w:rsidR="006A5918" w:rsidRDefault="006A5918">
      <w:pPr>
        <w:pStyle w:val="BodyText"/>
      </w:pPr>
    </w:p>
    <w:p w:rsidR="006A5918" w:rsidRDefault="006A5918">
      <w:pPr>
        <w:pStyle w:val="BodyText"/>
      </w:pPr>
    </w:p>
    <w:p w:rsidR="006A5918" w:rsidRDefault="006A5918">
      <w:pPr>
        <w:pStyle w:val="BodyText"/>
      </w:pPr>
    </w:p>
    <w:p w:rsidR="006A5918" w:rsidRDefault="006A5918">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r>
        <w:rPr>
          <w:rFonts w:ascii="Calibri"/>
          <w:i/>
          <w:noProof/>
        </w:rPr>
        <w:lastRenderedPageBreak/>
        <w:drawing>
          <wp:anchor distT="0" distB="0" distL="114300" distR="114300" simplePos="0" relativeHeight="251658240" behindDoc="1" locked="0" layoutInCell="1" allowOverlap="1">
            <wp:simplePos x="0" y="0"/>
            <wp:positionH relativeFrom="column">
              <wp:posOffset>-8467</wp:posOffset>
            </wp:positionH>
            <wp:positionV relativeFrom="paragraph">
              <wp:posOffset>-338667</wp:posOffset>
            </wp:positionV>
            <wp:extent cx="7552055" cy="97197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inion - Victorian Public Sector Commission .pdf"/>
                    <pic:cNvPicPr/>
                  </pic:nvPicPr>
                  <pic:blipFill rotWithShape="1">
                    <a:blip r:embed="rId13">
                      <a:extLst>
                        <a:ext uri="{28A0092B-C50C-407E-A947-70E740481C1C}">
                          <a14:useLocalDpi xmlns:a14="http://schemas.microsoft.com/office/drawing/2010/main" val="0"/>
                        </a:ext>
                      </a:extLst>
                    </a:blip>
                    <a:srcRect b="9050"/>
                    <a:stretch/>
                  </pic:blipFill>
                  <pic:spPr bwMode="auto">
                    <a:xfrm>
                      <a:off x="0" y="0"/>
                      <a:ext cx="7552267" cy="9720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9A5496" w:rsidRDefault="009A5496">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CB2FA0" w:rsidRDefault="00CB2FA0">
      <w:pPr>
        <w:pStyle w:val="BodyText"/>
      </w:pPr>
    </w:p>
    <w:p w:rsidR="0051318F" w:rsidRDefault="0051318F"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r>
        <w:rPr>
          <w:rFonts w:ascii="Calibri"/>
          <w:i/>
          <w:noProof/>
        </w:rPr>
        <w:lastRenderedPageBreak/>
        <w:drawing>
          <wp:anchor distT="0" distB="0" distL="114300" distR="114300" simplePos="0" relativeHeight="251659264" behindDoc="1" locked="0" layoutInCell="1" allowOverlap="1">
            <wp:simplePos x="0" y="0"/>
            <wp:positionH relativeFrom="column">
              <wp:posOffset>16933</wp:posOffset>
            </wp:positionH>
            <wp:positionV relativeFrom="paragraph">
              <wp:posOffset>-338667</wp:posOffset>
            </wp:positionV>
            <wp:extent cx="7538720" cy="1066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Extract Pages.pdf"/>
                    <pic:cNvPicPr/>
                  </pic:nvPicPr>
                  <pic:blipFill>
                    <a:blip r:embed="rId14">
                      <a:extLst>
                        <a:ext uri="{28A0092B-C50C-407E-A947-70E740481C1C}">
                          <a14:useLocalDpi xmlns:a14="http://schemas.microsoft.com/office/drawing/2010/main" val="0"/>
                        </a:ext>
                      </a:extLst>
                    </a:blip>
                    <a:stretch>
                      <a:fillRect/>
                    </a:stretch>
                  </pic:blipFill>
                  <pic:spPr>
                    <a:xfrm>
                      <a:off x="0" y="0"/>
                      <a:ext cx="7552900" cy="10688066"/>
                    </a:xfrm>
                    <a:prstGeom prst="rect">
                      <a:avLst/>
                    </a:prstGeom>
                  </pic:spPr>
                </pic:pic>
              </a:graphicData>
            </a:graphic>
            <wp14:sizeRelH relativeFrom="page">
              <wp14:pctWidth>0</wp14:pctWidth>
            </wp14:sizeRelH>
            <wp14:sizeRelV relativeFrom="page">
              <wp14:pctHeight>0</wp14:pctHeight>
            </wp14:sizeRelV>
          </wp:anchor>
        </w:drawing>
      </w:r>
    </w:p>
    <w:p w:rsidR="009A5496" w:rsidRDefault="009A5496" w:rsidP="00511595">
      <w:pPr>
        <w:pStyle w:val="BodyText"/>
        <w:rPr>
          <w:rFonts w:ascii="Calibri"/>
          <w:i/>
        </w:rPr>
      </w:pPr>
    </w:p>
    <w:p w:rsidR="009A5496" w:rsidRDefault="009A5496" w:rsidP="00511595">
      <w:pPr>
        <w:pStyle w:val="BodyText"/>
        <w:rPr>
          <w:rFonts w:ascii="Calibri"/>
          <w:i/>
        </w:rPr>
      </w:pPr>
    </w:p>
    <w:p w:rsidR="009A5496" w:rsidRDefault="009A5496" w:rsidP="00511595">
      <w:pPr>
        <w:pStyle w:val="BodyText"/>
        <w:rPr>
          <w:rFonts w:ascii="Calibri"/>
          <w:i/>
        </w:rPr>
      </w:pPr>
    </w:p>
    <w:sectPr w:rsidR="009A5496" w:rsidSect="00511595">
      <w:footerReference w:type="even" r:id="rId15"/>
      <w:footerReference w:type="default" r:id="rId16"/>
      <w:pgSz w:w="11910" w:h="16840"/>
      <w:pgMar w:top="560" w:right="0" w:bottom="680" w:left="0" w:header="0" w:footer="4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7D1F" w:rsidRDefault="006C7D1F">
      <w:r>
        <w:separator/>
      </w:r>
    </w:p>
  </w:endnote>
  <w:endnote w:type="continuationSeparator" w:id="0">
    <w:p w:rsidR="006C7D1F" w:rsidRDefault="006C7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BoldItalic">
    <w:altName w:val="Calibri"/>
    <w:panose1 w:val="020B0604020202020204"/>
    <w:charset w:val="00"/>
    <w:family w:val="swiss"/>
    <w:pitch w:val="variable"/>
  </w:font>
  <w:font w:name="Melbourne">
    <w:altName w:val="Calibri"/>
    <w:panose1 w:val="020B0604020202020204"/>
    <w:charset w:val="4D"/>
    <w:family w:val="auto"/>
    <w:pitch w:val="default"/>
    <w:sig w:usb0="00000003" w:usb1="00000000" w:usb2="00000000" w:usb3="00000000" w:csb0="00000001" w:csb1="00000000"/>
  </w:font>
  <w:font w:name="HelveticaNeueLT Std Lt">
    <w:altName w:val="Arial"/>
    <w:panose1 w:val="020B0403020202020204"/>
    <w:charset w:val="4D"/>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NeueLT Std Med">
    <w:altName w:val="Arial"/>
    <w:panose1 w:val="020B0604020202020204"/>
    <w:charset w:val="4D"/>
    <w:family w:val="auto"/>
    <w:notTrueType/>
    <w:pitch w:val="default"/>
    <w:sig w:usb0="00000003" w:usb1="00000000" w:usb2="00000000" w:usb3="00000000" w:csb0="00000001" w:csb1="00000000"/>
  </w:font>
  <w:font w:name="Melbourne-Bold">
    <w:altName w:val="Calibri"/>
    <w:panose1 w:val="020B0604020202020204"/>
    <w:charset w:val="4D"/>
    <w:family w:val="auto"/>
    <w:pitch w:val="default"/>
    <w:sig w:usb0="00000003" w:usb1="00000000" w:usb2="00000000" w:usb3="00000000" w:csb0="00000001" w:csb1="00000000"/>
  </w:font>
  <w:font w:name="HelveticaNeueLT Std">
    <w:altName w:val="Arial"/>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57C" w:rsidRDefault="004F657C">
    <w:pPr>
      <w:pStyle w:val="BodyText"/>
      <w:spacing w:line="14" w:lineRule="auto"/>
    </w:pPr>
    <w:r>
      <w:rPr>
        <w:noProof/>
      </w:rPr>
      <mc:AlternateContent>
        <mc:Choice Requires="wps">
          <w:drawing>
            <wp:anchor distT="0" distB="0" distL="114300" distR="114300" simplePos="0" relativeHeight="246876160" behindDoc="1" locked="0" layoutInCell="1" allowOverlap="1">
              <wp:simplePos x="0" y="0"/>
              <wp:positionH relativeFrom="page">
                <wp:posOffset>378460</wp:posOffset>
              </wp:positionH>
              <wp:positionV relativeFrom="page">
                <wp:posOffset>10241280</wp:posOffset>
              </wp:positionV>
              <wp:extent cx="223520" cy="169545"/>
              <wp:effectExtent l="0" t="0" r="0" b="0"/>
              <wp:wrapNone/>
              <wp:docPr id="40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5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7C" w:rsidRDefault="004F657C">
                          <w:pPr>
                            <w:pStyle w:val="BodyText"/>
                            <w:spacing w:before="16"/>
                            <w:ind w:left="60"/>
                          </w:pPr>
                          <w:r>
                            <w:fldChar w:fldCharType="begin"/>
                          </w:r>
                          <w:r>
                            <w:rPr>
                              <w:color w:val="231F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9.8pt;margin-top:806.4pt;width:17.6pt;height:13.35pt;z-index:-2564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" filled="f" stroked="f">
              <v:path arrowok="t"/>
              <v:textbox inset="0,0,0,0">
                <w:txbxContent>
                  <w:p w:rsidR="004F657C" w:rsidRDefault="004F657C">
                    <w:pPr>
                      <w:pStyle w:val="BodyText"/>
                      <w:spacing w:before="16"/>
                      <w:ind w:left="60"/>
                    </w:pPr>
                    <w:r>
                      <w:fldChar w:fldCharType="begin"/>
                    </w:r>
                    <w:r>
                      <w:rPr>
                        <w:color w:val="231F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57C" w:rsidRDefault="004F657C">
    <w:pPr>
      <w:pStyle w:val="BodyText"/>
      <w:spacing w:line="14" w:lineRule="auto"/>
    </w:pPr>
    <w:r>
      <w:rPr>
        <w:noProof/>
      </w:rPr>
      <mc:AlternateContent>
        <mc:Choice Requires="wps">
          <w:drawing>
            <wp:anchor distT="0" distB="0" distL="114300" distR="114300" simplePos="0" relativeHeight="246874112" behindDoc="1" locked="0" layoutInCell="1" allowOverlap="1">
              <wp:simplePos x="0" y="0"/>
              <wp:positionH relativeFrom="page">
                <wp:posOffset>5267960</wp:posOffset>
              </wp:positionH>
              <wp:positionV relativeFrom="page">
                <wp:posOffset>10242550</wp:posOffset>
              </wp:positionV>
              <wp:extent cx="1404620" cy="167640"/>
              <wp:effectExtent l="0" t="0" r="0" b="0"/>
              <wp:wrapNone/>
              <wp:docPr id="4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46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7C" w:rsidRDefault="004F657C">
                          <w:pPr>
                            <w:pStyle w:val="BodyText"/>
                            <w:spacing w:before="13"/>
                            <w:ind w:left="20"/>
                          </w:pPr>
                          <w:r>
                            <w:rPr>
                              <w:color w:val="231F20"/>
                            </w:rPr>
                            <w:t>Annual Report 2018–19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414.8pt;margin-top:806.5pt;width:110.6pt;height:13.2pt;z-index:-2564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" filled="f" stroked="f">
              <v:path arrowok="t"/>
              <v:textbox inset="0,0,0,0">
                <w:txbxContent>
                  <w:p w:rsidR="004F657C" w:rsidRDefault="004F657C">
                    <w:pPr>
                      <w:pStyle w:val="BodyText"/>
                      <w:spacing w:before="13"/>
                      <w:ind w:left="20"/>
                    </w:pPr>
                    <w:r>
                      <w:rPr>
                        <w:color w:val="231F20"/>
                      </w:rPr>
                      <w:t>Annual Report 2018–19</w:t>
                    </w:r>
                  </w:p>
                </w:txbxContent>
              </v:textbox>
              <w10:wrap anchorx="page" anchory="page"/>
            </v:shape>
          </w:pict>
        </mc:Fallback>
      </mc:AlternateContent>
    </w:r>
    <w:r>
      <w:rPr>
        <w:noProof/>
      </w:rPr>
      <mc:AlternateContent>
        <mc:Choice Requires="wps">
          <w:drawing>
            <wp:anchor distT="0" distB="0" distL="114300" distR="114300" simplePos="0" relativeHeight="246875136" behindDoc="1" locked="0" layoutInCell="1" allowOverlap="1">
              <wp:simplePos x="0" y="0"/>
              <wp:positionH relativeFrom="page">
                <wp:posOffset>6961505</wp:posOffset>
              </wp:positionH>
              <wp:positionV relativeFrom="page">
                <wp:posOffset>10240010</wp:posOffset>
              </wp:positionV>
              <wp:extent cx="221615" cy="170180"/>
              <wp:effectExtent l="0" t="0" r="0" b="0"/>
              <wp:wrapNone/>
              <wp:docPr id="4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61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7C" w:rsidRDefault="004F657C">
                          <w:pPr>
                            <w:pStyle w:val="BodyText"/>
                            <w:spacing w:before="17"/>
                            <w:ind w:left="60"/>
                          </w:pPr>
                          <w:r>
                            <w:fldChar w:fldCharType="begin"/>
                          </w:r>
                          <w:r>
                            <w:rPr>
                              <w:color w:val="231F20"/>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48.15pt;margin-top:806.3pt;width:17.45pt;height:13.4pt;z-index:-2564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" filled="f" stroked="f">
              <v:path arrowok="t"/>
              <v:textbox inset="0,0,0,0">
                <w:txbxContent>
                  <w:p w:rsidR="004F657C" w:rsidRDefault="004F657C">
                    <w:pPr>
                      <w:pStyle w:val="BodyText"/>
                      <w:spacing w:before="17"/>
                      <w:ind w:left="60"/>
                    </w:pPr>
                    <w:r>
                      <w:fldChar w:fldCharType="begin"/>
                    </w:r>
                    <w:r>
                      <w:rPr>
                        <w:color w:val="231F20"/>
                      </w:rPr>
                      <w:instrText xml:space="preserve"> PAGE </w:instrText>
                    </w:r>
                    <w:r>
                      <w:fldChar w:fldCharType="separate"/>
                    </w:r>
                    <w: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57C" w:rsidRDefault="004F657C">
    <w:pPr>
      <w:pStyle w:val="BodyText"/>
      <w:spacing w:line="14" w:lineRule="auto"/>
    </w:pPr>
    <w:r>
      <w:rPr>
        <w:noProof/>
      </w:rPr>
      <mc:AlternateContent>
        <mc:Choice Requires="wps">
          <w:drawing>
            <wp:anchor distT="0" distB="0" distL="114300" distR="114300" simplePos="0" relativeHeight="246878208" behindDoc="1" locked="0" layoutInCell="1" allowOverlap="1">
              <wp:simplePos x="0" y="0"/>
              <wp:positionH relativeFrom="page">
                <wp:posOffset>379095</wp:posOffset>
              </wp:positionH>
              <wp:positionV relativeFrom="page">
                <wp:posOffset>10242550</wp:posOffset>
              </wp:positionV>
              <wp:extent cx="221615" cy="167640"/>
              <wp:effectExtent l="0" t="0" r="0" b="0"/>
              <wp:wrapNone/>
              <wp:docPr id="4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6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7C" w:rsidRDefault="004F657C">
                          <w:pPr>
                            <w:pStyle w:val="BodyText"/>
                            <w:spacing w:before="13"/>
                            <w:ind w:left="60"/>
                          </w:pPr>
                          <w:r>
                            <w:fldChar w:fldCharType="begin"/>
                          </w:r>
                          <w:r>
                            <w:rPr>
                              <w:color w:val="231F20"/>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29.85pt;margin-top:806.5pt;width:17.45pt;height:13.2pt;z-index:-2564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" filled="f" stroked="f">
              <v:path arrowok="t"/>
              <v:textbox inset="0,0,0,0">
                <w:txbxContent>
                  <w:p w:rsidR="004F657C" w:rsidRDefault="004F657C">
                    <w:pPr>
                      <w:pStyle w:val="BodyText"/>
                      <w:spacing w:before="13"/>
                      <w:ind w:left="60"/>
                    </w:pPr>
                    <w:r>
                      <w:fldChar w:fldCharType="begin"/>
                    </w:r>
                    <w:r>
                      <w:rPr>
                        <w:color w:val="231F20"/>
                      </w:rPr>
                      <w:instrText xml:space="preserve"> PAGE </w:instrText>
                    </w:r>
                    <w:r>
                      <w:fldChar w:fldCharType="separate"/>
                    </w:r>
                    <w: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6879232" behindDoc="1" locked="0" layoutInCell="1" allowOverlap="1">
              <wp:simplePos x="0" y="0"/>
              <wp:positionH relativeFrom="page">
                <wp:posOffset>883920</wp:posOffset>
              </wp:positionH>
              <wp:positionV relativeFrom="page">
                <wp:posOffset>10242550</wp:posOffset>
              </wp:positionV>
              <wp:extent cx="2061210" cy="167640"/>
              <wp:effectExtent l="0" t="0" r="0" b="0"/>
              <wp:wrapNone/>
              <wp:docPr id="4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12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7C" w:rsidRDefault="004F657C">
                          <w:pPr>
                            <w:spacing w:before="13"/>
                            <w:ind w:left="20"/>
                            <w:rPr>
                              <w:b/>
                              <w:sz w:val="20"/>
                            </w:rPr>
                          </w:pPr>
                          <w:r>
                            <w:rPr>
                              <w:b/>
                              <w:color w:val="231F20"/>
                              <w:sz w:val="20"/>
                            </w:rPr>
                            <w:t>Portable Long Service 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69.6pt;margin-top:806.5pt;width:162.3pt;height:13.2pt;z-index:-2564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" filled="f" stroked="f">
              <v:path arrowok="t"/>
              <v:textbox inset="0,0,0,0">
                <w:txbxContent>
                  <w:p w:rsidR="004F657C" w:rsidRDefault="004F657C">
                    <w:pPr>
                      <w:spacing w:before="13"/>
                      <w:ind w:left="20"/>
                      <w:rPr>
                        <w:b/>
                        <w:sz w:val="20"/>
                      </w:rPr>
                    </w:pPr>
                    <w:r>
                      <w:rPr>
                        <w:b/>
                        <w:color w:val="231F20"/>
                        <w:sz w:val="20"/>
                      </w:rPr>
                      <w:t>Portable Long Service Authority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57C" w:rsidRDefault="004F657C">
    <w:pPr>
      <w:pStyle w:val="BodyText"/>
      <w:spacing w:line="14" w:lineRule="auto"/>
    </w:pPr>
    <w:r>
      <w:rPr>
        <w:noProof/>
      </w:rPr>
      <mc:AlternateContent>
        <mc:Choice Requires="wps">
          <w:drawing>
            <wp:anchor distT="0" distB="0" distL="114300" distR="114300" simplePos="0" relativeHeight="246880256" behindDoc="1" locked="0" layoutInCell="1" allowOverlap="1">
              <wp:simplePos x="0" y="0"/>
              <wp:positionH relativeFrom="page">
                <wp:posOffset>5267960</wp:posOffset>
              </wp:positionH>
              <wp:positionV relativeFrom="page">
                <wp:posOffset>10242550</wp:posOffset>
              </wp:positionV>
              <wp:extent cx="1404620" cy="167640"/>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46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7C" w:rsidRDefault="004F657C">
                          <w:pPr>
                            <w:pStyle w:val="BodyText"/>
                            <w:spacing w:before="13"/>
                            <w:ind w:left="20"/>
                          </w:pPr>
                          <w:r>
                            <w:rPr>
                              <w:color w:val="231F20"/>
                            </w:rPr>
                            <w:t>Annual Report 2018–19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414.8pt;margin-top:806.5pt;width:110.6pt;height:13.2pt;z-index:-2564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" filled="f" stroked="f">
              <v:path arrowok="t"/>
              <v:textbox inset="0,0,0,0">
                <w:txbxContent>
                  <w:p w:rsidR="004F657C" w:rsidRDefault="004F657C">
                    <w:pPr>
                      <w:pStyle w:val="BodyText"/>
                      <w:spacing w:before="13"/>
                      <w:ind w:left="20"/>
                    </w:pPr>
                    <w:r>
                      <w:rPr>
                        <w:color w:val="231F20"/>
                      </w:rPr>
                      <w:t>Annual Report 2018–19</w:t>
                    </w:r>
                  </w:p>
                </w:txbxContent>
              </v:textbox>
              <w10:wrap anchorx="page" anchory="page"/>
            </v:shape>
          </w:pict>
        </mc:Fallback>
      </mc:AlternateContent>
    </w:r>
    <w:r>
      <w:rPr>
        <w:noProof/>
      </w:rPr>
      <mc:AlternateContent>
        <mc:Choice Requires="wps">
          <w:drawing>
            <wp:anchor distT="0" distB="0" distL="114300" distR="114300" simplePos="0" relativeHeight="246881280" behindDoc="1" locked="0" layoutInCell="1" allowOverlap="1">
              <wp:simplePos x="0" y="0"/>
              <wp:positionH relativeFrom="page">
                <wp:posOffset>6961505</wp:posOffset>
              </wp:positionH>
              <wp:positionV relativeFrom="page">
                <wp:posOffset>10242550</wp:posOffset>
              </wp:positionV>
              <wp:extent cx="224155" cy="168275"/>
              <wp:effectExtent l="0" t="0" r="0" b="0"/>
              <wp:wrapNone/>
              <wp:docPr id="3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15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57C" w:rsidRDefault="004F657C">
                          <w:pPr>
                            <w:pStyle w:val="BodyText"/>
                            <w:spacing w:before="14"/>
                            <w:ind w:left="60"/>
                          </w:pPr>
                          <w:r>
                            <w:fldChar w:fldCharType="begin"/>
                          </w:r>
                          <w:r>
                            <w:rPr>
                              <w:color w:val="231F20"/>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style="position:absolute;margin-left:548.15pt;margin-top:806.5pt;width:17.65pt;height:13.25pt;z-index:-2564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" filled="f" stroked="f">
              <v:path arrowok="t"/>
              <v:textbox inset="0,0,0,0">
                <w:txbxContent>
                  <w:p w:rsidR="004F657C" w:rsidRDefault="004F657C">
                    <w:pPr>
                      <w:pStyle w:val="BodyText"/>
                      <w:spacing w:before="14"/>
                      <w:ind w:left="60"/>
                    </w:pPr>
                    <w:r>
                      <w:fldChar w:fldCharType="begin"/>
                    </w:r>
                    <w:r>
                      <w:rPr>
                        <w:color w:val="231F20"/>
                      </w:rPr>
                      <w:instrText xml:space="preserve"> PAGE </w:instrText>
                    </w:r>
                    <w:r>
                      <w:fldChar w:fldCharType="separate"/>
                    </w:r>
                    <w: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7D1F" w:rsidRDefault="006C7D1F">
      <w:r>
        <w:separator/>
      </w:r>
    </w:p>
  </w:footnote>
  <w:footnote w:type="continuationSeparator" w:id="0">
    <w:p w:rsidR="006C7D1F" w:rsidRDefault="006C7D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1A82"/>
    <w:multiLevelType w:val="hybridMultilevel"/>
    <w:tmpl w:val="5238C076"/>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 w15:restartNumberingAfterBreak="0">
    <w:nsid w:val="073A7EC9"/>
    <w:multiLevelType w:val="hybridMultilevel"/>
    <w:tmpl w:val="4AA40776"/>
    <w:lvl w:ilvl="0" w:tplc="F75E8F0C">
      <w:start w:val="1"/>
      <w:numFmt w:val="decimal"/>
      <w:lvlText w:val="%1."/>
      <w:lvlJc w:val="left"/>
      <w:pPr>
        <w:ind w:left="1080" w:hanging="360"/>
      </w:pPr>
      <w:rPr>
        <w:rFonts w:eastAsia="Arial" w:cstheme="minorHAnsi" w:hint="default"/>
        <w:i/>
        <w:color w:val="0000FF" w:themeColor="hyperlink"/>
        <w:sz w:val="20"/>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CC34508"/>
    <w:multiLevelType w:val="hybridMultilevel"/>
    <w:tmpl w:val="EB1AD196"/>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3" w15:restartNumberingAfterBreak="0">
    <w:nsid w:val="0EE46183"/>
    <w:multiLevelType w:val="hybridMultilevel"/>
    <w:tmpl w:val="5B3A3A64"/>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4" w15:restartNumberingAfterBreak="0">
    <w:nsid w:val="17333A2D"/>
    <w:multiLevelType w:val="hybridMultilevel"/>
    <w:tmpl w:val="3B30EBE4"/>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5" w15:restartNumberingAfterBreak="0">
    <w:nsid w:val="175B3303"/>
    <w:multiLevelType w:val="hybridMultilevel"/>
    <w:tmpl w:val="7CC06C2C"/>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6" w15:restartNumberingAfterBreak="0">
    <w:nsid w:val="18F05EAA"/>
    <w:multiLevelType w:val="hybridMultilevel"/>
    <w:tmpl w:val="D0026734"/>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7" w15:restartNumberingAfterBreak="0">
    <w:nsid w:val="1A2C4D30"/>
    <w:multiLevelType w:val="hybridMultilevel"/>
    <w:tmpl w:val="E6283066"/>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8" w15:restartNumberingAfterBreak="0">
    <w:nsid w:val="1BC61EEB"/>
    <w:multiLevelType w:val="hybridMultilevel"/>
    <w:tmpl w:val="CC5EE31E"/>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9" w15:restartNumberingAfterBreak="0">
    <w:nsid w:val="1FA946A6"/>
    <w:multiLevelType w:val="hybridMultilevel"/>
    <w:tmpl w:val="22BCC9A2"/>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0" w15:restartNumberingAfterBreak="0">
    <w:nsid w:val="22553E86"/>
    <w:multiLevelType w:val="hybridMultilevel"/>
    <w:tmpl w:val="972E4418"/>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1" w15:restartNumberingAfterBreak="0">
    <w:nsid w:val="274A7082"/>
    <w:multiLevelType w:val="hybridMultilevel"/>
    <w:tmpl w:val="DF0422BE"/>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2" w15:restartNumberingAfterBreak="0">
    <w:nsid w:val="295554B3"/>
    <w:multiLevelType w:val="hybridMultilevel"/>
    <w:tmpl w:val="79427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0963A71"/>
    <w:multiLevelType w:val="hybridMultilevel"/>
    <w:tmpl w:val="91FE5FE0"/>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4" w15:restartNumberingAfterBreak="0">
    <w:nsid w:val="342A694F"/>
    <w:multiLevelType w:val="hybridMultilevel"/>
    <w:tmpl w:val="89C60046"/>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5" w15:restartNumberingAfterBreak="0">
    <w:nsid w:val="36521748"/>
    <w:multiLevelType w:val="hybridMultilevel"/>
    <w:tmpl w:val="BA8063BC"/>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6" w15:restartNumberingAfterBreak="0">
    <w:nsid w:val="3802585D"/>
    <w:multiLevelType w:val="hybridMultilevel"/>
    <w:tmpl w:val="73421952"/>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7" w15:restartNumberingAfterBreak="0">
    <w:nsid w:val="3C6D5A97"/>
    <w:multiLevelType w:val="hybridMultilevel"/>
    <w:tmpl w:val="2F9847DC"/>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8" w15:restartNumberingAfterBreak="0">
    <w:nsid w:val="43D57954"/>
    <w:multiLevelType w:val="hybridMultilevel"/>
    <w:tmpl w:val="B170AF5A"/>
    <w:lvl w:ilvl="0" w:tplc="8E46B4C8">
      <w:numFmt w:val="bullet"/>
      <w:lvlText w:val="•"/>
      <w:lvlJc w:val="left"/>
      <w:pPr>
        <w:ind w:left="740" w:hanging="567"/>
      </w:pPr>
      <w:rPr>
        <w:rFonts w:ascii="Arial" w:eastAsia="Arial" w:hAnsi="Arial" w:cs="Arial" w:hint="default"/>
        <w:w w:val="132"/>
        <w:sz w:val="21"/>
        <w:szCs w:val="21"/>
        <w:lang w:val="en-GB" w:eastAsia="en-GB" w:bidi="en-GB"/>
      </w:rPr>
    </w:lvl>
    <w:lvl w:ilvl="1" w:tplc="F3EC37EA">
      <w:numFmt w:val="bullet"/>
      <w:lvlText w:val="•"/>
      <w:lvlJc w:val="left"/>
      <w:pPr>
        <w:ind w:left="1615" w:hanging="567"/>
      </w:pPr>
      <w:rPr>
        <w:rFonts w:hint="default"/>
        <w:lang w:val="en-GB" w:eastAsia="en-GB" w:bidi="en-GB"/>
      </w:rPr>
    </w:lvl>
    <w:lvl w:ilvl="2" w:tplc="9D6A723C">
      <w:numFmt w:val="bullet"/>
      <w:lvlText w:val="•"/>
      <w:lvlJc w:val="left"/>
      <w:pPr>
        <w:ind w:left="2491" w:hanging="567"/>
      </w:pPr>
      <w:rPr>
        <w:rFonts w:hint="default"/>
        <w:lang w:val="en-GB" w:eastAsia="en-GB" w:bidi="en-GB"/>
      </w:rPr>
    </w:lvl>
    <w:lvl w:ilvl="3" w:tplc="CB4CC78C">
      <w:numFmt w:val="bullet"/>
      <w:lvlText w:val="•"/>
      <w:lvlJc w:val="left"/>
      <w:pPr>
        <w:ind w:left="3367" w:hanging="567"/>
      </w:pPr>
      <w:rPr>
        <w:rFonts w:hint="default"/>
        <w:lang w:val="en-GB" w:eastAsia="en-GB" w:bidi="en-GB"/>
      </w:rPr>
    </w:lvl>
    <w:lvl w:ilvl="4" w:tplc="F7865378">
      <w:numFmt w:val="bullet"/>
      <w:lvlText w:val="•"/>
      <w:lvlJc w:val="left"/>
      <w:pPr>
        <w:ind w:left="4243" w:hanging="567"/>
      </w:pPr>
      <w:rPr>
        <w:rFonts w:hint="default"/>
        <w:lang w:val="en-GB" w:eastAsia="en-GB" w:bidi="en-GB"/>
      </w:rPr>
    </w:lvl>
    <w:lvl w:ilvl="5" w:tplc="80D6177A">
      <w:numFmt w:val="bullet"/>
      <w:lvlText w:val="•"/>
      <w:lvlJc w:val="left"/>
      <w:pPr>
        <w:ind w:left="5119" w:hanging="567"/>
      </w:pPr>
      <w:rPr>
        <w:rFonts w:hint="default"/>
        <w:lang w:val="en-GB" w:eastAsia="en-GB" w:bidi="en-GB"/>
      </w:rPr>
    </w:lvl>
    <w:lvl w:ilvl="6" w:tplc="E58000B0">
      <w:numFmt w:val="bullet"/>
      <w:lvlText w:val="•"/>
      <w:lvlJc w:val="left"/>
      <w:pPr>
        <w:ind w:left="5995" w:hanging="567"/>
      </w:pPr>
      <w:rPr>
        <w:rFonts w:hint="default"/>
        <w:lang w:val="en-GB" w:eastAsia="en-GB" w:bidi="en-GB"/>
      </w:rPr>
    </w:lvl>
    <w:lvl w:ilvl="7" w:tplc="9B0810D2">
      <w:numFmt w:val="bullet"/>
      <w:lvlText w:val="•"/>
      <w:lvlJc w:val="left"/>
      <w:pPr>
        <w:ind w:left="6871" w:hanging="567"/>
      </w:pPr>
      <w:rPr>
        <w:rFonts w:hint="default"/>
        <w:lang w:val="en-GB" w:eastAsia="en-GB" w:bidi="en-GB"/>
      </w:rPr>
    </w:lvl>
    <w:lvl w:ilvl="8" w:tplc="B464E06A">
      <w:numFmt w:val="bullet"/>
      <w:lvlText w:val="•"/>
      <w:lvlJc w:val="left"/>
      <w:pPr>
        <w:ind w:left="7747" w:hanging="567"/>
      </w:pPr>
      <w:rPr>
        <w:rFonts w:hint="default"/>
        <w:lang w:val="en-GB" w:eastAsia="en-GB" w:bidi="en-GB"/>
      </w:rPr>
    </w:lvl>
  </w:abstractNum>
  <w:abstractNum w:abstractNumId="19" w15:restartNumberingAfterBreak="0">
    <w:nsid w:val="45AD4E9E"/>
    <w:multiLevelType w:val="hybridMultilevel"/>
    <w:tmpl w:val="94E48480"/>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0" w15:restartNumberingAfterBreak="0">
    <w:nsid w:val="47247D00"/>
    <w:multiLevelType w:val="hybridMultilevel"/>
    <w:tmpl w:val="532063A2"/>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1" w15:restartNumberingAfterBreak="0">
    <w:nsid w:val="482201B6"/>
    <w:multiLevelType w:val="hybridMultilevel"/>
    <w:tmpl w:val="A44EB42C"/>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2" w15:restartNumberingAfterBreak="0">
    <w:nsid w:val="4D1C64E5"/>
    <w:multiLevelType w:val="hybridMultilevel"/>
    <w:tmpl w:val="F89C36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2164D49"/>
    <w:multiLevelType w:val="hybridMultilevel"/>
    <w:tmpl w:val="3954D4AC"/>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4" w15:restartNumberingAfterBreak="0">
    <w:nsid w:val="53B91DAD"/>
    <w:multiLevelType w:val="hybridMultilevel"/>
    <w:tmpl w:val="506A4AB4"/>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5" w15:restartNumberingAfterBreak="0">
    <w:nsid w:val="58A86FFD"/>
    <w:multiLevelType w:val="hybridMultilevel"/>
    <w:tmpl w:val="33E077BE"/>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6" w15:restartNumberingAfterBreak="0">
    <w:nsid w:val="5C4E5A02"/>
    <w:multiLevelType w:val="hybridMultilevel"/>
    <w:tmpl w:val="AE1C0690"/>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7" w15:restartNumberingAfterBreak="0">
    <w:nsid w:val="5F7547EA"/>
    <w:multiLevelType w:val="hybridMultilevel"/>
    <w:tmpl w:val="5568E96E"/>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8" w15:restartNumberingAfterBreak="0">
    <w:nsid w:val="630A54BD"/>
    <w:multiLevelType w:val="hybridMultilevel"/>
    <w:tmpl w:val="1A8244EE"/>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2263C5"/>
    <w:multiLevelType w:val="multilevel"/>
    <w:tmpl w:val="517C75E0"/>
    <w:lvl w:ilvl="0">
      <w:start w:val="1"/>
      <w:numFmt w:val="decimal"/>
      <w:lvlText w:val="%1."/>
      <w:lvlJc w:val="left"/>
      <w:pPr>
        <w:ind w:left="1080" w:hanging="360"/>
      </w:pPr>
      <w:rPr>
        <w:rFonts w:hint="default"/>
      </w:rPr>
    </w:lvl>
    <w:lvl w:ilvl="1">
      <w:start w:val="1"/>
      <w:numFmt w:val="decimal"/>
      <w:isLgl/>
      <w:lvlText w:val="%1.%2"/>
      <w:lvlJc w:val="left"/>
      <w:pPr>
        <w:ind w:left="1120" w:hanging="4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6349290D"/>
    <w:multiLevelType w:val="hybridMultilevel"/>
    <w:tmpl w:val="42EE25EA"/>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31" w15:restartNumberingAfterBreak="0">
    <w:nsid w:val="63EB6969"/>
    <w:multiLevelType w:val="hybridMultilevel"/>
    <w:tmpl w:val="70F24E7A"/>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32" w15:restartNumberingAfterBreak="0">
    <w:nsid w:val="65D43A8C"/>
    <w:multiLevelType w:val="hybridMultilevel"/>
    <w:tmpl w:val="89227B58"/>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33" w15:restartNumberingAfterBreak="0">
    <w:nsid w:val="6C332ED9"/>
    <w:multiLevelType w:val="hybridMultilevel"/>
    <w:tmpl w:val="C59A2222"/>
    <w:lvl w:ilvl="0" w:tplc="08090001">
      <w:start w:val="1"/>
      <w:numFmt w:val="bullet"/>
      <w:lvlText w:val=""/>
      <w:lvlJc w:val="left"/>
      <w:pPr>
        <w:ind w:left="1202" w:hanging="360"/>
      </w:pPr>
      <w:rPr>
        <w:rFonts w:ascii="Symbol" w:hAnsi="Symbol" w:hint="default"/>
      </w:rPr>
    </w:lvl>
    <w:lvl w:ilvl="1" w:tplc="08090003">
      <w:start w:val="1"/>
      <w:numFmt w:val="bullet"/>
      <w:lvlText w:val="o"/>
      <w:lvlJc w:val="left"/>
      <w:pPr>
        <w:ind w:left="1922" w:hanging="360"/>
      </w:pPr>
      <w:rPr>
        <w:rFonts w:ascii="Courier New" w:hAnsi="Courier New" w:cs="Courier New" w:hint="default"/>
      </w:rPr>
    </w:lvl>
    <w:lvl w:ilvl="2" w:tplc="08090005">
      <w:start w:val="1"/>
      <w:numFmt w:val="bullet"/>
      <w:lvlText w:val=""/>
      <w:lvlJc w:val="left"/>
      <w:pPr>
        <w:ind w:left="2642" w:hanging="360"/>
      </w:pPr>
      <w:rPr>
        <w:rFonts w:ascii="Wingdings" w:hAnsi="Wingdings" w:hint="default"/>
      </w:rPr>
    </w:lvl>
    <w:lvl w:ilvl="3" w:tplc="08090001">
      <w:start w:val="1"/>
      <w:numFmt w:val="bullet"/>
      <w:lvlText w:val=""/>
      <w:lvlJc w:val="left"/>
      <w:pPr>
        <w:ind w:left="3362" w:hanging="360"/>
      </w:pPr>
      <w:rPr>
        <w:rFonts w:ascii="Symbol" w:hAnsi="Symbol" w:hint="default"/>
      </w:rPr>
    </w:lvl>
    <w:lvl w:ilvl="4" w:tplc="08090003">
      <w:start w:val="1"/>
      <w:numFmt w:val="bullet"/>
      <w:lvlText w:val="o"/>
      <w:lvlJc w:val="left"/>
      <w:pPr>
        <w:ind w:left="4082" w:hanging="360"/>
      </w:pPr>
      <w:rPr>
        <w:rFonts w:ascii="Courier New" w:hAnsi="Courier New" w:cs="Courier New" w:hint="default"/>
      </w:rPr>
    </w:lvl>
    <w:lvl w:ilvl="5" w:tplc="08090005">
      <w:start w:val="1"/>
      <w:numFmt w:val="bullet"/>
      <w:lvlText w:val=""/>
      <w:lvlJc w:val="left"/>
      <w:pPr>
        <w:ind w:left="4802" w:hanging="360"/>
      </w:pPr>
      <w:rPr>
        <w:rFonts w:ascii="Wingdings" w:hAnsi="Wingdings" w:hint="default"/>
      </w:rPr>
    </w:lvl>
    <w:lvl w:ilvl="6" w:tplc="08090001">
      <w:start w:val="1"/>
      <w:numFmt w:val="bullet"/>
      <w:lvlText w:val=""/>
      <w:lvlJc w:val="left"/>
      <w:pPr>
        <w:ind w:left="5522" w:hanging="360"/>
      </w:pPr>
      <w:rPr>
        <w:rFonts w:ascii="Symbol" w:hAnsi="Symbol" w:hint="default"/>
      </w:rPr>
    </w:lvl>
    <w:lvl w:ilvl="7" w:tplc="08090003">
      <w:start w:val="1"/>
      <w:numFmt w:val="bullet"/>
      <w:lvlText w:val="o"/>
      <w:lvlJc w:val="left"/>
      <w:pPr>
        <w:ind w:left="6242" w:hanging="360"/>
      </w:pPr>
      <w:rPr>
        <w:rFonts w:ascii="Courier New" w:hAnsi="Courier New" w:cs="Courier New" w:hint="default"/>
      </w:rPr>
    </w:lvl>
    <w:lvl w:ilvl="8" w:tplc="08090005">
      <w:start w:val="1"/>
      <w:numFmt w:val="bullet"/>
      <w:lvlText w:val=""/>
      <w:lvlJc w:val="left"/>
      <w:pPr>
        <w:ind w:left="6962" w:hanging="360"/>
      </w:pPr>
      <w:rPr>
        <w:rFonts w:ascii="Wingdings" w:hAnsi="Wingdings" w:hint="default"/>
      </w:rPr>
    </w:lvl>
  </w:abstractNum>
  <w:abstractNum w:abstractNumId="34" w15:restartNumberingAfterBreak="0">
    <w:nsid w:val="6C8B5B2B"/>
    <w:multiLevelType w:val="hybridMultilevel"/>
    <w:tmpl w:val="B3123D96"/>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35" w15:restartNumberingAfterBreak="0">
    <w:nsid w:val="75F91405"/>
    <w:multiLevelType w:val="hybridMultilevel"/>
    <w:tmpl w:val="60BEC93E"/>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36" w15:restartNumberingAfterBreak="0">
    <w:nsid w:val="77DC16B7"/>
    <w:multiLevelType w:val="hybridMultilevel"/>
    <w:tmpl w:val="1C4E41A2"/>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37" w15:restartNumberingAfterBreak="0">
    <w:nsid w:val="7A665D2C"/>
    <w:multiLevelType w:val="hybridMultilevel"/>
    <w:tmpl w:val="3FB8C4A8"/>
    <w:lvl w:ilvl="0" w:tplc="06AA2356">
      <w:numFmt w:val="bullet"/>
      <w:lvlText w:val="•"/>
      <w:lvlJc w:val="left"/>
      <w:pPr>
        <w:ind w:left="1080" w:hanging="360"/>
      </w:pPr>
      <w:rPr>
        <w:rFonts w:ascii="Arial" w:eastAsia="Arial" w:hAnsi="Arial" w:cs="Arial" w:hint="default"/>
        <w:b/>
        <w:bCs/>
        <w:color w:val="231F20"/>
        <w:spacing w:val="-1"/>
        <w:w w:val="100"/>
        <w:position w:val="1"/>
        <w:sz w:val="20"/>
        <w:szCs w:val="20"/>
        <w:lang w:val="en-GB" w:eastAsia="en-GB" w:bidi="en-GB"/>
      </w:rPr>
    </w:lvl>
    <w:lvl w:ilvl="1" w:tplc="1C5A0548">
      <w:numFmt w:val="bullet"/>
      <w:lvlText w:val="•"/>
      <w:lvlJc w:val="left"/>
      <w:pPr>
        <w:ind w:left="3358" w:hanging="567"/>
      </w:pPr>
      <w:rPr>
        <w:rFonts w:ascii="Arial" w:eastAsia="Arial" w:hAnsi="Arial" w:cs="Arial" w:hint="default"/>
        <w:color w:val="231F20"/>
        <w:w w:val="132"/>
        <w:sz w:val="21"/>
        <w:szCs w:val="21"/>
        <w:lang w:val="en-GB" w:eastAsia="en-GB" w:bidi="en-GB"/>
      </w:rPr>
    </w:lvl>
    <w:lvl w:ilvl="2" w:tplc="FA9486D4">
      <w:numFmt w:val="bullet"/>
      <w:lvlText w:val="•"/>
      <w:lvlJc w:val="left"/>
      <w:pPr>
        <w:ind w:left="4309" w:hanging="567"/>
      </w:pPr>
      <w:rPr>
        <w:rFonts w:hint="default"/>
        <w:lang w:val="en-GB" w:eastAsia="en-GB" w:bidi="en-GB"/>
      </w:rPr>
    </w:lvl>
    <w:lvl w:ilvl="3" w:tplc="E2D47818">
      <w:numFmt w:val="bullet"/>
      <w:lvlText w:val="•"/>
      <w:lvlJc w:val="left"/>
      <w:pPr>
        <w:ind w:left="5259" w:hanging="567"/>
      </w:pPr>
      <w:rPr>
        <w:rFonts w:hint="default"/>
        <w:lang w:val="en-GB" w:eastAsia="en-GB" w:bidi="en-GB"/>
      </w:rPr>
    </w:lvl>
    <w:lvl w:ilvl="4" w:tplc="D6BC73B8">
      <w:numFmt w:val="bullet"/>
      <w:lvlText w:val="•"/>
      <w:lvlJc w:val="left"/>
      <w:pPr>
        <w:ind w:left="6208" w:hanging="567"/>
      </w:pPr>
      <w:rPr>
        <w:rFonts w:hint="default"/>
        <w:lang w:val="en-GB" w:eastAsia="en-GB" w:bidi="en-GB"/>
      </w:rPr>
    </w:lvl>
    <w:lvl w:ilvl="5" w:tplc="F7EE1AD8">
      <w:numFmt w:val="bullet"/>
      <w:lvlText w:val="•"/>
      <w:lvlJc w:val="left"/>
      <w:pPr>
        <w:ind w:left="7158" w:hanging="567"/>
      </w:pPr>
      <w:rPr>
        <w:rFonts w:hint="default"/>
        <w:lang w:val="en-GB" w:eastAsia="en-GB" w:bidi="en-GB"/>
      </w:rPr>
    </w:lvl>
    <w:lvl w:ilvl="6" w:tplc="40405BFE">
      <w:numFmt w:val="bullet"/>
      <w:lvlText w:val="•"/>
      <w:lvlJc w:val="left"/>
      <w:pPr>
        <w:ind w:left="8107" w:hanging="567"/>
      </w:pPr>
      <w:rPr>
        <w:rFonts w:hint="default"/>
        <w:lang w:val="en-GB" w:eastAsia="en-GB" w:bidi="en-GB"/>
      </w:rPr>
    </w:lvl>
    <w:lvl w:ilvl="7" w:tplc="BAA86F26">
      <w:numFmt w:val="bullet"/>
      <w:lvlText w:val="•"/>
      <w:lvlJc w:val="left"/>
      <w:pPr>
        <w:ind w:left="9057" w:hanging="567"/>
      </w:pPr>
      <w:rPr>
        <w:rFonts w:hint="default"/>
        <w:lang w:val="en-GB" w:eastAsia="en-GB" w:bidi="en-GB"/>
      </w:rPr>
    </w:lvl>
    <w:lvl w:ilvl="8" w:tplc="9FC2882E">
      <w:numFmt w:val="bullet"/>
      <w:lvlText w:val="•"/>
      <w:lvlJc w:val="left"/>
      <w:pPr>
        <w:ind w:left="10006" w:hanging="567"/>
      </w:pPr>
      <w:rPr>
        <w:rFonts w:hint="default"/>
        <w:lang w:val="en-GB" w:eastAsia="en-GB" w:bidi="en-GB"/>
      </w:rPr>
    </w:lvl>
  </w:abstractNum>
  <w:abstractNum w:abstractNumId="38" w15:restartNumberingAfterBreak="0">
    <w:nsid w:val="7F5C3A4F"/>
    <w:multiLevelType w:val="hybridMultilevel"/>
    <w:tmpl w:val="2C74C850"/>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39" w15:restartNumberingAfterBreak="0">
    <w:nsid w:val="7FEA7574"/>
    <w:multiLevelType w:val="hybridMultilevel"/>
    <w:tmpl w:val="58B2090C"/>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num w:numId="1">
    <w:abstractNumId w:val="18"/>
  </w:num>
  <w:num w:numId="2">
    <w:abstractNumId w:val="37"/>
  </w:num>
  <w:num w:numId="3">
    <w:abstractNumId w:val="12"/>
  </w:num>
  <w:num w:numId="4">
    <w:abstractNumId w:val="22"/>
  </w:num>
  <w:num w:numId="5">
    <w:abstractNumId w:val="20"/>
  </w:num>
  <w:num w:numId="6">
    <w:abstractNumId w:val="32"/>
  </w:num>
  <w:num w:numId="7">
    <w:abstractNumId w:val="19"/>
  </w:num>
  <w:num w:numId="8">
    <w:abstractNumId w:val="10"/>
  </w:num>
  <w:num w:numId="9">
    <w:abstractNumId w:val="23"/>
  </w:num>
  <w:num w:numId="10">
    <w:abstractNumId w:val="15"/>
  </w:num>
  <w:num w:numId="11">
    <w:abstractNumId w:val="5"/>
  </w:num>
  <w:num w:numId="12">
    <w:abstractNumId w:val="34"/>
  </w:num>
  <w:num w:numId="13">
    <w:abstractNumId w:val="9"/>
  </w:num>
  <w:num w:numId="14">
    <w:abstractNumId w:val="13"/>
  </w:num>
  <w:num w:numId="15">
    <w:abstractNumId w:val="25"/>
  </w:num>
  <w:num w:numId="16">
    <w:abstractNumId w:val="11"/>
  </w:num>
  <w:num w:numId="17">
    <w:abstractNumId w:val="24"/>
  </w:num>
  <w:num w:numId="18">
    <w:abstractNumId w:val="27"/>
  </w:num>
  <w:num w:numId="19">
    <w:abstractNumId w:val="0"/>
  </w:num>
  <w:num w:numId="20">
    <w:abstractNumId w:val="17"/>
  </w:num>
  <w:num w:numId="21">
    <w:abstractNumId w:val="4"/>
  </w:num>
  <w:num w:numId="22">
    <w:abstractNumId w:val="7"/>
  </w:num>
  <w:num w:numId="23">
    <w:abstractNumId w:val="2"/>
  </w:num>
  <w:num w:numId="24">
    <w:abstractNumId w:val="33"/>
  </w:num>
  <w:num w:numId="25">
    <w:abstractNumId w:val="28"/>
  </w:num>
  <w:num w:numId="26">
    <w:abstractNumId w:val="31"/>
  </w:num>
  <w:num w:numId="27">
    <w:abstractNumId w:val="3"/>
  </w:num>
  <w:num w:numId="28">
    <w:abstractNumId w:val="8"/>
  </w:num>
  <w:num w:numId="29">
    <w:abstractNumId w:val="29"/>
  </w:num>
  <w:num w:numId="30">
    <w:abstractNumId w:val="36"/>
  </w:num>
  <w:num w:numId="31">
    <w:abstractNumId w:val="26"/>
  </w:num>
  <w:num w:numId="32">
    <w:abstractNumId w:val="14"/>
  </w:num>
  <w:num w:numId="33">
    <w:abstractNumId w:val="6"/>
  </w:num>
  <w:num w:numId="34">
    <w:abstractNumId w:val="39"/>
  </w:num>
  <w:num w:numId="35">
    <w:abstractNumId w:val="16"/>
  </w:num>
  <w:num w:numId="36">
    <w:abstractNumId w:val="35"/>
  </w:num>
  <w:num w:numId="37">
    <w:abstractNumId w:val="30"/>
  </w:num>
  <w:num w:numId="38">
    <w:abstractNumId w:val="21"/>
  </w:num>
  <w:num w:numId="39">
    <w:abstractNumId w:val="38"/>
  </w:num>
  <w:num w:numId="40">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18F"/>
    <w:rsid w:val="00077D30"/>
    <w:rsid w:val="000C4C8F"/>
    <w:rsid w:val="000D226D"/>
    <w:rsid w:val="00102361"/>
    <w:rsid w:val="00131AC5"/>
    <w:rsid w:val="0014397B"/>
    <w:rsid w:val="0018589A"/>
    <w:rsid w:val="002434CF"/>
    <w:rsid w:val="00250CD3"/>
    <w:rsid w:val="00305051"/>
    <w:rsid w:val="00315FBE"/>
    <w:rsid w:val="00324FF6"/>
    <w:rsid w:val="003A789F"/>
    <w:rsid w:val="003C2FCB"/>
    <w:rsid w:val="0042128D"/>
    <w:rsid w:val="004323A6"/>
    <w:rsid w:val="004F06FB"/>
    <w:rsid w:val="004F657C"/>
    <w:rsid w:val="005068B7"/>
    <w:rsid w:val="00511595"/>
    <w:rsid w:val="0051318F"/>
    <w:rsid w:val="00517CFF"/>
    <w:rsid w:val="00554FE9"/>
    <w:rsid w:val="0056641F"/>
    <w:rsid w:val="00595FC2"/>
    <w:rsid w:val="005A1AD3"/>
    <w:rsid w:val="00650369"/>
    <w:rsid w:val="006564C0"/>
    <w:rsid w:val="00665555"/>
    <w:rsid w:val="006778EC"/>
    <w:rsid w:val="006849E2"/>
    <w:rsid w:val="006A36F7"/>
    <w:rsid w:val="006A5918"/>
    <w:rsid w:val="006A7827"/>
    <w:rsid w:val="006C7D1F"/>
    <w:rsid w:val="006D35FE"/>
    <w:rsid w:val="00700FE9"/>
    <w:rsid w:val="00760EA0"/>
    <w:rsid w:val="00764916"/>
    <w:rsid w:val="00775ED1"/>
    <w:rsid w:val="00786F08"/>
    <w:rsid w:val="00791F8C"/>
    <w:rsid w:val="007A3309"/>
    <w:rsid w:val="007A398D"/>
    <w:rsid w:val="007B7542"/>
    <w:rsid w:val="0083056F"/>
    <w:rsid w:val="00877EF9"/>
    <w:rsid w:val="0090414F"/>
    <w:rsid w:val="009320C6"/>
    <w:rsid w:val="00943EBA"/>
    <w:rsid w:val="00973D48"/>
    <w:rsid w:val="009769A3"/>
    <w:rsid w:val="009A5496"/>
    <w:rsid w:val="009B6377"/>
    <w:rsid w:val="00A06F35"/>
    <w:rsid w:val="00A134B1"/>
    <w:rsid w:val="00A31CF1"/>
    <w:rsid w:val="00A475C9"/>
    <w:rsid w:val="00AB27D1"/>
    <w:rsid w:val="00BA7436"/>
    <w:rsid w:val="00BB74EA"/>
    <w:rsid w:val="00BF29AB"/>
    <w:rsid w:val="00C17D84"/>
    <w:rsid w:val="00CB2FA0"/>
    <w:rsid w:val="00CF1B2E"/>
    <w:rsid w:val="00D54A12"/>
    <w:rsid w:val="00D56B89"/>
    <w:rsid w:val="00E55F38"/>
    <w:rsid w:val="00EE791F"/>
    <w:rsid w:val="00F465E7"/>
    <w:rsid w:val="00FD1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66C8E"/>
  <w15:docId w15:val="{38DBE5FA-FD6D-6043-A042-5954E74E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66"/>
      <w:ind w:left="720"/>
      <w:outlineLvl w:val="0"/>
    </w:pPr>
    <w:rPr>
      <w:b/>
      <w:bCs/>
      <w:sz w:val="52"/>
      <w:szCs w:val="52"/>
    </w:rPr>
  </w:style>
  <w:style w:type="paragraph" w:styleId="Heading2">
    <w:name w:val="heading 2"/>
    <w:basedOn w:val="Normal"/>
    <w:uiPriority w:val="9"/>
    <w:unhideWhenUsed/>
    <w:qFormat/>
    <w:pPr>
      <w:spacing w:before="62"/>
      <w:ind w:left="720"/>
      <w:outlineLvl w:val="1"/>
    </w:pPr>
    <w:rPr>
      <w:b/>
      <w:bCs/>
      <w:sz w:val="36"/>
      <w:szCs w:val="36"/>
    </w:rPr>
  </w:style>
  <w:style w:type="paragraph" w:styleId="Heading3">
    <w:name w:val="heading 3"/>
    <w:basedOn w:val="Normal"/>
    <w:uiPriority w:val="9"/>
    <w:unhideWhenUsed/>
    <w:qFormat/>
    <w:pPr>
      <w:spacing w:before="63"/>
      <w:ind w:left="720"/>
      <w:outlineLvl w:val="2"/>
    </w:pPr>
    <w:rPr>
      <w:b/>
      <w:bCs/>
      <w:sz w:val="28"/>
      <w:szCs w:val="28"/>
    </w:rPr>
  </w:style>
  <w:style w:type="paragraph" w:styleId="Heading4">
    <w:name w:val="heading 4"/>
    <w:basedOn w:val="Normal"/>
    <w:uiPriority w:val="9"/>
    <w:unhideWhenUsed/>
    <w:qFormat/>
    <w:pPr>
      <w:ind w:left="720"/>
      <w:outlineLvl w:val="3"/>
    </w:pPr>
    <w:rPr>
      <w:b/>
      <w:bCs/>
      <w:sz w:val="24"/>
      <w:szCs w:val="24"/>
    </w:rPr>
  </w:style>
  <w:style w:type="paragraph" w:styleId="Heading5">
    <w:name w:val="heading 5"/>
    <w:basedOn w:val="Normal"/>
    <w:uiPriority w:val="9"/>
    <w:unhideWhenUsed/>
    <w:qFormat/>
    <w:pPr>
      <w:spacing w:before="312"/>
      <w:ind w:left="1289"/>
      <w:outlineLvl w:val="4"/>
    </w:pPr>
    <w:rPr>
      <w:rFonts w:ascii="Calibri-BoldItalic" w:eastAsia="Calibri-BoldItalic" w:hAnsi="Calibri-BoldItalic" w:cs="Calibri-BoldItalic"/>
      <w:b/>
      <w:bCs/>
      <w:i/>
      <w:sz w:val="24"/>
      <w:szCs w:val="24"/>
    </w:rPr>
  </w:style>
  <w:style w:type="paragraph" w:styleId="Heading6">
    <w:name w:val="heading 6"/>
    <w:basedOn w:val="Normal"/>
    <w:uiPriority w:val="9"/>
    <w:unhideWhenUsed/>
    <w:qFormat/>
    <w:pPr>
      <w:spacing w:before="54"/>
      <w:ind w:left="1255"/>
      <w:outlineLvl w:val="5"/>
    </w:pPr>
    <w:rPr>
      <w:rFonts w:ascii="Calibri" w:eastAsia="Calibri" w:hAnsi="Calibri" w:cs="Calibri"/>
      <w:b/>
      <w:bCs/>
      <w:sz w:val="21"/>
      <w:szCs w:val="21"/>
    </w:rPr>
  </w:style>
  <w:style w:type="paragraph" w:styleId="Heading7">
    <w:name w:val="heading 7"/>
    <w:basedOn w:val="Normal"/>
    <w:uiPriority w:val="1"/>
    <w:qFormat/>
    <w:pPr>
      <w:spacing w:before="49"/>
      <w:ind w:left="3358"/>
      <w:outlineLvl w:val="6"/>
    </w:pPr>
    <w:rPr>
      <w:rFonts w:ascii="Calibri" w:eastAsia="Calibri" w:hAnsi="Calibri" w:cs="Calibri"/>
      <w:sz w:val="21"/>
      <w:szCs w:val="21"/>
    </w:rPr>
  </w:style>
  <w:style w:type="paragraph" w:styleId="Heading8">
    <w:name w:val="heading 8"/>
    <w:basedOn w:val="Normal"/>
    <w:uiPriority w:val="1"/>
    <w:qFormat/>
    <w:pPr>
      <w:spacing w:before="39"/>
      <w:ind w:right="1909"/>
      <w:jc w:val="right"/>
      <w:outlineLvl w:val="7"/>
    </w:pPr>
    <w:rPr>
      <w:rFonts w:ascii="Calibri" w:eastAsia="Calibri" w:hAnsi="Calibri" w:cs="Calibri"/>
      <w:i/>
      <w:sz w:val="21"/>
      <w:szCs w:val="21"/>
    </w:rPr>
  </w:style>
  <w:style w:type="paragraph" w:styleId="Heading9">
    <w:name w:val="heading 9"/>
    <w:basedOn w:val="Normal"/>
    <w:uiPriority w:val="1"/>
    <w:qFormat/>
    <w:pPr>
      <w:ind w:left="720"/>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F657C"/>
    <w:pPr>
      <w:spacing w:before="240" w:after="120"/>
      <w:ind w:left="720"/>
    </w:pPr>
    <w:rPr>
      <w:rFonts w:asciiTheme="minorHAnsi" w:hAnsiTheme="minorHAnsi" w:cstheme="minorHAnsi"/>
      <w:b/>
      <w:bCs/>
      <w:sz w:val="20"/>
      <w:szCs w:val="20"/>
    </w:rPr>
  </w:style>
  <w:style w:type="paragraph" w:styleId="TOC2">
    <w:name w:val="toc 2"/>
    <w:basedOn w:val="Normal"/>
    <w:uiPriority w:val="39"/>
    <w:qFormat/>
    <w:rsid w:val="004F657C"/>
    <w:pPr>
      <w:spacing w:before="120"/>
      <w:ind w:left="720"/>
    </w:pPr>
    <w:rPr>
      <w:rFonts w:asciiTheme="minorHAnsi" w:hAnsiTheme="minorHAnsi" w:cstheme="minorHAnsi"/>
      <w:i/>
      <w:iCs/>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spacing w:before="66"/>
    </w:pPr>
  </w:style>
  <w:style w:type="paragraph" w:customStyle="1" w:styleId="SECTION">
    <w:name w:val="SECTION"/>
    <w:basedOn w:val="Normal"/>
    <w:uiPriority w:val="99"/>
    <w:rsid w:val="00775ED1"/>
    <w:pPr>
      <w:widowControl/>
      <w:adjustRightInd w:val="0"/>
      <w:spacing w:line="480" w:lineRule="atLeast"/>
      <w:textAlignment w:val="center"/>
    </w:pPr>
    <w:rPr>
      <w:rFonts w:ascii="Melbourne" w:eastAsiaTheme="minorHAnsi" w:hAnsi="Melbourne" w:cs="Melbourne"/>
      <w:caps/>
      <w:color w:val="000000"/>
      <w:sz w:val="48"/>
      <w:szCs w:val="48"/>
      <w:lang w:eastAsia="en-US" w:bidi="ar-SA"/>
    </w:rPr>
  </w:style>
  <w:style w:type="paragraph" w:customStyle="1" w:styleId="H1">
    <w:name w:val="H1"/>
    <w:basedOn w:val="Normal"/>
    <w:uiPriority w:val="99"/>
    <w:rsid w:val="00775ED1"/>
    <w:pPr>
      <w:widowControl/>
      <w:suppressAutoHyphens/>
      <w:adjustRightInd w:val="0"/>
      <w:spacing w:before="283" w:after="227" w:line="400" w:lineRule="atLeast"/>
      <w:textAlignment w:val="center"/>
    </w:pPr>
    <w:rPr>
      <w:rFonts w:ascii="Melbourne" w:eastAsiaTheme="minorHAnsi" w:hAnsi="Melbourne" w:cs="Melbourne"/>
      <w:color w:val="000000"/>
      <w:sz w:val="36"/>
      <w:szCs w:val="36"/>
      <w:lang w:eastAsia="en-US" w:bidi="ar-SA"/>
    </w:rPr>
  </w:style>
  <w:style w:type="paragraph" w:customStyle="1" w:styleId="BODY">
    <w:name w:val="BODY"/>
    <w:basedOn w:val="Normal"/>
    <w:uiPriority w:val="99"/>
    <w:rsid w:val="00775ED1"/>
    <w:pPr>
      <w:widowControl/>
      <w:suppressAutoHyphens/>
      <w:adjustRightInd w:val="0"/>
      <w:spacing w:after="113" w:line="220" w:lineRule="atLeast"/>
      <w:textAlignment w:val="center"/>
    </w:pPr>
    <w:rPr>
      <w:rFonts w:ascii="HelveticaNeueLT Std Lt" w:eastAsiaTheme="minorHAnsi" w:hAnsi="HelveticaNeueLT Std Lt" w:cs="HelveticaNeueLT Std Lt"/>
      <w:color w:val="000000"/>
      <w:sz w:val="18"/>
      <w:szCs w:val="18"/>
      <w:lang w:eastAsia="en-US" w:bidi="ar-SA"/>
    </w:rPr>
  </w:style>
  <w:style w:type="character" w:customStyle="1" w:styleId="italic">
    <w:name w:val="italic"/>
    <w:uiPriority w:val="99"/>
    <w:rsid w:val="00775ED1"/>
    <w:rPr>
      <w:rFonts w:ascii="Helvetica Neue" w:hAnsi="Helvetica Neue" w:cs="Helvetica Neue"/>
      <w:i/>
      <w:iCs/>
    </w:rPr>
  </w:style>
  <w:style w:type="character" w:customStyle="1" w:styleId="bold">
    <w:name w:val="bold"/>
    <w:uiPriority w:val="99"/>
    <w:rsid w:val="007B7542"/>
    <w:rPr>
      <w:rFonts w:ascii="HelveticaNeueLT Std Med" w:hAnsi="HelveticaNeueLT Std Med" w:cs="HelveticaNeueLT Std Med"/>
    </w:rPr>
  </w:style>
  <w:style w:type="paragraph" w:customStyle="1" w:styleId="BULLETS">
    <w:name w:val="BULLETS"/>
    <w:basedOn w:val="BODY"/>
    <w:uiPriority w:val="99"/>
    <w:rsid w:val="007B7542"/>
    <w:pPr>
      <w:tabs>
        <w:tab w:val="left" w:pos="227"/>
        <w:tab w:val="left" w:pos="283"/>
      </w:tabs>
      <w:ind w:left="227" w:hanging="227"/>
    </w:pPr>
  </w:style>
  <w:style w:type="paragraph" w:customStyle="1" w:styleId="BULLETSEND">
    <w:name w:val="BULLETS END"/>
    <w:basedOn w:val="BULLETS"/>
    <w:uiPriority w:val="99"/>
    <w:rsid w:val="007B7542"/>
    <w:pPr>
      <w:spacing w:after="170"/>
    </w:pPr>
  </w:style>
  <w:style w:type="paragraph" w:customStyle="1" w:styleId="FOOTNOTE">
    <w:name w:val="FOOTNOTE"/>
    <w:basedOn w:val="BODY"/>
    <w:uiPriority w:val="99"/>
    <w:rsid w:val="006564C0"/>
    <w:pPr>
      <w:pBdr>
        <w:top w:val="single" w:sz="2" w:space="8" w:color="auto"/>
      </w:pBdr>
      <w:spacing w:line="160" w:lineRule="atLeast"/>
    </w:pPr>
    <w:rPr>
      <w:sz w:val="12"/>
      <w:szCs w:val="12"/>
    </w:rPr>
  </w:style>
  <w:style w:type="paragraph" w:customStyle="1" w:styleId="H2">
    <w:name w:val="H2"/>
    <w:basedOn w:val="Normal"/>
    <w:uiPriority w:val="99"/>
    <w:rsid w:val="006564C0"/>
    <w:pPr>
      <w:widowControl/>
      <w:suppressAutoHyphens/>
      <w:adjustRightInd w:val="0"/>
      <w:spacing w:after="170" w:line="400" w:lineRule="atLeast"/>
      <w:textAlignment w:val="center"/>
    </w:pPr>
    <w:rPr>
      <w:rFonts w:ascii="Melbourne" w:eastAsiaTheme="minorHAnsi" w:hAnsi="Melbourne" w:cs="Melbourne"/>
      <w:color w:val="000000"/>
      <w:sz w:val="28"/>
      <w:szCs w:val="28"/>
      <w:lang w:eastAsia="en-US" w:bidi="ar-SA"/>
    </w:rPr>
  </w:style>
  <w:style w:type="paragraph" w:customStyle="1" w:styleId="H3">
    <w:name w:val="H3"/>
    <w:basedOn w:val="Normal"/>
    <w:uiPriority w:val="99"/>
    <w:rsid w:val="005A1AD3"/>
    <w:pPr>
      <w:widowControl/>
      <w:adjustRightInd w:val="0"/>
      <w:spacing w:before="113" w:after="170" w:line="280" w:lineRule="atLeast"/>
      <w:textAlignment w:val="center"/>
    </w:pPr>
    <w:rPr>
      <w:rFonts w:ascii="Melbourne-Bold" w:eastAsiaTheme="minorHAnsi" w:hAnsi="Melbourne-Bold" w:cs="Melbourne-Bold"/>
      <w:b/>
      <w:bCs/>
      <w:color w:val="000000"/>
      <w:sz w:val="24"/>
      <w:szCs w:val="24"/>
      <w:lang w:eastAsia="en-US" w:bidi="ar-SA"/>
    </w:rPr>
  </w:style>
  <w:style w:type="paragraph" w:customStyle="1" w:styleId="NoParagraphStyle">
    <w:name w:val="[No Paragraph Style]"/>
    <w:rsid w:val="00315FBE"/>
    <w:pPr>
      <w:widowControl/>
      <w:adjustRightInd w:val="0"/>
      <w:spacing w:line="288" w:lineRule="auto"/>
      <w:textAlignment w:val="center"/>
    </w:pPr>
    <w:rPr>
      <w:rFonts w:ascii="Melbourne-Bold" w:hAnsi="Melbourne-Bold"/>
      <w:color w:val="000000"/>
      <w:sz w:val="24"/>
      <w:szCs w:val="24"/>
    </w:rPr>
  </w:style>
  <w:style w:type="paragraph" w:customStyle="1" w:styleId="TABLEH1">
    <w:name w:val="TABLE H1"/>
    <w:basedOn w:val="Normal"/>
    <w:uiPriority w:val="99"/>
    <w:rsid w:val="00315FBE"/>
    <w:pPr>
      <w:widowControl/>
      <w:tabs>
        <w:tab w:val="right" w:pos="7370"/>
      </w:tabs>
      <w:suppressAutoHyphens/>
      <w:adjustRightInd w:val="0"/>
      <w:spacing w:before="170" w:after="113" w:line="260" w:lineRule="atLeast"/>
      <w:textAlignment w:val="center"/>
    </w:pPr>
    <w:rPr>
      <w:rFonts w:ascii="Melbourne-Bold" w:eastAsiaTheme="minorHAnsi" w:hAnsi="Melbourne-Bold" w:cs="Melbourne-Bold"/>
      <w:b/>
      <w:bCs/>
      <w:color w:val="FFFFFF"/>
      <w:lang w:eastAsia="en-US" w:bidi="ar-SA"/>
    </w:rPr>
  </w:style>
  <w:style w:type="paragraph" w:customStyle="1" w:styleId="TABLEH2">
    <w:name w:val="TABLE H2"/>
    <w:basedOn w:val="TABLEH1"/>
    <w:uiPriority w:val="99"/>
    <w:rsid w:val="00315FBE"/>
    <w:rPr>
      <w:color w:val="000000"/>
    </w:rPr>
  </w:style>
  <w:style w:type="table" w:styleId="TableGrid">
    <w:name w:val="Table Grid"/>
    <w:basedOn w:val="TableNormal"/>
    <w:uiPriority w:val="39"/>
    <w:rsid w:val="00315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L2">
    <w:name w:val="BULLETS L2"/>
    <w:basedOn w:val="BULLETS"/>
    <w:uiPriority w:val="99"/>
    <w:rsid w:val="00077D30"/>
    <w:pPr>
      <w:spacing w:after="57"/>
      <w:ind w:left="454"/>
    </w:pPr>
  </w:style>
  <w:style w:type="paragraph" w:customStyle="1" w:styleId="NOTE">
    <w:name w:val="NOTE"/>
    <w:basedOn w:val="BODY"/>
    <w:uiPriority w:val="99"/>
    <w:rsid w:val="00077D30"/>
    <w:pPr>
      <w:spacing w:line="200" w:lineRule="atLeast"/>
    </w:pPr>
    <w:rPr>
      <w:i/>
      <w:iCs/>
      <w:sz w:val="16"/>
      <w:szCs w:val="16"/>
    </w:rPr>
  </w:style>
  <w:style w:type="table" w:styleId="GridTable1Light">
    <w:name w:val="Grid Table 1 Light"/>
    <w:basedOn w:val="TableNormal"/>
    <w:uiPriority w:val="46"/>
    <w:rsid w:val="00517CF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IGURE-TABLE">
    <w:name w:val="FIGURE-TABLE"/>
    <w:basedOn w:val="TABLEH2"/>
    <w:uiPriority w:val="99"/>
    <w:rsid w:val="005068B7"/>
    <w:pPr>
      <w:spacing w:before="113" w:after="0"/>
    </w:pPr>
    <w:rPr>
      <w:color w:val="626366"/>
      <w:sz w:val="24"/>
      <w:szCs w:val="24"/>
    </w:rPr>
  </w:style>
  <w:style w:type="character" w:customStyle="1" w:styleId="H2Italics">
    <w:name w:val="H2 Italics"/>
    <w:uiPriority w:val="99"/>
    <w:rsid w:val="00CB2FA0"/>
  </w:style>
  <w:style w:type="character" w:customStyle="1" w:styleId="Superscipt">
    <w:name w:val="Superscipt"/>
    <w:basedOn w:val="bold"/>
    <w:uiPriority w:val="99"/>
    <w:rsid w:val="00CB2FA0"/>
    <w:rPr>
      <w:rFonts w:ascii="HelveticaNeueLT Std Med" w:hAnsi="HelveticaNeueLT Std Med" w:cs="HelveticaNeueLT Std Med"/>
      <w:vertAlign w:val="superscript"/>
    </w:rPr>
  </w:style>
  <w:style w:type="character" w:styleId="Hyperlink">
    <w:name w:val="Hyperlink"/>
    <w:basedOn w:val="DefaultParagraphFont"/>
    <w:uiPriority w:val="99"/>
    <w:unhideWhenUsed/>
    <w:rsid w:val="003C2FCB"/>
    <w:rPr>
      <w:color w:val="0000FF" w:themeColor="hyperlink"/>
      <w:u w:val="single"/>
    </w:rPr>
  </w:style>
  <w:style w:type="character" w:styleId="UnresolvedMention">
    <w:name w:val="Unresolved Mention"/>
    <w:basedOn w:val="DefaultParagraphFont"/>
    <w:uiPriority w:val="99"/>
    <w:semiHidden/>
    <w:unhideWhenUsed/>
    <w:rsid w:val="003C2FCB"/>
    <w:rPr>
      <w:color w:val="605E5C"/>
      <w:shd w:val="clear" w:color="auto" w:fill="E1DFDD"/>
    </w:rPr>
  </w:style>
  <w:style w:type="paragraph" w:customStyle="1" w:styleId="TOCL1">
    <w:name w:val="TOC L1"/>
    <w:basedOn w:val="NoParagraphStyle"/>
    <w:uiPriority w:val="99"/>
    <w:rsid w:val="00E55F38"/>
    <w:pPr>
      <w:tabs>
        <w:tab w:val="right" w:pos="7370"/>
      </w:tabs>
      <w:spacing w:before="170" w:after="113" w:line="280" w:lineRule="atLeast"/>
    </w:pPr>
    <w:rPr>
      <w:rFonts w:cs="Melbourne-Bold"/>
      <w:b/>
      <w:bCs/>
      <w:lang w:val="en-GB"/>
    </w:rPr>
  </w:style>
  <w:style w:type="table" w:styleId="PlainTable2">
    <w:name w:val="Plain Table 2"/>
    <w:basedOn w:val="TableNormal"/>
    <w:uiPriority w:val="42"/>
    <w:rsid w:val="00E55F3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778EC"/>
    <w:pPr>
      <w:tabs>
        <w:tab w:val="center" w:pos="4513"/>
        <w:tab w:val="right" w:pos="9026"/>
      </w:tabs>
    </w:pPr>
  </w:style>
  <w:style w:type="character" w:customStyle="1" w:styleId="HeaderChar">
    <w:name w:val="Header Char"/>
    <w:basedOn w:val="DefaultParagraphFont"/>
    <w:link w:val="Header"/>
    <w:uiPriority w:val="99"/>
    <w:rsid w:val="006778EC"/>
    <w:rPr>
      <w:rFonts w:ascii="Arial" w:eastAsia="Arial" w:hAnsi="Arial" w:cs="Arial"/>
      <w:lang w:val="en-GB" w:eastAsia="en-GB" w:bidi="en-GB"/>
    </w:rPr>
  </w:style>
  <w:style w:type="paragraph" w:styleId="Footer">
    <w:name w:val="footer"/>
    <w:basedOn w:val="Normal"/>
    <w:link w:val="FooterChar"/>
    <w:uiPriority w:val="99"/>
    <w:unhideWhenUsed/>
    <w:rsid w:val="006778EC"/>
    <w:pPr>
      <w:tabs>
        <w:tab w:val="center" w:pos="4513"/>
        <w:tab w:val="right" w:pos="9026"/>
      </w:tabs>
    </w:pPr>
  </w:style>
  <w:style w:type="character" w:customStyle="1" w:styleId="FooterChar">
    <w:name w:val="Footer Char"/>
    <w:basedOn w:val="DefaultParagraphFont"/>
    <w:link w:val="Footer"/>
    <w:uiPriority w:val="99"/>
    <w:rsid w:val="006778EC"/>
    <w:rPr>
      <w:rFonts w:ascii="Arial" w:eastAsia="Arial" w:hAnsi="Arial" w:cs="Arial"/>
      <w:lang w:val="en-GB" w:eastAsia="en-GB" w:bidi="en-GB"/>
    </w:rPr>
  </w:style>
  <w:style w:type="paragraph" w:customStyle="1" w:styleId="H4">
    <w:name w:val="H4"/>
    <w:basedOn w:val="BODY"/>
    <w:uiPriority w:val="99"/>
    <w:rsid w:val="007A3309"/>
    <w:pPr>
      <w:spacing w:after="57"/>
    </w:pPr>
    <w:rPr>
      <w:rFonts w:ascii="HelveticaNeueLT Std" w:hAnsi="HelveticaNeueLT Std" w:cs="HelveticaNeueLT Std"/>
      <w:b/>
      <w:bCs/>
    </w:rPr>
  </w:style>
  <w:style w:type="paragraph" w:customStyle="1" w:styleId="BULLETSL2END">
    <w:name w:val="BULLETS L2 END"/>
    <w:basedOn w:val="BULLETSL2"/>
    <w:uiPriority w:val="99"/>
    <w:rsid w:val="00A06F35"/>
    <w:pPr>
      <w:spacing w:after="227"/>
    </w:pPr>
  </w:style>
  <w:style w:type="table" w:styleId="TableGridLight">
    <w:name w:val="Grid Table Light"/>
    <w:basedOn w:val="TableNormal"/>
    <w:uiPriority w:val="40"/>
    <w:rsid w:val="006A36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90414F"/>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en-US" w:bidi="ar-SA"/>
    </w:rPr>
  </w:style>
  <w:style w:type="paragraph" w:styleId="TOC3">
    <w:name w:val="toc 3"/>
    <w:basedOn w:val="Normal"/>
    <w:next w:val="Normal"/>
    <w:autoRedefine/>
    <w:uiPriority w:val="39"/>
    <w:unhideWhenUsed/>
    <w:rsid w:val="0090414F"/>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0414F"/>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0414F"/>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0414F"/>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0414F"/>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0414F"/>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0414F"/>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bac.vic.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E0843-BD1D-8547-9887-604D00C28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59</Pages>
  <Words>17662</Words>
  <Characters>100675</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 Green (DEDJTR)</cp:lastModifiedBy>
  <cp:revision>37</cp:revision>
  <dcterms:created xsi:type="dcterms:W3CDTF">2019-10-28T23:30:00Z</dcterms:created>
  <dcterms:modified xsi:type="dcterms:W3CDTF">2019-10-30T01:22:00Z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2019-10-28T00:00:00Z</vt:filetime>
  </property>
  <property fmtid="{D5CDD505-2E9C-101B-9397-08002B2CF9AE}" pid="3" name="Creator">
    <vt:lpwstr>Adobe InDesign 14.0 (Macintosh)</vt:lpwstr>
  </property>
  <property fmtid="{D5CDD505-2E9C-101B-9397-08002B2CF9AE}" pid="4" name="LastSaved">
    <vt:filetime>2019-10-28T00:00:00Z</vt:filetime>
  </property>
</Properties>
</file>