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0B2" w:rsidRDefault="00CB5DBC" w:rsidP="00B04D5A">
      <w:pPr>
        <w:pStyle w:val="T1VPSC"/>
      </w:pPr>
      <w:r w:rsidRPr="00CB5DBC">
        <w:t>MO</w:t>
      </w:r>
      <w:r w:rsidR="00A10ADD">
        <w:t>DEL CONFLICT OF INTEREST POLICY</w:t>
      </w:r>
    </w:p>
    <w:p w:rsidR="00B663D8" w:rsidRDefault="00A10ADD" w:rsidP="004560CC">
      <w:pPr>
        <w:pStyle w:val="T2VPSC"/>
      </w:pPr>
      <w:r w:rsidRPr="00CB5DBC">
        <w:t>For boards of Victori</w:t>
      </w:r>
      <w:bookmarkStart w:id="0" w:name="_GoBack"/>
      <w:bookmarkEnd w:id="0"/>
      <w:r w:rsidRPr="00CB5DBC">
        <w:t>an public entities</w:t>
      </w:r>
    </w:p>
    <w:p w:rsidR="00696E8F" w:rsidRPr="00104538" w:rsidRDefault="00696E8F" w:rsidP="0019741A">
      <w:pPr>
        <w:pStyle w:val="VPSCBody"/>
        <w:spacing w:before="240" w:after="240"/>
        <w:rPr>
          <w:rFonts w:eastAsia="Calibri"/>
          <w:color w:val="00965E"/>
          <w:sz w:val="28"/>
          <w:szCs w:val="28"/>
        </w:rPr>
      </w:pPr>
      <w:bookmarkStart w:id="1" w:name="_TOC_250020"/>
      <w:bookmarkStart w:id="2" w:name="_Toc531076076"/>
      <w:bookmarkStart w:id="3" w:name="_Hlk531074561"/>
      <w:r w:rsidRPr="00104538">
        <w:rPr>
          <w:rFonts w:eastAsia="Calibri"/>
          <w:color w:val="00965E"/>
          <w:sz w:val="28"/>
          <w:szCs w:val="28"/>
        </w:rPr>
        <w:t>&lt;</w:t>
      </w:r>
      <w:r w:rsidR="00E24AEF">
        <w:rPr>
          <w:rFonts w:eastAsia="Calibri"/>
          <w:color w:val="00965E"/>
          <w:sz w:val="28"/>
          <w:szCs w:val="28"/>
        </w:rPr>
        <w:t>public entity</w:t>
      </w:r>
      <w:r w:rsidRPr="00104538">
        <w:rPr>
          <w:rFonts w:eastAsia="Calibri"/>
          <w:color w:val="00965E"/>
          <w:sz w:val="28"/>
          <w:szCs w:val="28"/>
        </w:rPr>
        <w:t xml:space="preserve"> name and logo&gt;</w:t>
      </w:r>
    </w:p>
    <w:bookmarkEnd w:id="1"/>
    <w:bookmarkEnd w:id="2"/>
    <w:p w:rsidR="00AA4211" w:rsidRPr="00696E8F" w:rsidRDefault="00696E8F" w:rsidP="00AA4211">
      <w:pPr>
        <w:pStyle w:val="BodyVPSC"/>
        <w:rPr>
          <w:rFonts w:eastAsia="Calibri"/>
          <w:color w:val="00965E"/>
        </w:rPr>
      </w:pPr>
      <w:r w:rsidRPr="00696E8F">
        <w:rPr>
          <w:rFonts w:eastAsia="Calibri"/>
          <w:color w:val="00965E"/>
        </w:rPr>
        <w:t>[</w:t>
      </w:r>
      <w:r w:rsidR="00AA4211" w:rsidRPr="00696E8F">
        <w:rPr>
          <w:rFonts w:eastAsia="Calibri"/>
          <w:color w:val="00965E"/>
        </w:rPr>
        <w:t xml:space="preserve">The procedures outlined in this </w:t>
      </w:r>
      <w:r w:rsidR="00346E45">
        <w:rPr>
          <w:rFonts w:eastAsia="Calibri"/>
          <w:color w:val="00965E"/>
        </w:rPr>
        <w:t xml:space="preserve">model </w:t>
      </w:r>
      <w:r w:rsidR="00AA4211" w:rsidRPr="00696E8F">
        <w:rPr>
          <w:rFonts w:eastAsia="Calibri"/>
          <w:color w:val="00965E"/>
        </w:rPr>
        <w:t>policy will assist:</w:t>
      </w:r>
    </w:p>
    <w:p w:rsidR="00AA4211" w:rsidRPr="00696E8F" w:rsidRDefault="00AA4211" w:rsidP="005375D6">
      <w:pPr>
        <w:pStyle w:val="Bullet1VPSC"/>
        <w:rPr>
          <w:color w:val="00965E"/>
          <w:lang w:eastAsia="en-AU"/>
        </w:rPr>
      </w:pPr>
      <w:r w:rsidRPr="00696E8F">
        <w:rPr>
          <w:color w:val="00965E"/>
          <w:lang w:eastAsia="en-AU"/>
        </w:rPr>
        <w:t xml:space="preserve">public entities to meet their legal obligations under the </w:t>
      </w:r>
      <w:r w:rsidRPr="00A73D69">
        <w:rPr>
          <w:i/>
          <w:color w:val="00965E"/>
          <w:lang w:eastAsia="en-AU"/>
        </w:rPr>
        <w:t>Public Administration Act 2004</w:t>
      </w:r>
      <w:r w:rsidRPr="00696E8F">
        <w:rPr>
          <w:color w:val="00965E"/>
          <w:lang w:eastAsia="en-AU"/>
        </w:rPr>
        <w:t xml:space="preserve"> </w:t>
      </w:r>
      <w:r w:rsidR="00346E45">
        <w:rPr>
          <w:color w:val="00965E"/>
          <w:lang w:eastAsia="en-AU"/>
        </w:rPr>
        <w:t xml:space="preserve">(PAA) </w:t>
      </w:r>
      <w:r w:rsidRPr="00696E8F">
        <w:rPr>
          <w:color w:val="00965E"/>
          <w:lang w:eastAsia="en-AU"/>
        </w:rPr>
        <w:t>to ensure that processes are in place to deal with conﬂicts of interests;</w:t>
      </w:r>
    </w:p>
    <w:p w:rsidR="005375D6" w:rsidRPr="00696E8F" w:rsidRDefault="00AA4211" w:rsidP="005375D6">
      <w:pPr>
        <w:pStyle w:val="Bullet1VPSC"/>
        <w:rPr>
          <w:color w:val="00965E"/>
          <w:lang w:eastAsia="en-AU"/>
        </w:rPr>
      </w:pPr>
      <w:r w:rsidRPr="00696E8F">
        <w:rPr>
          <w:color w:val="00965E"/>
          <w:lang w:eastAsia="en-AU"/>
        </w:rPr>
        <w:t xml:space="preserve">public entities that are not subject to the </w:t>
      </w:r>
      <w:r w:rsidR="00346E45">
        <w:rPr>
          <w:color w:val="00965E"/>
          <w:lang w:eastAsia="en-AU"/>
        </w:rPr>
        <w:t>PAA</w:t>
      </w:r>
      <w:r w:rsidRPr="00696E8F">
        <w:rPr>
          <w:color w:val="00965E"/>
          <w:lang w:eastAsia="en-AU"/>
        </w:rPr>
        <w:t xml:space="preserve"> to meet high standards of governance</w:t>
      </w:r>
      <w:r w:rsidR="0084606A" w:rsidRPr="0019741A">
        <w:rPr>
          <w:color w:val="00965E"/>
          <w:vertAlign w:val="superscript"/>
          <w:lang w:eastAsia="en-AU"/>
        </w:rPr>
        <w:footnoteReference w:id="1"/>
      </w:r>
      <w:r w:rsidRPr="0019741A">
        <w:rPr>
          <w:color w:val="00965E"/>
          <w:vertAlign w:val="superscript"/>
          <w:lang w:eastAsia="en-AU"/>
        </w:rPr>
        <w:t>,</w:t>
      </w:r>
      <w:r w:rsidRPr="00696E8F">
        <w:rPr>
          <w:color w:val="00965E"/>
          <w:lang w:eastAsia="en-AU"/>
        </w:rPr>
        <w:t xml:space="preserve"> and </w:t>
      </w:r>
    </w:p>
    <w:p w:rsidR="00346E45" w:rsidRDefault="00AA4211" w:rsidP="00AA4211">
      <w:pPr>
        <w:pStyle w:val="Bullet1VPSC"/>
        <w:rPr>
          <w:color w:val="00965E"/>
          <w:lang w:eastAsia="en-AU"/>
        </w:rPr>
      </w:pPr>
      <w:r w:rsidRPr="00696E8F">
        <w:rPr>
          <w:color w:val="00965E"/>
          <w:lang w:eastAsia="en-AU"/>
        </w:rPr>
        <w:t xml:space="preserve">directors to meet their individual obligations under the </w:t>
      </w:r>
      <w:r w:rsidR="00346E45">
        <w:rPr>
          <w:color w:val="00965E"/>
          <w:lang w:eastAsia="en-AU"/>
        </w:rPr>
        <w:t>PAA</w:t>
      </w:r>
      <w:r w:rsidRPr="00696E8F">
        <w:rPr>
          <w:color w:val="00965E"/>
          <w:lang w:eastAsia="en-AU"/>
        </w:rPr>
        <w:t xml:space="preserve"> and </w:t>
      </w:r>
      <w:r w:rsidR="00346E45">
        <w:rPr>
          <w:color w:val="00965E"/>
          <w:lang w:eastAsia="en-AU"/>
        </w:rPr>
        <w:t xml:space="preserve">the </w:t>
      </w:r>
      <w:r w:rsidR="00346E45" w:rsidRPr="00346E45">
        <w:rPr>
          <w:i/>
          <w:color w:val="00965E"/>
          <w:lang w:eastAsia="en-AU"/>
        </w:rPr>
        <w:t>Code of Conduct for Directors of Victorian Public Entities</w:t>
      </w:r>
      <w:r w:rsidRPr="00696E8F">
        <w:rPr>
          <w:color w:val="00965E"/>
          <w:lang w:eastAsia="en-AU"/>
        </w:rPr>
        <w:t>.</w:t>
      </w:r>
    </w:p>
    <w:p w:rsidR="00AA4211" w:rsidRPr="00696E8F" w:rsidRDefault="00346E45" w:rsidP="00346E45">
      <w:pPr>
        <w:pStyle w:val="Bullet1VPSC"/>
        <w:numPr>
          <w:ilvl w:val="0"/>
          <w:numId w:val="0"/>
        </w:numPr>
        <w:rPr>
          <w:color w:val="00965E"/>
          <w:lang w:eastAsia="en-AU"/>
        </w:rPr>
      </w:pPr>
      <w:r w:rsidRPr="00104538">
        <w:rPr>
          <w:color w:val="00965E"/>
        </w:rPr>
        <w:t xml:space="preserve">Your </w:t>
      </w:r>
      <w:r w:rsidR="00E24AEF">
        <w:rPr>
          <w:color w:val="00965E"/>
        </w:rPr>
        <w:t>public entity</w:t>
      </w:r>
      <w:r w:rsidRPr="00104538">
        <w:rPr>
          <w:color w:val="00965E"/>
        </w:rPr>
        <w:t xml:space="preserve"> may choose to adopt higher standards or processes that take account </w:t>
      </w:r>
      <w:r>
        <w:rPr>
          <w:color w:val="00965E"/>
        </w:rPr>
        <w:t xml:space="preserve">of </w:t>
      </w:r>
      <w:r w:rsidRPr="00104538">
        <w:rPr>
          <w:color w:val="00965E"/>
        </w:rPr>
        <w:t xml:space="preserve">your </w:t>
      </w:r>
      <w:r w:rsidR="00E24AEF">
        <w:rPr>
          <w:color w:val="00965E"/>
        </w:rPr>
        <w:t>public entity</w:t>
      </w:r>
      <w:r w:rsidRPr="00104538">
        <w:rPr>
          <w:color w:val="00965E"/>
        </w:rPr>
        <w:t>’s role and functions</w:t>
      </w:r>
      <w:r>
        <w:rPr>
          <w:color w:val="00965E"/>
        </w:rPr>
        <w:t>.</w:t>
      </w:r>
      <w:r w:rsidR="00696E8F" w:rsidRPr="00696E8F">
        <w:rPr>
          <w:color w:val="00965E"/>
        </w:rPr>
        <w:t>]</w:t>
      </w:r>
    </w:p>
    <w:p w:rsidR="00AA4211" w:rsidRPr="00A92192" w:rsidRDefault="00354E92" w:rsidP="00174608">
      <w:pPr>
        <w:pStyle w:val="NLH1VPSC"/>
      </w:pPr>
      <w:bookmarkStart w:id="4" w:name="_Toc531076077"/>
      <w:r w:rsidRPr="00A92192">
        <w:t>Purpose</w:t>
      </w:r>
      <w:bookmarkEnd w:id="4"/>
    </w:p>
    <w:p w:rsidR="00AA4211" w:rsidRPr="002A0440" w:rsidRDefault="00AA4211" w:rsidP="00AA4211">
      <w:pPr>
        <w:pStyle w:val="BodyVPSC"/>
      </w:pPr>
      <w:r w:rsidRPr="002A0440">
        <w:t xml:space="preserve">This policy sets out the board’s procedures for </w:t>
      </w:r>
      <w:r w:rsidR="00346E45">
        <w:t>declaring and managing</w:t>
      </w:r>
      <w:r w:rsidRPr="002A0440">
        <w:t xml:space="preserve"> conﬂicts of interest. Conﬂicts of interest may arise where a director’s personal, family, or private interests, loyalties, or commitments conﬂict with those of the </w:t>
      </w:r>
      <w:r w:rsidR="00346E45" w:rsidRPr="00346E45">
        <w:rPr>
          <w:rFonts w:eastAsia="Calibri"/>
          <w:color w:val="00965E"/>
          <w:lang w:eastAsia="en-US"/>
        </w:rPr>
        <w:t xml:space="preserve">&lt;public </w:t>
      </w:r>
      <w:r w:rsidRPr="00346E45">
        <w:rPr>
          <w:rFonts w:eastAsia="Calibri"/>
          <w:color w:val="00965E"/>
          <w:lang w:eastAsia="en-US"/>
        </w:rPr>
        <w:t>entity</w:t>
      </w:r>
      <w:r w:rsidR="00346E45">
        <w:rPr>
          <w:rFonts w:eastAsia="Calibri"/>
          <w:color w:val="00965E"/>
          <w:lang w:eastAsia="en-US"/>
        </w:rPr>
        <w:t>&gt;</w:t>
      </w:r>
      <w:r w:rsidRPr="002A0440">
        <w:t>.</w:t>
      </w:r>
    </w:p>
    <w:p w:rsidR="001230CE" w:rsidRDefault="00AA4211" w:rsidP="00AA4211">
      <w:pPr>
        <w:pStyle w:val="BodyVPSC"/>
      </w:pPr>
      <w:r w:rsidRPr="002A0440">
        <w:t xml:space="preserve">Such conﬂicts create problems, in that they may: </w:t>
      </w:r>
    </w:p>
    <w:p w:rsidR="00AA4211" w:rsidRPr="002A0440" w:rsidRDefault="00AA4211" w:rsidP="001230CE">
      <w:pPr>
        <w:pStyle w:val="Bullet1VPSC"/>
      </w:pPr>
      <w:r w:rsidRPr="002A0440">
        <w:t>inhibit free discussion in board meetings;</w:t>
      </w:r>
    </w:p>
    <w:p w:rsidR="00AA4211" w:rsidRDefault="00AA4211" w:rsidP="001230CE">
      <w:pPr>
        <w:pStyle w:val="Bullet1VPSC"/>
      </w:pPr>
      <w:r w:rsidRPr="002A0440">
        <w:t>lead to bias or lack of impartiality in decision making;</w:t>
      </w:r>
    </w:p>
    <w:p w:rsidR="001230CE" w:rsidRPr="002A0440" w:rsidRDefault="001230CE" w:rsidP="001230CE">
      <w:pPr>
        <w:pStyle w:val="Bullet1VPSC"/>
      </w:pPr>
      <w:r>
        <w:t xml:space="preserve">result in decisions or actions that are not in the interests of the </w:t>
      </w:r>
      <w:r w:rsidR="00346E45" w:rsidRPr="00346E45">
        <w:rPr>
          <w:color w:val="00965E"/>
        </w:rPr>
        <w:t>&lt;public entity</w:t>
      </w:r>
      <w:r w:rsidR="00346E45">
        <w:rPr>
          <w:color w:val="00965E"/>
        </w:rPr>
        <w:t>&gt;</w:t>
      </w:r>
      <w:r>
        <w:t>;</w:t>
      </w:r>
    </w:p>
    <w:p w:rsidR="00AA4211" w:rsidRPr="002A0440" w:rsidRDefault="00AA4211" w:rsidP="001230CE">
      <w:pPr>
        <w:pStyle w:val="Bullet1VPSC"/>
      </w:pPr>
      <w:r w:rsidRPr="002A0440">
        <w:t xml:space="preserve">harm public perception of the </w:t>
      </w:r>
      <w:r w:rsidR="00346E45" w:rsidRPr="00346E45">
        <w:rPr>
          <w:color w:val="00965E"/>
        </w:rPr>
        <w:t>&lt;public entity</w:t>
      </w:r>
      <w:r w:rsidR="00346E45">
        <w:rPr>
          <w:color w:val="00965E"/>
        </w:rPr>
        <w:t xml:space="preserve">&gt; </w:t>
      </w:r>
      <w:r w:rsidRPr="002A0440">
        <w:t xml:space="preserve">and the broader public sector by giving the impression that the </w:t>
      </w:r>
      <w:r w:rsidR="00346E45" w:rsidRPr="00346E45">
        <w:rPr>
          <w:color w:val="00965E"/>
        </w:rPr>
        <w:t>&lt;public entity</w:t>
      </w:r>
      <w:r w:rsidR="00346E45">
        <w:rPr>
          <w:color w:val="00965E"/>
        </w:rPr>
        <w:t xml:space="preserve">&gt; </w:t>
      </w:r>
      <w:r w:rsidRPr="002A0440">
        <w:t>has or may have acted improperly.</w:t>
      </w:r>
    </w:p>
    <w:p w:rsidR="00AA4211" w:rsidRPr="002A0440" w:rsidRDefault="00AA4211" w:rsidP="00AA4211">
      <w:pPr>
        <w:pStyle w:val="BodyVPSC"/>
      </w:pPr>
      <w:r w:rsidRPr="002A0440">
        <w:t xml:space="preserve">The purpose of this policy is to protect both the </w:t>
      </w:r>
      <w:r w:rsidR="00346E45" w:rsidRPr="00346E45">
        <w:rPr>
          <w:rFonts w:eastAsia="Calibri"/>
          <w:color w:val="00965E"/>
          <w:lang w:eastAsia="en-US"/>
        </w:rPr>
        <w:t>&lt;public entity</w:t>
      </w:r>
      <w:r w:rsidR="00346E45">
        <w:rPr>
          <w:rFonts w:eastAsia="Calibri"/>
          <w:color w:val="00965E"/>
          <w:lang w:eastAsia="en-US"/>
        </w:rPr>
        <w:t xml:space="preserve">&gt; </w:t>
      </w:r>
      <w:r w:rsidRPr="002A0440">
        <w:t>and all directors from any appearance of impropriety.</w:t>
      </w:r>
      <w:bookmarkStart w:id="5" w:name="_TOC_250018"/>
      <w:bookmarkEnd w:id="5"/>
    </w:p>
    <w:p w:rsidR="00AA4211" w:rsidRPr="00A92192" w:rsidRDefault="00354E92" w:rsidP="00174608">
      <w:pPr>
        <w:pStyle w:val="NLH1VPSC"/>
      </w:pPr>
      <w:bookmarkStart w:id="6" w:name="_Toc531076078"/>
      <w:r w:rsidRPr="00A92192">
        <w:t>Scope</w:t>
      </w:r>
      <w:bookmarkEnd w:id="6"/>
    </w:p>
    <w:p w:rsidR="00AA4211" w:rsidRPr="002A0440" w:rsidRDefault="00AA4211" w:rsidP="00AA4211">
      <w:pPr>
        <w:pStyle w:val="BodyVPSC"/>
      </w:pPr>
      <w:r w:rsidRPr="002A0440">
        <w:t>In this policy, the term conﬂict of interest is used to cover both conﬂicts of interest and conﬂicts of duty. These terms are explained in the deﬁnitions section.</w:t>
      </w:r>
    </w:p>
    <w:p w:rsidR="00AA4211" w:rsidRPr="00A92192" w:rsidRDefault="00A10ADD" w:rsidP="00174608">
      <w:pPr>
        <w:pStyle w:val="NLH1VPSC"/>
      </w:pPr>
      <w:bookmarkStart w:id="7" w:name="_TOC_250017"/>
      <w:bookmarkStart w:id="8" w:name="_Toc531076079"/>
      <w:bookmarkEnd w:id="7"/>
      <w:r w:rsidRPr="00A92192">
        <w:t>Application</w:t>
      </w:r>
      <w:bookmarkEnd w:id="8"/>
    </w:p>
    <w:p w:rsidR="00A92192" w:rsidRPr="002A0440" w:rsidRDefault="00AA4211" w:rsidP="00AA4211">
      <w:pPr>
        <w:pStyle w:val="BodyVPSC"/>
      </w:pPr>
      <w:r w:rsidRPr="002A0440">
        <w:t xml:space="preserve">This policy </w:t>
      </w:r>
      <w:r w:rsidR="00905945">
        <w:t xml:space="preserve">always </w:t>
      </w:r>
      <w:r w:rsidRPr="002A0440">
        <w:t xml:space="preserve">applies to </w:t>
      </w:r>
      <w:r w:rsidR="00905945">
        <w:t xml:space="preserve">all </w:t>
      </w:r>
      <w:r w:rsidR="00346E45">
        <w:t>directors</w:t>
      </w:r>
      <w:r w:rsidRPr="002A0440">
        <w:t xml:space="preserve"> in the performance of their duties. </w:t>
      </w:r>
      <w:bookmarkStart w:id="9" w:name="_TOC_250016"/>
    </w:p>
    <w:p w:rsidR="00AA4211" w:rsidRPr="00A10ADD" w:rsidRDefault="00A92192" w:rsidP="00174608">
      <w:pPr>
        <w:pStyle w:val="NLH1VPSC"/>
      </w:pPr>
      <w:r w:rsidRPr="00A10ADD">
        <w:rPr>
          <w:w w:val="105"/>
        </w:rPr>
        <w:t>Obligations and good</w:t>
      </w:r>
      <w:r w:rsidR="00AA4211" w:rsidRPr="00A10ADD">
        <w:rPr>
          <w:spacing w:val="-31"/>
          <w:w w:val="105"/>
        </w:rPr>
        <w:t xml:space="preserve"> </w:t>
      </w:r>
      <w:bookmarkEnd w:id="9"/>
      <w:r w:rsidRPr="00A10ADD">
        <w:rPr>
          <w:w w:val="105"/>
        </w:rPr>
        <w:t>practice</w:t>
      </w:r>
    </w:p>
    <w:p w:rsidR="001230CE" w:rsidRDefault="00AA4211" w:rsidP="00AA4211">
      <w:pPr>
        <w:pStyle w:val="BodyVPSC"/>
      </w:pPr>
      <w:r w:rsidRPr="002A0440">
        <w:t xml:space="preserve">The board will act in accordance with its obligations and with good public sector governance practice, including: </w:t>
      </w:r>
    </w:p>
    <w:p w:rsidR="00AA4211" w:rsidRPr="002A0440" w:rsidRDefault="00AA4211" w:rsidP="001230CE">
      <w:pPr>
        <w:pStyle w:val="Bullet1VPSC"/>
      </w:pPr>
      <w:r w:rsidRPr="002A0440">
        <w:t xml:space="preserve">the </w:t>
      </w:r>
      <w:r w:rsidR="00346E45" w:rsidRPr="00346E45">
        <w:rPr>
          <w:color w:val="00965E"/>
        </w:rPr>
        <w:t>&lt;</w:t>
      </w:r>
      <w:r w:rsidRPr="00346E45">
        <w:rPr>
          <w:color w:val="00965E"/>
        </w:rPr>
        <w:t>establishing legislation</w:t>
      </w:r>
      <w:r w:rsidR="00346E45">
        <w:rPr>
          <w:color w:val="00965E"/>
        </w:rPr>
        <w:t>&gt;</w:t>
      </w:r>
      <w:r w:rsidRPr="002A0440">
        <w:t xml:space="preserve"> and terms of reference,</w:t>
      </w:r>
    </w:p>
    <w:p w:rsidR="00841A38" w:rsidRPr="002A0440" w:rsidRDefault="00841A38" w:rsidP="00841A38">
      <w:pPr>
        <w:pStyle w:val="Bullet1VPSC"/>
      </w:pPr>
      <w:r w:rsidRPr="002A0440">
        <w:t xml:space="preserve">the </w:t>
      </w:r>
      <w:hyperlink r:id="rId8">
        <w:r w:rsidRPr="00201E30">
          <w:rPr>
            <w:i/>
          </w:rPr>
          <w:t>Code of Conduct</w:t>
        </w:r>
      </w:hyperlink>
      <w:r w:rsidRPr="00201E30">
        <w:rPr>
          <w:i/>
        </w:rPr>
        <w:t xml:space="preserve"> for Directors of Victorian Public Entities </w:t>
      </w:r>
      <w:r w:rsidRPr="002A0440">
        <w:t>issued by the Victorian Public Sector Commission (VPSC);</w:t>
      </w:r>
    </w:p>
    <w:p w:rsidR="00841A38" w:rsidRPr="002A0440" w:rsidRDefault="00841A38" w:rsidP="00841A38">
      <w:pPr>
        <w:pStyle w:val="Bullet1VPSC"/>
      </w:pPr>
      <w:r w:rsidRPr="002A0440">
        <w:t xml:space="preserve">the </w:t>
      </w:r>
      <w:hyperlink r:id="rId9">
        <w:r w:rsidRPr="002A0440">
          <w:t xml:space="preserve">duties of directors </w:t>
        </w:r>
      </w:hyperlink>
      <w:r w:rsidRPr="002A0440">
        <w:t>in section 79 of the PAA;</w:t>
      </w:r>
    </w:p>
    <w:p w:rsidR="00AA4211" w:rsidRPr="002A0440" w:rsidRDefault="00AA4211" w:rsidP="001230CE">
      <w:pPr>
        <w:pStyle w:val="Bullet1VPSC"/>
      </w:pPr>
      <w:r w:rsidRPr="002A0440">
        <w:lastRenderedPageBreak/>
        <w:t xml:space="preserve">the </w:t>
      </w:r>
      <w:hyperlink r:id="rId10">
        <w:r w:rsidRPr="002A0440">
          <w:t>public sector values</w:t>
        </w:r>
      </w:hyperlink>
      <w:r w:rsidRPr="002A0440">
        <w:t xml:space="preserve"> in section 7 of the PAA</w:t>
      </w:r>
      <w:r w:rsidR="00905945">
        <w:t>, particularly section 7(1)(b)(iv) that any real or apparent conflicts of interest are avoided</w:t>
      </w:r>
      <w:r w:rsidRPr="002A0440">
        <w:t>;</w:t>
      </w:r>
    </w:p>
    <w:p w:rsidR="00201E30" w:rsidRDefault="00AA4211" w:rsidP="001230CE">
      <w:pPr>
        <w:pStyle w:val="Bullet1VPSC"/>
      </w:pPr>
      <w:r w:rsidRPr="002A0440">
        <w:t xml:space="preserve">the requirement in section 81(1)(f) of the PAA that </w:t>
      </w:r>
      <w:hyperlink r:id="rId11">
        <w:r w:rsidRPr="002A0440">
          <w:t>processes be in place</w:t>
        </w:r>
      </w:hyperlink>
      <w:r w:rsidRPr="002A0440">
        <w:t xml:space="preserve"> for dealing with conﬂicts of interest; </w:t>
      </w:r>
    </w:p>
    <w:p w:rsidR="00905945" w:rsidRDefault="00905945" w:rsidP="001230CE">
      <w:pPr>
        <w:pStyle w:val="Bullet1VPSC"/>
      </w:pPr>
      <w:r w:rsidRPr="002A0440">
        <w:t>any direction, guideline or statement of obligation</w:t>
      </w:r>
      <w:r>
        <w:t>s</w:t>
      </w:r>
      <w:r w:rsidRPr="002A0440">
        <w:t xml:space="preserve"> or expectation</w:t>
      </w:r>
      <w:r>
        <w:t>s</w:t>
      </w:r>
      <w:r w:rsidRPr="002A0440">
        <w:t xml:space="preserve"> issued by the Minister; </w:t>
      </w:r>
    </w:p>
    <w:p w:rsidR="001230CE" w:rsidRDefault="00AA4211" w:rsidP="001230CE">
      <w:pPr>
        <w:pStyle w:val="Bullet1VPSC"/>
      </w:pPr>
      <w:r w:rsidRPr="002A0440">
        <w:t>government policy;</w:t>
      </w:r>
      <w:r w:rsidR="00905945">
        <w:t xml:space="preserve"> </w:t>
      </w:r>
      <w:r w:rsidRPr="002A0440">
        <w:t xml:space="preserve">and </w:t>
      </w:r>
    </w:p>
    <w:p w:rsidR="00AA4211" w:rsidRPr="002A0440" w:rsidRDefault="00AA4211" w:rsidP="001230CE">
      <w:pPr>
        <w:pStyle w:val="Bullet1VPSC"/>
      </w:pPr>
      <w:r w:rsidRPr="002A0440">
        <w:t xml:space="preserve">all other laws and obligations that bind the </w:t>
      </w:r>
      <w:r w:rsidR="00201E30" w:rsidRPr="00346E45">
        <w:rPr>
          <w:color w:val="00965E"/>
        </w:rPr>
        <w:t>&lt;public entity</w:t>
      </w:r>
      <w:r w:rsidR="00201E30">
        <w:rPr>
          <w:color w:val="00965E"/>
        </w:rPr>
        <w:t>&gt;</w:t>
      </w:r>
      <w:r w:rsidRPr="002A0440">
        <w:t>.</w:t>
      </w:r>
    </w:p>
    <w:p w:rsidR="00AA4211" w:rsidRPr="00A92192" w:rsidRDefault="00A10ADD" w:rsidP="00174608">
      <w:pPr>
        <w:pStyle w:val="NLH1VPSC"/>
      </w:pPr>
      <w:bookmarkStart w:id="10" w:name="_TOC_250015"/>
      <w:bookmarkStart w:id="11" w:name="_Toc531076080"/>
      <w:r w:rsidRPr="00A92192">
        <w:t>Key</w:t>
      </w:r>
      <w:r w:rsidR="00AA4211" w:rsidRPr="00A92192">
        <w:t xml:space="preserve"> </w:t>
      </w:r>
      <w:bookmarkEnd w:id="10"/>
      <w:r w:rsidRPr="00A92192">
        <w:t>principles</w:t>
      </w:r>
      <w:bookmarkEnd w:id="11"/>
    </w:p>
    <w:p w:rsidR="00AA4211" w:rsidRPr="002A0440" w:rsidRDefault="00AA4211" w:rsidP="00AA4211">
      <w:pPr>
        <w:pStyle w:val="BodyVPSC"/>
      </w:pPr>
      <w:r w:rsidRPr="002A0440">
        <w:t>The key principles underlying this policy are as follows:</w:t>
      </w:r>
    </w:p>
    <w:p w:rsidR="00AA4211" w:rsidRPr="002A0440" w:rsidRDefault="00AA4211" w:rsidP="0084606A">
      <w:pPr>
        <w:pStyle w:val="Bullet1VPSC"/>
      </w:pPr>
      <w:r w:rsidRPr="002A0440">
        <w:t>Obligations and good practice: The board acts in accordance with its obligations and with good governance practice.</w:t>
      </w:r>
    </w:p>
    <w:p w:rsidR="00AA4211" w:rsidRPr="002A0440" w:rsidRDefault="00AA4211" w:rsidP="0084606A">
      <w:pPr>
        <w:pStyle w:val="Bullet1VPSC"/>
      </w:pPr>
      <w:r w:rsidRPr="002A0440">
        <w:t>Public interest: Conﬂicts of interest are avoided where possible. Where a conﬂict exists, it is declared and managed in the public interest.</w:t>
      </w:r>
    </w:p>
    <w:p w:rsidR="00AA4211" w:rsidRPr="002A0440" w:rsidRDefault="00AA4211" w:rsidP="0084606A">
      <w:pPr>
        <w:pStyle w:val="Bullet1VPSC"/>
      </w:pPr>
      <w:r w:rsidRPr="002A0440">
        <w:t>Real, potential or perceived: A conﬂict of interest exists whether it is real, potential, or perceived.</w:t>
      </w:r>
    </w:p>
    <w:p w:rsidR="00AA4211" w:rsidRPr="002A0440" w:rsidRDefault="00AA4211" w:rsidP="0084606A">
      <w:pPr>
        <w:pStyle w:val="Bullet1VPSC"/>
      </w:pPr>
      <w:r w:rsidRPr="002A0440">
        <w:t xml:space="preserve">Transparent and accountable: The process for declaring and managing conﬂicts of interest is transparent, accountable, and consistent with the </w:t>
      </w:r>
      <w:hyperlink r:id="rId12">
        <w:r w:rsidR="001C071B" w:rsidRPr="00201E30">
          <w:rPr>
            <w:i/>
          </w:rPr>
          <w:t>Code of Conduct</w:t>
        </w:r>
      </w:hyperlink>
      <w:r w:rsidR="001C071B" w:rsidRPr="00201E30">
        <w:rPr>
          <w:i/>
        </w:rPr>
        <w:t xml:space="preserve"> for Directors of Victorian Public Entities</w:t>
      </w:r>
      <w:r w:rsidRPr="002A0440">
        <w:t>.</w:t>
      </w:r>
    </w:p>
    <w:p w:rsidR="00A92192" w:rsidRPr="002A0440" w:rsidRDefault="00AA4211" w:rsidP="0084606A">
      <w:pPr>
        <w:pStyle w:val="Bullet1VPSC"/>
      </w:pPr>
      <w:r w:rsidRPr="002A0440">
        <w:t xml:space="preserve">Culture of integrity: The board fosters a culture of integrity. </w:t>
      </w:r>
      <w:r w:rsidR="001C071B">
        <w:t>Directors</w:t>
      </w:r>
      <w:r w:rsidRPr="002A0440">
        <w:t xml:space="preserve"> are supported to raise their own conﬂicts of interest and to speak up if they believe that another </w:t>
      </w:r>
      <w:r w:rsidR="00841A38">
        <w:t>director</w:t>
      </w:r>
      <w:r w:rsidRPr="002A0440">
        <w:t xml:space="preserve"> may have an undeclared conﬂict.</w:t>
      </w:r>
      <w:bookmarkStart w:id="12" w:name="_TOC_250014"/>
      <w:bookmarkEnd w:id="12"/>
    </w:p>
    <w:p w:rsidR="00AA4211" w:rsidRPr="00A10ADD" w:rsidRDefault="00A92192" w:rsidP="00174608">
      <w:pPr>
        <w:pStyle w:val="NLH1VPSC"/>
      </w:pPr>
      <w:r w:rsidRPr="00A10ADD">
        <w:rPr>
          <w:w w:val="105"/>
        </w:rPr>
        <w:t>Definitions</w:t>
      </w:r>
    </w:p>
    <w:p w:rsidR="00AA4211" w:rsidRPr="00A10ADD" w:rsidRDefault="00AA4211" w:rsidP="001230CE">
      <w:pPr>
        <w:pStyle w:val="Heading2"/>
      </w:pPr>
      <w:bookmarkStart w:id="13" w:name="_TOC_250013"/>
      <w:bookmarkEnd w:id="13"/>
      <w:r w:rsidRPr="00A10ADD">
        <w:t>Conﬂict of interest</w:t>
      </w:r>
    </w:p>
    <w:p w:rsidR="00AA4211" w:rsidRPr="002A0440" w:rsidRDefault="00AA4211" w:rsidP="00AA4211">
      <w:pPr>
        <w:pStyle w:val="BodyVPSC"/>
      </w:pPr>
      <w:r w:rsidRPr="002A0440">
        <w:t xml:space="preserve">A conﬂict of interest is a conﬂict between </w:t>
      </w:r>
      <w:r w:rsidR="001053BB">
        <w:t xml:space="preserve">a </w:t>
      </w:r>
      <w:r w:rsidR="00841A38">
        <w:t>director</w:t>
      </w:r>
      <w:r w:rsidRPr="002A0440">
        <w:t xml:space="preserve">’s public duty to act in the best interests of the </w:t>
      </w:r>
      <w:r w:rsidR="001053BB" w:rsidRPr="00346E45">
        <w:rPr>
          <w:rFonts w:eastAsia="Calibri"/>
          <w:color w:val="00965E"/>
          <w:lang w:eastAsia="en-US"/>
        </w:rPr>
        <w:t>&lt;public entity</w:t>
      </w:r>
      <w:r w:rsidR="001053BB">
        <w:rPr>
          <w:rFonts w:eastAsia="Calibri"/>
          <w:color w:val="00965E"/>
          <w:lang w:eastAsia="en-US"/>
        </w:rPr>
        <w:t xml:space="preserve">&gt; </w:t>
      </w:r>
      <w:r w:rsidRPr="002A0440">
        <w:t xml:space="preserve">and </w:t>
      </w:r>
      <w:r w:rsidR="001053BB">
        <w:t>his or her</w:t>
      </w:r>
      <w:r w:rsidRPr="002A0440">
        <w:t xml:space="preserve"> private interests.</w:t>
      </w:r>
    </w:p>
    <w:p w:rsidR="00AA4211" w:rsidRPr="00A10ADD" w:rsidRDefault="00AA4211" w:rsidP="001230CE">
      <w:pPr>
        <w:pStyle w:val="Heading2"/>
      </w:pPr>
      <w:bookmarkStart w:id="14" w:name="_TOC_250012"/>
      <w:bookmarkEnd w:id="14"/>
      <w:r w:rsidRPr="00A10ADD">
        <w:t>Conﬂict of duty</w:t>
      </w:r>
    </w:p>
    <w:p w:rsidR="00AA4211" w:rsidRPr="002A0440" w:rsidRDefault="00AA4211" w:rsidP="00AA4211">
      <w:pPr>
        <w:pStyle w:val="BodyVPSC"/>
      </w:pPr>
      <w:r w:rsidRPr="002A0440">
        <w:t xml:space="preserve">A conﬂict of duty (also known as a conﬂict of role) is a conﬂict of interest that can occur even if a </w:t>
      </w:r>
      <w:r w:rsidR="00841A38">
        <w:t>director</w:t>
      </w:r>
      <w:r w:rsidRPr="002A0440">
        <w:t xml:space="preserve"> does not have any private interest at stake. It is a conﬂict between a </w:t>
      </w:r>
      <w:r w:rsidR="00841A38">
        <w:t>director</w:t>
      </w:r>
      <w:r w:rsidRPr="002A0440">
        <w:t>’s:</w:t>
      </w:r>
    </w:p>
    <w:p w:rsidR="00AA4211" w:rsidRPr="002A0440" w:rsidRDefault="00AA4211" w:rsidP="00D671EF">
      <w:pPr>
        <w:pStyle w:val="Bullet1VPSC"/>
      </w:pPr>
      <w:r w:rsidRPr="002A0440">
        <w:t xml:space="preserve">public duty to act in the best interests of the </w:t>
      </w:r>
      <w:r w:rsidR="001053BB" w:rsidRPr="00346E45">
        <w:rPr>
          <w:color w:val="00965E"/>
        </w:rPr>
        <w:t>&lt;public entity</w:t>
      </w:r>
      <w:r w:rsidR="001053BB">
        <w:rPr>
          <w:color w:val="00965E"/>
        </w:rPr>
        <w:t>&gt;</w:t>
      </w:r>
      <w:r w:rsidRPr="002A0440">
        <w:t>, and</w:t>
      </w:r>
    </w:p>
    <w:p w:rsidR="00AA4211" w:rsidRPr="002A0440" w:rsidRDefault="00AA4211" w:rsidP="00D671EF">
      <w:pPr>
        <w:pStyle w:val="Bullet1VPSC"/>
      </w:pPr>
      <w:r w:rsidRPr="002A0440">
        <w:t xml:space="preserve">their duty to another public or private </w:t>
      </w:r>
      <w:r w:rsidR="006D0F15" w:rsidRPr="002A0440">
        <w:t xml:space="preserve">sector </w:t>
      </w:r>
      <w:r w:rsidRPr="002A0440">
        <w:t xml:space="preserve">organisation. It exists due to the </w:t>
      </w:r>
      <w:r w:rsidR="00841A38">
        <w:t>director</w:t>
      </w:r>
      <w:r w:rsidRPr="002A0440">
        <w:t>’s role with the other organisation (e.g. as a committee member, employee, volunteer or organisation member).</w:t>
      </w:r>
    </w:p>
    <w:p w:rsidR="00AA4211" w:rsidRPr="002A0440" w:rsidRDefault="00AA4211" w:rsidP="00AA4211">
      <w:pPr>
        <w:pStyle w:val="BodyVPSC"/>
      </w:pPr>
      <w:r w:rsidRPr="002A0440">
        <w:t xml:space="preserve">These conﬂicts may arise </w:t>
      </w:r>
      <w:r w:rsidR="005375D6" w:rsidRPr="002A0440">
        <w:t>because of</w:t>
      </w:r>
      <w:r w:rsidRPr="002A0440">
        <w:t xml:space="preserve"> </w:t>
      </w:r>
      <w:r w:rsidR="006D0F15">
        <w:t xml:space="preserve">their </w:t>
      </w:r>
      <w:r w:rsidRPr="002A0440">
        <w:t xml:space="preserve">membership of multiple boards and are particularly acute for directors appointed as ‘representatives’ of particular interest groups, </w:t>
      </w:r>
      <w:r w:rsidR="008C4EFB">
        <w:t xml:space="preserve">membership of a </w:t>
      </w:r>
      <w:r w:rsidRPr="002A0440">
        <w:t xml:space="preserve">profession or </w:t>
      </w:r>
      <w:r w:rsidR="006D0F15">
        <w:t>employment in the public service</w:t>
      </w:r>
      <w:r w:rsidRPr="002A0440">
        <w:t>.</w:t>
      </w:r>
    </w:p>
    <w:p w:rsidR="00AA4211" w:rsidRPr="00A10ADD" w:rsidRDefault="00AA4211" w:rsidP="001230CE">
      <w:pPr>
        <w:pStyle w:val="Heading2"/>
      </w:pPr>
      <w:bookmarkStart w:id="15" w:name="_TOC_250011"/>
      <w:bookmarkEnd w:id="15"/>
      <w:r w:rsidRPr="00A10ADD">
        <w:t>How broad is the deﬁnition?</w:t>
      </w:r>
    </w:p>
    <w:p w:rsidR="00AA4211" w:rsidRPr="002A0440" w:rsidRDefault="00AA4211" w:rsidP="00AA4211">
      <w:pPr>
        <w:pStyle w:val="BodyVPSC"/>
      </w:pPr>
      <w:r w:rsidRPr="002A0440">
        <w:t>The following applies to all conﬂicts of interest, including conﬂicts of duty:</w:t>
      </w:r>
    </w:p>
    <w:p w:rsidR="00AA4211" w:rsidRPr="002A0440" w:rsidRDefault="00AA4211" w:rsidP="001230CE">
      <w:pPr>
        <w:pStyle w:val="Heading3"/>
      </w:pPr>
      <w:r w:rsidRPr="002A0440">
        <w:t>Real, potential or perceived</w:t>
      </w:r>
    </w:p>
    <w:p w:rsidR="00D671EF" w:rsidRDefault="00AA4211" w:rsidP="00AA4211">
      <w:pPr>
        <w:pStyle w:val="BodyVPSC"/>
      </w:pPr>
      <w:r w:rsidRPr="002A0440">
        <w:t xml:space="preserve">A conﬂict of interest exists whether it is: </w:t>
      </w:r>
    </w:p>
    <w:p w:rsidR="00AA4211" w:rsidRPr="002A0440" w:rsidRDefault="00AA4211" w:rsidP="00D671EF">
      <w:pPr>
        <w:pStyle w:val="Bullet1VPSC"/>
      </w:pPr>
      <w:r w:rsidRPr="002A0440">
        <w:t>real – it currently exists;</w:t>
      </w:r>
    </w:p>
    <w:p w:rsidR="00AA4211" w:rsidRPr="002A0440" w:rsidRDefault="00AA4211" w:rsidP="00D671EF">
      <w:pPr>
        <w:pStyle w:val="Bullet1VPSC"/>
      </w:pPr>
      <w:r w:rsidRPr="002A0440">
        <w:t>potential – it may arise, given the circumstances; or</w:t>
      </w:r>
    </w:p>
    <w:p w:rsidR="00AA4211" w:rsidRPr="002A0440" w:rsidRDefault="00AA4211" w:rsidP="00D671EF">
      <w:pPr>
        <w:pStyle w:val="Bullet1VPSC"/>
      </w:pPr>
      <w:r w:rsidRPr="002A0440">
        <w:lastRenderedPageBreak/>
        <w:t xml:space="preserve">perceived – members of the public could reasonably form the view that a conﬂict exists or could arise that may improperly inﬂuence the </w:t>
      </w:r>
      <w:r w:rsidR="00841A38">
        <w:t>director</w:t>
      </w:r>
      <w:r w:rsidRPr="002A0440">
        <w:t>’s performance of his</w:t>
      </w:r>
      <w:r w:rsidR="008C4EFB">
        <w:t xml:space="preserve"> or </w:t>
      </w:r>
      <w:r w:rsidRPr="002A0440">
        <w:t xml:space="preserve">her duty to the </w:t>
      </w:r>
      <w:r w:rsidR="008C4EFB" w:rsidRPr="00346E45">
        <w:rPr>
          <w:color w:val="00965E"/>
        </w:rPr>
        <w:t>&lt;public entity</w:t>
      </w:r>
      <w:r w:rsidR="008C4EFB">
        <w:rPr>
          <w:color w:val="00965E"/>
        </w:rPr>
        <w:t>&gt;</w:t>
      </w:r>
      <w:r w:rsidRPr="002A0440">
        <w:t>, now or in the future.</w:t>
      </w:r>
    </w:p>
    <w:p w:rsidR="00AA4211" w:rsidRPr="002A0440" w:rsidRDefault="00AA4211" w:rsidP="001230CE">
      <w:pPr>
        <w:pStyle w:val="Heading3"/>
      </w:pPr>
      <w:r w:rsidRPr="002A0440">
        <w:t>Direct or indirect</w:t>
      </w:r>
    </w:p>
    <w:p w:rsidR="00AA4211" w:rsidRPr="002A0440" w:rsidRDefault="00AA4211" w:rsidP="00AA4211">
      <w:pPr>
        <w:pStyle w:val="BodyVPSC"/>
      </w:pPr>
      <w:r w:rsidRPr="002A0440">
        <w:t xml:space="preserve">A private interest can be direct or indirect. A direct interest is held by the </w:t>
      </w:r>
      <w:r w:rsidR="00841A38">
        <w:t>director</w:t>
      </w:r>
      <w:r w:rsidRPr="002A0440">
        <w:t xml:space="preserve">. An indirect interest is held by a relative or close associate of the </w:t>
      </w:r>
      <w:r w:rsidR="00841A38">
        <w:t>director</w:t>
      </w:r>
      <w:r w:rsidRPr="002A0440">
        <w:t>, for example:</w:t>
      </w:r>
    </w:p>
    <w:p w:rsidR="00AA4211" w:rsidRPr="002A0440" w:rsidRDefault="00AA4211" w:rsidP="00D671EF">
      <w:pPr>
        <w:pStyle w:val="Bullet1VPSC"/>
      </w:pPr>
      <w:r w:rsidRPr="002A0440">
        <w:t>an immediate family member (e.g. spouse, partner, child, parent, sibling);</w:t>
      </w:r>
    </w:p>
    <w:p w:rsidR="00AA4211" w:rsidRPr="002A0440" w:rsidRDefault="00AA4211" w:rsidP="00D671EF">
      <w:pPr>
        <w:pStyle w:val="Bullet1VPSC"/>
      </w:pPr>
      <w:r w:rsidRPr="002A0440">
        <w:t xml:space="preserve">a regular household member (i.e. someone who normally resides with the </w:t>
      </w:r>
      <w:r w:rsidR="00841A38">
        <w:t>director</w:t>
      </w:r>
      <w:r w:rsidRPr="002A0440">
        <w:t>);</w:t>
      </w:r>
      <w:hyperlink w:anchor="_bookmark3" w:history="1">
        <w:r w:rsidR="00D671EF">
          <w:rPr>
            <w:rStyle w:val="FootnoteReference"/>
          </w:rPr>
          <w:footnoteReference w:id="2"/>
        </w:r>
        <w:r w:rsidRPr="002A0440">
          <w:t xml:space="preserve"> </w:t>
        </w:r>
      </w:hyperlink>
      <w:r w:rsidRPr="002A0440">
        <w:t>or</w:t>
      </w:r>
    </w:p>
    <w:p w:rsidR="00AA4211" w:rsidRPr="002A0440" w:rsidRDefault="00AA4211" w:rsidP="00D671EF">
      <w:pPr>
        <w:pStyle w:val="Bullet1VPSC"/>
      </w:pPr>
      <w:r w:rsidRPr="002A0440">
        <w:t xml:space="preserve">another </w:t>
      </w:r>
      <w:r w:rsidRPr="00D671EF">
        <w:rPr>
          <w:b/>
        </w:rPr>
        <w:t>close</w:t>
      </w:r>
      <w:r w:rsidRPr="002A0440">
        <w:t xml:space="preserve"> associate (e.g. friend, relative, business associate, rival, enemy).</w:t>
      </w:r>
    </w:p>
    <w:p w:rsidR="00AA4211" w:rsidRPr="002A0440" w:rsidRDefault="00AA4211" w:rsidP="001230CE">
      <w:pPr>
        <w:pStyle w:val="Heading3"/>
      </w:pPr>
      <w:r w:rsidRPr="002A0440">
        <w:t xml:space="preserve">Consensual </w:t>
      </w:r>
      <w:r w:rsidR="008C4EFB">
        <w:t>p</w:t>
      </w:r>
      <w:r w:rsidRPr="002A0440">
        <w:t xml:space="preserve">ersonal </w:t>
      </w:r>
      <w:r w:rsidR="008C4EFB">
        <w:t>r</w:t>
      </w:r>
      <w:r w:rsidRPr="002A0440">
        <w:t>elationships</w:t>
      </w:r>
    </w:p>
    <w:p w:rsidR="00AA4211" w:rsidRPr="002A0440" w:rsidRDefault="00AA4211" w:rsidP="00AA4211">
      <w:pPr>
        <w:pStyle w:val="BodyVPSC"/>
      </w:pPr>
      <w:r w:rsidRPr="002A0440">
        <w:t xml:space="preserve">A consensual personal relationship between a </w:t>
      </w:r>
      <w:r w:rsidR="00841A38">
        <w:t>director</w:t>
      </w:r>
      <w:r w:rsidRPr="002A0440">
        <w:t xml:space="preserve"> and a close associate constitutes a potential conﬂict of inte</w:t>
      </w:r>
      <w:r w:rsidR="008C4EFB">
        <w:t>rest and must be declared.</w:t>
      </w:r>
    </w:p>
    <w:p w:rsidR="00AA4211" w:rsidRPr="002A0440" w:rsidRDefault="00AA4211" w:rsidP="001230CE">
      <w:pPr>
        <w:pStyle w:val="Heading3"/>
      </w:pPr>
      <w:r w:rsidRPr="002A0440">
        <w:t>Pecuniary or non-pecuniary</w:t>
      </w:r>
    </w:p>
    <w:p w:rsidR="00AA4211" w:rsidRPr="002A0440" w:rsidRDefault="00AA4211" w:rsidP="00AA4211">
      <w:pPr>
        <w:pStyle w:val="BodyVPSC"/>
      </w:pPr>
      <w:r w:rsidRPr="002A0440">
        <w:t>A private interest can be pecuniary (ﬁnancial) or non-pecuniary (non-ﬁnancial), or a mixture of both. It can arise from a wide range of</w:t>
      </w:r>
      <w:r w:rsidR="002A0440" w:rsidRPr="002A0440">
        <w:t xml:space="preserve"> </w:t>
      </w:r>
      <w:r w:rsidRPr="002A0440">
        <w:t>personal</w:t>
      </w:r>
      <w:r w:rsidR="008C4EFB">
        <w:t>,</w:t>
      </w:r>
      <w:r w:rsidRPr="002A0440">
        <w:t xml:space="preserve"> professiona</w:t>
      </w:r>
      <w:r w:rsidR="008C4EFB">
        <w:t xml:space="preserve">l, </w:t>
      </w:r>
      <w:r w:rsidR="008C4EFB" w:rsidRPr="002A0440">
        <w:t xml:space="preserve">or </w:t>
      </w:r>
      <w:r w:rsidRPr="002A0440">
        <w:t>business-related sources.</w:t>
      </w:r>
    </w:p>
    <w:p w:rsidR="00AA4211" w:rsidRPr="002A0440" w:rsidRDefault="00AA4211" w:rsidP="00AA4211">
      <w:pPr>
        <w:pStyle w:val="BodyVPSC"/>
      </w:pPr>
      <w:r w:rsidRPr="002A0440">
        <w:t xml:space="preserve">Pecuniary interests – include actual, potential, or perceived ﬁnancial gain or loss. Money does not need to change hands. The interest exists if the </w:t>
      </w:r>
      <w:r w:rsidR="00841A38">
        <w:t>director</w:t>
      </w:r>
      <w:r w:rsidRPr="002A0440">
        <w:t xml:space="preserve"> (or a relative or close associate):</w:t>
      </w:r>
    </w:p>
    <w:p w:rsidR="00AA4211" w:rsidRPr="002A0440" w:rsidRDefault="00AA4211" w:rsidP="00D671EF">
      <w:pPr>
        <w:pStyle w:val="Bullet1VPSC"/>
      </w:pPr>
      <w:r w:rsidRPr="002A0440">
        <w:t>owns property;</w:t>
      </w:r>
    </w:p>
    <w:p w:rsidR="00D671EF" w:rsidRDefault="00AA4211" w:rsidP="00D671EF">
      <w:pPr>
        <w:pStyle w:val="Bullet1VPSC"/>
      </w:pPr>
      <w:r w:rsidRPr="002A0440">
        <w:t xml:space="preserve">holds shares, investments or other business interests; </w:t>
      </w:r>
    </w:p>
    <w:p w:rsidR="00AA4211" w:rsidRPr="002A0440" w:rsidRDefault="00AA4211" w:rsidP="00D671EF">
      <w:pPr>
        <w:pStyle w:val="Bullet1VPSC"/>
      </w:pPr>
      <w:r w:rsidRPr="002A0440">
        <w:t>has a position in a company bidding for government work;</w:t>
      </w:r>
    </w:p>
    <w:p w:rsidR="00D671EF" w:rsidRDefault="00AA4211" w:rsidP="00D671EF">
      <w:pPr>
        <w:pStyle w:val="Bullet1VPSC"/>
      </w:pPr>
      <w:r w:rsidRPr="002A0440">
        <w:t xml:space="preserve">receives beneﬁts such as concessions, discounts, gifts or hospitality from a </w:t>
      </w:r>
      <w:r w:rsidR="005375D6" w:rsidRPr="002A0440">
        <w:t>source</w:t>
      </w:r>
      <w:r w:rsidRPr="002A0440">
        <w:t xml:space="preserve">; </w:t>
      </w:r>
    </w:p>
    <w:p w:rsidR="00D671EF" w:rsidRDefault="00AA4211" w:rsidP="00D671EF">
      <w:pPr>
        <w:pStyle w:val="Bullet1VPSC"/>
      </w:pPr>
      <w:r w:rsidRPr="002A0440">
        <w:t xml:space="preserve">holds oﬃce in a corporation (public, private or trustee), incorporated association or other entity; or </w:t>
      </w:r>
    </w:p>
    <w:p w:rsidR="00AA4211" w:rsidRPr="002A0440" w:rsidRDefault="00AA4211" w:rsidP="00D671EF">
      <w:pPr>
        <w:pStyle w:val="Bullet1VPSC"/>
      </w:pPr>
      <w:r w:rsidRPr="002A0440">
        <w:t>has any other relevant ﬁnancial interest, for example:</w:t>
      </w:r>
    </w:p>
    <w:p w:rsidR="00D671EF" w:rsidRDefault="00AA4211" w:rsidP="00D671EF">
      <w:pPr>
        <w:pStyle w:val="Bullet1VPSC"/>
      </w:pPr>
      <w:r w:rsidRPr="002A0440">
        <w:t xml:space="preserve">is entitled to receive income derived from a contract; </w:t>
      </w:r>
    </w:p>
    <w:p w:rsidR="00AA4211" w:rsidRPr="002A0440" w:rsidRDefault="00AA4211" w:rsidP="00D671EF">
      <w:pPr>
        <w:pStyle w:val="Bullet1VPSC"/>
      </w:pPr>
      <w:r w:rsidRPr="002A0440">
        <w:t>is a beneﬁciary or trustee of a trust; or</w:t>
      </w:r>
    </w:p>
    <w:p w:rsidR="00AA4211" w:rsidRPr="002A0440" w:rsidRDefault="00AA4211" w:rsidP="00D671EF">
      <w:pPr>
        <w:pStyle w:val="Bullet1VPSC"/>
      </w:pPr>
      <w:r w:rsidRPr="002A0440">
        <w:t>is entitled to receive income from an oﬃce held for payment</w:t>
      </w:r>
      <w:r w:rsidR="008C4EFB">
        <w:t xml:space="preserve"> or </w:t>
      </w:r>
      <w:r w:rsidRPr="002A0440">
        <w:t>reward</w:t>
      </w:r>
      <w:r w:rsidR="00F17369">
        <w:t>,</w:t>
      </w:r>
      <w:r w:rsidRPr="002A0440">
        <w:t xml:space="preserve"> or a trade, vocation or profession.</w:t>
      </w:r>
    </w:p>
    <w:p w:rsidR="00AA4211" w:rsidRPr="002A0440" w:rsidRDefault="00AA4211" w:rsidP="00AA4211">
      <w:pPr>
        <w:pStyle w:val="BodyVPSC"/>
      </w:pPr>
      <w:r w:rsidRPr="002A0440">
        <w:t xml:space="preserve">Non-pecuniary interests – may arise from personal or family relationships, or from involvement in sporting, social, or cultural activities, etc. They </w:t>
      </w:r>
      <w:r w:rsidR="00F17369">
        <w:t>may result in prejudice because of</w:t>
      </w:r>
      <w:r w:rsidRPr="002A0440">
        <w:t xml:space="preserve"> friendship, animosity, or other personal involvement with another person or group. If personal values </w:t>
      </w:r>
      <w:r w:rsidR="00F17369">
        <w:t>are likely to affect</w:t>
      </w:r>
      <w:r w:rsidRPr="002A0440">
        <w:t xml:space="preserve"> the proper performance of </w:t>
      </w:r>
      <w:r w:rsidR="00F17369">
        <w:t xml:space="preserve">a director’s </w:t>
      </w:r>
      <w:r w:rsidRPr="002A0440">
        <w:t>public duty,</w:t>
      </w:r>
      <w:r w:rsidR="00F17369">
        <w:t xml:space="preserve"> then </w:t>
      </w:r>
      <w:r w:rsidRPr="002A0440">
        <w:t>this can lead to a conﬂict of interest. Enmity as well as friendship can give rise to a conﬂict of interest.</w:t>
      </w:r>
    </w:p>
    <w:p w:rsidR="00AA4211" w:rsidRPr="00A10ADD" w:rsidRDefault="00A10ADD" w:rsidP="00174608">
      <w:pPr>
        <w:pStyle w:val="NLH1VPSC"/>
      </w:pPr>
      <w:bookmarkStart w:id="16" w:name="_TOC_250010"/>
      <w:bookmarkStart w:id="17" w:name="_Toc531076081"/>
      <w:r w:rsidRPr="00A10ADD">
        <w:rPr>
          <w:w w:val="105"/>
        </w:rPr>
        <w:t>Annual declaration of private</w:t>
      </w:r>
      <w:r w:rsidR="00AA4211" w:rsidRPr="00A10ADD">
        <w:rPr>
          <w:spacing w:val="-46"/>
          <w:w w:val="105"/>
        </w:rPr>
        <w:t xml:space="preserve"> </w:t>
      </w:r>
      <w:bookmarkEnd w:id="16"/>
      <w:r w:rsidRPr="00A10ADD">
        <w:rPr>
          <w:w w:val="105"/>
        </w:rPr>
        <w:t>interests</w:t>
      </w:r>
      <w:bookmarkEnd w:id="17"/>
    </w:p>
    <w:p w:rsidR="00AA4211" w:rsidRPr="002A0440" w:rsidRDefault="00AA4211" w:rsidP="00AA4211">
      <w:pPr>
        <w:pStyle w:val="BodyVPSC"/>
      </w:pPr>
      <w:r w:rsidRPr="002A0440">
        <w:t xml:space="preserve">Upon appointment to the board, each </w:t>
      </w:r>
      <w:r w:rsidR="00841A38">
        <w:t>director</w:t>
      </w:r>
      <w:r w:rsidRPr="002A0440">
        <w:t xml:space="preserve"> will </w:t>
      </w:r>
      <w:r w:rsidR="00A85DB3">
        <w:t>lodge</w:t>
      </w:r>
      <w:r w:rsidRPr="002A0440">
        <w:t xml:space="preserve"> a </w:t>
      </w:r>
      <w:r w:rsidR="00A85DB3" w:rsidRPr="002A0440">
        <w:t>declaration of private interests</w:t>
      </w:r>
      <w:r w:rsidR="00A85DB3">
        <w:t xml:space="preserve"> with the chairperson</w:t>
      </w:r>
      <w:r w:rsidRPr="002A0440">
        <w:t xml:space="preserve">. </w:t>
      </w:r>
      <w:r w:rsidR="00A85DB3">
        <w:t xml:space="preserve">The </w:t>
      </w:r>
      <w:r w:rsidRPr="002A0440">
        <w:t xml:space="preserve">chairperson will ensure that the information is recorded in the </w:t>
      </w:r>
      <w:r w:rsidR="00A85DB3" w:rsidRPr="002A0440">
        <w:t xml:space="preserve">register of interests </w:t>
      </w:r>
      <w:r w:rsidRPr="002A0440">
        <w:t xml:space="preserve">and </w:t>
      </w:r>
      <w:r w:rsidR="00A85DB3">
        <w:t>handled</w:t>
      </w:r>
      <w:r w:rsidRPr="002A0440">
        <w:t xml:space="preserve"> in accordance with the </w:t>
      </w:r>
      <w:r w:rsidRPr="00784424">
        <w:rPr>
          <w:i/>
        </w:rPr>
        <w:t>Privacy and Data Protection Act 2014</w:t>
      </w:r>
      <w:r w:rsidR="00784424">
        <w:t xml:space="preserve"> </w:t>
      </w:r>
      <w:r w:rsidRPr="002A0440">
        <w:t xml:space="preserve">and the </w:t>
      </w:r>
      <w:r w:rsidRPr="00784424">
        <w:rPr>
          <w:i/>
        </w:rPr>
        <w:t>Public Records Act 1973</w:t>
      </w:r>
      <w:r w:rsidR="00784424">
        <w:rPr>
          <w:i/>
        </w:rPr>
        <w:t>.</w:t>
      </w:r>
    </w:p>
    <w:p w:rsidR="00AA4211" w:rsidRPr="002A0440" w:rsidRDefault="001C071B" w:rsidP="00AA4211">
      <w:pPr>
        <w:pStyle w:val="BodyVPSC"/>
      </w:pPr>
      <w:r>
        <w:t>Directors</w:t>
      </w:r>
      <w:r w:rsidR="00AA4211" w:rsidRPr="002A0440">
        <w:t xml:space="preserve"> will update their declaration </w:t>
      </w:r>
      <w:r w:rsidR="00AA4211" w:rsidRPr="0084606A">
        <w:rPr>
          <w:b/>
        </w:rPr>
        <w:t>annually</w:t>
      </w:r>
      <w:r w:rsidR="00AA4211" w:rsidRPr="002A0440">
        <w:t xml:space="preserve">. If a </w:t>
      </w:r>
      <w:r w:rsidR="00841A38">
        <w:t>director</w:t>
      </w:r>
      <w:r w:rsidR="00AA4211" w:rsidRPr="002A0440">
        <w:t>’s circumstance</w:t>
      </w:r>
      <w:r w:rsidR="00A85DB3">
        <w:t>s</w:t>
      </w:r>
      <w:r w:rsidR="00AA4211" w:rsidRPr="002A0440">
        <w:t xml:space="preserve"> change in the meantime, he or she will lodge an updated declaration (unless the change is already adequately recorded in the register </w:t>
      </w:r>
      <w:r w:rsidR="005375D6" w:rsidRPr="002A0440">
        <w:t>because of</w:t>
      </w:r>
      <w:r w:rsidR="00AA4211" w:rsidRPr="002A0440">
        <w:t xml:space="preserve"> a declaration made at a board meeting).</w:t>
      </w:r>
    </w:p>
    <w:p w:rsidR="00AA4211" w:rsidRPr="00A85DB3" w:rsidRDefault="00A85DB3" w:rsidP="00AA4211">
      <w:pPr>
        <w:pStyle w:val="BodyVPSC"/>
        <w:rPr>
          <w:color w:val="00965E" w:themeColor="accent1"/>
          <w:w w:val="105"/>
        </w:rPr>
      </w:pPr>
      <w:r>
        <w:rPr>
          <w:color w:val="00965E" w:themeColor="accent1"/>
          <w:w w:val="105"/>
        </w:rPr>
        <w:lastRenderedPageBreak/>
        <w:t>[</w:t>
      </w:r>
      <w:r w:rsidR="00AA4211" w:rsidRPr="00A85DB3">
        <w:rPr>
          <w:color w:val="00965E" w:themeColor="accent1"/>
          <w:w w:val="105"/>
        </w:rPr>
        <w:t xml:space="preserve">Other instruments, such as the </w:t>
      </w:r>
      <w:r w:rsidR="00AA4211" w:rsidRPr="00784424">
        <w:rPr>
          <w:color w:val="00965E" w:themeColor="accent1"/>
          <w:w w:val="105"/>
        </w:rPr>
        <w:t>establishing legislation</w:t>
      </w:r>
      <w:r w:rsidR="00AA4211" w:rsidRPr="00A85DB3">
        <w:rPr>
          <w:color w:val="00965E" w:themeColor="accent1"/>
          <w:w w:val="105"/>
        </w:rPr>
        <w:t xml:space="preserve"> or terms of reference, may specify additional requirements</w:t>
      </w:r>
      <w:r>
        <w:rPr>
          <w:color w:val="00965E" w:themeColor="accent1"/>
          <w:w w:val="105"/>
        </w:rPr>
        <w:t>]</w:t>
      </w:r>
    </w:p>
    <w:p w:rsidR="00AA4211" w:rsidRPr="00A92192" w:rsidRDefault="00A92192" w:rsidP="00174608">
      <w:pPr>
        <w:pStyle w:val="NLH1VPSC"/>
      </w:pPr>
      <w:bookmarkStart w:id="18" w:name="_TOC_250009"/>
      <w:bookmarkStart w:id="19" w:name="_Toc531076082"/>
      <w:r w:rsidRPr="00A92192">
        <w:t>R</w:t>
      </w:r>
      <w:r w:rsidR="00A10ADD" w:rsidRPr="00A92192">
        <w:t xml:space="preserve">egister of </w:t>
      </w:r>
      <w:bookmarkEnd w:id="18"/>
      <w:r w:rsidR="00A10ADD" w:rsidRPr="00A92192">
        <w:t>interests</w:t>
      </w:r>
      <w:bookmarkEnd w:id="19"/>
    </w:p>
    <w:p w:rsidR="00AA4211" w:rsidRPr="00A10ADD" w:rsidRDefault="00AA4211" w:rsidP="0084606A">
      <w:pPr>
        <w:pStyle w:val="H2VPSC"/>
      </w:pPr>
      <w:bookmarkStart w:id="20" w:name="_TOC_250008"/>
      <w:bookmarkEnd w:id="20"/>
      <w:r w:rsidRPr="00A10ADD">
        <w:t>Conﬁrmation at start of board meetings that the register is complete and correct</w:t>
      </w:r>
    </w:p>
    <w:p w:rsidR="00AA4211" w:rsidRPr="002A0440" w:rsidRDefault="00AA4211" w:rsidP="00AA4211">
      <w:pPr>
        <w:pStyle w:val="BodyVPSC"/>
      </w:pPr>
      <w:r w:rsidRPr="002A0440">
        <w:t>The chair</w:t>
      </w:r>
      <w:r w:rsidR="00784424">
        <w:t>person</w:t>
      </w:r>
      <w:r w:rsidRPr="002A0440">
        <w:t xml:space="preserve"> will ensure that the </w:t>
      </w:r>
      <w:r w:rsidR="00DC4469" w:rsidRPr="002A0440">
        <w:t xml:space="preserve">register of interests </w:t>
      </w:r>
      <w:r w:rsidRPr="002A0440">
        <w:t>is present for reference at each board meeting</w:t>
      </w:r>
      <w:r w:rsidR="0084606A">
        <w:rPr>
          <w:rStyle w:val="FootnoteReference"/>
        </w:rPr>
        <w:footnoteReference w:id="3"/>
      </w:r>
      <w:r w:rsidRPr="002A0440">
        <w:t xml:space="preserve">.At the start of the meeting, the </w:t>
      </w:r>
      <w:r w:rsidR="00784424">
        <w:t>chairperson</w:t>
      </w:r>
      <w:r w:rsidRPr="002A0440">
        <w:t xml:space="preserve"> will ask all </w:t>
      </w:r>
      <w:r w:rsidR="001C071B">
        <w:t>directors</w:t>
      </w:r>
      <w:r w:rsidRPr="002A0440">
        <w:t xml:space="preserve"> to state whether their interests as recorded in the register are complete and correct. If there are no changes, the minutes will note that ‘all </w:t>
      </w:r>
      <w:r w:rsidR="001C071B">
        <w:t>directors</w:t>
      </w:r>
      <w:r w:rsidRPr="002A0440">
        <w:t xml:space="preserve"> present aﬃrmed that their entry in the </w:t>
      </w:r>
      <w:r w:rsidR="00C350DF">
        <w:t>r</w:t>
      </w:r>
      <w:r w:rsidRPr="002A0440">
        <w:t xml:space="preserve">egister of </w:t>
      </w:r>
      <w:r w:rsidR="00C350DF">
        <w:t>i</w:t>
      </w:r>
      <w:r w:rsidRPr="002A0440">
        <w:t>nterests remains complete and correct’. If any changes are declared, these will be recorded in the minutes for entry into the register.</w:t>
      </w:r>
    </w:p>
    <w:p w:rsidR="00AA4211" w:rsidRPr="00A10ADD" w:rsidRDefault="00AA4211" w:rsidP="0084606A">
      <w:pPr>
        <w:pStyle w:val="H2VPSC"/>
      </w:pPr>
      <w:bookmarkStart w:id="21" w:name="_TOC_250007"/>
      <w:bookmarkEnd w:id="21"/>
      <w:r w:rsidRPr="00A10ADD">
        <w:t>Updating the register</w:t>
      </w:r>
    </w:p>
    <w:p w:rsidR="00AA4211" w:rsidRPr="002A0440" w:rsidRDefault="00AA4211" w:rsidP="00AA4211">
      <w:pPr>
        <w:pStyle w:val="BodyVPSC"/>
      </w:pPr>
      <w:r w:rsidRPr="002A0440">
        <w:t xml:space="preserve">The </w:t>
      </w:r>
      <w:r w:rsidR="00784424">
        <w:t>chairperson</w:t>
      </w:r>
      <w:r w:rsidRPr="002A0440">
        <w:t xml:space="preserve"> will ensure that the </w:t>
      </w:r>
      <w:r w:rsidR="00C350DF" w:rsidRPr="002A0440">
        <w:t xml:space="preserve">register of interests </w:t>
      </w:r>
      <w:r w:rsidRPr="002A0440">
        <w:t>is current and includes:</w:t>
      </w:r>
    </w:p>
    <w:p w:rsidR="0084606A" w:rsidRDefault="00AA4211" w:rsidP="0084606A">
      <w:pPr>
        <w:pStyle w:val="Bullet1VPSC"/>
      </w:pPr>
      <w:r w:rsidRPr="002A0440">
        <w:t xml:space="preserve">all interests declared in all </w:t>
      </w:r>
      <w:r w:rsidR="00C350DF" w:rsidRPr="002A0440">
        <w:t>declaration</w:t>
      </w:r>
      <w:r w:rsidR="00C350DF">
        <w:t>s</w:t>
      </w:r>
      <w:r w:rsidR="00C350DF" w:rsidRPr="002A0440">
        <w:t xml:space="preserve"> of private interests </w:t>
      </w:r>
      <w:r w:rsidRPr="002A0440">
        <w:t xml:space="preserve">lodged by </w:t>
      </w:r>
      <w:r w:rsidR="001C071B">
        <w:t>directors</w:t>
      </w:r>
      <w:r w:rsidRPr="002A0440">
        <w:t xml:space="preserve">; and </w:t>
      </w:r>
    </w:p>
    <w:p w:rsidR="00AA4211" w:rsidRPr="002A0440" w:rsidRDefault="00AA4211" w:rsidP="0084606A">
      <w:pPr>
        <w:pStyle w:val="Bullet1VPSC"/>
      </w:pPr>
      <w:r w:rsidRPr="002A0440">
        <w:t>any additional interests which have been declared and recorded in the minutes of a board meeting.</w:t>
      </w:r>
    </w:p>
    <w:p w:rsidR="00AA4211" w:rsidRPr="00FE38F6" w:rsidRDefault="001D77AE" w:rsidP="00FE38F6">
      <w:pPr>
        <w:pStyle w:val="NLH1VPSC"/>
      </w:pPr>
      <w:bookmarkStart w:id="22" w:name="_TOC_250006"/>
      <w:r w:rsidRPr="00FE38F6">
        <w:t>D</w:t>
      </w:r>
      <w:r w:rsidR="005375D6" w:rsidRPr="00FE38F6">
        <w:t>eclaring</w:t>
      </w:r>
      <w:r w:rsidR="00AA4211" w:rsidRPr="00FE38F6">
        <w:t xml:space="preserve"> </w:t>
      </w:r>
      <w:r w:rsidR="005375D6" w:rsidRPr="00FE38F6">
        <w:t>conflicts</w:t>
      </w:r>
      <w:r w:rsidR="00AA4211" w:rsidRPr="00FE38F6">
        <w:t xml:space="preserve"> </w:t>
      </w:r>
      <w:r w:rsidR="005375D6" w:rsidRPr="00FE38F6">
        <w:t>of</w:t>
      </w:r>
      <w:r w:rsidR="00AA4211" w:rsidRPr="00FE38F6">
        <w:t xml:space="preserve"> </w:t>
      </w:r>
      <w:r w:rsidR="005375D6" w:rsidRPr="00FE38F6">
        <w:t>interests</w:t>
      </w:r>
      <w:r w:rsidR="00AA4211" w:rsidRPr="00FE38F6">
        <w:t xml:space="preserve"> </w:t>
      </w:r>
      <w:r w:rsidR="005375D6" w:rsidRPr="00FE38F6">
        <w:t>at</w:t>
      </w:r>
      <w:r w:rsidR="00AA4211" w:rsidRPr="00FE38F6">
        <w:t xml:space="preserve"> </w:t>
      </w:r>
      <w:r w:rsidR="005375D6" w:rsidRPr="00FE38F6">
        <w:t>the</w:t>
      </w:r>
      <w:r w:rsidR="00AA4211" w:rsidRPr="00FE38F6">
        <w:t xml:space="preserve"> </w:t>
      </w:r>
      <w:r w:rsidR="005375D6" w:rsidRPr="00FE38F6">
        <w:t>start</w:t>
      </w:r>
      <w:r w:rsidR="00AA4211" w:rsidRPr="00FE38F6">
        <w:t xml:space="preserve"> </w:t>
      </w:r>
      <w:r w:rsidR="005375D6" w:rsidRPr="00FE38F6">
        <w:t>of</w:t>
      </w:r>
      <w:r w:rsidR="00AA4211" w:rsidRPr="00FE38F6">
        <w:t xml:space="preserve"> </w:t>
      </w:r>
      <w:bookmarkEnd w:id="22"/>
      <w:r w:rsidR="005375D6" w:rsidRPr="00FE38F6">
        <w:t>meetings</w:t>
      </w:r>
    </w:p>
    <w:p w:rsidR="00AA4211" w:rsidRPr="002A0440" w:rsidRDefault="00AA4211" w:rsidP="00AA4211">
      <w:pPr>
        <w:pStyle w:val="BodyVPSC"/>
      </w:pPr>
      <w:r w:rsidRPr="002A0440">
        <w:t xml:space="preserve">In addition to checking whether the </w:t>
      </w:r>
      <w:r w:rsidR="00D272C3" w:rsidRPr="002A0440">
        <w:t xml:space="preserve">register of interests </w:t>
      </w:r>
      <w:r w:rsidRPr="002A0440">
        <w:t xml:space="preserve">is current and correct, at the start of each board meeting the </w:t>
      </w:r>
      <w:r w:rsidR="00784424">
        <w:t>chairperson</w:t>
      </w:r>
      <w:r w:rsidRPr="002A0440">
        <w:t xml:space="preserve"> will ask if any </w:t>
      </w:r>
      <w:r w:rsidR="00841A38">
        <w:t>director</w:t>
      </w:r>
      <w:r w:rsidRPr="002A0440">
        <w:t xml:space="preserve"> present has an interest (i.e. a private interest or a duty to another organisation) in respect to any item on the agenda. If a </w:t>
      </w:r>
      <w:r w:rsidR="00841A38">
        <w:t>director</w:t>
      </w:r>
      <w:r w:rsidRPr="002A0440">
        <w:t xml:space="preserve"> has an interest he or she will declare it, including the nature of the interest and the conﬂict that results, or may result, from it. An interest must be declared even if it is already recorded in the </w:t>
      </w:r>
      <w:r w:rsidR="00A57086">
        <w:t>r</w:t>
      </w:r>
      <w:r w:rsidRPr="002A0440">
        <w:t>egister.</w:t>
      </w:r>
    </w:p>
    <w:p w:rsidR="00AA4211" w:rsidRPr="002A0440" w:rsidRDefault="00AA4211" w:rsidP="00AA4211">
      <w:pPr>
        <w:pStyle w:val="BodyVPSC"/>
      </w:pPr>
      <w:r w:rsidRPr="002A0440">
        <w:t xml:space="preserve">A </w:t>
      </w:r>
      <w:r w:rsidR="00841A38">
        <w:t>director</w:t>
      </w:r>
      <w:r w:rsidRPr="002A0440">
        <w:t xml:space="preserve"> who becomes aware during the meeting that he or she has an undeclared interest will declare it immediately.</w:t>
      </w:r>
    </w:p>
    <w:p w:rsidR="00AA4211" w:rsidRPr="002A0440" w:rsidRDefault="00AA4211" w:rsidP="00AA4211">
      <w:pPr>
        <w:pStyle w:val="BodyVPSC"/>
      </w:pPr>
      <w:r w:rsidRPr="002A0440">
        <w:t xml:space="preserve">A </w:t>
      </w:r>
      <w:r w:rsidR="00841A38">
        <w:t>director</w:t>
      </w:r>
      <w:r w:rsidRPr="002A0440">
        <w:t xml:space="preserve"> who believes that another </w:t>
      </w:r>
      <w:r w:rsidR="00841A38">
        <w:t>director</w:t>
      </w:r>
      <w:r w:rsidRPr="002A0440">
        <w:t xml:space="preserve"> may have an undeclared interest will raise this as a query, </w:t>
      </w:r>
      <w:r w:rsidR="005375D6" w:rsidRPr="002A0440">
        <w:t>to</w:t>
      </w:r>
      <w:r w:rsidRPr="002A0440">
        <w:t xml:space="preserve"> enable the other </w:t>
      </w:r>
      <w:r w:rsidR="00841A38">
        <w:t>director</w:t>
      </w:r>
      <w:r w:rsidRPr="002A0440">
        <w:t xml:space="preserve"> to declare the interest, if it exists.</w:t>
      </w:r>
      <w:bookmarkStart w:id="23" w:name="_TOC_250005"/>
    </w:p>
    <w:p w:rsidR="00AA4211" w:rsidRPr="00FE38F6" w:rsidRDefault="005375D6" w:rsidP="00FE38F6">
      <w:pPr>
        <w:pStyle w:val="NLH1VPSC"/>
      </w:pPr>
      <w:r w:rsidRPr="00FE38F6">
        <w:t>Options</w:t>
      </w:r>
      <w:r w:rsidR="00AA4211" w:rsidRPr="00FE38F6">
        <w:t xml:space="preserve"> </w:t>
      </w:r>
      <w:r w:rsidRPr="00FE38F6">
        <w:t>for</w:t>
      </w:r>
      <w:r w:rsidR="00AA4211" w:rsidRPr="00FE38F6">
        <w:t xml:space="preserve"> </w:t>
      </w:r>
      <w:r w:rsidRPr="00FE38F6">
        <w:t>managing</w:t>
      </w:r>
      <w:r w:rsidR="00AA4211" w:rsidRPr="00FE38F6">
        <w:t xml:space="preserve"> </w:t>
      </w:r>
      <w:r w:rsidRPr="00FE38F6">
        <w:t>a</w:t>
      </w:r>
      <w:r w:rsidR="00AA4211" w:rsidRPr="00FE38F6">
        <w:t xml:space="preserve"> </w:t>
      </w:r>
      <w:r w:rsidRPr="00FE38F6">
        <w:t>conflict</w:t>
      </w:r>
      <w:r w:rsidR="00AA4211" w:rsidRPr="00FE38F6">
        <w:t xml:space="preserve"> </w:t>
      </w:r>
      <w:r w:rsidRPr="00FE38F6">
        <w:t>of</w:t>
      </w:r>
      <w:r w:rsidR="00AA4211" w:rsidRPr="00FE38F6">
        <w:t xml:space="preserve"> </w:t>
      </w:r>
      <w:bookmarkEnd w:id="23"/>
      <w:r w:rsidRPr="00FE38F6">
        <w:t>interest</w:t>
      </w:r>
    </w:p>
    <w:p w:rsidR="00AA4211" w:rsidRPr="002A0440" w:rsidRDefault="00AA4211" w:rsidP="00AA4211">
      <w:pPr>
        <w:pStyle w:val="BodyVPSC"/>
      </w:pPr>
      <w:r w:rsidRPr="002A0440">
        <w:t>The board will manage all conﬂicts of interest in the public interest. Options for managing a conﬂict of interest include:</w:t>
      </w:r>
    </w:p>
    <w:p w:rsidR="00AA4211" w:rsidRPr="002A0440" w:rsidRDefault="00AA4211" w:rsidP="00AA4211">
      <w:pPr>
        <w:pStyle w:val="BodyVPSC"/>
      </w:pPr>
      <w:r w:rsidRPr="0084606A">
        <w:rPr>
          <w:b/>
        </w:rPr>
        <w:t>Remove</w:t>
      </w:r>
      <w:r w:rsidRPr="002A0440">
        <w:t xml:space="preserve"> – the </w:t>
      </w:r>
      <w:r w:rsidR="00841A38">
        <w:t>director</w:t>
      </w:r>
      <w:r w:rsidRPr="002A0440">
        <w:t xml:space="preserve"> leaves the room and does not participate at all in the ‘conﬂicted’ matter.</w:t>
      </w:r>
    </w:p>
    <w:p w:rsidR="00AA4211" w:rsidRPr="002A0440" w:rsidRDefault="00AA4211" w:rsidP="00AA4211">
      <w:pPr>
        <w:pStyle w:val="BodyVPSC"/>
      </w:pPr>
      <w:r w:rsidRPr="0084606A">
        <w:rPr>
          <w:b/>
        </w:rPr>
        <w:t>Record</w:t>
      </w:r>
      <w:r w:rsidRPr="002A0440">
        <w:t xml:space="preserve"> – details of the conﬂict of interest are recorded in the minutes. Monitoring occurs to check whether this remains the appropriate option.</w:t>
      </w:r>
    </w:p>
    <w:p w:rsidR="00AA4211" w:rsidRPr="002A0440" w:rsidRDefault="00AA4211" w:rsidP="00AA4211">
      <w:pPr>
        <w:pStyle w:val="BodyVPSC"/>
      </w:pPr>
      <w:r w:rsidRPr="0084606A">
        <w:rPr>
          <w:b/>
        </w:rPr>
        <w:t>Restrict</w:t>
      </w:r>
      <w:r w:rsidRPr="002A0440">
        <w:t xml:space="preserve"> – the </w:t>
      </w:r>
      <w:r w:rsidR="00841A38">
        <w:t>director</w:t>
      </w:r>
      <w:r w:rsidRPr="002A0440">
        <w:t>’s involvement in discussion or decision</w:t>
      </w:r>
      <w:r w:rsidR="000D1215">
        <w:t xml:space="preserve"> </w:t>
      </w:r>
      <w:r w:rsidRPr="002A0440">
        <w:t>making on the matter is restricted to the extent that matches the public interest. Monitoring occurs to check whether this remains the appropriate option.</w:t>
      </w:r>
    </w:p>
    <w:p w:rsidR="00AA4211" w:rsidRPr="002A0440" w:rsidRDefault="00AA4211" w:rsidP="00AA4211">
      <w:pPr>
        <w:pStyle w:val="BodyVPSC"/>
      </w:pPr>
      <w:r w:rsidRPr="0084606A">
        <w:rPr>
          <w:b/>
        </w:rPr>
        <w:t>Recruit</w:t>
      </w:r>
      <w:r w:rsidRPr="002A0440">
        <w:t xml:space="preserve"> – an impartial third party is engaged to provide advice (e.g. a probity adviser, lawyer, or governance expert from the </w:t>
      </w:r>
      <w:r w:rsidR="00D82AD5" w:rsidRPr="00D82AD5">
        <w:rPr>
          <w:color w:val="00965E" w:themeColor="accent1"/>
        </w:rPr>
        <w:t>&lt;</w:t>
      </w:r>
      <w:r w:rsidR="000D1215">
        <w:rPr>
          <w:color w:val="00965E" w:themeColor="accent1"/>
        </w:rPr>
        <w:t xml:space="preserve">portfolio </w:t>
      </w:r>
      <w:r w:rsidRPr="00D82AD5">
        <w:rPr>
          <w:color w:val="00965E" w:themeColor="accent1"/>
        </w:rPr>
        <w:t>department</w:t>
      </w:r>
      <w:r w:rsidR="00D82AD5" w:rsidRPr="00D82AD5">
        <w:rPr>
          <w:color w:val="00965E" w:themeColor="accent1"/>
        </w:rPr>
        <w:t>&gt;</w:t>
      </w:r>
      <w:r w:rsidRPr="002A0440">
        <w:t>).</w:t>
      </w:r>
    </w:p>
    <w:p w:rsidR="00AA4211" w:rsidRPr="002A0440" w:rsidRDefault="00AA4211" w:rsidP="00AA4211">
      <w:pPr>
        <w:pStyle w:val="BodyVPSC"/>
      </w:pPr>
      <w:r w:rsidRPr="0084606A">
        <w:rPr>
          <w:b/>
        </w:rPr>
        <w:t>Relinquish or resign</w:t>
      </w:r>
      <w:r w:rsidRPr="002A0440">
        <w:t xml:space="preserve"> – the </w:t>
      </w:r>
      <w:r w:rsidR="00841A38">
        <w:t>director</w:t>
      </w:r>
      <w:r w:rsidRPr="002A0440">
        <w:t xml:space="preserve"> relinquishes their private interest or steps down </w:t>
      </w:r>
      <w:r w:rsidR="005375D6">
        <w:t xml:space="preserve">from their role with the other </w:t>
      </w:r>
      <w:r w:rsidRPr="002A0440">
        <w:t xml:space="preserve">organisation on a temporary or permanent basis. Alternatively, the </w:t>
      </w:r>
      <w:r w:rsidR="00841A38">
        <w:t>director</w:t>
      </w:r>
      <w:r w:rsidRPr="002A0440">
        <w:t xml:space="preserve"> resigns from the board itself.</w:t>
      </w:r>
    </w:p>
    <w:p w:rsidR="00AA4211" w:rsidRPr="00D82AD5" w:rsidRDefault="00D82AD5" w:rsidP="00AA4211">
      <w:pPr>
        <w:pStyle w:val="BodyVPSC"/>
        <w:rPr>
          <w:color w:val="00965E" w:themeColor="accent1"/>
        </w:rPr>
      </w:pPr>
      <w:r w:rsidRPr="00D82AD5">
        <w:rPr>
          <w:color w:val="00965E" w:themeColor="accent1"/>
        </w:rPr>
        <w:lastRenderedPageBreak/>
        <w:t>[</w:t>
      </w:r>
      <w:r w:rsidR="00AA4211" w:rsidRPr="00D82AD5">
        <w:rPr>
          <w:color w:val="00965E" w:themeColor="accent1"/>
        </w:rPr>
        <w:t>The process for determining which option is in the public interest is set out below. If the establishing legislation or terms of reference have speciﬁc requirements for managing conﬂicts of interests it may be necessary to adjust the options.</w:t>
      </w:r>
      <w:bookmarkStart w:id="24" w:name="_TOC_250004"/>
      <w:r w:rsidRPr="00D82AD5">
        <w:rPr>
          <w:color w:val="00965E" w:themeColor="accent1"/>
        </w:rPr>
        <w:t>]</w:t>
      </w:r>
    </w:p>
    <w:p w:rsidR="00AA4211" w:rsidRPr="002A0440" w:rsidRDefault="005375D6" w:rsidP="00FE38F6">
      <w:pPr>
        <w:pStyle w:val="NLH1VPSC"/>
      </w:pPr>
      <w:r w:rsidRPr="002A0440">
        <w:t xml:space="preserve">Is the conflict </w:t>
      </w:r>
      <w:bookmarkEnd w:id="24"/>
      <w:r w:rsidRPr="002A0440">
        <w:t>material?</w:t>
      </w:r>
    </w:p>
    <w:p w:rsidR="00AA4211" w:rsidRPr="002A0440" w:rsidRDefault="00AA4211" w:rsidP="00AA4211">
      <w:pPr>
        <w:pStyle w:val="BodyVPSC"/>
      </w:pPr>
      <w:r w:rsidRPr="002A0440">
        <w:t>When deciding how to manage a conﬂict of interest, the board will determine whether the conﬂict is material.</w:t>
      </w:r>
      <w:r w:rsidR="00A15ADC">
        <w:rPr>
          <w:rStyle w:val="FootnoteReference"/>
        </w:rPr>
        <w:footnoteReference w:id="4"/>
      </w:r>
      <w:r w:rsidRPr="002A0440">
        <w:t xml:space="preserve"> In doing so, the board will</w:t>
      </w:r>
      <w:r w:rsidR="005375D6">
        <w:t xml:space="preserve"> </w:t>
      </w:r>
      <w:r w:rsidR="005375D6" w:rsidRPr="002A0440">
        <w:t>consider</w:t>
      </w:r>
      <w:r w:rsidRPr="002A0440">
        <w:t xml:space="preserve"> all the relevant factors and circumstances, including (but not limited to):</w:t>
      </w:r>
    </w:p>
    <w:p w:rsidR="00AA4211" w:rsidRPr="002A0440" w:rsidRDefault="00AA4211" w:rsidP="00A15ADC">
      <w:pPr>
        <w:pStyle w:val="Bullet1VPSC"/>
      </w:pPr>
      <w:r w:rsidRPr="002A0440">
        <w:t xml:space="preserve">the objectives and functions of the </w:t>
      </w:r>
      <w:r w:rsidR="00D82AD5" w:rsidRPr="00D82AD5">
        <w:rPr>
          <w:rFonts w:eastAsia="Times New Roman"/>
          <w:color w:val="00965E" w:themeColor="accent1"/>
          <w:lang w:eastAsia="en-AU"/>
        </w:rPr>
        <w:t>&lt;public entity&gt;</w:t>
      </w:r>
      <w:r w:rsidRPr="00D82AD5">
        <w:rPr>
          <w:rFonts w:eastAsia="Times New Roman"/>
          <w:color w:val="00965E" w:themeColor="accent1"/>
          <w:lang w:eastAsia="en-AU"/>
        </w:rPr>
        <w:t>;</w:t>
      </w:r>
    </w:p>
    <w:p w:rsidR="00A15ADC" w:rsidRDefault="00AA4211" w:rsidP="00A15ADC">
      <w:pPr>
        <w:pStyle w:val="Bullet1VPSC"/>
      </w:pPr>
      <w:r w:rsidRPr="002A0440">
        <w:t>the matter that is to be discussed and determined by the board;</w:t>
      </w:r>
    </w:p>
    <w:p w:rsidR="00A15ADC" w:rsidRDefault="00AA4211" w:rsidP="00A15ADC">
      <w:pPr>
        <w:pStyle w:val="Bullet1VPSC"/>
      </w:pPr>
      <w:r w:rsidRPr="002A0440">
        <w:t xml:space="preserve">the </w:t>
      </w:r>
      <w:r w:rsidRPr="00A15ADC">
        <w:rPr>
          <w:b/>
        </w:rPr>
        <w:t>nature</w:t>
      </w:r>
      <w:r w:rsidRPr="002A0440">
        <w:t xml:space="preserve"> of the conﬂict (i.e. is it real, potential, or perceived?); </w:t>
      </w:r>
    </w:p>
    <w:p w:rsidR="00AA4211" w:rsidRPr="002A0440" w:rsidRDefault="00AA4211" w:rsidP="00A15ADC">
      <w:pPr>
        <w:pStyle w:val="Bullet1VPSC"/>
      </w:pPr>
      <w:r w:rsidRPr="002A0440">
        <w:t xml:space="preserve">the </w:t>
      </w:r>
      <w:r w:rsidRPr="00A15ADC">
        <w:rPr>
          <w:b/>
        </w:rPr>
        <w:t>severity</w:t>
      </w:r>
      <w:r w:rsidRPr="002A0440">
        <w:t xml:space="preserve"> of the conﬂict, including:</w:t>
      </w:r>
    </w:p>
    <w:p w:rsidR="00AA4211" w:rsidRPr="002A0440" w:rsidRDefault="00AA4211" w:rsidP="00A15ADC">
      <w:pPr>
        <w:pStyle w:val="Bullet1VPSC"/>
        <w:numPr>
          <w:ilvl w:val="1"/>
          <w:numId w:val="40"/>
        </w:numPr>
        <w:ind w:left="709"/>
      </w:pPr>
      <w:r w:rsidRPr="002A0440">
        <w:t xml:space="preserve">the amount, scope, and likelihood of any expected beneﬁt (e.g. is it a large beneﬁt primarily to the </w:t>
      </w:r>
      <w:r w:rsidR="00841A38">
        <w:t>director</w:t>
      </w:r>
      <w:r w:rsidRPr="002A0440">
        <w:t xml:space="preserve"> or a small beneﬁt</w:t>
      </w:r>
      <w:r w:rsidR="00182DD7">
        <w:t xml:space="preserve"> </w:t>
      </w:r>
      <w:r w:rsidRPr="002A0440">
        <w:t xml:space="preserve">that thousands of people including the </w:t>
      </w:r>
      <w:r w:rsidR="00841A38">
        <w:t>director</w:t>
      </w:r>
      <w:r w:rsidRPr="002A0440">
        <w:t xml:space="preserve"> will receive?);</w:t>
      </w:r>
    </w:p>
    <w:p w:rsidR="00AA4211" w:rsidRPr="002A0440" w:rsidRDefault="00AA4211" w:rsidP="00A15ADC">
      <w:pPr>
        <w:pStyle w:val="Bullet1VPSC"/>
        <w:numPr>
          <w:ilvl w:val="1"/>
          <w:numId w:val="40"/>
        </w:numPr>
        <w:ind w:left="709"/>
      </w:pPr>
      <w:r w:rsidRPr="002A0440">
        <w:t xml:space="preserve">any other relevant circumstances (e.g. if the conﬂict relates to a </w:t>
      </w:r>
      <w:r w:rsidR="00326DD9">
        <w:t xml:space="preserve">board decision about an organisation where the </w:t>
      </w:r>
      <w:r w:rsidR="00841A38">
        <w:t>director</w:t>
      </w:r>
      <w:r w:rsidRPr="002A0440">
        <w:t>’s partner work</w:t>
      </w:r>
      <w:r w:rsidR="00326DD9">
        <w:t>s</w:t>
      </w:r>
      <w:r w:rsidR="00265CA4">
        <w:t>. I</w:t>
      </w:r>
      <w:r w:rsidRPr="002A0440">
        <w:t xml:space="preserve">s the partner </w:t>
      </w:r>
      <w:r w:rsidR="00265CA4">
        <w:t>the current CEO o</w:t>
      </w:r>
      <w:r w:rsidRPr="002A0440">
        <w:t xml:space="preserve">r </w:t>
      </w:r>
      <w:r w:rsidR="00265CA4">
        <w:t>is h</w:t>
      </w:r>
      <w:r w:rsidR="00326DD9">
        <w:t>is</w:t>
      </w:r>
      <w:r w:rsidR="00265CA4">
        <w:t xml:space="preserve"> or her work</w:t>
      </w:r>
      <w:r w:rsidRPr="002A0440">
        <w:t xml:space="preserve"> </w:t>
      </w:r>
      <w:r w:rsidR="00265CA4">
        <w:t>un</w:t>
      </w:r>
      <w:r w:rsidRPr="002A0440">
        <w:t>connected to the decision being made?);</w:t>
      </w:r>
    </w:p>
    <w:p w:rsidR="00AA4211" w:rsidRPr="002A0440" w:rsidRDefault="00AA4211" w:rsidP="00A15ADC">
      <w:pPr>
        <w:pStyle w:val="Bullet1VPSC"/>
      </w:pPr>
      <w:r w:rsidRPr="002A0440">
        <w:t xml:space="preserve">the </w:t>
      </w:r>
      <w:r w:rsidRPr="00182DD7">
        <w:rPr>
          <w:b/>
        </w:rPr>
        <w:t>potential eﬀect</w:t>
      </w:r>
      <w:r w:rsidRPr="002A0440">
        <w:t xml:space="preserve"> of the conﬂict, including:</w:t>
      </w:r>
    </w:p>
    <w:p w:rsidR="00AA4211" w:rsidRPr="002A0440" w:rsidRDefault="00AA4211" w:rsidP="00182DD7">
      <w:pPr>
        <w:pStyle w:val="Bullet1VPSC"/>
        <w:numPr>
          <w:ilvl w:val="1"/>
          <w:numId w:val="40"/>
        </w:numPr>
        <w:ind w:left="709"/>
      </w:pPr>
      <w:r w:rsidRPr="002A0440">
        <w:t xml:space="preserve">the extent to which the </w:t>
      </w:r>
      <w:r w:rsidR="00841A38">
        <w:t>director</w:t>
      </w:r>
      <w:r w:rsidRPr="002A0440">
        <w:t>’s ability to make an impartial decision in the public interest could be compromised (or could reasonably be seen to be compromised); and</w:t>
      </w:r>
    </w:p>
    <w:p w:rsidR="00AA4211" w:rsidRPr="002A0440" w:rsidRDefault="00AA4211" w:rsidP="00182DD7">
      <w:pPr>
        <w:pStyle w:val="Bullet1VPSC"/>
        <w:numPr>
          <w:ilvl w:val="1"/>
          <w:numId w:val="40"/>
        </w:numPr>
        <w:ind w:left="709"/>
      </w:pPr>
      <w:r w:rsidRPr="002A0440">
        <w:t>the overall likelihood that the conﬂict of interest may aﬀect public conﬁdence in the integrity of the board and its decisions.</w:t>
      </w:r>
    </w:p>
    <w:p w:rsidR="00AA4211" w:rsidRPr="00A10ADD" w:rsidRDefault="005375D6" w:rsidP="00FE38F6">
      <w:pPr>
        <w:pStyle w:val="NLH1VPSC"/>
      </w:pPr>
      <w:bookmarkStart w:id="25" w:name="_TOC_250003"/>
      <w:r w:rsidRPr="00A10ADD">
        <w:rPr>
          <w:w w:val="105"/>
        </w:rPr>
        <w:t>Managing material conflicts of</w:t>
      </w:r>
      <w:r w:rsidR="00AA4211" w:rsidRPr="00A10ADD">
        <w:rPr>
          <w:spacing w:val="-47"/>
          <w:w w:val="105"/>
        </w:rPr>
        <w:t xml:space="preserve"> </w:t>
      </w:r>
      <w:bookmarkEnd w:id="25"/>
      <w:r w:rsidRPr="00A10ADD">
        <w:rPr>
          <w:w w:val="105"/>
        </w:rPr>
        <w:t>interest</w:t>
      </w:r>
    </w:p>
    <w:p w:rsidR="00AA4211" w:rsidRPr="002A0440" w:rsidRDefault="00AA4211" w:rsidP="002A0440">
      <w:pPr>
        <w:pStyle w:val="BodyVPSC"/>
      </w:pPr>
      <w:r w:rsidRPr="002A0440">
        <w:t xml:space="preserve">The board’s </w:t>
      </w:r>
      <w:r w:rsidRPr="00182DD7">
        <w:rPr>
          <w:b/>
        </w:rPr>
        <w:t>standard procedure</w:t>
      </w:r>
      <w:r w:rsidRPr="002A0440">
        <w:t xml:space="preserve"> for managing a material conﬂict of interest is to </w:t>
      </w:r>
      <w:r w:rsidRPr="00182DD7">
        <w:rPr>
          <w:b/>
        </w:rPr>
        <w:t>remove</w:t>
      </w:r>
      <w:r w:rsidRPr="002A0440">
        <w:t xml:space="preserve"> the </w:t>
      </w:r>
      <w:r w:rsidR="00841A38">
        <w:t>director</w:t>
      </w:r>
      <w:r w:rsidRPr="002A0440">
        <w:t xml:space="preserve"> from all participation in the matter. The </w:t>
      </w:r>
      <w:r w:rsidR="00841A38">
        <w:t>director</w:t>
      </w:r>
      <w:r w:rsidRPr="002A0440">
        <w:t xml:space="preserve"> will:</w:t>
      </w:r>
    </w:p>
    <w:p w:rsidR="00182DD7" w:rsidRDefault="00AA4211" w:rsidP="00182DD7">
      <w:pPr>
        <w:pStyle w:val="Bullet1VPSC"/>
      </w:pPr>
      <w:r w:rsidRPr="002A0440">
        <w:t xml:space="preserve">leave the room at the start of the relevant agenda item and not return until the start of the next agenda item; </w:t>
      </w:r>
    </w:p>
    <w:p w:rsidR="00AA4211" w:rsidRPr="002A0440" w:rsidRDefault="00AA4211" w:rsidP="00182DD7">
      <w:pPr>
        <w:pStyle w:val="Bullet1VPSC"/>
      </w:pPr>
      <w:r w:rsidRPr="002A0440">
        <w:t xml:space="preserve">not discuss the matter at all with any other </w:t>
      </w:r>
      <w:r w:rsidR="00841A38">
        <w:t>director</w:t>
      </w:r>
      <w:r w:rsidRPr="002A0440">
        <w:t xml:space="preserve"> (either in the meeting or elsewhere); and</w:t>
      </w:r>
    </w:p>
    <w:p w:rsidR="00AA4211" w:rsidRPr="002A0440" w:rsidRDefault="00AA4211" w:rsidP="00182DD7">
      <w:pPr>
        <w:pStyle w:val="Bullet1VPSC"/>
      </w:pPr>
      <w:r w:rsidRPr="002A0440">
        <w:t>not participate in any board decision on the matter.</w:t>
      </w:r>
    </w:p>
    <w:p w:rsidR="00AA4211" w:rsidRPr="002A0440" w:rsidRDefault="00AA4211" w:rsidP="002A0440">
      <w:pPr>
        <w:pStyle w:val="BodyVPSC"/>
      </w:pPr>
      <w:r w:rsidRPr="002A0440">
        <w:t>The standard procedure will be followed unless the board determines and records in the minutes clear reasons why it is not in the public interest.</w:t>
      </w:r>
    </w:p>
    <w:p w:rsidR="00AA4211" w:rsidRPr="00A10ADD" w:rsidRDefault="00F6417D" w:rsidP="00182DD7">
      <w:pPr>
        <w:pStyle w:val="H2VPSC"/>
      </w:pPr>
      <w:bookmarkStart w:id="26" w:name="_TOC_250002"/>
      <w:bookmarkEnd w:id="26"/>
      <w:r>
        <w:rPr>
          <w:w w:val="105"/>
        </w:rPr>
        <w:t>More s</w:t>
      </w:r>
      <w:r w:rsidR="008753E0">
        <w:rPr>
          <w:w w:val="105"/>
        </w:rPr>
        <w:t>tringent</w:t>
      </w:r>
      <w:r w:rsidR="00AA4211" w:rsidRPr="00A10ADD">
        <w:rPr>
          <w:w w:val="105"/>
        </w:rPr>
        <w:t xml:space="preserve"> options for managing a material conﬂict</w:t>
      </w:r>
    </w:p>
    <w:p w:rsidR="00AA4211" w:rsidRPr="002A0440" w:rsidRDefault="00AA4211" w:rsidP="002A0440">
      <w:pPr>
        <w:pStyle w:val="BodyVPSC"/>
      </w:pPr>
      <w:r w:rsidRPr="002A0440">
        <w:t xml:space="preserve">If the public could reasonably form the view that the conﬂict is of unacceptable frequency or duration then to maintain public conﬁdence and protect the reputation of the </w:t>
      </w:r>
      <w:r w:rsidR="00E24AEF" w:rsidRPr="00E24AEF">
        <w:rPr>
          <w:color w:val="00965E" w:themeColor="accent1"/>
          <w:w w:val="105"/>
        </w:rPr>
        <w:t>&lt;public entity&gt;</w:t>
      </w:r>
      <w:r w:rsidRPr="002A0440">
        <w:t xml:space="preserve"> it may be necessary, in the public interest, for the </w:t>
      </w:r>
      <w:r w:rsidR="00841A38">
        <w:t>director</w:t>
      </w:r>
      <w:r w:rsidRPr="002A0440">
        <w:t xml:space="preserve"> to:</w:t>
      </w:r>
    </w:p>
    <w:p w:rsidR="00AA4211" w:rsidRPr="002A0440" w:rsidRDefault="00AA4211" w:rsidP="00182DD7">
      <w:pPr>
        <w:pStyle w:val="Bullet1VPSC"/>
      </w:pPr>
      <w:r w:rsidRPr="002A0440">
        <w:t>relinquish their private interest;</w:t>
      </w:r>
    </w:p>
    <w:p w:rsidR="00182DD7" w:rsidRDefault="00AA4211" w:rsidP="00182DD7">
      <w:pPr>
        <w:pStyle w:val="Bullet1VPSC"/>
      </w:pPr>
      <w:r w:rsidRPr="002A0440">
        <w:t>resign or stand down on a temporary basis from the other organisation to which he</w:t>
      </w:r>
      <w:r w:rsidR="00326DD9">
        <w:t xml:space="preserve"> or </w:t>
      </w:r>
      <w:r w:rsidRPr="002A0440">
        <w:t xml:space="preserve">she has a duty; or </w:t>
      </w:r>
    </w:p>
    <w:p w:rsidR="00AA4211" w:rsidRPr="002A0440" w:rsidRDefault="00AA4211" w:rsidP="00182DD7">
      <w:pPr>
        <w:pStyle w:val="Bullet1VPSC"/>
      </w:pPr>
      <w:r w:rsidRPr="002A0440">
        <w:t>resign from the board.</w:t>
      </w:r>
    </w:p>
    <w:p w:rsidR="00AA4211" w:rsidRPr="002A0440" w:rsidRDefault="00AA4211" w:rsidP="002A0440">
      <w:pPr>
        <w:pStyle w:val="BodyVPSC"/>
      </w:pPr>
      <w:r w:rsidRPr="002A0440">
        <w:lastRenderedPageBreak/>
        <w:t xml:space="preserve">If the board is unsure whether a </w:t>
      </w:r>
      <w:r w:rsidR="00780784">
        <w:t xml:space="preserve">more </w:t>
      </w:r>
      <w:r w:rsidR="00F6417D">
        <w:t>stringent</w:t>
      </w:r>
      <w:r w:rsidRPr="002A0440">
        <w:t xml:space="preserve"> option is in the public interest the </w:t>
      </w:r>
      <w:r w:rsidR="00E24AEF" w:rsidRPr="00E24AEF">
        <w:rPr>
          <w:color w:val="00965E" w:themeColor="accent1"/>
        </w:rPr>
        <w:t>&lt;</w:t>
      </w:r>
      <w:r w:rsidR="000D1215">
        <w:rPr>
          <w:color w:val="00965E" w:themeColor="accent1"/>
        </w:rPr>
        <w:t>portfolio department</w:t>
      </w:r>
      <w:r w:rsidR="00E24AEF" w:rsidRPr="00E24AEF">
        <w:rPr>
          <w:color w:val="00965E" w:themeColor="accent1"/>
        </w:rPr>
        <w:t>&gt;</w:t>
      </w:r>
      <w:r w:rsidRPr="002A0440">
        <w:t xml:space="preserve"> will be contacted for advice.</w:t>
      </w:r>
    </w:p>
    <w:p w:rsidR="00AA4211" w:rsidRPr="00A10ADD" w:rsidRDefault="00F6417D" w:rsidP="00182DD7">
      <w:pPr>
        <w:pStyle w:val="H2VPSC"/>
      </w:pPr>
      <w:bookmarkStart w:id="27" w:name="_TOC_250001"/>
      <w:bookmarkEnd w:id="27"/>
      <w:r>
        <w:t>Less stringent</w:t>
      </w:r>
      <w:r w:rsidR="00AA4211" w:rsidRPr="00A10ADD">
        <w:t xml:space="preserve"> options for managing a material conﬂict</w:t>
      </w:r>
    </w:p>
    <w:p w:rsidR="00AA4211" w:rsidRPr="002A0440" w:rsidRDefault="00AA4211" w:rsidP="002A0440">
      <w:pPr>
        <w:pStyle w:val="BodyVPSC"/>
      </w:pPr>
      <w:r w:rsidRPr="002A0440">
        <w:t xml:space="preserve">A </w:t>
      </w:r>
      <w:r w:rsidR="00780784">
        <w:t>less stringent</w:t>
      </w:r>
      <w:r w:rsidRPr="002A0440">
        <w:t xml:space="preserve"> option (i.e. record, restrict or review) will not usually be in the public interest for managing material conﬂicts of interest. If the board is unsure whether a </w:t>
      </w:r>
      <w:r w:rsidR="00780784">
        <w:t>less stringent</w:t>
      </w:r>
      <w:r w:rsidRPr="002A0440">
        <w:t xml:space="preserve"> option is in the public interest the board will err on the side of caution.</w:t>
      </w:r>
    </w:p>
    <w:p w:rsidR="00AA4211" w:rsidRPr="002A0440" w:rsidRDefault="00AA4211" w:rsidP="002A0440">
      <w:pPr>
        <w:pStyle w:val="BodyVPSC"/>
      </w:pPr>
      <w:r w:rsidRPr="002A0440">
        <w:t xml:space="preserve">If the board decides on a </w:t>
      </w:r>
      <w:r w:rsidR="00780784">
        <w:t>less stringent</w:t>
      </w:r>
      <w:r w:rsidRPr="002A0440">
        <w:t xml:space="preserve"> option then, in addition to recording in the minutes why it is in the public interest, careful monitoring will occur to ensure that the </w:t>
      </w:r>
      <w:r w:rsidR="00780784">
        <w:t>less stringent</w:t>
      </w:r>
      <w:r w:rsidRPr="002A0440">
        <w:t xml:space="preserve"> option remains appropriate.</w:t>
      </w:r>
    </w:p>
    <w:p w:rsidR="00AA4211" w:rsidRPr="002A0440" w:rsidRDefault="00AA4211" w:rsidP="002A0440">
      <w:pPr>
        <w:pStyle w:val="BodyVPSC"/>
      </w:pPr>
      <w:r w:rsidRPr="002A0440">
        <w:t xml:space="preserve">Examples of where a </w:t>
      </w:r>
      <w:r w:rsidR="00780784">
        <w:t>less stringent</w:t>
      </w:r>
      <w:r w:rsidRPr="002A0440">
        <w:t xml:space="preserve"> option may be in the public interest, </w:t>
      </w:r>
      <w:r w:rsidR="00AD6263" w:rsidRPr="002A0440">
        <w:t>considering</w:t>
      </w:r>
      <w:r w:rsidRPr="002A0440">
        <w:t xml:space="preserve"> all the relevant circumstances, include:</w:t>
      </w:r>
    </w:p>
    <w:p w:rsidR="00AA4211" w:rsidRPr="002A0440" w:rsidRDefault="00AA4211" w:rsidP="00182DD7">
      <w:pPr>
        <w:pStyle w:val="Bullet1VPSC"/>
      </w:pPr>
      <w:r w:rsidRPr="00182DD7">
        <w:rPr>
          <w:b/>
        </w:rPr>
        <w:t>Discussion</w:t>
      </w:r>
      <w:r w:rsidRPr="002A0440">
        <w:t xml:space="preserve">: If the ‘conﬂicted’ </w:t>
      </w:r>
      <w:r w:rsidR="00841A38">
        <w:t>director</w:t>
      </w:r>
      <w:r w:rsidRPr="002A0440">
        <w:t xml:space="preserve"> was appointed </w:t>
      </w:r>
      <w:r w:rsidR="005375D6" w:rsidRPr="002A0440">
        <w:t>based on</w:t>
      </w:r>
      <w:r w:rsidRPr="002A0440">
        <w:t xml:space="preserve"> their knowledge of the matter, it may be in the public interest for </w:t>
      </w:r>
      <w:r w:rsidR="00BF1DD2">
        <w:t>him or her</w:t>
      </w:r>
      <w:r w:rsidRPr="002A0440">
        <w:t xml:space="preserve"> to be present for part of the board’s discussion. (However, if an ‘un-conﬂicted’ </w:t>
      </w:r>
      <w:r w:rsidR="00841A38">
        <w:t>director</w:t>
      </w:r>
      <w:r w:rsidRPr="002A0440">
        <w:t xml:space="preserve"> is absent who also has this expertise, it will usually be in the public interest for discussion to occur at the next meeting instead.)</w:t>
      </w:r>
    </w:p>
    <w:p w:rsidR="00AA4211" w:rsidRPr="002A0440" w:rsidRDefault="00AA4211" w:rsidP="00182DD7">
      <w:pPr>
        <w:pStyle w:val="Bullet1VPSC"/>
      </w:pPr>
      <w:r w:rsidRPr="00182DD7">
        <w:rPr>
          <w:b/>
        </w:rPr>
        <w:t>Decision</w:t>
      </w:r>
      <w:r w:rsidRPr="002A0440">
        <w:t xml:space="preserve">: If the recommended procedure would mean that there is no quorum for the decision even if all ‘un-conﬂicted’ </w:t>
      </w:r>
      <w:r w:rsidR="001C071B">
        <w:t>directors</w:t>
      </w:r>
      <w:r w:rsidRPr="002A0440">
        <w:t xml:space="preserve"> are present, then a </w:t>
      </w:r>
      <w:r w:rsidR="00780784">
        <w:t>less stringent</w:t>
      </w:r>
      <w:r w:rsidRPr="002A0440">
        <w:t xml:space="preserve"> option </w:t>
      </w:r>
      <w:r w:rsidR="00BF1DD2">
        <w:t>would</w:t>
      </w:r>
      <w:r w:rsidRPr="002A0440">
        <w:t xml:space="preserve"> be in the public interest.</w:t>
      </w:r>
      <w:r w:rsidR="00DA6B98">
        <w:rPr>
          <w:rStyle w:val="FootnoteReference"/>
        </w:rPr>
        <w:footnoteReference w:id="5"/>
      </w:r>
      <w:r w:rsidRPr="002A0440">
        <w:t xml:space="preserve"> (However, if ‘un-conﬂicted’ </w:t>
      </w:r>
      <w:r w:rsidR="00841A38">
        <w:t>director</w:t>
      </w:r>
      <w:r w:rsidRPr="002A0440">
        <w:t xml:space="preserve">s are absent then it </w:t>
      </w:r>
      <w:r w:rsidR="00BF1DD2">
        <w:t>would</w:t>
      </w:r>
      <w:r w:rsidRPr="002A0440">
        <w:t xml:space="preserve"> usually be in the public interest for the decision to be held over to the next board meeting instead.)</w:t>
      </w:r>
    </w:p>
    <w:p w:rsidR="00AA4211" w:rsidRPr="002A0440" w:rsidRDefault="005375D6" w:rsidP="00FE38F6">
      <w:pPr>
        <w:pStyle w:val="NLH1VPSC"/>
      </w:pPr>
      <w:bookmarkStart w:id="28" w:name="_TOC_250000"/>
      <w:r w:rsidRPr="002A0440">
        <w:t xml:space="preserve">Managing non-material conflicts of </w:t>
      </w:r>
      <w:bookmarkEnd w:id="28"/>
      <w:r w:rsidRPr="002A0440">
        <w:t>interest</w:t>
      </w:r>
    </w:p>
    <w:p w:rsidR="00AA4211" w:rsidRPr="002A0440" w:rsidRDefault="00AA4211" w:rsidP="00AA4211">
      <w:pPr>
        <w:pStyle w:val="BodyText"/>
        <w:spacing w:line="285" w:lineRule="auto"/>
        <w:ind w:left="106" w:right="420"/>
        <w:rPr>
          <w:rFonts w:ascii="Arial" w:eastAsia="Times New Roman" w:hAnsi="Arial" w:cs="Tahoma"/>
          <w:color w:val="000000" w:themeColor="text1"/>
          <w:sz w:val="20"/>
          <w:szCs w:val="20"/>
          <w:lang w:val="en-AU" w:eastAsia="en-AU"/>
        </w:rPr>
      </w:pPr>
      <w:r w:rsidRPr="002A0440">
        <w:rPr>
          <w:rFonts w:ascii="Arial" w:eastAsia="Times New Roman" w:hAnsi="Arial" w:cs="Tahoma"/>
          <w:color w:val="000000" w:themeColor="text1"/>
          <w:sz w:val="20"/>
          <w:szCs w:val="20"/>
          <w:lang w:val="en-AU" w:eastAsia="en-AU"/>
        </w:rPr>
        <w:t xml:space="preserve">For a </w:t>
      </w:r>
      <w:r w:rsidRPr="00DA6B98">
        <w:rPr>
          <w:rFonts w:ascii="Arial" w:eastAsia="Times New Roman" w:hAnsi="Arial" w:cs="Tahoma"/>
          <w:b/>
          <w:color w:val="000000" w:themeColor="text1"/>
          <w:sz w:val="20"/>
          <w:szCs w:val="20"/>
          <w:lang w:val="en-AU" w:eastAsia="en-AU"/>
        </w:rPr>
        <w:t>non-material</w:t>
      </w:r>
      <w:r w:rsidRPr="002A0440">
        <w:rPr>
          <w:rFonts w:ascii="Arial" w:eastAsia="Times New Roman" w:hAnsi="Arial" w:cs="Tahoma"/>
          <w:color w:val="000000" w:themeColor="text1"/>
          <w:sz w:val="20"/>
          <w:szCs w:val="20"/>
          <w:lang w:val="en-AU" w:eastAsia="en-AU"/>
        </w:rPr>
        <w:t xml:space="preserve"> conﬂict of interest, there is more likelihood that a </w:t>
      </w:r>
      <w:r w:rsidR="00780784">
        <w:rPr>
          <w:rFonts w:ascii="Arial" w:eastAsia="Times New Roman" w:hAnsi="Arial" w:cs="Tahoma"/>
          <w:color w:val="000000" w:themeColor="text1"/>
          <w:sz w:val="20"/>
          <w:szCs w:val="20"/>
          <w:lang w:val="en-AU" w:eastAsia="en-AU"/>
        </w:rPr>
        <w:t>less stringent</w:t>
      </w:r>
      <w:r w:rsidRPr="002A0440">
        <w:rPr>
          <w:rFonts w:ascii="Arial" w:eastAsia="Times New Roman" w:hAnsi="Arial" w:cs="Tahoma"/>
          <w:color w:val="000000" w:themeColor="text1"/>
          <w:sz w:val="20"/>
          <w:szCs w:val="20"/>
          <w:lang w:val="en-AU" w:eastAsia="en-AU"/>
        </w:rPr>
        <w:t xml:space="preserve"> option (i.e. record, restrict or review) will be in the public interest. In making its decision, the board will </w:t>
      </w:r>
      <w:r w:rsidR="00135ABC" w:rsidRPr="002A0440">
        <w:rPr>
          <w:rFonts w:ascii="Arial" w:eastAsia="Times New Roman" w:hAnsi="Arial" w:cs="Tahoma"/>
          <w:color w:val="000000" w:themeColor="text1"/>
          <w:sz w:val="20"/>
          <w:szCs w:val="20"/>
          <w:lang w:val="en-AU" w:eastAsia="en-AU"/>
        </w:rPr>
        <w:t>consider</w:t>
      </w:r>
      <w:r w:rsidRPr="002A0440">
        <w:rPr>
          <w:rFonts w:ascii="Arial" w:eastAsia="Times New Roman" w:hAnsi="Arial" w:cs="Tahoma"/>
          <w:color w:val="000000" w:themeColor="text1"/>
          <w:sz w:val="20"/>
          <w:szCs w:val="20"/>
          <w:lang w:val="en-AU" w:eastAsia="en-AU"/>
        </w:rPr>
        <w:t xml:space="preserve"> all relevant factors and circumstances (e.g. the lower the severity of the conﬂict, the more likely that a </w:t>
      </w:r>
      <w:r w:rsidR="00780784">
        <w:rPr>
          <w:rFonts w:ascii="Arial" w:eastAsia="Times New Roman" w:hAnsi="Arial" w:cs="Tahoma"/>
          <w:color w:val="000000" w:themeColor="text1"/>
          <w:sz w:val="20"/>
          <w:szCs w:val="20"/>
          <w:lang w:val="en-AU" w:eastAsia="en-AU"/>
        </w:rPr>
        <w:t>less stringent</w:t>
      </w:r>
      <w:r w:rsidRPr="002A0440">
        <w:rPr>
          <w:rFonts w:ascii="Arial" w:eastAsia="Times New Roman" w:hAnsi="Arial" w:cs="Tahoma"/>
          <w:color w:val="000000" w:themeColor="text1"/>
          <w:sz w:val="20"/>
          <w:szCs w:val="20"/>
          <w:lang w:val="en-AU" w:eastAsia="en-AU"/>
        </w:rPr>
        <w:t xml:space="preserve"> option will be in the public interest).</w:t>
      </w:r>
    </w:p>
    <w:p w:rsidR="00AA4211" w:rsidRPr="002A0440" w:rsidRDefault="00AA4211" w:rsidP="00AA4211">
      <w:pPr>
        <w:pStyle w:val="BodyText"/>
        <w:spacing w:line="285" w:lineRule="auto"/>
        <w:ind w:left="106"/>
        <w:rPr>
          <w:rFonts w:ascii="Arial" w:eastAsia="Times New Roman" w:hAnsi="Arial" w:cs="Tahoma"/>
          <w:color w:val="000000" w:themeColor="text1"/>
          <w:sz w:val="20"/>
          <w:szCs w:val="20"/>
          <w:lang w:val="en-AU" w:eastAsia="en-AU"/>
        </w:rPr>
      </w:pPr>
      <w:r w:rsidRPr="002A0440">
        <w:rPr>
          <w:rFonts w:ascii="Arial" w:eastAsia="Times New Roman" w:hAnsi="Arial" w:cs="Tahoma"/>
          <w:color w:val="000000" w:themeColor="text1"/>
          <w:sz w:val="20"/>
          <w:szCs w:val="20"/>
          <w:lang w:val="en-AU" w:eastAsia="en-AU"/>
        </w:rPr>
        <w:t xml:space="preserve">If the board decides on a </w:t>
      </w:r>
      <w:r w:rsidR="00780784">
        <w:rPr>
          <w:rFonts w:ascii="Arial" w:eastAsia="Times New Roman" w:hAnsi="Arial" w:cs="Tahoma"/>
          <w:color w:val="000000" w:themeColor="text1"/>
          <w:sz w:val="20"/>
          <w:szCs w:val="20"/>
          <w:lang w:val="en-AU" w:eastAsia="en-AU"/>
        </w:rPr>
        <w:t>less stringent</w:t>
      </w:r>
      <w:r w:rsidRPr="002A0440">
        <w:rPr>
          <w:rFonts w:ascii="Arial" w:eastAsia="Times New Roman" w:hAnsi="Arial" w:cs="Tahoma"/>
          <w:color w:val="000000" w:themeColor="text1"/>
          <w:sz w:val="20"/>
          <w:szCs w:val="20"/>
          <w:lang w:val="en-AU" w:eastAsia="en-AU"/>
        </w:rPr>
        <w:t xml:space="preserve"> option then, in addition to minuting why it is in the public interest, careful monitoring will occur to ensure that it remains appropriate (e.g. the board may initially determine to only record the conﬂict but after monitoring may decide instead that the </w:t>
      </w:r>
      <w:r w:rsidR="00841A38">
        <w:rPr>
          <w:rFonts w:ascii="Arial" w:eastAsia="Times New Roman" w:hAnsi="Arial" w:cs="Tahoma"/>
          <w:color w:val="000000" w:themeColor="text1"/>
          <w:sz w:val="20"/>
          <w:szCs w:val="20"/>
          <w:lang w:val="en-AU" w:eastAsia="en-AU"/>
        </w:rPr>
        <w:t>director</w:t>
      </w:r>
      <w:r w:rsidRPr="002A0440">
        <w:rPr>
          <w:rFonts w:ascii="Arial" w:eastAsia="Times New Roman" w:hAnsi="Arial" w:cs="Tahoma"/>
          <w:color w:val="000000" w:themeColor="text1"/>
          <w:sz w:val="20"/>
          <w:szCs w:val="20"/>
          <w:lang w:val="en-AU" w:eastAsia="en-AU"/>
        </w:rPr>
        <w:t xml:space="preserve"> can participate in part of the discussion but must be removed from all decision</w:t>
      </w:r>
      <w:r w:rsidR="00F6417D">
        <w:rPr>
          <w:rFonts w:ascii="Arial" w:eastAsia="Times New Roman" w:hAnsi="Arial" w:cs="Tahoma"/>
          <w:color w:val="000000" w:themeColor="text1"/>
          <w:sz w:val="20"/>
          <w:szCs w:val="20"/>
          <w:lang w:val="en-AU" w:eastAsia="en-AU"/>
        </w:rPr>
        <w:t xml:space="preserve"> </w:t>
      </w:r>
      <w:r w:rsidRPr="002A0440">
        <w:rPr>
          <w:rFonts w:ascii="Arial" w:eastAsia="Times New Roman" w:hAnsi="Arial" w:cs="Tahoma"/>
          <w:color w:val="000000" w:themeColor="text1"/>
          <w:sz w:val="20"/>
          <w:szCs w:val="20"/>
          <w:lang w:val="en-AU" w:eastAsia="en-AU"/>
        </w:rPr>
        <w:t>making on the matter).</w:t>
      </w:r>
    </w:p>
    <w:p w:rsidR="00AA4211" w:rsidRPr="002A0440" w:rsidRDefault="00AA4211" w:rsidP="00AA4211">
      <w:pPr>
        <w:pStyle w:val="BodyText"/>
        <w:spacing w:line="285" w:lineRule="auto"/>
        <w:ind w:left="106" w:right="196"/>
        <w:rPr>
          <w:rFonts w:ascii="Arial" w:eastAsia="Times New Roman" w:hAnsi="Arial" w:cs="Tahoma"/>
          <w:color w:val="000000" w:themeColor="text1"/>
          <w:sz w:val="20"/>
          <w:szCs w:val="20"/>
          <w:lang w:val="en-AU" w:eastAsia="en-AU"/>
        </w:rPr>
      </w:pPr>
      <w:r w:rsidRPr="002A0440">
        <w:rPr>
          <w:rFonts w:ascii="Arial" w:eastAsia="Times New Roman" w:hAnsi="Arial" w:cs="Tahoma"/>
          <w:color w:val="000000" w:themeColor="text1"/>
          <w:sz w:val="20"/>
          <w:szCs w:val="20"/>
          <w:lang w:val="en-AU" w:eastAsia="en-AU"/>
        </w:rPr>
        <w:t xml:space="preserve">If the board is unsure whether a </w:t>
      </w:r>
      <w:r w:rsidR="00780784">
        <w:rPr>
          <w:rFonts w:ascii="Arial" w:eastAsia="Times New Roman" w:hAnsi="Arial" w:cs="Tahoma"/>
          <w:color w:val="000000" w:themeColor="text1"/>
          <w:sz w:val="20"/>
          <w:szCs w:val="20"/>
          <w:lang w:val="en-AU" w:eastAsia="en-AU"/>
        </w:rPr>
        <w:t>less stringent</w:t>
      </w:r>
      <w:r w:rsidRPr="002A0440">
        <w:rPr>
          <w:rFonts w:ascii="Arial" w:eastAsia="Times New Roman" w:hAnsi="Arial" w:cs="Tahoma"/>
          <w:color w:val="000000" w:themeColor="text1"/>
          <w:sz w:val="20"/>
          <w:szCs w:val="20"/>
          <w:lang w:val="en-AU" w:eastAsia="en-AU"/>
        </w:rPr>
        <w:t xml:space="preserve"> option is in the public interest it will err on the side of caution and decide </w:t>
      </w:r>
      <w:r w:rsidR="00502785">
        <w:rPr>
          <w:rFonts w:ascii="Arial" w:eastAsia="Times New Roman" w:hAnsi="Arial" w:cs="Tahoma"/>
          <w:color w:val="000000" w:themeColor="text1"/>
          <w:sz w:val="20"/>
          <w:szCs w:val="20"/>
          <w:lang w:val="en-AU" w:eastAsia="en-AU"/>
        </w:rPr>
        <w:t xml:space="preserve">that the director be </w:t>
      </w:r>
      <w:r w:rsidR="00502785" w:rsidRPr="00502785">
        <w:rPr>
          <w:rFonts w:ascii="Arial" w:eastAsia="Times New Roman" w:hAnsi="Arial" w:cs="Tahoma"/>
          <w:b/>
          <w:color w:val="000000" w:themeColor="text1"/>
          <w:sz w:val="20"/>
          <w:szCs w:val="20"/>
          <w:lang w:val="en-AU" w:eastAsia="en-AU"/>
        </w:rPr>
        <w:t>removed</w:t>
      </w:r>
      <w:r w:rsidR="00502785">
        <w:rPr>
          <w:rFonts w:ascii="Arial" w:eastAsia="Times New Roman" w:hAnsi="Arial" w:cs="Tahoma"/>
          <w:color w:val="000000" w:themeColor="text1"/>
          <w:sz w:val="20"/>
          <w:szCs w:val="20"/>
          <w:lang w:val="en-AU" w:eastAsia="en-AU"/>
        </w:rPr>
        <w:t xml:space="preserve"> from the room and </w:t>
      </w:r>
      <w:r w:rsidRPr="002A0440">
        <w:rPr>
          <w:rFonts w:ascii="Arial" w:eastAsia="Times New Roman" w:hAnsi="Arial" w:cs="Tahoma"/>
          <w:color w:val="000000" w:themeColor="text1"/>
          <w:sz w:val="20"/>
          <w:szCs w:val="20"/>
          <w:lang w:val="en-AU" w:eastAsia="en-AU"/>
        </w:rPr>
        <w:t>not participate in any discussion or decision</w:t>
      </w:r>
      <w:r w:rsidR="00135ABC">
        <w:rPr>
          <w:rFonts w:ascii="Arial" w:eastAsia="Times New Roman" w:hAnsi="Arial" w:cs="Tahoma"/>
          <w:color w:val="000000" w:themeColor="text1"/>
          <w:sz w:val="20"/>
          <w:szCs w:val="20"/>
          <w:lang w:val="en-AU" w:eastAsia="en-AU"/>
        </w:rPr>
        <w:t xml:space="preserve"> </w:t>
      </w:r>
      <w:r w:rsidRPr="002A0440">
        <w:rPr>
          <w:rFonts w:ascii="Arial" w:eastAsia="Times New Roman" w:hAnsi="Arial" w:cs="Tahoma"/>
          <w:color w:val="000000" w:themeColor="text1"/>
          <w:sz w:val="20"/>
          <w:szCs w:val="20"/>
          <w:lang w:val="en-AU" w:eastAsia="en-AU"/>
        </w:rPr>
        <w:t>making on the matter).</w:t>
      </w:r>
    </w:p>
    <w:p w:rsidR="00AA4211" w:rsidRPr="00A10ADD" w:rsidRDefault="005375D6" w:rsidP="00FE38F6">
      <w:pPr>
        <w:pStyle w:val="NLH1VPSC"/>
      </w:pPr>
      <w:r w:rsidRPr="00A10ADD">
        <w:rPr>
          <w:w w:val="105"/>
        </w:rPr>
        <w:t>Recording in</w:t>
      </w:r>
      <w:r w:rsidR="00AA4211" w:rsidRPr="00A10ADD">
        <w:rPr>
          <w:spacing w:val="-20"/>
          <w:w w:val="105"/>
        </w:rPr>
        <w:t xml:space="preserve"> </w:t>
      </w:r>
      <w:r w:rsidRPr="00A10ADD">
        <w:rPr>
          <w:w w:val="105"/>
        </w:rPr>
        <w:t>minutes</w:t>
      </w:r>
    </w:p>
    <w:p w:rsidR="00AA4211" w:rsidRPr="002A0440" w:rsidRDefault="00AA4211" w:rsidP="002A0440">
      <w:pPr>
        <w:widowControl w:val="0"/>
        <w:tabs>
          <w:tab w:val="left" w:pos="352"/>
          <w:tab w:val="left" w:pos="622"/>
        </w:tabs>
        <w:autoSpaceDE w:val="0"/>
        <w:autoSpaceDN w:val="0"/>
        <w:spacing w:before="88" w:after="0"/>
        <w:ind w:left="106"/>
        <w:rPr>
          <w:rFonts w:ascii="Arial" w:eastAsia="Times New Roman" w:hAnsi="Arial" w:cs="Tahoma"/>
          <w:color w:val="000000" w:themeColor="text1"/>
          <w:sz w:val="20"/>
          <w:szCs w:val="20"/>
          <w:lang w:val="en-AU" w:eastAsia="en-AU"/>
        </w:rPr>
      </w:pPr>
      <w:r w:rsidRPr="002A0440">
        <w:rPr>
          <w:rFonts w:ascii="Arial" w:eastAsia="Times New Roman" w:hAnsi="Arial" w:cs="Tahoma"/>
          <w:color w:val="000000" w:themeColor="text1"/>
          <w:sz w:val="20"/>
          <w:szCs w:val="20"/>
          <w:lang w:val="en-AU" w:eastAsia="en-AU"/>
        </w:rPr>
        <w:t xml:space="preserve">If a </w:t>
      </w:r>
      <w:r w:rsidR="00841A38">
        <w:rPr>
          <w:rFonts w:ascii="Arial" w:eastAsia="Times New Roman" w:hAnsi="Arial" w:cs="Tahoma"/>
          <w:color w:val="000000" w:themeColor="text1"/>
          <w:sz w:val="20"/>
          <w:szCs w:val="20"/>
          <w:lang w:val="en-AU" w:eastAsia="en-AU"/>
        </w:rPr>
        <w:t>director</w:t>
      </w:r>
      <w:r w:rsidRPr="002A0440">
        <w:rPr>
          <w:rFonts w:ascii="Arial" w:eastAsia="Times New Roman" w:hAnsi="Arial" w:cs="Tahoma"/>
          <w:color w:val="000000" w:themeColor="text1"/>
          <w:sz w:val="20"/>
          <w:szCs w:val="20"/>
          <w:lang w:val="en-AU" w:eastAsia="en-AU"/>
        </w:rPr>
        <w:t xml:space="preserve"> declares a conﬂict of interest, the following information must be recorded in the minutes:</w:t>
      </w:r>
    </w:p>
    <w:p w:rsidR="00DA6B98" w:rsidRDefault="00AA4211" w:rsidP="00502785">
      <w:pPr>
        <w:pStyle w:val="Bullet1VPSC"/>
        <w:ind w:left="567"/>
      </w:pPr>
      <w:r w:rsidRPr="002A0440">
        <w:t xml:space="preserve">a description of the interest and the conﬂict (the dollar value of a ﬁnancial interest does not need to be included); </w:t>
      </w:r>
    </w:p>
    <w:p w:rsidR="00AA4211" w:rsidRPr="002A0440" w:rsidRDefault="00AA4211" w:rsidP="00502785">
      <w:pPr>
        <w:pStyle w:val="Bullet1VPSC"/>
        <w:ind w:left="567"/>
      </w:pPr>
      <w:r w:rsidRPr="002A0440">
        <w:t>whether the conﬂict is material;</w:t>
      </w:r>
    </w:p>
    <w:p w:rsidR="00AA4211" w:rsidRPr="002A0440" w:rsidRDefault="00AA4211" w:rsidP="00502785">
      <w:pPr>
        <w:pStyle w:val="Bullet1VPSC"/>
        <w:ind w:left="567"/>
      </w:pPr>
      <w:r w:rsidRPr="002A0440">
        <w:t>the action the board will take to manage the conﬂict in the public interest;</w:t>
      </w:r>
    </w:p>
    <w:p w:rsidR="00AA4211" w:rsidRPr="002A0440" w:rsidRDefault="00502785" w:rsidP="00502785">
      <w:pPr>
        <w:pStyle w:val="Bullet1VPSC"/>
        <w:ind w:left="567"/>
      </w:pPr>
      <w:r>
        <w:t>why</w:t>
      </w:r>
      <w:r w:rsidR="00AA4211" w:rsidRPr="002A0440">
        <w:t xml:space="preserve"> </w:t>
      </w:r>
      <w:r>
        <w:t>the chosen action</w:t>
      </w:r>
      <w:r w:rsidR="00AA4211" w:rsidRPr="002A0440">
        <w:t xml:space="preserve"> </w:t>
      </w:r>
      <w:r>
        <w:t>is in</w:t>
      </w:r>
      <w:r w:rsidR="00AA4211" w:rsidRPr="002A0440">
        <w:t xml:space="preserve"> the public interest; and</w:t>
      </w:r>
    </w:p>
    <w:p w:rsidR="00AA4211" w:rsidRPr="002A0440" w:rsidRDefault="00AA4211" w:rsidP="00502785">
      <w:pPr>
        <w:pStyle w:val="Bullet1VPSC"/>
        <w:ind w:left="567"/>
      </w:pPr>
      <w:r w:rsidRPr="002A0440">
        <w:t xml:space="preserve">if the </w:t>
      </w:r>
      <w:r w:rsidR="00841A38">
        <w:t>director</w:t>
      </w:r>
      <w:r w:rsidRPr="002A0440">
        <w:t xml:space="preserve"> leaves the room during discussion or decision</w:t>
      </w:r>
      <w:r w:rsidR="00502785">
        <w:t xml:space="preserve"> </w:t>
      </w:r>
      <w:r w:rsidRPr="002A0440">
        <w:t>making on the ‘conﬂicted’ matter, the time that he</w:t>
      </w:r>
      <w:r w:rsidR="00135ABC">
        <w:t xml:space="preserve"> or </w:t>
      </w:r>
      <w:r w:rsidRPr="002A0440">
        <w:t>she leaves and returns and the item (or part of the item) for which he or she was absent.</w:t>
      </w:r>
    </w:p>
    <w:p w:rsidR="00AA4211" w:rsidRPr="00502785" w:rsidRDefault="00502785" w:rsidP="002A0440">
      <w:pPr>
        <w:widowControl w:val="0"/>
        <w:tabs>
          <w:tab w:val="left" w:pos="352"/>
          <w:tab w:val="left" w:pos="622"/>
        </w:tabs>
        <w:autoSpaceDE w:val="0"/>
        <w:autoSpaceDN w:val="0"/>
        <w:spacing w:before="88" w:after="0"/>
        <w:ind w:left="106"/>
        <w:rPr>
          <w:rFonts w:ascii="Arial" w:eastAsia="Times New Roman" w:hAnsi="Arial" w:cs="Tahoma"/>
          <w:color w:val="00965E" w:themeColor="accent1"/>
          <w:w w:val="105"/>
          <w:sz w:val="20"/>
          <w:szCs w:val="20"/>
          <w:lang w:val="en-AU" w:eastAsia="en-AU"/>
        </w:rPr>
      </w:pPr>
      <w:r>
        <w:rPr>
          <w:rFonts w:ascii="Arial" w:eastAsia="Times New Roman" w:hAnsi="Arial" w:cs="Tahoma"/>
          <w:color w:val="00965E" w:themeColor="accent1"/>
          <w:w w:val="105"/>
          <w:sz w:val="20"/>
          <w:szCs w:val="20"/>
          <w:lang w:val="en-AU" w:eastAsia="en-AU"/>
        </w:rPr>
        <w:t>[</w:t>
      </w:r>
      <w:r w:rsidR="00AA4211" w:rsidRPr="00502785">
        <w:rPr>
          <w:rFonts w:ascii="Arial" w:eastAsia="Times New Roman" w:hAnsi="Arial" w:cs="Tahoma"/>
          <w:color w:val="00965E" w:themeColor="accent1"/>
          <w:w w:val="105"/>
          <w:sz w:val="20"/>
          <w:szCs w:val="20"/>
          <w:lang w:val="en-AU" w:eastAsia="en-AU"/>
        </w:rPr>
        <w:t xml:space="preserve">Other instruments, such as </w:t>
      </w:r>
      <w:r w:rsidR="00135ABC" w:rsidRPr="00502785">
        <w:rPr>
          <w:rFonts w:ascii="Arial" w:eastAsia="Times New Roman" w:hAnsi="Arial" w:cs="Tahoma"/>
          <w:color w:val="00965E" w:themeColor="accent1"/>
          <w:w w:val="105"/>
          <w:sz w:val="20"/>
          <w:szCs w:val="20"/>
          <w:lang w:val="en-AU" w:eastAsia="en-AU"/>
        </w:rPr>
        <w:t xml:space="preserve">the </w:t>
      </w:r>
      <w:r w:rsidR="00AA4211" w:rsidRPr="00135ABC">
        <w:rPr>
          <w:rFonts w:ascii="Arial" w:eastAsia="Times New Roman" w:hAnsi="Arial" w:cs="Tahoma"/>
          <w:color w:val="00965E" w:themeColor="accent1"/>
          <w:w w:val="105"/>
          <w:sz w:val="20"/>
          <w:szCs w:val="20"/>
          <w:lang w:val="en-AU" w:eastAsia="en-AU"/>
        </w:rPr>
        <w:t>establishing legislation</w:t>
      </w:r>
      <w:r w:rsidR="00AA4211" w:rsidRPr="00502785">
        <w:rPr>
          <w:rFonts w:ascii="Arial" w:eastAsia="Times New Roman" w:hAnsi="Arial" w:cs="Tahoma"/>
          <w:color w:val="00965E" w:themeColor="accent1"/>
          <w:w w:val="105"/>
          <w:sz w:val="20"/>
          <w:szCs w:val="20"/>
          <w:lang w:val="en-AU" w:eastAsia="en-AU"/>
        </w:rPr>
        <w:t xml:space="preserve"> or terms or reference, may also include </w:t>
      </w:r>
      <w:r w:rsidR="00AA4211" w:rsidRPr="00502785">
        <w:rPr>
          <w:rFonts w:ascii="Arial" w:eastAsia="Times New Roman" w:hAnsi="Arial" w:cs="Tahoma"/>
          <w:color w:val="00965E" w:themeColor="accent1"/>
          <w:w w:val="105"/>
          <w:sz w:val="20"/>
          <w:szCs w:val="20"/>
          <w:lang w:val="en-AU" w:eastAsia="en-AU"/>
        </w:rPr>
        <w:lastRenderedPageBreak/>
        <w:t>additional requirements about the minutes.</w:t>
      </w:r>
      <w:r>
        <w:rPr>
          <w:rFonts w:ascii="Arial" w:eastAsia="Times New Roman" w:hAnsi="Arial" w:cs="Tahoma"/>
          <w:color w:val="00965E" w:themeColor="accent1"/>
          <w:w w:val="105"/>
          <w:sz w:val="20"/>
          <w:szCs w:val="20"/>
          <w:lang w:val="en-AU" w:eastAsia="en-AU"/>
        </w:rPr>
        <w:t>]</w:t>
      </w:r>
    </w:p>
    <w:p w:rsidR="00AA4211" w:rsidRPr="00A10ADD" w:rsidRDefault="005375D6" w:rsidP="00FE38F6">
      <w:pPr>
        <w:pStyle w:val="NLH1VPSC"/>
      </w:pPr>
      <w:r w:rsidRPr="00A10ADD">
        <w:rPr>
          <w:w w:val="105"/>
        </w:rPr>
        <w:t>Breach of this</w:t>
      </w:r>
      <w:r w:rsidR="00AA4211" w:rsidRPr="00A10ADD">
        <w:rPr>
          <w:spacing w:val="-32"/>
          <w:w w:val="105"/>
        </w:rPr>
        <w:t xml:space="preserve"> </w:t>
      </w:r>
      <w:r w:rsidRPr="00A10ADD">
        <w:rPr>
          <w:w w:val="105"/>
        </w:rPr>
        <w:t>policy</w:t>
      </w:r>
    </w:p>
    <w:p w:rsidR="00AA4211" w:rsidRPr="002A0440" w:rsidRDefault="00AA4211" w:rsidP="002A0440">
      <w:pPr>
        <w:widowControl w:val="0"/>
        <w:tabs>
          <w:tab w:val="left" w:pos="352"/>
          <w:tab w:val="left" w:pos="622"/>
        </w:tabs>
        <w:autoSpaceDE w:val="0"/>
        <w:autoSpaceDN w:val="0"/>
        <w:spacing w:before="88" w:after="0"/>
        <w:ind w:left="106"/>
        <w:rPr>
          <w:rFonts w:ascii="Arial" w:eastAsia="Times New Roman" w:hAnsi="Arial" w:cs="Tahoma"/>
          <w:color w:val="000000" w:themeColor="text1"/>
          <w:sz w:val="20"/>
          <w:szCs w:val="20"/>
          <w:lang w:val="en-AU" w:eastAsia="en-AU"/>
        </w:rPr>
      </w:pPr>
      <w:r w:rsidRPr="002A0440">
        <w:rPr>
          <w:rFonts w:ascii="Arial" w:eastAsia="Times New Roman" w:hAnsi="Arial" w:cs="Tahoma"/>
          <w:color w:val="000000" w:themeColor="text1"/>
          <w:sz w:val="20"/>
          <w:szCs w:val="20"/>
          <w:lang w:val="en-AU" w:eastAsia="en-AU"/>
        </w:rPr>
        <w:t xml:space="preserve">A </w:t>
      </w:r>
      <w:r w:rsidR="00841A38">
        <w:rPr>
          <w:rFonts w:ascii="Arial" w:eastAsia="Times New Roman" w:hAnsi="Arial" w:cs="Tahoma"/>
          <w:color w:val="000000" w:themeColor="text1"/>
          <w:sz w:val="20"/>
          <w:szCs w:val="20"/>
          <w:lang w:val="en-AU" w:eastAsia="en-AU"/>
        </w:rPr>
        <w:t>director</w:t>
      </w:r>
      <w:r w:rsidRPr="002A0440">
        <w:rPr>
          <w:rFonts w:ascii="Arial" w:eastAsia="Times New Roman" w:hAnsi="Arial" w:cs="Tahoma"/>
          <w:color w:val="000000" w:themeColor="text1"/>
          <w:sz w:val="20"/>
          <w:szCs w:val="20"/>
          <w:lang w:val="en-AU" w:eastAsia="en-AU"/>
        </w:rPr>
        <w:t xml:space="preserve"> who may have breached this policy must notify the </w:t>
      </w:r>
      <w:r w:rsidR="00784424">
        <w:rPr>
          <w:rFonts w:ascii="Arial" w:eastAsia="Times New Roman" w:hAnsi="Arial" w:cs="Tahoma"/>
          <w:color w:val="000000" w:themeColor="text1"/>
          <w:sz w:val="20"/>
          <w:szCs w:val="20"/>
          <w:lang w:val="en-AU" w:eastAsia="en-AU"/>
        </w:rPr>
        <w:t>chairperson</w:t>
      </w:r>
      <w:r w:rsidRPr="002A0440">
        <w:rPr>
          <w:rFonts w:ascii="Arial" w:eastAsia="Times New Roman" w:hAnsi="Arial" w:cs="Tahoma"/>
          <w:color w:val="000000" w:themeColor="text1"/>
          <w:sz w:val="20"/>
          <w:szCs w:val="20"/>
          <w:lang w:val="en-AU" w:eastAsia="en-AU"/>
        </w:rPr>
        <w:t xml:space="preserve"> immediately. If the </w:t>
      </w:r>
      <w:r w:rsidR="00784424">
        <w:rPr>
          <w:rFonts w:ascii="Arial" w:eastAsia="Times New Roman" w:hAnsi="Arial" w:cs="Tahoma"/>
          <w:color w:val="000000" w:themeColor="text1"/>
          <w:sz w:val="20"/>
          <w:szCs w:val="20"/>
          <w:lang w:val="en-AU" w:eastAsia="en-AU"/>
        </w:rPr>
        <w:t>chairperson</w:t>
      </w:r>
      <w:r w:rsidRPr="002A0440">
        <w:rPr>
          <w:rFonts w:ascii="Arial" w:eastAsia="Times New Roman" w:hAnsi="Arial" w:cs="Tahoma"/>
          <w:color w:val="000000" w:themeColor="text1"/>
          <w:sz w:val="20"/>
          <w:szCs w:val="20"/>
          <w:lang w:val="en-AU" w:eastAsia="en-AU"/>
        </w:rPr>
        <w:t xml:space="preserve"> is of the view that a breach has not occurred, the board will determine at the next scheduled board meeting, and record in the minutes, whether a breach has occurred.</w:t>
      </w:r>
    </w:p>
    <w:p w:rsidR="00AA4211" w:rsidRPr="002A0440" w:rsidRDefault="00AA4211" w:rsidP="002A0440">
      <w:pPr>
        <w:widowControl w:val="0"/>
        <w:tabs>
          <w:tab w:val="left" w:pos="352"/>
          <w:tab w:val="left" w:pos="622"/>
        </w:tabs>
        <w:autoSpaceDE w:val="0"/>
        <w:autoSpaceDN w:val="0"/>
        <w:spacing w:before="88" w:after="0"/>
        <w:ind w:left="106"/>
        <w:rPr>
          <w:rFonts w:ascii="Arial" w:eastAsia="Times New Roman" w:hAnsi="Arial" w:cs="Tahoma"/>
          <w:color w:val="000000" w:themeColor="text1"/>
          <w:sz w:val="20"/>
          <w:szCs w:val="20"/>
          <w:lang w:val="en-AU" w:eastAsia="en-AU"/>
        </w:rPr>
      </w:pPr>
      <w:r w:rsidRPr="002A0440">
        <w:rPr>
          <w:rFonts w:ascii="Arial" w:eastAsia="Times New Roman" w:hAnsi="Arial" w:cs="Tahoma"/>
          <w:color w:val="000000" w:themeColor="text1"/>
          <w:sz w:val="20"/>
          <w:szCs w:val="20"/>
          <w:lang w:val="en-AU" w:eastAsia="en-AU"/>
        </w:rPr>
        <w:t xml:space="preserve">If the </w:t>
      </w:r>
      <w:r w:rsidR="00784424">
        <w:rPr>
          <w:rFonts w:ascii="Arial" w:eastAsia="Times New Roman" w:hAnsi="Arial" w:cs="Tahoma"/>
          <w:color w:val="000000" w:themeColor="text1"/>
          <w:sz w:val="20"/>
          <w:szCs w:val="20"/>
          <w:lang w:val="en-AU" w:eastAsia="en-AU"/>
        </w:rPr>
        <w:t>chairperson</w:t>
      </w:r>
      <w:r w:rsidRPr="002A0440">
        <w:rPr>
          <w:rFonts w:ascii="Arial" w:eastAsia="Times New Roman" w:hAnsi="Arial" w:cs="Tahoma"/>
          <w:color w:val="000000" w:themeColor="text1"/>
          <w:sz w:val="20"/>
          <w:szCs w:val="20"/>
          <w:lang w:val="en-AU" w:eastAsia="en-AU"/>
        </w:rPr>
        <w:t xml:space="preserve"> is of the view that a breach has occurred, he</w:t>
      </w:r>
      <w:r w:rsidR="00135ABC">
        <w:rPr>
          <w:rFonts w:ascii="Arial" w:eastAsia="Times New Roman" w:hAnsi="Arial" w:cs="Tahoma"/>
          <w:color w:val="000000" w:themeColor="text1"/>
          <w:sz w:val="20"/>
          <w:szCs w:val="20"/>
          <w:lang w:val="en-AU" w:eastAsia="en-AU"/>
        </w:rPr>
        <w:t xml:space="preserve"> or </w:t>
      </w:r>
      <w:r w:rsidRPr="002A0440">
        <w:rPr>
          <w:rFonts w:ascii="Arial" w:eastAsia="Times New Roman" w:hAnsi="Arial" w:cs="Tahoma"/>
          <w:color w:val="000000" w:themeColor="text1"/>
          <w:sz w:val="20"/>
          <w:szCs w:val="20"/>
          <w:lang w:val="en-AU" w:eastAsia="en-AU"/>
        </w:rPr>
        <w:t xml:space="preserve">she will arrange for the board to determine on an urgent basis, and record in the minutes, whether a breach has occurred. If a breach has occurred, the </w:t>
      </w:r>
      <w:r w:rsidR="00784424">
        <w:rPr>
          <w:rFonts w:ascii="Arial" w:eastAsia="Times New Roman" w:hAnsi="Arial" w:cs="Tahoma"/>
          <w:color w:val="000000" w:themeColor="text1"/>
          <w:sz w:val="20"/>
          <w:szCs w:val="20"/>
          <w:lang w:val="en-AU" w:eastAsia="en-AU"/>
        </w:rPr>
        <w:t>chairperson</w:t>
      </w:r>
      <w:r w:rsidRPr="002A0440">
        <w:rPr>
          <w:rFonts w:ascii="Arial" w:eastAsia="Times New Roman" w:hAnsi="Arial" w:cs="Tahoma"/>
          <w:color w:val="000000" w:themeColor="text1"/>
          <w:sz w:val="20"/>
          <w:szCs w:val="20"/>
          <w:lang w:val="en-AU" w:eastAsia="en-AU"/>
        </w:rPr>
        <w:t xml:space="preserve"> will notify the Minister and Secretary in writing as soon as</w:t>
      </w:r>
      <w:bookmarkStart w:id="29" w:name="_bookmark0"/>
      <w:bookmarkEnd w:id="29"/>
      <w:r w:rsidRPr="002A0440">
        <w:rPr>
          <w:rFonts w:ascii="Arial" w:eastAsia="Times New Roman" w:hAnsi="Arial" w:cs="Tahoma"/>
          <w:color w:val="000000" w:themeColor="text1"/>
          <w:sz w:val="20"/>
          <w:szCs w:val="20"/>
          <w:lang w:val="en-AU" w:eastAsia="en-AU"/>
        </w:rPr>
        <w:t xml:space="preserve"> practicable, including whether the breach relates to a material conﬂict of interest.</w:t>
      </w:r>
      <w:r w:rsidR="00DA6B98">
        <w:rPr>
          <w:rStyle w:val="FootnoteReference"/>
          <w:rFonts w:ascii="Arial" w:eastAsia="Times New Roman" w:hAnsi="Arial" w:cs="Tahoma"/>
          <w:color w:val="000000" w:themeColor="text1"/>
          <w:sz w:val="20"/>
          <w:szCs w:val="20"/>
          <w:lang w:val="en-AU" w:eastAsia="en-AU"/>
        </w:rPr>
        <w:footnoteReference w:id="6"/>
      </w:r>
    </w:p>
    <w:p w:rsidR="00AA4211" w:rsidRPr="002A0440" w:rsidRDefault="00AA4211" w:rsidP="002A0440">
      <w:pPr>
        <w:widowControl w:val="0"/>
        <w:tabs>
          <w:tab w:val="left" w:pos="352"/>
          <w:tab w:val="left" w:pos="622"/>
        </w:tabs>
        <w:autoSpaceDE w:val="0"/>
        <w:autoSpaceDN w:val="0"/>
        <w:spacing w:before="88" w:after="0"/>
        <w:ind w:left="106"/>
        <w:rPr>
          <w:rFonts w:ascii="Arial" w:eastAsia="Times New Roman" w:hAnsi="Arial" w:cs="Tahoma"/>
          <w:color w:val="000000" w:themeColor="text1"/>
          <w:sz w:val="20"/>
          <w:szCs w:val="20"/>
          <w:lang w:val="en-AU" w:eastAsia="en-AU"/>
        </w:rPr>
      </w:pPr>
      <w:r w:rsidRPr="002A0440">
        <w:rPr>
          <w:rFonts w:ascii="Arial" w:eastAsia="Times New Roman" w:hAnsi="Arial" w:cs="Tahoma"/>
          <w:color w:val="000000" w:themeColor="text1"/>
          <w:sz w:val="20"/>
          <w:szCs w:val="20"/>
          <w:lang w:val="en-AU" w:eastAsia="en-AU"/>
        </w:rPr>
        <w:t xml:space="preserve">A </w:t>
      </w:r>
      <w:r w:rsidR="00841A38">
        <w:rPr>
          <w:rFonts w:ascii="Arial" w:eastAsia="Times New Roman" w:hAnsi="Arial" w:cs="Tahoma"/>
          <w:color w:val="000000" w:themeColor="text1"/>
          <w:sz w:val="20"/>
          <w:szCs w:val="20"/>
          <w:lang w:val="en-AU" w:eastAsia="en-AU"/>
        </w:rPr>
        <w:t>director</w:t>
      </w:r>
      <w:r w:rsidRPr="002A0440">
        <w:rPr>
          <w:rFonts w:ascii="Arial" w:eastAsia="Times New Roman" w:hAnsi="Arial" w:cs="Tahoma"/>
          <w:color w:val="000000" w:themeColor="text1"/>
          <w:sz w:val="20"/>
          <w:szCs w:val="20"/>
          <w:lang w:val="en-AU" w:eastAsia="en-AU"/>
        </w:rPr>
        <w:t xml:space="preserve"> who believes that another </w:t>
      </w:r>
      <w:r w:rsidR="00841A38">
        <w:rPr>
          <w:rFonts w:ascii="Arial" w:eastAsia="Times New Roman" w:hAnsi="Arial" w:cs="Tahoma"/>
          <w:color w:val="000000" w:themeColor="text1"/>
          <w:sz w:val="20"/>
          <w:szCs w:val="20"/>
          <w:lang w:val="en-AU" w:eastAsia="en-AU"/>
        </w:rPr>
        <w:t>director</w:t>
      </w:r>
      <w:r w:rsidRPr="002A0440">
        <w:rPr>
          <w:rFonts w:ascii="Arial" w:eastAsia="Times New Roman" w:hAnsi="Arial" w:cs="Tahoma"/>
          <w:color w:val="000000" w:themeColor="text1"/>
          <w:sz w:val="20"/>
          <w:szCs w:val="20"/>
          <w:lang w:val="en-AU" w:eastAsia="en-AU"/>
        </w:rPr>
        <w:t xml:space="preserve"> may have breached this policy but not yet notiﬁed the </w:t>
      </w:r>
      <w:r w:rsidR="00784424">
        <w:rPr>
          <w:rFonts w:ascii="Arial" w:eastAsia="Times New Roman" w:hAnsi="Arial" w:cs="Tahoma"/>
          <w:color w:val="000000" w:themeColor="text1"/>
          <w:sz w:val="20"/>
          <w:szCs w:val="20"/>
          <w:lang w:val="en-AU" w:eastAsia="en-AU"/>
        </w:rPr>
        <w:t>chairperson</w:t>
      </w:r>
      <w:r w:rsidRPr="002A0440">
        <w:rPr>
          <w:rFonts w:ascii="Arial" w:eastAsia="Times New Roman" w:hAnsi="Arial" w:cs="Tahoma"/>
          <w:color w:val="000000" w:themeColor="text1"/>
          <w:sz w:val="20"/>
          <w:szCs w:val="20"/>
          <w:lang w:val="en-AU" w:eastAsia="en-AU"/>
        </w:rPr>
        <w:t xml:space="preserve"> will bring this to the</w:t>
      </w:r>
      <w:bookmarkStart w:id="30" w:name="_bookmark1"/>
      <w:bookmarkEnd w:id="30"/>
      <w:r w:rsidRPr="002A0440">
        <w:rPr>
          <w:rFonts w:ascii="Arial" w:eastAsia="Times New Roman" w:hAnsi="Arial" w:cs="Tahoma"/>
          <w:color w:val="000000" w:themeColor="text1"/>
          <w:sz w:val="20"/>
          <w:szCs w:val="20"/>
          <w:lang w:val="en-AU" w:eastAsia="en-AU"/>
        </w:rPr>
        <w:t xml:space="preserve"> attention of the </w:t>
      </w:r>
      <w:r w:rsidR="00784424">
        <w:rPr>
          <w:rFonts w:ascii="Arial" w:eastAsia="Times New Roman" w:hAnsi="Arial" w:cs="Tahoma"/>
          <w:color w:val="000000" w:themeColor="text1"/>
          <w:sz w:val="20"/>
          <w:szCs w:val="20"/>
          <w:lang w:val="en-AU" w:eastAsia="en-AU"/>
        </w:rPr>
        <w:t>chairperson</w:t>
      </w:r>
      <w:r w:rsidRPr="002A0440">
        <w:rPr>
          <w:rFonts w:ascii="Arial" w:eastAsia="Times New Roman" w:hAnsi="Arial" w:cs="Tahoma"/>
          <w:color w:val="000000" w:themeColor="text1"/>
          <w:sz w:val="20"/>
          <w:szCs w:val="20"/>
          <w:lang w:val="en-AU" w:eastAsia="en-AU"/>
        </w:rPr>
        <w:t xml:space="preserve"> or will approach the other </w:t>
      </w:r>
      <w:r w:rsidR="00841A38">
        <w:rPr>
          <w:rFonts w:ascii="Arial" w:eastAsia="Times New Roman" w:hAnsi="Arial" w:cs="Tahoma"/>
          <w:color w:val="000000" w:themeColor="text1"/>
          <w:sz w:val="20"/>
          <w:szCs w:val="20"/>
          <w:lang w:val="en-AU" w:eastAsia="en-AU"/>
        </w:rPr>
        <w:t>director</w:t>
      </w:r>
      <w:r w:rsidRPr="002A0440">
        <w:rPr>
          <w:rFonts w:ascii="Arial" w:eastAsia="Times New Roman" w:hAnsi="Arial" w:cs="Tahoma"/>
          <w:color w:val="000000" w:themeColor="text1"/>
          <w:sz w:val="20"/>
          <w:szCs w:val="20"/>
          <w:lang w:val="en-AU" w:eastAsia="en-AU"/>
        </w:rPr>
        <w:t xml:space="preserve">, who will then notify the </w:t>
      </w:r>
      <w:r w:rsidR="00784424">
        <w:rPr>
          <w:rFonts w:ascii="Arial" w:eastAsia="Times New Roman" w:hAnsi="Arial" w:cs="Tahoma"/>
          <w:color w:val="000000" w:themeColor="text1"/>
          <w:sz w:val="20"/>
          <w:szCs w:val="20"/>
          <w:lang w:val="en-AU" w:eastAsia="en-AU"/>
        </w:rPr>
        <w:t>chairperson</w:t>
      </w:r>
      <w:r w:rsidRPr="002A0440">
        <w:rPr>
          <w:rFonts w:ascii="Arial" w:eastAsia="Times New Roman" w:hAnsi="Arial" w:cs="Tahoma"/>
          <w:color w:val="000000" w:themeColor="text1"/>
          <w:sz w:val="20"/>
          <w:szCs w:val="20"/>
          <w:lang w:val="en-AU" w:eastAsia="en-AU"/>
        </w:rPr>
        <w:t>.</w:t>
      </w:r>
      <w:r w:rsidR="00DA6B98">
        <w:rPr>
          <w:rStyle w:val="FootnoteReference"/>
          <w:rFonts w:ascii="Arial" w:eastAsia="Times New Roman" w:hAnsi="Arial" w:cs="Tahoma"/>
          <w:color w:val="000000" w:themeColor="text1"/>
          <w:sz w:val="20"/>
          <w:szCs w:val="20"/>
          <w:lang w:val="en-AU" w:eastAsia="en-AU"/>
        </w:rPr>
        <w:footnoteReference w:id="7"/>
      </w:r>
    </w:p>
    <w:p w:rsidR="00AA4211" w:rsidRPr="002A0440" w:rsidRDefault="005375D6" w:rsidP="00FE38F6">
      <w:pPr>
        <w:pStyle w:val="NLH1VPSC"/>
      </w:pPr>
      <w:bookmarkStart w:id="31" w:name="_bookmark2"/>
      <w:bookmarkStart w:id="32" w:name="_bookmark3"/>
      <w:bookmarkEnd w:id="31"/>
      <w:bookmarkEnd w:id="32"/>
      <w:r w:rsidRPr="002A0440">
        <w:t>Regular review of this policy</w:t>
      </w:r>
    </w:p>
    <w:p w:rsidR="00AA4211" w:rsidRPr="002A0440" w:rsidRDefault="00AA4211" w:rsidP="002A0440">
      <w:pPr>
        <w:widowControl w:val="0"/>
        <w:tabs>
          <w:tab w:val="left" w:pos="352"/>
          <w:tab w:val="left" w:pos="622"/>
        </w:tabs>
        <w:autoSpaceDE w:val="0"/>
        <w:autoSpaceDN w:val="0"/>
        <w:spacing w:before="88" w:after="0"/>
        <w:ind w:left="106"/>
        <w:rPr>
          <w:rFonts w:ascii="Arial" w:eastAsia="Times New Roman" w:hAnsi="Arial" w:cs="Tahoma"/>
          <w:color w:val="000000" w:themeColor="text1"/>
          <w:sz w:val="20"/>
          <w:szCs w:val="20"/>
          <w:lang w:val="en-AU" w:eastAsia="en-AU"/>
        </w:rPr>
      </w:pPr>
      <w:r w:rsidRPr="002A0440">
        <w:rPr>
          <w:rFonts w:ascii="Arial" w:eastAsia="Times New Roman" w:hAnsi="Arial" w:cs="Tahoma"/>
          <w:color w:val="000000" w:themeColor="text1"/>
          <w:sz w:val="20"/>
          <w:szCs w:val="20"/>
          <w:lang w:val="en-AU" w:eastAsia="en-AU"/>
        </w:rPr>
        <w:t>The board must review their policies on an annual basis or more frequently, if required, to keep up-to-date with changes to laws, government policy, etc.</w:t>
      </w:r>
    </w:p>
    <w:p w:rsidR="00AA4211" w:rsidRPr="002A0440" w:rsidRDefault="005375D6" w:rsidP="00FE38F6">
      <w:pPr>
        <w:pStyle w:val="NLH1VPSC"/>
      </w:pPr>
      <w:r w:rsidRPr="002A0440">
        <w:t>Related policies</w:t>
      </w:r>
    </w:p>
    <w:p w:rsidR="00AA4211" w:rsidRPr="002A0440" w:rsidRDefault="00AA4211" w:rsidP="00DA6B98">
      <w:pPr>
        <w:pStyle w:val="Bullet1VPSC"/>
        <w:numPr>
          <w:ilvl w:val="0"/>
          <w:numId w:val="0"/>
        </w:numPr>
      </w:pPr>
      <w:r w:rsidRPr="002A0440">
        <w:t>Related policies include the following:</w:t>
      </w:r>
    </w:p>
    <w:p w:rsidR="00135ABC" w:rsidRPr="00135ABC" w:rsidRDefault="00135ABC" w:rsidP="00135ABC">
      <w:pPr>
        <w:pStyle w:val="Bullet1VPSC"/>
        <w:rPr>
          <w:i/>
        </w:rPr>
      </w:pPr>
      <w:r w:rsidRPr="00135ABC">
        <w:rPr>
          <w:i/>
        </w:rPr>
        <w:t>Code of Conduct for Directors of Victorian Public Entities</w:t>
      </w:r>
    </w:p>
    <w:p w:rsidR="0019741A" w:rsidRPr="0019741A" w:rsidRDefault="00D656B3" w:rsidP="0019741A">
      <w:pPr>
        <w:pStyle w:val="Bullet1VPSC"/>
        <w:rPr>
          <w:i/>
        </w:rPr>
      </w:pPr>
      <w:hyperlink r:id="rId13">
        <w:r w:rsidR="0019741A" w:rsidRPr="0019741A">
          <w:rPr>
            <w:i/>
          </w:rPr>
          <w:t>Conﬂict of Interest Policy</w:t>
        </w:r>
      </w:hyperlink>
    </w:p>
    <w:p w:rsidR="00DA6B98" w:rsidRPr="00135ABC" w:rsidRDefault="00D656B3" w:rsidP="00DA6B98">
      <w:pPr>
        <w:pStyle w:val="Bullet1VPSC"/>
        <w:rPr>
          <w:i/>
        </w:rPr>
      </w:pPr>
      <w:hyperlink r:id="rId14">
        <w:r w:rsidR="00AA4211" w:rsidRPr="00135ABC">
          <w:rPr>
            <w:i/>
          </w:rPr>
          <w:t>Gifts, Beneﬁts and Hospitality</w:t>
        </w:r>
      </w:hyperlink>
      <w:r w:rsidR="00135ABC" w:rsidRPr="00135ABC">
        <w:rPr>
          <w:i/>
        </w:rPr>
        <w:t xml:space="preserve"> Policy</w:t>
      </w:r>
    </w:p>
    <w:p w:rsidR="00AA4211" w:rsidRPr="0019741A" w:rsidRDefault="0019741A" w:rsidP="00DA6B98">
      <w:pPr>
        <w:pStyle w:val="Bullet1VPSC"/>
      </w:pPr>
      <w:r w:rsidRPr="0019741A">
        <w:rPr>
          <w:rFonts w:eastAsia="Times New Roman"/>
          <w:color w:val="00965E" w:themeColor="accent1"/>
          <w:lang w:eastAsia="en-AU"/>
        </w:rPr>
        <w:t>&lt;</w:t>
      </w:r>
      <w:r>
        <w:rPr>
          <w:rFonts w:eastAsia="Times New Roman"/>
          <w:color w:val="00965E" w:themeColor="accent1"/>
          <w:lang w:eastAsia="en-AU"/>
        </w:rPr>
        <w:t>Meetings and Decision M</w:t>
      </w:r>
      <w:r w:rsidR="00DA6B98" w:rsidRPr="0019741A">
        <w:rPr>
          <w:rFonts w:eastAsia="Times New Roman"/>
          <w:color w:val="00965E" w:themeColor="accent1"/>
          <w:lang w:eastAsia="en-AU"/>
        </w:rPr>
        <w:t>aking</w:t>
      </w:r>
      <w:r>
        <w:rPr>
          <w:rFonts w:eastAsia="Times New Roman"/>
          <w:color w:val="00965E" w:themeColor="accent1"/>
          <w:lang w:eastAsia="en-AU"/>
        </w:rPr>
        <w:t xml:space="preserve"> Policy</w:t>
      </w:r>
      <w:r w:rsidRPr="0019741A">
        <w:rPr>
          <w:rFonts w:eastAsia="Times New Roman"/>
          <w:color w:val="00965E" w:themeColor="accent1"/>
          <w:lang w:eastAsia="en-AU"/>
        </w:rPr>
        <w:t>&gt;</w:t>
      </w:r>
    </w:p>
    <w:p w:rsidR="0019741A" w:rsidRDefault="0019741A" w:rsidP="0019741A">
      <w:pPr>
        <w:pStyle w:val="Bullet1VPSC"/>
        <w:numPr>
          <w:ilvl w:val="0"/>
          <w:numId w:val="0"/>
        </w:numPr>
      </w:pPr>
    </w:p>
    <w:p w:rsidR="0019741A" w:rsidRPr="00FC1C8B" w:rsidRDefault="0019741A" w:rsidP="0019741A">
      <w:pPr>
        <w:pStyle w:val="Bullet1VPSC"/>
        <w:numPr>
          <w:ilvl w:val="0"/>
          <w:numId w:val="0"/>
        </w:numPr>
      </w:pPr>
      <w:r w:rsidRPr="00FC1C8B">
        <w:t xml:space="preserve">Policy issued on: </w:t>
      </w:r>
      <w:r w:rsidRPr="00FC1C8B">
        <w:tab/>
        <w:t>__/__/__</w:t>
      </w:r>
    </w:p>
    <w:p w:rsidR="0019741A" w:rsidRPr="0019741A" w:rsidRDefault="0019741A" w:rsidP="002C6BB6">
      <w:pPr>
        <w:pStyle w:val="Bullet1VPSC"/>
        <w:numPr>
          <w:ilvl w:val="0"/>
          <w:numId w:val="0"/>
        </w:numPr>
      </w:pPr>
      <w:r w:rsidRPr="00FC1C8B">
        <w:t xml:space="preserve">Review date: </w:t>
      </w:r>
      <w:r w:rsidRPr="00FC1C8B">
        <w:tab/>
      </w:r>
      <w:r w:rsidRPr="00FC1C8B">
        <w:tab/>
        <w:t>__/__/__</w:t>
      </w:r>
    </w:p>
    <w:bookmarkEnd w:id="3"/>
    <w:sectPr w:rsidR="0019741A" w:rsidRPr="0019741A" w:rsidSect="005375D6">
      <w:footerReference w:type="even" r:id="rId15"/>
      <w:footerReference w:type="default" r:id="rId16"/>
      <w:headerReference w:type="first" r:id="rId17"/>
      <w:footerReference w:type="first" r:id="rId18"/>
      <w:pgSz w:w="11900" w:h="16840"/>
      <w:pgMar w:top="1440" w:right="1418" w:bottom="1440" w:left="1418" w:header="567"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608" w:rsidRDefault="00174608" w:rsidP="001640D7">
      <w:pPr>
        <w:spacing w:after="0"/>
      </w:pPr>
      <w:r>
        <w:separator/>
      </w:r>
    </w:p>
  </w:endnote>
  <w:endnote w:type="continuationSeparator" w:id="0">
    <w:p w:rsidR="00174608" w:rsidRDefault="00174608"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00965E" w:themeColor="accent1"/>
      </w:tblBorders>
      <w:tblCellMar>
        <w:top w:w="57" w:type="dxa"/>
        <w:left w:w="115" w:type="dxa"/>
        <w:bottom w:w="57" w:type="dxa"/>
        <w:right w:w="115" w:type="dxa"/>
      </w:tblCellMar>
      <w:tblLook w:val="04A0" w:firstRow="1" w:lastRow="0" w:firstColumn="1" w:lastColumn="0" w:noHBand="0" w:noVBand="1"/>
      <w:tblCaption w:val="Table - footer"/>
      <w:tblDescription w:val="Contains the page number"/>
    </w:tblPr>
    <w:tblGrid>
      <w:gridCol w:w="569"/>
      <w:gridCol w:w="8725"/>
    </w:tblGrid>
    <w:tr w:rsidR="00174608" w:rsidRPr="00B94AE8" w:rsidTr="00B94AE8">
      <w:tc>
        <w:tcPr>
          <w:tcW w:w="306" w:type="pct"/>
          <w:shd w:val="clear" w:color="auto" w:fill="auto"/>
          <w:vAlign w:val="bottom"/>
        </w:tcPr>
        <w:p w:rsidR="00174608" w:rsidRPr="00B94AE8" w:rsidRDefault="00174608" w:rsidP="00997075">
          <w:pPr>
            <w:pStyle w:val="Header"/>
            <w:rPr>
              <w:rFonts w:cs="Arial"/>
              <w:color w:val="545850" w:themeColor="text2"/>
              <w:sz w:val="16"/>
            </w:rPr>
          </w:pPr>
        </w:p>
      </w:tc>
      <w:tc>
        <w:tcPr>
          <w:tcW w:w="4694" w:type="pct"/>
          <w:tcBorders>
            <w:bottom w:val="single" w:sz="18" w:space="0" w:color="00965E" w:themeColor="accent1"/>
          </w:tcBorders>
          <w:shd w:val="clear" w:color="auto" w:fill="auto"/>
          <w:vAlign w:val="bottom"/>
        </w:tcPr>
        <w:p w:rsidR="00174608" w:rsidRPr="00B94AE8" w:rsidRDefault="00174608" w:rsidP="00174608">
          <w:pPr>
            <w:pStyle w:val="Footer"/>
            <w:jc w:val="right"/>
          </w:pPr>
        </w:p>
      </w:tc>
    </w:tr>
  </w:tbl>
  <w:p w:rsidR="00174608" w:rsidRDefault="00174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686959"/>
      <w:docPartObj>
        <w:docPartGallery w:val="Page Numbers (Bottom of Page)"/>
        <w:docPartUnique/>
      </w:docPartObj>
    </w:sdtPr>
    <w:sdtEndPr>
      <w:rPr>
        <w:noProof/>
      </w:rPr>
    </w:sdtEndPr>
    <w:sdtContent>
      <w:p w:rsidR="005375D6" w:rsidRDefault="005375D6">
        <w:pPr>
          <w:pStyle w:val="Footer"/>
        </w:pPr>
        <w:r>
          <w:fldChar w:fldCharType="begin"/>
        </w:r>
        <w:r>
          <w:instrText xml:space="preserve"> PAGE   \* MERGEFORMAT </w:instrText>
        </w:r>
        <w:r>
          <w:fldChar w:fldCharType="separate"/>
        </w:r>
        <w:r>
          <w:rPr>
            <w:noProof/>
          </w:rPr>
          <w:t>2</w:t>
        </w:r>
        <w:r>
          <w:rPr>
            <w:noProof/>
          </w:rPr>
          <w:fldChar w:fldCharType="end"/>
        </w:r>
      </w:p>
    </w:sdtContent>
  </w:sdt>
  <w:p w:rsidR="00174608" w:rsidRDefault="00174608" w:rsidP="00FF49BD">
    <w:pPr>
      <w:pStyle w:val="Footer"/>
      <w:ind w:right="-1"/>
      <w:jc w:val="both"/>
      <w:rPr>
        <w:rStyle w:val="PageNumber"/>
        <w:rFonts w:cs="Arial"/>
        <w:b/>
        <w:color w:val="3F3F3F"/>
        <w:sz w:val="20"/>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996518"/>
      <w:docPartObj>
        <w:docPartGallery w:val="Page Numbers (Bottom of Page)"/>
        <w:docPartUnique/>
      </w:docPartObj>
    </w:sdtPr>
    <w:sdtEndPr>
      <w:rPr>
        <w:noProof/>
      </w:rPr>
    </w:sdtEndPr>
    <w:sdtContent>
      <w:p w:rsidR="005375D6" w:rsidRDefault="005375D6">
        <w:pPr>
          <w:pStyle w:val="Footer"/>
        </w:pPr>
        <w:r>
          <w:fldChar w:fldCharType="begin"/>
        </w:r>
        <w:r>
          <w:instrText xml:space="preserve"> PAGE   \* MERGEFORMAT </w:instrText>
        </w:r>
        <w:r>
          <w:fldChar w:fldCharType="separate"/>
        </w:r>
        <w:r>
          <w:rPr>
            <w:noProof/>
          </w:rPr>
          <w:t>2</w:t>
        </w:r>
        <w:r>
          <w:rPr>
            <w:noProof/>
          </w:rPr>
          <w:fldChar w:fldCharType="end"/>
        </w:r>
      </w:p>
    </w:sdtContent>
  </w:sdt>
  <w:p w:rsidR="00174608" w:rsidRDefault="00174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608" w:rsidRDefault="00174608" w:rsidP="001640D7">
      <w:pPr>
        <w:spacing w:after="0"/>
      </w:pPr>
      <w:r>
        <w:separator/>
      </w:r>
    </w:p>
  </w:footnote>
  <w:footnote w:type="continuationSeparator" w:id="0">
    <w:p w:rsidR="00174608" w:rsidRDefault="00174608" w:rsidP="001640D7">
      <w:pPr>
        <w:spacing w:after="0"/>
      </w:pPr>
      <w:r>
        <w:continuationSeparator/>
      </w:r>
    </w:p>
  </w:footnote>
  <w:footnote w:id="1">
    <w:p w:rsidR="0084606A" w:rsidRPr="0084606A" w:rsidRDefault="0084606A">
      <w:pPr>
        <w:pStyle w:val="FootnoteText"/>
        <w:rPr>
          <w:sz w:val="16"/>
          <w:szCs w:val="16"/>
          <w:lang w:val="en-AU"/>
        </w:rPr>
      </w:pPr>
      <w:r>
        <w:rPr>
          <w:rStyle w:val="FootnoteReference"/>
        </w:rPr>
        <w:footnoteRef/>
      </w:r>
      <w:r>
        <w:t xml:space="preserve"> </w:t>
      </w:r>
      <w:r w:rsidRPr="0084606A">
        <w:rPr>
          <w:rFonts w:ascii="Arial" w:hAnsi="Arial" w:cs="Arial"/>
          <w:color w:val="2F312D"/>
          <w:sz w:val="16"/>
          <w:szCs w:val="16"/>
        </w:rPr>
        <w:t xml:space="preserve">These provisions only apply to directors of </w:t>
      </w:r>
      <w:r w:rsidR="002C6BB6">
        <w:rPr>
          <w:rFonts w:ascii="Arial" w:hAnsi="Arial" w:cs="Arial"/>
          <w:color w:val="2F312D"/>
          <w:sz w:val="16"/>
          <w:szCs w:val="16"/>
        </w:rPr>
        <w:t xml:space="preserve">public </w:t>
      </w:r>
      <w:r w:rsidRPr="0084606A">
        <w:rPr>
          <w:rFonts w:ascii="Arial" w:hAnsi="Arial" w:cs="Arial"/>
          <w:color w:val="2F312D"/>
          <w:sz w:val="16"/>
          <w:szCs w:val="16"/>
        </w:rPr>
        <w:t>entities established on or after 1 July 2005.</w:t>
      </w:r>
    </w:p>
  </w:footnote>
  <w:footnote w:id="2">
    <w:p w:rsidR="00D671EF" w:rsidRPr="008C14DD" w:rsidRDefault="00D671EF">
      <w:pPr>
        <w:pStyle w:val="FootnoteText"/>
        <w:rPr>
          <w:rFonts w:ascii="Arial" w:hAnsi="Arial" w:cs="Arial"/>
          <w:sz w:val="16"/>
          <w:szCs w:val="16"/>
          <w:lang w:val="en-AU"/>
        </w:rPr>
      </w:pPr>
      <w:r>
        <w:rPr>
          <w:rStyle w:val="FootnoteReference"/>
        </w:rPr>
        <w:footnoteRef/>
      </w:r>
      <w:r>
        <w:t xml:space="preserve"> </w:t>
      </w:r>
      <w:r w:rsidRPr="008C14DD">
        <w:rPr>
          <w:rFonts w:ascii="Arial" w:hAnsi="Arial" w:cs="Arial"/>
          <w:sz w:val="16"/>
          <w:szCs w:val="16"/>
        </w:rPr>
        <w:t>Including a person paying rent or board or providing ‘in kind’ support.</w:t>
      </w:r>
    </w:p>
  </w:footnote>
  <w:footnote w:id="3">
    <w:p w:rsidR="0084606A" w:rsidRPr="0084606A" w:rsidRDefault="0084606A">
      <w:pPr>
        <w:pStyle w:val="FootnoteText"/>
        <w:rPr>
          <w:lang w:val="en-AU"/>
        </w:rPr>
      </w:pPr>
      <w:r>
        <w:rPr>
          <w:rStyle w:val="FootnoteReference"/>
        </w:rPr>
        <w:footnoteRef/>
      </w:r>
      <w:r>
        <w:t xml:space="preserve"> </w:t>
      </w:r>
      <w:r w:rsidRPr="008C14DD">
        <w:rPr>
          <w:rFonts w:ascii="Arial" w:hAnsi="Arial" w:cs="Arial"/>
          <w:sz w:val="16"/>
          <w:szCs w:val="16"/>
        </w:rPr>
        <w:t xml:space="preserve">Like other documents produced by the board (e.g. minutes of board meetings), the register is a public document. However, this does not mean that it is automatically ‘open to the public’. Unless the board agrees, a member of the public who wants to see the register would need to lodge an application under the Freedom of Information Act. If this occurs, the </w:t>
      </w:r>
      <w:r w:rsidR="000D1215">
        <w:rPr>
          <w:rFonts w:ascii="Arial" w:hAnsi="Arial" w:cs="Arial"/>
          <w:sz w:val="16"/>
          <w:szCs w:val="16"/>
        </w:rPr>
        <w:t>portfolio department</w:t>
      </w:r>
      <w:r w:rsidRPr="008C14DD">
        <w:rPr>
          <w:rFonts w:ascii="Arial" w:hAnsi="Arial" w:cs="Arial"/>
          <w:sz w:val="16"/>
          <w:szCs w:val="16"/>
        </w:rPr>
        <w:t xml:space="preserve"> can provide advice and assist to assess whether the register is exempt from disclosure under the Act.</w:t>
      </w:r>
    </w:p>
  </w:footnote>
  <w:footnote w:id="4">
    <w:p w:rsidR="00A15ADC" w:rsidRPr="00A15ADC" w:rsidRDefault="00A15ADC">
      <w:pPr>
        <w:pStyle w:val="FootnoteText"/>
        <w:rPr>
          <w:lang w:val="en-AU"/>
        </w:rPr>
      </w:pPr>
      <w:r>
        <w:rPr>
          <w:rStyle w:val="FootnoteReference"/>
        </w:rPr>
        <w:footnoteRef/>
      </w:r>
      <w:r>
        <w:t xml:space="preserve"> </w:t>
      </w:r>
      <w:r w:rsidRPr="008C14DD">
        <w:rPr>
          <w:rFonts w:ascii="Arial" w:hAnsi="Arial" w:cs="Arial"/>
          <w:sz w:val="16"/>
          <w:szCs w:val="16"/>
        </w:rPr>
        <w:t xml:space="preserve">Determining whether a conﬂict of interest is material is consistent with the requirements of s 81(1)(f) of the </w:t>
      </w:r>
      <w:r w:rsidRPr="008C14DD">
        <w:rPr>
          <w:rFonts w:ascii="Arial" w:hAnsi="Arial" w:cs="Arial"/>
          <w:i/>
          <w:sz w:val="16"/>
          <w:szCs w:val="16"/>
        </w:rPr>
        <w:t>Public Administration Act 2004</w:t>
      </w:r>
    </w:p>
  </w:footnote>
  <w:footnote w:id="5">
    <w:p w:rsidR="00DA6B98" w:rsidRPr="00DA6B98" w:rsidRDefault="00DA6B98">
      <w:pPr>
        <w:pStyle w:val="FootnoteText"/>
        <w:rPr>
          <w:lang w:val="en-AU"/>
        </w:rPr>
      </w:pPr>
      <w:r>
        <w:rPr>
          <w:rStyle w:val="FootnoteReference"/>
        </w:rPr>
        <w:footnoteRef/>
      </w:r>
      <w:r>
        <w:t xml:space="preserve"> </w:t>
      </w:r>
      <w:r w:rsidRPr="00DA6B98">
        <w:rPr>
          <w:rFonts w:ascii="Arial" w:eastAsia="Times New Roman" w:hAnsi="Arial" w:cs="Tahoma"/>
          <w:color w:val="000000" w:themeColor="text1"/>
          <w:sz w:val="16"/>
          <w:szCs w:val="16"/>
          <w:lang w:val="en-AU" w:eastAsia="en-AU"/>
        </w:rPr>
        <w:t>If this is a common occurrence, the relevant portfolio department should be notiﬁed</w:t>
      </w:r>
      <w:r w:rsidRPr="00182DD7">
        <w:rPr>
          <w:rFonts w:ascii="Arial" w:eastAsia="Times New Roman" w:hAnsi="Arial" w:cs="Tahoma"/>
          <w:color w:val="000000" w:themeColor="text1"/>
          <w:lang w:val="en-AU" w:eastAsia="en-AU"/>
        </w:rPr>
        <w:t>.</w:t>
      </w:r>
    </w:p>
  </w:footnote>
  <w:footnote w:id="6">
    <w:p w:rsidR="00DA6B98" w:rsidRPr="00DA6B98" w:rsidRDefault="00DA6B98" w:rsidP="00DA6B98">
      <w:pPr>
        <w:widowControl w:val="0"/>
        <w:tabs>
          <w:tab w:val="left" w:pos="352"/>
          <w:tab w:val="left" w:pos="622"/>
        </w:tabs>
        <w:autoSpaceDE w:val="0"/>
        <w:autoSpaceDN w:val="0"/>
        <w:spacing w:before="88" w:after="0"/>
        <w:rPr>
          <w:lang w:val="en-AU"/>
        </w:rPr>
      </w:pPr>
      <w:r>
        <w:rPr>
          <w:rStyle w:val="FootnoteReference"/>
        </w:rPr>
        <w:footnoteRef/>
      </w:r>
      <w:r>
        <w:t xml:space="preserve"> </w:t>
      </w:r>
      <w:r w:rsidRPr="00DA6B98">
        <w:rPr>
          <w:rFonts w:ascii="Arial" w:eastAsia="Times New Roman" w:hAnsi="Arial" w:cs="Tahoma"/>
          <w:color w:val="000000" w:themeColor="text1"/>
          <w:sz w:val="16"/>
          <w:szCs w:val="16"/>
          <w:lang w:val="en-AU" w:eastAsia="en-AU"/>
        </w:rPr>
        <w:t xml:space="preserve">These requirements are consistent with s 81(1)(b) and (f) of the </w:t>
      </w:r>
      <w:r w:rsidRPr="002C6BB6">
        <w:rPr>
          <w:rFonts w:ascii="Arial" w:eastAsia="Times New Roman" w:hAnsi="Arial" w:cs="Tahoma"/>
          <w:i/>
          <w:color w:val="000000" w:themeColor="text1"/>
          <w:sz w:val="16"/>
          <w:szCs w:val="16"/>
          <w:lang w:val="en-AU" w:eastAsia="en-AU"/>
        </w:rPr>
        <w:t>Public Administration Act 2004</w:t>
      </w:r>
      <w:r w:rsidRPr="00DA6B98">
        <w:rPr>
          <w:rFonts w:ascii="Arial" w:eastAsia="Times New Roman" w:hAnsi="Arial" w:cs="Tahoma"/>
          <w:color w:val="000000" w:themeColor="text1"/>
          <w:sz w:val="16"/>
          <w:szCs w:val="16"/>
          <w:lang w:val="en-AU" w:eastAsia="en-AU"/>
        </w:rPr>
        <w:t>.</w:t>
      </w:r>
    </w:p>
  </w:footnote>
  <w:footnote w:id="7">
    <w:p w:rsidR="00DA6B98" w:rsidRPr="00DA6B98" w:rsidRDefault="00DA6B98">
      <w:pPr>
        <w:pStyle w:val="FootnoteText"/>
        <w:rPr>
          <w:lang w:val="en-AU"/>
        </w:rPr>
      </w:pPr>
      <w:r>
        <w:rPr>
          <w:rStyle w:val="FootnoteReference"/>
        </w:rPr>
        <w:footnoteRef/>
      </w:r>
      <w:r>
        <w:t xml:space="preserve"> </w:t>
      </w:r>
      <w:r w:rsidRPr="00DA6B98">
        <w:rPr>
          <w:rFonts w:ascii="Arial" w:eastAsia="Times New Roman" w:hAnsi="Arial" w:cs="Tahoma"/>
          <w:color w:val="000000" w:themeColor="text1"/>
          <w:sz w:val="16"/>
          <w:szCs w:val="16"/>
          <w:lang w:val="en-AU" w:eastAsia="en-AU"/>
        </w:rPr>
        <w:t xml:space="preserve">If the matter concerns a possible breach by the </w:t>
      </w:r>
      <w:r w:rsidR="00784424">
        <w:rPr>
          <w:rFonts w:ascii="Arial" w:eastAsia="Times New Roman" w:hAnsi="Arial" w:cs="Tahoma"/>
          <w:color w:val="000000" w:themeColor="text1"/>
          <w:sz w:val="16"/>
          <w:szCs w:val="16"/>
          <w:lang w:val="en-AU" w:eastAsia="en-AU"/>
        </w:rPr>
        <w:t>chairperson</w:t>
      </w:r>
      <w:r w:rsidRPr="00DA6B98">
        <w:rPr>
          <w:rFonts w:ascii="Arial" w:eastAsia="Times New Roman" w:hAnsi="Arial" w:cs="Tahoma"/>
          <w:color w:val="000000" w:themeColor="text1"/>
          <w:sz w:val="16"/>
          <w:szCs w:val="16"/>
          <w:lang w:val="en-AU" w:eastAsia="en-AU"/>
        </w:rPr>
        <w:t xml:space="preserve">, it should be brought to the attention of the deputy </w:t>
      </w:r>
      <w:r w:rsidR="00784424">
        <w:rPr>
          <w:rFonts w:ascii="Arial" w:eastAsia="Times New Roman" w:hAnsi="Arial" w:cs="Tahoma"/>
          <w:color w:val="000000" w:themeColor="text1"/>
          <w:sz w:val="16"/>
          <w:szCs w:val="16"/>
          <w:lang w:val="en-AU" w:eastAsia="en-AU"/>
        </w:rPr>
        <w:t>chairperson</w:t>
      </w:r>
      <w:r w:rsidRPr="00DA6B98">
        <w:rPr>
          <w:rFonts w:ascii="Arial" w:eastAsia="Times New Roman" w:hAnsi="Arial" w:cs="Tahoma"/>
          <w:color w:val="000000" w:themeColor="text1"/>
          <w:sz w:val="16"/>
          <w:szCs w:val="16"/>
          <w:lang w:val="en-AU" w:eastAsia="en-AU"/>
        </w:rPr>
        <w:t xml:space="preserve"> or </w:t>
      </w:r>
      <w:r w:rsidR="00841A38">
        <w:rPr>
          <w:rFonts w:ascii="Arial" w:eastAsia="Times New Roman" w:hAnsi="Arial" w:cs="Tahoma"/>
          <w:color w:val="000000" w:themeColor="text1"/>
          <w:sz w:val="16"/>
          <w:szCs w:val="16"/>
          <w:lang w:val="en-AU" w:eastAsia="en-AU"/>
        </w:rPr>
        <w:t>director</w:t>
      </w:r>
      <w:r w:rsidRPr="00DA6B98">
        <w:rPr>
          <w:rFonts w:ascii="Arial" w:eastAsia="Times New Roman" w:hAnsi="Arial" w:cs="Tahoma"/>
          <w:color w:val="000000" w:themeColor="text1"/>
          <w:sz w:val="16"/>
          <w:szCs w:val="16"/>
          <w:lang w:val="en-AU" w:eastAsia="en-AU"/>
        </w:rPr>
        <w:t xml:space="preserve"> nominated by the board to assist the </w:t>
      </w:r>
      <w:r w:rsidR="00784424">
        <w:rPr>
          <w:rFonts w:ascii="Arial" w:eastAsia="Times New Roman" w:hAnsi="Arial" w:cs="Tahoma"/>
          <w:color w:val="000000" w:themeColor="text1"/>
          <w:sz w:val="16"/>
          <w:szCs w:val="16"/>
          <w:lang w:val="en-AU" w:eastAsia="en-AU"/>
        </w:rPr>
        <w:t>chairperson</w:t>
      </w:r>
      <w:r w:rsidRPr="00DA6B98">
        <w:rPr>
          <w:rFonts w:ascii="Arial" w:eastAsia="Times New Roman" w:hAnsi="Arial" w:cs="Tahoma"/>
          <w:color w:val="000000" w:themeColor="text1"/>
          <w:sz w:val="16"/>
          <w:szCs w:val="16"/>
          <w:lang w:val="en-AU" w:eastAsia="en-AU"/>
        </w:rPr>
        <w:t xml:space="preserve"> with conﬂict of interest queries.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608" w:rsidRDefault="00174608">
    <w:pPr>
      <w:pStyle w:val="Header"/>
    </w:pPr>
    <w:r>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6C2E"/>
    <w:multiLevelType w:val="hybridMultilevel"/>
    <w:tmpl w:val="E86E6D50"/>
    <w:lvl w:ilvl="0" w:tplc="2A9E7A4C">
      <w:start w:val="1"/>
      <w:numFmt w:val="decimal"/>
      <w:lvlText w:val="%1."/>
      <w:lvlJc w:val="left"/>
      <w:pPr>
        <w:ind w:left="449" w:hanging="343"/>
      </w:pPr>
      <w:rPr>
        <w:rFonts w:ascii="Trebuchet MS" w:eastAsia="Trebuchet MS" w:hAnsi="Trebuchet MS" w:cs="Trebuchet MS" w:hint="default"/>
        <w:color w:val="005A64"/>
        <w:spacing w:val="-1"/>
        <w:w w:val="96"/>
        <w:sz w:val="30"/>
        <w:szCs w:val="30"/>
      </w:rPr>
    </w:lvl>
    <w:lvl w:ilvl="1" w:tplc="58CAB338">
      <w:numFmt w:val="bullet"/>
      <w:lvlText w:val="•"/>
      <w:lvlJc w:val="left"/>
      <w:pPr>
        <w:ind w:left="1494" w:hanging="343"/>
      </w:pPr>
      <w:rPr>
        <w:rFonts w:hint="default"/>
      </w:rPr>
    </w:lvl>
    <w:lvl w:ilvl="2" w:tplc="1AD8339C">
      <w:numFmt w:val="bullet"/>
      <w:lvlText w:val="•"/>
      <w:lvlJc w:val="left"/>
      <w:pPr>
        <w:ind w:left="2549" w:hanging="343"/>
      </w:pPr>
      <w:rPr>
        <w:rFonts w:hint="default"/>
      </w:rPr>
    </w:lvl>
    <w:lvl w:ilvl="3" w:tplc="5FA0F7C2">
      <w:numFmt w:val="bullet"/>
      <w:lvlText w:val="•"/>
      <w:lvlJc w:val="left"/>
      <w:pPr>
        <w:ind w:left="3603" w:hanging="343"/>
      </w:pPr>
      <w:rPr>
        <w:rFonts w:hint="default"/>
      </w:rPr>
    </w:lvl>
    <w:lvl w:ilvl="4" w:tplc="95D8F060">
      <w:numFmt w:val="bullet"/>
      <w:lvlText w:val="•"/>
      <w:lvlJc w:val="left"/>
      <w:pPr>
        <w:ind w:left="4658" w:hanging="343"/>
      </w:pPr>
      <w:rPr>
        <w:rFonts w:hint="default"/>
      </w:rPr>
    </w:lvl>
    <w:lvl w:ilvl="5" w:tplc="257EAC8A">
      <w:numFmt w:val="bullet"/>
      <w:lvlText w:val="•"/>
      <w:lvlJc w:val="left"/>
      <w:pPr>
        <w:ind w:left="5712" w:hanging="343"/>
      </w:pPr>
      <w:rPr>
        <w:rFonts w:hint="default"/>
      </w:rPr>
    </w:lvl>
    <w:lvl w:ilvl="6" w:tplc="95E62D8E">
      <w:numFmt w:val="bullet"/>
      <w:lvlText w:val="•"/>
      <w:lvlJc w:val="left"/>
      <w:pPr>
        <w:ind w:left="6767" w:hanging="343"/>
      </w:pPr>
      <w:rPr>
        <w:rFonts w:hint="default"/>
      </w:rPr>
    </w:lvl>
    <w:lvl w:ilvl="7" w:tplc="E9306EDA">
      <w:numFmt w:val="bullet"/>
      <w:lvlText w:val="•"/>
      <w:lvlJc w:val="left"/>
      <w:pPr>
        <w:ind w:left="7821" w:hanging="343"/>
      </w:pPr>
      <w:rPr>
        <w:rFonts w:hint="default"/>
      </w:rPr>
    </w:lvl>
    <w:lvl w:ilvl="8" w:tplc="06D098CE">
      <w:numFmt w:val="bullet"/>
      <w:lvlText w:val="•"/>
      <w:lvlJc w:val="left"/>
      <w:pPr>
        <w:ind w:left="8876" w:hanging="343"/>
      </w:pPr>
      <w:rPr>
        <w:rFonts w:hint="default"/>
      </w:rPr>
    </w:lvl>
  </w:abstractNum>
  <w:abstractNum w:abstractNumId="11" w15:restartNumberingAfterBreak="0">
    <w:nsid w:val="01C5047B"/>
    <w:multiLevelType w:val="multilevel"/>
    <w:tmpl w:val="1E226EB2"/>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2"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BC7760"/>
    <w:multiLevelType w:val="multilevel"/>
    <w:tmpl w:val="D2906F6A"/>
    <w:lvl w:ilvl="0">
      <w:start w:val="1"/>
      <w:numFmt w:val="decimal"/>
      <w:pStyle w:val="AppendixNLH1VPSC"/>
      <w:lvlText w:val="A%1."/>
      <w:lvlJc w:val="left"/>
      <w:pPr>
        <w:tabs>
          <w:tab w:val="num" w:pos="680"/>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NLH2VPSC"/>
      <w:lvlText w:val="A%1.%2"/>
      <w:lvlJc w:val="left"/>
      <w:pPr>
        <w:tabs>
          <w:tab w:val="num" w:pos="680"/>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4" w15:restartNumberingAfterBreak="0">
    <w:nsid w:val="24F50957"/>
    <w:multiLevelType w:val="hybridMultilevel"/>
    <w:tmpl w:val="EB248CC8"/>
    <w:lvl w:ilvl="0" w:tplc="2C24E18C">
      <w:start w:val="1"/>
      <w:numFmt w:val="bullet"/>
      <w:pStyle w:val="Bullet1VPSC"/>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A6D5550"/>
    <w:multiLevelType w:val="hybridMultilevel"/>
    <w:tmpl w:val="62D2A6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A00147"/>
    <w:multiLevelType w:val="hybridMultilevel"/>
    <w:tmpl w:val="7B9CAE08"/>
    <w:lvl w:ilvl="0" w:tplc="18060C84">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7" w15:restartNumberingAfterBreak="0">
    <w:nsid w:val="30A73000"/>
    <w:multiLevelType w:val="multilevel"/>
    <w:tmpl w:val="A8F66DCC"/>
    <w:numStyleLink w:val="VPSCBulletList"/>
  </w:abstractNum>
  <w:abstractNum w:abstractNumId="18" w15:restartNumberingAfterBreak="0">
    <w:nsid w:val="31BC2CAE"/>
    <w:multiLevelType w:val="multilevel"/>
    <w:tmpl w:val="7542D90A"/>
    <w:lvl w:ilvl="0">
      <w:start w:val="1"/>
      <w:numFmt w:val="decimal"/>
      <w:lvlText w:val="A%1"/>
      <w:lvlJc w:val="left"/>
      <w:pPr>
        <w:ind w:left="794" w:hanging="794"/>
      </w:pPr>
      <w:rPr>
        <w:rFonts w:hint="default"/>
      </w:rPr>
    </w:lvl>
    <w:lvl w:ilvl="1">
      <w:start w:val="1"/>
      <w:numFmt w:val="decimal"/>
      <w:lvlText w:val="A%2."/>
      <w:lvlJc w:val="left"/>
      <w:pPr>
        <w:ind w:left="794" w:hanging="79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9" w15:restartNumberingAfterBreak="0">
    <w:nsid w:val="36E12392"/>
    <w:multiLevelType w:val="hybridMultilevel"/>
    <w:tmpl w:val="9026797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74C1AEB"/>
    <w:multiLevelType w:val="multilevel"/>
    <w:tmpl w:val="06461FE4"/>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1" w15:restartNumberingAfterBreak="0">
    <w:nsid w:val="3B0616B8"/>
    <w:multiLevelType w:val="hybridMultilevel"/>
    <w:tmpl w:val="985A5864"/>
    <w:lvl w:ilvl="0" w:tplc="5C14C678">
      <w:start w:val="1"/>
      <w:numFmt w:val="decimal"/>
      <w:lvlText w:val="%1."/>
      <w:lvlJc w:val="left"/>
      <w:pPr>
        <w:ind w:left="388" w:hanging="256"/>
      </w:pPr>
      <w:rPr>
        <w:rFonts w:ascii="Lucida Sans" w:eastAsia="Lucida Sans" w:hAnsi="Lucida Sans" w:cs="Lucida Sans" w:hint="default"/>
        <w:color w:val="2E302C"/>
        <w:w w:val="84"/>
        <w:sz w:val="18"/>
        <w:szCs w:val="18"/>
      </w:rPr>
    </w:lvl>
    <w:lvl w:ilvl="1" w:tplc="68CCED8A">
      <w:numFmt w:val="bullet"/>
      <w:lvlText w:val="•"/>
      <w:lvlJc w:val="left"/>
      <w:pPr>
        <w:ind w:left="1440" w:hanging="256"/>
      </w:pPr>
      <w:rPr>
        <w:rFonts w:hint="default"/>
      </w:rPr>
    </w:lvl>
    <w:lvl w:ilvl="2" w:tplc="49F6DD42">
      <w:numFmt w:val="bullet"/>
      <w:lvlText w:val="•"/>
      <w:lvlJc w:val="left"/>
      <w:pPr>
        <w:ind w:left="2501" w:hanging="256"/>
      </w:pPr>
      <w:rPr>
        <w:rFonts w:hint="default"/>
      </w:rPr>
    </w:lvl>
    <w:lvl w:ilvl="3" w:tplc="D1926326">
      <w:numFmt w:val="bullet"/>
      <w:lvlText w:val="•"/>
      <w:lvlJc w:val="left"/>
      <w:pPr>
        <w:ind w:left="3561" w:hanging="256"/>
      </w:pPr>
      <w:rPr>
        <w:rFonts w:hint="default"/>
      </w:rPr>
    </w:lvl>
    <w:lvl w:ilvl="4" w:tplc="2012A106">
      <w:numFmt w:val="bullet"/>
      <w:lvlText w:val="•"/>
      <w:lvlJc w:val="left"/>
      <w:pPr>
        <w:ind w:left="4622" w:hanging="256"/>
      </w:pPr>
      <w:rPr>
        <w:rFonts w:hint="default"/>
      </w:rPr>
    </w:lvl>
    <w:lvl w:ilvl="5" w:tplc="F272AA8C">
      <w:numFmt w:val="bullet"/>
      <w:lvlText w:val="•"/>
      <w:lvlJc w:val="left"/>
      <w:pPr>
        <w:ind w:left="5682" w:hanging="256"/>
      </w:pPr>
      <w:rPr>
        <w:rFonts w:hint="default"/>
      </w:rPr>
    </w:lvl>
    <w:lvl w:ilvl="6" w:tplc="6B7276B0">
      <w:numFmt w:val="bullet"/>
      <w:lvlText w:val="•"/>
      <w:lvlJc w:val="left"/>
      <w:pPr>
        <w:ind w:left="6743" w:hanging="256"/>
      </w:pPr>
      <w:rPr>
        <w:rFonts w:hint="default"/>
      </w:rPr>
    </w:lvl>
    <w:lvl w:ilvl="7" w:tplc="A2087C74">
      <w:numFmt w:val="bullet"/>
      <w:lvlText w:val="•"/>
      <w:lvlJc w:val="left"/>
      <w:pPr>
        <w:ind w:left="7803" w:hanging="256"/>
      </w:pPr>
      <w:rPr>
        <w:rFonts w:hint="default"/>
      </w:rPr>
    </w:lvl>
    <w:lvl w:ilvl="8" w:tplc="FB64EA44">
      <w:numFmt w:val="bullet"/>
      <w:lvlText w:val="•"/>
      <w:lvlJc w:val="left"/>
      <w:pPr>
        <w:ind w:left="8864" w:hanging="256"/>
      </w:pPr>
      <w:rPr>
        <w:rFonts w:hint="default"/>
      </w:rPr>
    </w:lvl>
  </w:abstractNum>
  <w:abstractNum w:abstractNumId="22" w15:restartNumberingAfterBreak="0">
    <w:nsid w:val="41E647A1"/>
    <w:multiLevelType w:val="hybridMultilevel"/>
    <w:tmpl w:val="46E4F0C4"/>
    <w:lvl w:ilvl="0" w:tplc="1A9048A0">
      <w:start w:val="11"/>
      <w:numFmt w:val="decimal"/>
      <w:lvlText w:val="%1."/>
      <w:lvlJc w:val="left"/>
      <w:pPr>
        <w:ind w:left="621" w:hanging="515"/>
      </w:pPr>
      <w:rPr>
        <w:rFonts w:ascii="Trebuchet MS" w:eastAsia="Trebuchet MS" w:hAnsi="Trebuchet MS" w:cs="Trebuchet MS" w:hint="default"/>
        <w:color w:val="005A64"/>
        <w:spacing w:val="-1"/>
        <w:w w:val="101"/>
        <w:sz w:val="30"/>
        <w:szCs w:val="30"/>
      </w:rPr>
    </w:lvl>
    <w:lvl w:ilvl="1" w:tplc="9F48FF60">
      <w:numFmt w:val="bullet"/>
      <w:lvlText w:val="•"/>
      <w:lvlJc w:val="left"/>
      <w:pPr>
        <w:ind w:left="1656" w:hanging="515"/>
      </w:pPr>
      <w:rPr>
        <w:rFonts w:hint="default"/>
      </w:rPr>
    </w:lvl>
    <w:lvl w:ilvl="2" w:tplc="ABD45876">
      <w:numFmt w:val="bullet"/>
      <w:lvlText w:val="•"/>
      <w:lvlJc w:val="left"/>
      <w:pPr>
        <w:ind w:left="2693" w:hanging="515"/>
      </w:pPr>
      <w:rPr>
        <w:rFonts w:hint="default"/>
      </w:rPr>
    </w:lvl>
    <w:lvl w:ilvl="3" w:tplc="2A7C2DDC">
      <w:numFmt w:val="bullet"/>
      <w:lvlText w:val="•"/>
      <w:lvlJc w:val="left"/>
      <w:pPr>
        <w:ind w:left="3729" w:hanging="515"/>
      </w:pPr>
      <w:rPr>
        <w:rFonts w:hint="default"/>
      </w:rPr>
    </w:lvl>
    <w:lvl w:ilvl="4" w:tplc="E1449DCE">
      <w:numFmt w:val="bullet"/>
      <w:lvlText w:val="•"/>
      <w:lvlJc w:val="left"/>
      <w:pPr>
        <w:ind w:left="4766" w:hanging="515"/>
      </w:pPr>
      <w:rPr>
        <w:rFonts w:hint="default"/>
      </w:rPr>
    </w:lvl>
    <w:lvl w:ilvl="5" w:tplc="7F7ADCF4">
      <w:numFmt w:val="bullet"/>
      <w:lvlText w:val="•"/>
      <w:lvlJc w:val="left"/>
      <w:pPr>
        <w:ind w:left="5802" w:hanging="515"/>
      </w:pPr>
      <w:rPr>
        <w:rFonts w:hint="default"/>
      </w:rPr>
    </w:lvl>
    <w:lvl w:ilvl="6" w:tplc="107E3802">
      <w:numFmt w:val="bullet"/>
      <w:lvlText w:val="•"/>
      <w:lvlJc w:val="left"/>
      <w:pPr>
        <w:ind w:left="6839" w:hanging="515"/>
      </w:pPr>
      <w:rPr>
        <w:rFonts w:hint="default"/>
      </w:rPr>
    </w:lvl>
    <w:lvl w:ilvl="7" w:tplc="0A24517A">
      <w:numFmt w:val="bullet"/>
      <w:lvlText w:val="•"/>
      <w:lvlJc w:val="left"/>
      <w:pPr>
        <w:ind w:left="7875" w:hanging="515"/>
      </w:pPr>
      <w:rPr>
        <w:rFonts w:hint="default"/>
      </w:rPr>
    </w:lvl>
    <w:lvl w:ilvl="8" w:tplc="0A62C394">
      <w:numFmt w:val="bullet"/>
      <w:lvlText w:val="•"/>
      <w:lvlJc w:val="left"/>
      <w:pPr>
        <w:ind w:left="8912" w:hanging="515"/>
      </w:pPr>
      <w:rPr>
        <w:rFonts w:hint="default"/>
      </w:rPr>
    </w:lvl>
  </w:abstractNum>
  <w:abstractNum w:abstractNumId="23" w15:restartNumberingAfterBreak="0">
    <w:nsid w:val="49214284"/>
    <w:multiLevelType w:val="hybridMultilevel"/>
    <w:tmpl w:val="275A24DA"/>
    <w:lvl w:ilvl="0" w:tplc="1A6C2228">
      <w:start w:val="1"/>
      <w:numFmt w:val="decimal"/>
      <w:lvlText w:val="[%1]"/>
      <w:lvlJc w:val="left"/>
      <w:pPr>
        <w:ind w:left="106" w:hanging="245"/>
      </w:pPr>
      <w:rPr>
        <w:rFonts w:ascii="Lucida Sans" w:eastAsia="Lucida Sans" w:hAnsi="Lucida Sans" w:cs="Lucida Sans" w:hint="default"/>
        <w:color w:val="0068A8"/>
        <w:w w:val="86"/>
        <w:sz w:val="18"/>
        <w:szCs w:val="18"/>
      </w:rPr>
    </w:lvl>
    <w:lvl w:ilvl="1" w:tplc="A1CEEDF2">
      <w:numFmt w:val="bullet"/>
      <w:lvlText w:val="•"/>
      <w:lvlJc w:val="left"/>
      <w:pPr>
        <w:ind w:left="1188" w:hanging="245"/>
      </w:pPr>
      <w:rPr>
        <w:rFonts w:hint="default"/>
      </w:rPr>
    </w:lvl>
    <w:lvl w:ilvl="2" w:tplc="DBEEE686">
      <w:numFmt w:val="bullet"/>
      <w:lvlText w:val="•"/>
      <w:lvlJc w:val="left"/>
      <w:pPr>
        <w:ind w:left="2277" w:hanging="245"/>
      </w:pPr>
      <w:rPr>
        <w:rFonts w:hint="default"/>
      </w:rPr>
    </w:lvl>
    <w:lvl w:ilvl="3" w:tplc="2368A5B0">
      <w:numFmt w:val="bullet"/>
      <w:lvlText w:val="•"/>
      <w:lvlJc w:val="left"/>
      <w:pPr>
        <w:ind w:left="3365" w:hanging="245"/>
      </w:pPr>
      <w:rPr>
        <w:rFonts w:hint="default"/>
      </w:rPr>
    </w:lvl>
    <w:lvl w:ilvl="4" w:tplc="CA00E872">
      <w:numFmt w:val="bullet"/>
      <w:lvlText w:val="•"/>
      <w:lvlJc w:val="left"/>
      <w:pPr>
        <w:ind w:left="4454" w:hanging="245"/>
      </w:pPr>
      <w:rPr>
        <w:rFonts w:hint="default"/>
      </w:rPr>
    </w:lvl>
    <w:lvl w:ilvl="5" w:tplc="ED9E6BBE">
      <w:numFmt w:val="bullet"/>
      <w:lvlText w:val="•"/>
      <w:lvlJc w:val="left"/>
      <w:pPr>
        <w:ind w:left="5542" w:hanging="245"/>
      </w:pPr>
      <w:rPr>
        <w:rFonts w:hint="default"/>
      </w:rPr>
    </w:lvl>
    <w:lvl w:ilvl="6" w:tplc="CDF25162">
      <w:numFmt w:val="bullet"/>
      <w:lvlText w:val="•"/>
      <w:lvlJc w:val="left"/>
      <w:pPr>
        <w:ind w:left="6631" w:hanging="245"/>
      </w:pPr>
      <w:rPr>
        <w:rFonts w:hint="default"/>
      </w:rPr>
    </w:lvl>
    <w:lvl w:ilvl="7" w:tplc="92B25FE6">
      <w:numFmt w:val="bullet"/>
      <w:lvlText w:val="•"/>
      <w:lvlJc w:val="left"/>
      <w:pPr>
        <w:ind w:left="7719" w:hanging="245"/>
      </w:pPr>
      <w:rPr>
        <w:rFonts w:hint="default"/>
      </w:rPr>
    </w:lvl>
    <w:lvl w:ilvl="8" w:tplc="88826778">
      <w:numFmt w:val="bullet"/>
      <w:lvlText w:val="•"/>
      <w:lvlJc w:val="left"/>
      <w:pPr>
        <w:ind w:left="8808" w:hanging="245"/>
      </w:pPr>
      <w:rPr>
        <w:rFonts w:hint="default"/>
      </w:rPr>
    </w:lvl>
  </w:abstractNum>
  <w:abstractNum w:abstractNumId="24"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5" w15:restartNumberingAfterBreak="0">
    <w:nsid w:val="4C587E6D"/>
    <w:multiLevelType w:val="hybridMultilevel"/>
    <w:tmpl w:val="FCFA8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C77BD9"/>
    <w:multiLevelType w:val="hybridMultilevel"/>
    <w:tmpl w:val="2F0423D6"/>
    <w:lvl w:ilvl="0" w:tplc="2C24E18C">
      <w:start w:val="1"/>
      <w:numFmt w:val="bullet"/>
      <w:lvlText w:val=""/>
      <w:lvlJc w:val="left"/>
      <w:pPr>
        <w:ind w:left="360" w:hanging="360"/>
      </w:pPr>
      <w:rPr>
        <w:rFonts w:ascii="Symbol" w:hAnsi="Symbol" w:hint="default"/>
      </w:rPr>
    </w:lvl>
    <w:lvl w:ilvl="1" w:tplc="CC1A8A6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F81508"/>
    <w:multiLevelType w:val="hybridMultilevel"/>
    <w:tmpl w:val="23A8588A"/>
    <w:lvl w:ilvl="0" w:tplc="3C0874DA">
      <w:start w:val="1"/>
      <w:numFmt w:val="decimal"/>
      <w:lvlText w:val="%1."/>
      <w:lvlJc w:val="left"/>
      <w:pPr>
        <w:ind w:left="620" w:hanging="231"/>
      </w:pPr>
      <w:rPr>
        <w:rFonts w:ascii="Lucida Sans" w:eastAsia="Lucida Sans" w:hAnsi="Lucida Sans" w:cs="Lucida Sans" w:hint="default"/>
        <w:color w:val="2E302C"/>
        <w:w w:val="109"/>
        <w:sz w:val="18"/>
        <w:szCs w:val="18"/>
      </w:rPr>
    </w:lvl>
    <w:lvl w:ilvl="1" w:tplc="4086C9D2">
      <w:numFmt w:val="bullet"/>
      <w:lvlText w:val="•"/>
      <w:lvlJc w:val="left"/>
      <w:pPr>
        <w:ind w:left="1656" w:hanging="231"/>
      </w:pPr>
      <w:rPr>
        <w:rFonts w:hint="default"/>
      </w:rPr>
    </w:lvl>
    <w:lvl w:ilvl="2" w:tplc="FA4A725A">
      <w:numFmt w:val="bullet"/>
      <w:lvlText w:val="•"/>
      <w:lvlJc w:val="left"/>
      <w:pPr>
        <w:ind w:left="2693" w:hanging="231"/>
      </w:pPr>
      <w:rPr>
        <w:rFonts w:hint="default"/>
      </w:rPr>
    </w:lvl>
    <w:lvl w:ilvl="3" w:tplc="494AEFF8">
      <w:numFmt w:val="bullet"/>
      <w:lvlText w:val="•"/>
      <w:lvlJc w:val="left"/>
      <w:pPr>
        <w:ind w:left="3729" w:hanging="231"/>
      </w:pPr>
      <w:rPr>
        <w:rFonts w:hint="default"/>
      </w:rPr>
    </w:lvl>
    <w:lvl w:ilvl="4" w:tplc="9E34D70A">
      <w:numFmt w:val="bullet"/>
      <w:lvlText w:val="•"/>
      <w:lvlJc w:val="left"/>
      <w:pPr>
        <w:ind w:left="4766" w:hanging="231"/>
      </w:pPr>
      <w:rPr>
        <w:rFonts w:hint="default"/>
      </w:rPr>
    </w:lvl>
    <w:lvl w:ilvl="5" w:tplc="149CE34A">
      <w:numFmt w:val="bullet"/>
      <w:lvlText w:val="•"/>
      <w:lvlJc w:val="left"/>
      <w:pPr>
        <w:ind w:left="5802" w:hanging="231"/>
      </w:pPr>
      <w:rPr>
        <w:rFonts w:hint="default"/>
      </w:rPr>
    </w:lvl>
    <w:lvl w:ilvl="6" w:tplc="51D26ECC">
      <w:numFmt w:val="bullet"/>
      <w:lvlText w:val="•"/>
      <w:lvlJc w:val="left"/>
      <w:pPr>
        <w:ind w:left="6839" w:hanging="231"/>
      </w:pPr>
      <w:rPr>
        <w:rFonts w:hint="default"/>
      </w:rPr>
    </w:lvl>
    <w:lvl w:ilvl="7" w:tplc="0492C8D2">
      <w:numFmt w:val="bullet"/>
      <w:lvlText w:val="•"/>
      <w:lvlJc w:val="left"/>
      <w:pPr>
        <w:ind w:left="7875" w:hanging="231"/>
      </w:pPr>
      <w:rPr>
        <w:rFonts w:hint="default"/>
      </w:rPr>
    </w:lvl>
    <w:lvl w:ilvl="8" w:tplc="A5E6058C">
      <w:numFmt w:val="bullet"/>
      <w:lvlText w:val="•"/>
      <w:lvlJc w:val="left"/>
      <w:pPr>
        <w:ind w:left="8912" w:hanging="231"/>
      </w:pPr>
      <w:rPr>
        <w:rFonts w:hint="default"/>
      </w:rPr>
    </w:lvl>
  </w:abstractNum>
  <w:abstractNum w:abstractNumId="28" w15:restartNumberingAfterBreak="0">
    <w:nsid w:val="684E4971"/>
    <w:multiLevelType w:val="multilevel"/>
    <w:tmpl w:val="A8F66DCC"/>
    <w:numStyleLink w:val="VPSCBulletList"/>
  </w:abstractNum>
  <w:abstractNum w:abstractNumId="29" w15:restartNumberingAfterBreak="0">
    <w:nsid w:val="6FD330CB"/>
    <w:multiLevelType w:val="hybridMultilevel"/>
    <w:tmpl w:val="4D30A306"/>
    <w:lvl w:ilvl="0" w:tplc="939A298C">
      <w:start w:val="1"/>
      <w:numFmt w:val="decimal"/>
      <w:lvlText w:val="%1."/>
      <w:lvlJc w:val="left"/>
      <w:pPr>
        <w:ind w:left="388" w:hanging="256"/>
      </w:pPr>
      <w:rPr>
        <w:rFonts w:hint="default"/>
        <w:w w:val="84"/>
      </w:rPr>
    </w:lvl>
    <w:lvl w:ilvl="1" w:tplc="3ED4996A">
      <w:numFmt w:val="bullet"/>
      <w:lvlText w:val="•"/>
      <w:lvlJc w:val="left"/>
      <w:pPr>
        <w:ind w:left="1440" w:hanging="256"/>
      </w:pPr>
      <w:rPr>
        <w:rFonts w:hint="default"/>
      </w:rPr>
    </w:lvl>
    <w:lvl w:ilvl="2" w:tplc="F17A7430">
      <w:numFmt w:val="bullet"/>
      <w:lvlText w:val="•"/>
      <w:lvlJc w:val="left"/>
      <w:pPr>
        <w:ind w:left="2501" w:hanging="256"/>
      </w:pPr>
      <w:rPr>
        <w:rFonts w:hint="default"/>
      </w:rPr>
    </w:lvl>
    <w:lvl w:ilvl="3" w:tplc="C7BC2346">
      <w:numFmt w:val="bullet"/>
      <w:lvlText w:val="•"/>
      <w:lvlJc w:val="left"/>
      <w:pPr>
        <w:ind w:left="3561" w:hanging="256"/>
      </w:pPr>
      <w:rPr>
        <w:rFonts w:hint="default"/>
      </w:rPr>
    </w:lvl>
    <w:lvl w:ilvl="4" w:tplc="775C915A">
      <w:numFmt w:val="bullet"/>
      <w:lvlText w:val="•"/>
      <w:lvlJc w:val="left"/>
      <w:pPr>
        <w:ind w:left="4622" w:hanging="256"/>
      </w:pPr>
      <w:rPr>
        <w:rFonts w:hint="default"/>
      </w:rPr>
    </w:lvl>
    <w:lvl w:ilvl="5" w:tplc="C576C1D4">
      <w:numFmt w:val="bullet"/>
      <w:lvlText w:val="•"/>
      <w:lvlJc w:val="left"/>
      <w:pPr>
        <w:ind w:left="5682" w:hanging="256"/>
      </w:pPr>
      <w:rPr>
        <w:rFonts w:hint="default"/>
      </w:rPr>
    </w:lvl>
    <w:lvl w:ilvl="6" w:tplc="6714CA54">
      <w:numFmt w:val="bullet"/>
      <w:lvlText w:val="•"/>
      <w:lvlJc w:val="left"/>
      <w:pPr>
        <w:ind w:left="6743" w:hanging="256"/>
      </w:pPr>
      <w:rPr>
        <w:rFonts w:hint="default"/>
      </w:rPr>
    </w:lvl>
    <w:lvl w:ilvl="7" w:tplc="91224464">
      <w:numFmt w:val="bullet"/>
      <w:lvlText w:val="•"/>
      <w:lvlJc w:val="left"/>
      <w:pPr>
        <w:ind w:left="7803" w:hanging="256"/>
      </w:pPr>
      <w:rPr>
        <w:rFonts w:hint="default"/>
      </w:rPr>
    </w:lvl>
    <w:lvl w:ilvl="8" w:tplc="40460C6C">
      <w:numFmt w:val="bullet"/>
      <w:lvlText w:val="•"/>
      <w:lvlJc w:val="left"/>
      <w:pPr>
        <w:ind w:left="8864" w:hanging="256"/>
      </w:pPr>
      <w:rPr>
        <w:rFonts w:hint="default"/>
      </w:rPr>
    </w:lvl>
  </w:abstractNum>
  <w:abstractNum w:abstractNumId="30" w15:restartNumberingAfterBreak="0">
    <w:nsid w:val="701E79A8"/>
    <w:multiLevelType w:val="hybridMultilevel"/>
    <w:tmpl w:val="D466F668"/>
    <w:lvl w:ilvl="0" w:tplc="B204D31E">
      <w:start w:val="7"/>
      <w:numFmt w:val="decimal"/>
      <w:lvlText w:val="%1."/>
      <w:lvlJc w:val="left"/>
      <w:pPr>
        <w:ind w:left="449" w:hanging="343"/>
      </w:pPr>
      <w:rPr>
        <w:rFonts w:ascii="Trebuchet MS" w:eastAsia="Trebuchet MS" w:hAnsi="Trebuchet MS" w:cs="Trebuchet MS" w:hint="default"/>
        <w:color w:val="005A64"/>
        <w:spacing w:val="-1"/>
        <w:w w:val="96"/>
        <w:sz w:val="30"/>
        <w:szCs w:val="30"/>
      </w:rPr>
    </w:lvl>
    <w:lvl w:ilvl="1" w:tplc="BC4A1686">
      <w:numFmt w:val="bullet"/>
      <w:lvlText w:val="•"/>
      <w:lvlJc w:val="left"/>
      <w:pPr>
        <w:ind w:left="1494" w:hanging="343"/>
      </w:pPr>
      <w:rPr>
        <w:rFonts w:hint="default"/>
      </w:rPr>
    </w:lvl>
    <w:lvl w:ilvl="2" w:tplc="70CA4D8E">
      <w:numFmt w:val="bullet"/>
      <w:lvlText w:val="•"/>
      <w:lvlJc w:val="left"/>
      <w:pPr>
        <w:ind w:left="2549" w:hanging="343"/>
      </w:pPr>
      <w:rPr>
        <w:rFonts w:hint="default"/>
      </w:rPr>
    </w:lvl>
    <w:lvl w:ilvl="3" w:tplc="95520914">
      <w:numFmt w:val="bullet"/>
      <w:lvlText w:val="•"/>
      <w:lvlJc w:val="left"/>
      <w:pPr>
        <w:ind w:left="3603" w:hanging="343"/>
      </w:pPr>
      <w:rPr>
        <w:rFonts w:hint="default"/>
      </w:rPr>
    </w:lvl>
    <w:lvl w:ilvl="4" w:tplc="B5287580">
      <w:numFmt w:val="bullet"/>
      <w:lvlText w:val="•"/>
      <w:lvlJc w:val="left"/>
      <w:pPr>
        <w:ind w:left="4658" w:hanging="343"/>
      </w:pPr>
      <w:rPr>
        <w:rFonts w:hint="default"/>
      </w:rPr>
    </w:lvl>
    <w:lvl w:ilvl="5" w:tplc="0BB44C70">
      <w:numFmt w:val="bullet"/>
      <w:lvlText w:val="•"/>
      <w:lvlJc w:val="left"/>
      <w:pPr>
        <w:ind w:left="5712" w:hanging="343"/>
      </w:pPr>
      <w:rPr>
        <w:rFonts w:hint="default"/>
      </w:rPr>
    </w:lvl>
    <w:lvl w:ilvl="6" w:tplc="DEAE435A">
      <w:numFmt w:val="bullet"/>
      <w:lvlText w:val="•"/>
      <w:lvlJc w:val="left"/>
      <w:pPr>
        <w:ind w:left="6767" w:hanging="343"/>
      </w:pPr>
      <w:rPr>
        <w:rFonts w:hint="default"/>
      </w:rPr>
    </w:lvl>
    <w:lvl w:ilvl="7" w:tplc="65B407EE">
      <w:numFmt w:val="bullet"/>
      <w:lvlText w:val="•"/>
      <w:lvlJc w:val="left"/>
      <w:pPr>
        <w:ind w:left="7821" w:hanging="343"/>
      </w:pPr>
      <w:rPr>
        <w:rFonts w:hint="default"/>
      </w:rPr>
    </w:lvl>
    <w:lvl w:ilvl="8" w:tplc="74847F08">
      <w:numFmt w:val="bullet"/>
      <w:lvlText w:val="•"/>
      <w:lvlJc w:val="left"/>
      <w:pPr>
        <w:ind w:left="8876" w:hanging="343"/>
      </w:pPr>
      <w:rPr>
        <w:rFonts w:hint="default"/>
      </w:rPr>
    </w:lvl>
  </w:abstractNum>
  <w:abstractNum w:abstractNumId="31" w15:restartNumberingAfterBreak="0">
    <w:nsid w:val="771F3CD1"/>
    <w:multiLevelType w:val="hybridMultilevel"/>
    <w:tmpl w:val="985C6A14"/>
    <w:lvl w:ilvl="0" w:tplc="DC6243F6">
      <w:start w:val="1"/>
      <w:numFmt w:val="decimal"/>
      <w:lvlText w:val="%1."/>
      <w:lvlJc w:val="left"/>
      <w:pPr>
        <w:ind w:left="388" w:hanging="256"/>
      </w:pPr>
      <w:rPr>
        <w:rFonts w:ascii="Lucida Sans" w:eastAsia="Lucida Sans" w:hAnsi="Lucida Sans" w:cs="Lucida Sans" w:hint="default"/>
        <w:color w:val="2E302C"/>
        <w:w w:val="84"/>
        <w:sz w:val="18"/>
        <w:szCs w:val="18"/>
      </w:rPr>
    </w:lvl>
    <w:lvl w:ilvl="1" w:tplc="B93A91E6">
      <w:numFmt w:val="bullet"/>
      <w:lvlText w:val="•"/>
      <w:lvlJc w:val="left"/>
      <w:pPr>
        <w:ind w:left="1440" w:hanging="256"/>
      </w:pPr>
      <w:rPr>
        <w:rFonts w:hint="default"/>
      </w:rPr>
    </w:lvl>
    <w:lvl w:ilvl="2" w:tplc="90CA3E4C">
      <w:numFmt w:val="bullet"/>
      <w:lvlText w:val="•"/>
      <w:lvlJc w:val="left"/>
      <w:pPr>
        <w:ind w:left="2501" w:hanging="256"/>
      </w:pPr>
      <w:rPr>
        <w:rFonts w:hint="default"/>
      </w:rPr>
    </w:lvl>
    <w:lvl w:ilvl="3" w:tplc="61928FE8">
      <w:numFmt w:val="bullet"/>
      <w:lvlText w:val="•"/>
      <w:lvlJc w:val="left"/>
      <w:pPr>
        <w:ind w:left="3561" w:hanging="256"/>
      </w:pPr>
      <w:rPr>
        <w:rFonts w:hint="default"/>
      </w:rPr>
    </w:lvl>
    <w:lvl w:ilvl="4" w:tplc="43E87228">
      <w:numFmt w:val="bullet"/>
      <w:lvlText w:val="•"/>
      <w:lvlJc w:val="left"/>
      <w:pPr>
        <w:ind w:left="4622" w:hanging="256"/>
      </w:pPr>
      <w:rPr>
        <w:rFonts w:hint="default"/>
      </w:rPr>
    </w:lvl>
    <w:lvl w:ilvl="5" w:tplc="FCCA6CB2">
      <w:numFmt w:val="bullet"/>
      <w:lvlText w:val="•"/>
      <w:lvlJc w:val="left"/>
      <w:pPr>
        <w:ind w:left="5682" w:hanging="256"/>
      </w:pPr>
      <w:rPr>
        <w:rFonts w:hint="default"/>
      </w:rPr>
    </w:lvl>
    <w:lvl w:ilvl="6" w:tplc="76421E82">
      <w:numFmt w:val="bullet"/>
      <w:lvlText w:val="•"/>
      <w:lvlJc w:val="left"/>
      <w:pPr>
        <w:ind w:left="6743" w:hanging="256"/>
      </w:pPr>
      <w:rPr>
        <w:rFonts w:hint="default"/>
      </w:rPr>
    </w:lvl>
    <w:lvl w:ilvl="7" w:tplc="B06495BC">
      <w:numFmt w:val="bullet"/>
      <w:lvlText w:val="•"/>
      <w:lvlJc w:val="left"/>
      <w:pPr>
        <w:ind w:left="7803" w:hanging="256"/>
      </w:pPr>
      <w:rPr>
        <w:rFonts w:hint="default"/>
      </w:rPr>
    </w:lvl>
    <w:lvl w:ilvl="8" w:tplc="BEEC1B04">
      <w:numFmt w:val="bullet"/>
      <w:lvlText w:val="•"/>
      <w:lvlJc w:val="left"/>
      <w:pPr>
        <w:ind w:left="8864" w:hanging="256"/>
      </w:pPr>
      <w:rPr>
        <w:rFonts w:hint="default"/>
      </w:rPr>
    </w:lvl>
  </w:abstractNum>
  <w:abstractNum w:abstractNumId="32" w15:restartNumberingAfterBreak="0">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32"/>
  </w:num>
  <w:num w:numId="4">
    <w:abstractNumId w:val="20"/>
  </w:num>
  <w:num w:numId="5">
    <w:abstractNumId w:val="24"/>
  </w:num>
  <w:num w:numId="6">
    <w:abstractNumId w:val="28"/>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8"/>
  </w:num>
  <w:num w:numId="25">
    <w:abstractNumId w:val="13"/>
  </w:num>
  <w:num w:numId="26">
    <w:abstractNumId w:val="22"/>
  </w:num>
  <w:num w:numId="27">
    <w:abstractNumId w:val="21"/>
  </w:num>
  <w:num w:numId="28">
    <w:abstractNumId w:val="30"/>
  </w:num>
  <w:num w:numId="29">
    <w:abstractNumId w:val="31"/>
  </w:num>
  <w:num w:numId="30">
    <w:abstractNumId w:val="29"/>
  </w:num>
  <w:num w:numId="31">
    <w:abstractNumId w:val="10"/>
  </w:num>
  <w:num w:numId="32">
    <w:abstractNumId w:val="23"/>
  </w:num>
  <w:num w:numId="33">
    <w:abstractNumId w:val="27"/>
  </w:num>
  <w:num w:numId="34">
    <w:abstractNumId w:val="25"/>
  </w:num>
  <w:num w:numId="35">
    <w:abstractNumId w:val="20"/>
  </w:num>
  <w:num w:numId="36">
    <w:abstractNumId w:val="20"/>
  </w:num>
  <w:num w:numId="37">
    <w:abstractNumId w:val="11"/>
  </w:num>
  <w:num w:numId="38">
    <w:abstractNumId w:val="15"/>
  </w:num>
  <w:num w:numId="39">
    <w:abstractNumId w:val="19"/>
  </w:num>
  <w:num w:numId="40">
    <w:abstractNumId w:val="2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5DBC"/>
    <w:rsid w:val="0000704B"/>
    <w:rsid w:val="000156BF"/>
    <w:rsid w:val="00023CA0"/>
    <w:rsid w:val="00025903"/>
    <w:rsid w:val="00041458"/>
    <w:rsid w:val="00041583"/>
    <w:rsid w:val="0004247E"/>
    <w:rsid w:val="00050741"/>
    <w:rsid w:val="00053BD5"/>
    <w:rsid w:val="00061BF5"/>
    <w:rsid w:val="00070DC6"/>
    <w:rsid w:val="00076F8B"/>
    <w:rsid w:val="000810B2"/>
    <w:rsid w:val="00081587"/>
    <w:rsid w:val="000C1415"/>
    <w:rsid w:val="000C5E7E"/>
    <w:rsid w:val="000D1215"/>
    <w:rsid w:val="000D5E50"/>
    <w:rsid w:val="000F3885"/>
    <w:rsid w:val="001021F0"/>
    <w:rsid w:val="001053BB"/>
    <w:rsid w:val="001165A2"/>
    <w:rsid w:val="001230CE"/>
    <w:rsid w:val="00127D22"/>
    <w:rsid w:val="00133B48"/>
    <w:rsid w:val="00135ABC"/>
    <w:rsid w:val="00137C4F"/>
    <w:rsid w:val="00161452"/>
    <w:rsid w:val="001634B3"/>
    <w:rsid w:val="001640D7"/>
    <w:rsid w:val="00171C8A"/>
    <w:rsid w:val="00174608"/>
    <w:rsid w:val="0017704C"/>
    <w:rsid w:val="001823C0"/>
    <w:rsid w:val="00182DD7"/>
    <w:rsid w:val="00194F03"/>
    <w:rsid w:val="0019741A"/>
    <w:rsid w:val="001A73C6"/>
    <w:rsid w:val="001C071B"/>
    <w:rsid w:val="001D5D14"/>
    <w:rsid w:val="001D77AE"/>
    <w:rsid w:val="001E0AA9"/>
    <w:rsid w:val="001E573E"/>
    <w:rsid w:val="001E62B5"/>
    <w:rsid w:val="00201E30"/>
    <w:rsid w:val="00214327"/>
    <w:rsid w:val="002254DF"/>
    <w:rsid w:val="002303E2"/>
    <w:rsid w:val="00250431"/>
    <w:rsid w:val="00265CA4"/>
    <w:rsid w:val="002757B1"/>
    <w:rsid w:val="00275930"/>
    <w:rsid w:val="002805E7"/>
    <w:rsid w:val="00281CBD"/>
    <w:rsid w:val="00282855"/>
    <w:rsid w:val="00296F01"/>
    <w:rsid w:val="002A0440"/>
    <w:rsid w:val="002A3440"/>
    <w:rsid w:val="002A4443"/>
    <w:rsid w:val="002B1BE5"/>
    <w:rsid w:val="002B6AF6"/>
    <w:rsid w:val="002C6BB6"/>
    <w:rsid w:val="002D0C99"/>
    <w:rsid w:val="002D0D25"/>
    <w:rsid w:val="002D1BA7"/>
    <w:rsid w:val="002D561E"/>
    <w:rsid w:val="002D6592"/>
    <w:rsid w:val="002F18F8"/>
    <w:rsid w:val="002F49F0"/>
    <w:rsid w:val="00301660"/>
    <w:rsid w:val="0031479A"/>
    <w:rsid w:val="003247E9"/>
    <w:rsid w:val="00326DD9"/>
    <w:rsid w:val="00346E45"/>
    <w:rsid w:val="003533B8"/>
    <w:rsid w:val="00354E92"/>
    <w:rsid w:val="00362B60"/>
    <w:rsid w:val="00363D4C"/>
    <w:rsid w:val="003716D8"/>
    <w:rsid w:val="003765ED"/>
    <w:rsid w:val="00381F8E"/>
    <w:rsid w:val="003A4289"/>
    <w:rsid w:val="003C2806"/>
    <w:rsid w:val="003D7B0B"/>
    <w:rsid w:val="003E1C79"/>
    <w:rsid w:val="003E1F96"/>
    <w:rsid w:val="003E42DA"/>
    <w:rsid w:val="00431CD8"/>
    <w:rsid w:val="0043759E"/>
    <w:rsid w:val="00441636"/>
    <w:rsid w:val="00451713"/>
    <w:rsid w:val="004560CC"/>
    <w:rsid w:val="0046188A"/>
    <w:rsid w:val="00466BA5"/>
    <w:rsid w:val="004B0B8B"/>
    <w:rsid w:val="004B50EA"/>
    <w:rsid w:val="004C25E6"/>
    <w:rsid w:val="004E355F"/>
    <w:rsid w:val="00502785"/>
    <w:rsid w:val="00502F9F"/>
    <w:rsid w:val="00506E6E"/>
    <w:rsid w:val="0051370D"/>
    <w:rsid w:val="00533753"/>
    <w:rsid w:val="005375D6"/>
    <w:rsid w:val="005466C2"/>
    <w:rsid w:val="005836E7"/>
    <w:rsid w:val="005B05A8"/>
    <w:rsid w:val="005B19A7"/>
    <w:rsid w:val="005B513B"/>
    <w:rsid w:val="005B5F1F"/>
    <w:rsid w:val="005D5092"/>
    <w:rsid w:val="0061316D"/>
    <w:rsid w:val="00623D79"/>
    <w:rsid w:val="006243B3"/>
    <w:rsid w:val="00636711"/>
    <w:rsid w:val="00662259"/>
    <w:rsid w:val="00696E8F"/>
    <w:rsid w:val="006D0F15"/>
    <w:rsid w:val="006D1D37"/>
    <w:rsid w:val="006E1DA6"/>
    <w:rsid w:val="007056B4"/>
    <w:rsid w:val="00715250"/>
    <w:rsid w:val="00730299"/>
    <w:rsid w:val="00732939"/>
    <w:rsid w:val="0073532F"/>
    <w:rsid w:val="007366F4"/>
    <w:rsid w:val="00741ADA"/>
    <w:rsid w:val="007442ED"/>
    <w:rsid w:val="00751CB3"/>
    <w:rsid w:val="0075791D"/>
    <w:rsid w:val="0077125A"/>
    <w:rsid w:val="0077128C"/>
    <w:rsid w:val="00780784"/>
    <w:rsid w:val="00784424"/>
    <w:rsid w:val="00785CA9"/>
    <w:rsid w:val="00787D2C"/>
    <w:rsid w:val="007B10E3"/>
    <w:rsid w:val="007B51D1"/>
    <w:rsid w:val="007B7EAA"/>
    <w:rsid w:val="007C279F"/>
    <w:rsid w:val="007C420C"/>
    <w:rsid w:val="007C7643"/>
    <w:rsid w:val="007D2267"/>
    <w:rsid w:val="007E220B"/>
    <w:rsid w:val="007F79D4"/>
    <w:rsid w:val="007F7F01"/>
    <w:rsid w:val="008021EA"/>
    <w:rsid w:val="0080229B"/>
    <w:rsid w:val="00804642"/>
    <w:rsid w:val="0081161A"/>
    <w:rsid w:val="0082520E"/>
    <w:rsid w:val="00841A38"/>
    <w:rsid w:val="008447A8"/>
    <w:rsid w:val="0084606A"/>
    <w:rsid w:val="008517BA"/>
    <w:rsid w:val="00852B14"/>
    <w:rsid w:val="0086421F"/>
    <w:rsid w:val="0087322A"/>
    <w:rsid w:val="008741BE"/>
    <w:rsid w:val="008753E0"/>
    <w:rsid w:val="00880F5F"/>
    <w:rsid w:val="00890475"/>
    <w:rsid w:val="00896116"/>
    <w:rsid w:val="008A123F"/>
    <w:rsid w:val="008A4164"/>
    <w:rsid w:val="008B4B19"/>
    <w:rsid w:val="008C14DD"/>
    <w:rsid w:val="008C3606"/>
    <w:rsid w:val="008C4EFB"/>
    <w:rsid w:val="008C7856"/>
    <w:rsid w:val="008E1441"/>
    <w:rsid w:val="00905945"/>
    <w:rsid w:val="00906912"/>
    <w:rsid w:val="00920A10"/>
    <w:rsid w:val="00924B61"/>
    <w:rsid w:val="00930D84"/>
    <w:rsid w:val="00933976"/>
    <w:rsid w:val="0093651D"/>
    <w:rsid w:val="0093757E"/>
    <w:rsid w:val="00951B36"/>
    <w:rsid w:val="009665E7"/>
    <w:rsid w:val="00967E80"/>
    <w:rsid w:val="00994B69"/>
    <w:rsid w:val="00997075"/>
    <w:rsid w:val="009A3E5F"/>
    <w:rsid w:val="009B2333"/>
    <w:rsid w:val="009B3D02"/>
    <w:rsid w:val="009C68E9"/>
    <w:rsid w:val="009D5F2A"/>
    <w:rsid w:val="009E7985"/>
    <w:rsid w:val="009E79A3"/>
    <w:rsid w:val="00A10ADD"/>
    <w:rsid w:val="00A15ADC"/>
    <w:rsid w:val="00A23124"/>
    <w:rsid w:val="00A47122"/>
    <w:rsid w:val="00A555E1"/>
    <w:rsid w:val="00A57086"/>
    <w:rsid w:val="00A63311"/>
    <w:rsid w:val="00A655FF"/>
    <w:rsid w:val="00A73D69"/>
    <w:rsid w:val="00A85A2C"/>
    <w:rsid w:val="00A85DB3"/>
    <w:rsid w:val="00A91967"/>
    <w:rsid w:val="00A92192"/>
    <w:rsid w:val="00A94317"/>
    <w:rsid w:val="00A96BD3"/>
    <w:rsid w:val="00AA4211"/>
    <w:rsid w:val="00AA6474"/>
    <w:rsid w:val="00AB6AF7"/>
    <w:rsid w:val="00AC7328"/>
    <w:rsid w:val="00AD1360"/>
    <w:rsid w:val="00AD6263"/>
    <w:rsid w:val="00AF1D05"/>
    <w:rsid w:val="00B005CB"/>
    <w:rsid w:val="00B01E65"/>
    <w:rsid w:val="00B04D5A"/>
    <w:rsid w:val="00B05E9A"/>
    <w:rsid w:val="00B15B50"/>
    <w:rsid w:val="00B35C6D"/>
    <w:rsid w:val="00B5138E"/>
    <w:rsid w:val="00B65D4C"/>
    <w:rsid w:val="00B663D8"/>
    <w:rsid w:val="00B80CD9"/>
    <w:rsid w:val="00B93429"/>
    <w:rsid w:val="00B94AE8"/>
    <w:rsid w:val="00BA1859"/>
    <w:rsid w:val="00BA401C"/>
    <w:rsid w:val="00BA61A7"/>
    <w:rsid w:val="00BA7E6C"/>
    <w:rsid w:val="00BB18E3"/>
    <w:rsid w:val="00BB49F1"/>
    <w:rsid w:val="00BB4BAB"/>
    <w:rsid w:val="00BF1DD2"/>
    <w:rsid w:val="00C2496D"/>
    <w:rsid w:val="00C24B0C"/>
    <w:rsid w:val="00C276D2"/>
    <w:rsid w:val="00C30E27"/>
    <w:rsid w:val="00C350DF"/>
    <w:rsid w:val="00C65602"/>
    <w:rsid w:val="00C80F1F"/>
    <w:rsid w:val="00C93C4D"/>
    <w:rsid w:val="00CA7A4A"/>
    <w:rsid w:val="00CB4DD3"/>
    <w:rsid w:val="00CB5DBC"/>
    <w:rsid w:val="00CC7C86"/>
    <w:rsid w:val="00CD3D7D"/>
    <w:rsid w:val="00CE2B0D"/>
    <w:rsid w:val="00CF0B4D"/>
    <w:rsid w:val="00D03F90"/>
    <w:rsid w:val="00D0451E"/>
    <w:rsid w:val="00D15CCB"/>
    <w:rsid w:val="00D15E11"/>
    <w:rsid w:val="00D170A6"/>
    <w:rsid w:val="00D272C3"/>
    <w:rsid w:val="00D50808"/>
    <w:rsid w:val="00D656B3"/>
    <w:rsid w:val="00D671EF"/>
    <w:rsid w:val="00D76BFC"/>
    <w:rsid w:val="00D82AD5"/>
    <w:rsid w:val="00DA5EF1"/>
    <w:rsid w:val="00DA6B98"/>
    <w:rsid w:val="00DB463C"/>
    <w:rsid w:val="00DC4469"/>
    <w:rsid w:val="00DC525B"/>
    <w:rsid w:val="00DF4657"/>
    <w:rsid w:val="00E0690D"/>
    <w:rsid w:val="00E128CE"/>
    <w:rsid w:val="00E2084D"/>
    <w:rsid w:val="00E21778"/>
    <w:rsid w:val="00E24AEF"/>
    <w:rsid w:val="00E42CE0"/>
    <w:rsid w:val="00E46F53"/>
    <w:rsid w:val="00E47D2E"/>
    <w:rsid w:val="00E75CB8"/>
    <w:rsid w:val="00E76FDB"/>
    <w:rsid w:val="00E97FC6"/>
    <w:rsid w:val="00EA6F3B"/>
    <w:rsid w:val="00EB24F1"/>
    <w:rsid w:val="00EB4D31"/>
    <w:rsid w:val="00EB636F"/>
    <w:rsid w:val="00EC1923"/>
    <w:rsid w:val="00ED389F"/>
    <w:rsid w:val="00EE0365"/>
    <w:rsid w:val="00EF7469"/>
    <w:rsid w:val="00F17369"/>
    <w:rsid w:val="00F35916"/>
    <w:rsid w:val="00F36105"/>
    <w:rsid w:val="00F56942"/>
    <w:rsid w:val="00F6417D"/>
    <w:rsid w:val="00F92C7F"/>
    <w:rsid w:val="00FC07EA"/>
    <w:rsid w:val="00FC51A0"/>
    <w:rsid w:val="00FD34E5"/>
    <w:rsid w:val="00FE3060"/>
    <w:rsid w:val="00FE38F6"/>
    <w:rsid w:val="00FF49BD"/>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9D83879-E796-4034-8F45-C79A1C78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B19A7"/>
  </w:style>
  <w:style w:type="paragraph" w:styleId="Heading1">
    <w:name w:val="heading 1"/>
    <w:basedOn w:val="Normal"/>
    <w:next w:val="Normal"/>
    <w:link w:val="Heading1Char"/>
    <w:uiPriority w:val="1"/>
    <w:qFormat/>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1"/>
    <w:unhideWhenUsed/>
    <w:qFormat/>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1"/>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1"/>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ind w:left="0"/>
    </w:pPr>
    <w:rPr>
      <w:rFonts w:ascii="Arial" w:hAnsi="Arial"/>
      <w:color w:val="545850" w:themeColor="text2"/>
      <w:szCs w:val="28"/>
    </w:rPr>
  </w:style>
  <w:style w:type="paragraph" w:styleId="TOC2">
    <w:name w:val="toc 2"/>
    <w:basedOn w:val="Normal"/>
    <w:next w:val="Normal"/>
    <w:autoRedefine/>
    <w:uiPriority w:val="1"/>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rFonts w:ascii="Arial" w:hAnsi="Arial"/>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2254D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730299"/>
    <w:pPr>
      <w:numPr>
        <w:numId w:val="7"/>
      </w:numPr>
      <w:spacing w:after="100" w:line="276" w:lineRule="auto"/>
    </w:pPr>
    <w:rPr>
      <w:rFonts w:ascii="Arial" w:eastAsia="Calibri" w:hAnsi="Arial" w:cs="Tahoma"/>
      <w:sz w:val="20"/>
      <w:szCs w:val="20"/>
      <w:lang w:val="en-AU" w:eastAsia="en-US"/>
    </w:rPr>
  </w:style>
  <w:style w:type="paragraph" w:customStyle="1" w:styleId="H3VPSC">
    <w:name w:val="H3 VPSC"/>
    <w:next w:val="BodyVPSC"/>
    <w:qFormat/>
    <w:rsid w:val="002254DF"/>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7B51D1"/>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9B2333"/>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qFormat/>
    <w:rsid w:val="003C2806"/>
    <w:pPr>
      <w:numPr>
        <w:numId w:val="4"/>
      </w:numPr>
      <w:spacing w:before="200" w:line="240" w:lineRule="auto"/>
    </w:pPr>
    <w:rPr>
      <w:b/>
      <w:color w:val="00965E" w:themeColor="accent1"/>
      <w:sz w:val="28"/>
    </w:rPr>
  </w:style>
  <w:style w:type="paragraph" w:customStyle="1" w:styleId="NLH2VPSC">
    <w:name w:val="NLH2 VPSC"/>
    <w:basedOn w:val="BodyVPSC"/>
    <w:qFormat/>
    <w:rsid w:val="003C2806"/>
    <w:pPr>
      <w:numPr>
        <w:ilvl w:val="1"/>
        <w:numId w:val="4"/>
      </w:numPr>
      <w:spacing w:before="200" w:line="240" w:lineRule="auto"/>
    </w:pPr>
    <w:rPr>
      <w:b/>
      <w:color w:val="00965E" w:themeColor="accent1"/>
      <w:sz w:val="24"/>
    </w:rPr>
  </w:style>
  <w:style w:type="paragraph" w:customStyle="1" w:styleId="NLH3VPSC">
    <w:name w:val="NLH3 VPSC"/>
    <w:basedOn w:val="BodyVPSC"/>
    <w:qFormat/>
    <w:rsid w:val="003C2806"/>
    <w:pPr>
      <w:numPr>
        <w:ilvl w:val="2"/>
        <w:numId w:val="4"/>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1"/>
    <w:unhideWhenUsed/>
    <w:qFormat/>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 w:val="20"/>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 w:val="20"/>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03F90"/>
    <w:pPr>
      <w:spacing w:after="0"/>
    </w:pPr>
    <w:rPr>
      <w:sz w:val="20"/>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uiPriority w:val="1"/>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qFormat/>
    <w:rsid w:val="00B01E65"/>
    <w:pPr>
      <w:tabs>
        <w:tab w:val="left" w:pos="1134"/>
        <w:tab w:val="left" w:leader="dot" w:pos="7938"/>
      </w:tabs>
      <w:spacing w:after="100"/>
      <w:ind w:left="681" w:hanging="284"/>
    </w:pPr>
    <w:rPr>
      <w:rFonts w:ascii="Arial" w:hAnsi="Arial"/>
      <w:color w:val="000000" w:themeColor="text1"/>
      <w:sz w:val="18"/>
    </w:rPr>
  </w:style>
  <w:style w:type="paragraph" w:styleId="TOC3">
    <w:name w:val="toc 3"/>
    <w:basedOn w:val="Normal"/>
    <w:next w:val="Normal"/>
    <w:autoRedefine/>
    <w:uiPriority w:val="39"/>
    <w:semiHidden/>
    <w:unhideWhenUsed/>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link w:val="TOCHeadingChar"/>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ullet3VPSC">
    <w:name w:val="Bullet 3 VPSC"/>
    <w:basedOn w:val="Bullet2VPSC"/>
    <w:qFormat/>
    <w:rsid w:val="007B10E3"/>
    <w:pPr>
      <w:ind w:left="1412" w:hanging="357"/>
    </w:pPr>
  </w:style>
  <w:style w:type="paragraph" w:customStyle="1" w:styleId="BodyNoSpaceVPSC">
    <w:name w:val="Body No Space VPSC"/>
    <w:basedOn w:val="NoSpacing"/>
    <w:qFormat/>
    <w:rsid w:val="007B10E3"/>
    <w:rPr>
      <w:rFonts w:ascii="Arial" w:hAnsi="Arial"/>
      <w:sz w:val="20"/>
    </w:rPr>
  </w:style>
  <w:style w:type="paragraph" w:customStyle="1" w:styleId="TableFigureHeadingVPSC">
    <w:name w:val="Table/Figure Heading VPSC"/>
    <w:basedOn w:val="BodyVPSC"/>
    <w:qFormat/>
    <w:rsid w:val="007B10E3"/>
    <w:pPr>
      <w:spacing w:before="60" w:after="60"/>
      <w:ind w:left="357" w:hanging="357"/>
    </w:pPr>
    <w:rPr>
      <w:b/>
      <w:color w:val="545850" w:themeColor="text2"/>
      <w:sz w:val="18"/>
    </w:rPr>
  </w:style>
  <w:style w:type="paragraph" w:customStyle="1" w:styleId="NL1VPSC">
    <w:name w:val="NL 1 VPSC"/>
    <w:basedOn w:val="ListContinue"/>
    <w:link w:val="NL1VPSCChar"/>
    <w:qFormat/>
    <w:rsid w:val="00B01E65"/>
    <w:pPr>
      <w:numPr>
        <w:numId w:val="23"/>
      </w:numPr>
      <w:ind w:left="714" w:hanging="357"/>
    </w:pPr>
    <w:rPr>
      <w:rFonts w:ascii="Arial" w:hAnsi="Arial"/>
      <w:sz w:val="20"/>
    </w:rPr>
  </w:style>
  <w:style w:type="paragraph" w:customStyle="1" w:styleId="NL2VPSC">
    <w:name w:val="NL 2 VPSC"/>
    <w:basedOn w:val="NL1VPSC"/>
    <w:link w:val="NL2VPSCChar"/>
    <w:qFormat/>
    <w:rsid w:val="00B01E65"/>
    <w:pPr>
      <w:numPr>
        <w:ilvl w:val="1"/>
      </w:numPr>
      <w:ind w:left="1077" w:hanging="357"/>
    </w:pPr>
  </w:style>
  <w:style w:type="character" w:customStyle="1" w:styleId="NL1VPSCChar">
    <w:name w:val="NL 1 VPSC Char"/>
    <w:basedOn w:val="DefaultParagraphFont"/>
    <w:link w:val="NL1VPSC"/>
    <w:rsid w:val="00B01E65"/>
    <w:rPr>
      <w:rFonts w:ascii="Arial" w:hAnsi="Arial"/>
      <w:sz w:val="20"/>
    </w:rPr>
  </w:style>
  <w:style w:type="paragraph" w:customStyle="1" w:styleId="NL3VPSC">
    <w:name w:val="NL 3 VPSC"/>
    <w:basedOn w:val="NL1VPSC"/>
    <w:link w:val="NL3VPSCChar"/>
    <w:qFormat/>
    <w:rsid w:val="00B01E65"/>
    <w:pPr>
      <w:numPr>
        <w:ilvl w:val="2"/>
      </w:numPr>
      <w:ind w:left="1372" w:hanging="181"/>
    </w:pPr>
  </w:style>
  <w:style w:type="character" w:customStyle="1" w:styleId="NL2VPSCChar">
    <w:name w:val="NL 2 VPSC Char"/>
    <w:basedOn w:val="NL1VPSCChar"/>
    <w:link w:val="NL2VPSC"/>
    <w:rsid w:val="00B01E65"/>
    <w:rPr>
      <w:rFonts w:ascii="Arial" w:hAnsi="Arial"/>
      <w:sz w:val="20"/>
    </w:rPr>
  </w:style>
  <w:style w:type="paragraph" w:customStyle="1" w:styleId="NL4VPSC">
    <w:name w:val="NL 4 VPSC"/>
    <w:basedOn w:val="NL1VPSC"/>
    <w:link w:val="NL4VPSCChar"/>
    <w:qFormat/>
    <w:rsid w:val="00B01E65"/>
    <w:pPr>
      <w:numPr>
        <w:ilvl w:val="3"/>
      </w:numPr>
      <w:ind w:left="1718" w:hanging="357"/>
    </w:pPr>
  </w:style>
  <w:style w:type="character" w:customStyle="1" w:styleId="NL3VPSCChar">
    <w:name w:val="NL 3 VPSC Char"/>
    <w:basedOn w:val="NL1VPSCChar"/>
    <w:link w:val="NL3VPSC"/>
    <w:rsid w:val="00B01E65"/>
    <w:rPr>
      <w:rFonts w:ascii="Arial" w:hAnsi="Arial"/>
      <w:sz w:val="20"/>
    </w:rPr>
  </w:style>
  <w:style w:type="character" w:customStyle="1" w:styleId="NL4VPSCChar">
    <w:name w:val="NL 4 VPSC Char"/>
    <w:basedOn w:val="NL1VPSCChar"/>
    <w:link w:val="NL4VPSC"/>
    <w:rsid w:val="00B01E65"/>
    <w:rPr>
      <w:rFonts w:ascii="Arial" w:hAnsi="Arial"/>
      <w:sz w:val="20"/>
    </w:rPr>
  </w:style>
  <w:style w:type="paragraph" w:customStyle="1" w:styleId="TOCHeadingVPSC">
    <w:name w:val="TOC Heading VPSC"/>
    <w:basedOn w:val="TOCHeading"/>
    <w:link w:val="TOCHeadingVPSCChar"/>
    <w:rsid w:val="002D6592"/>
    <w:pPr>
      <w:spacing w:before="240" w:after="120"/>
    </w:pPr>
    <w:rPr>
      <w:rFonts w:ascii="Arial" w:hAnsi="Arial"/>
      <w:color w:val="00965E" w:themeColor="accent1"/>
      <w:sz w:val="20"/>
    </w:rPr>
  </w:style>
  <w:style w:type="character" w:customStyle="1" w:styleId="BodyVPSCChar">
    <w:name w:val="Body VPSC Char"/>
    <w:basedOn w:val="DefaultParagraphFont"/>
    <w:link w:val="BodyVPSC"/>
    <w:rsid w:val="00B01E65"/>
    <w:rPr>
      <w:rFonts w:ascii="Arial" w:eastAsia="Times New Roman" w:hAnsi="Arial" w:cs="Tahoma"/>
      <w:color w:val="000000" w:themeColor="text1"/>
      <w:sz w:val="20"/>
      <w:szCs w:val="20"/>
      <w:lang w:val="en-AU" w:eastAsia="en-AU"/>
    </w:rPr>
  </w:style>
  <w:style w:type="character" w:customStyle="1" w:styleId="TOCHeadingChar">
    <w:name w:val="TOC Heading Char"/>
    <w:basedOn w:val="Heading1Char"/>
    <w:link w:val="TOCHeading"/>
    <w:uiPriority w:val="39"/>
    <w:semiHidden/>
    <w:rsid w:val="00B01E65"/>
    <w:rPr>
      <w:rFonts w:asciiTheme="majorHAnsi" w:eastAsiaTheme="majorEastAsia" w:hAnsiTheme="majorHAnsi" w:cstheme="majorBidi"/>
      <w:b/>
      <w:bCs/>
      <w:color w:val="007046" w:themeColor="accent1" w:themeShade="BF"/>
      <w:kern w:val="32"/>
      <w:sz w:val="28"/>
      <w:szCs w:val="28"/>
      <w:lang w:val="en-AU" w:eastAsia="en-AU"/>
    </w:rPr>
  </w:style>
  <w:style w:type="character" w:customStyle="1" w:styleId="TOCHeadingVPSCChar">
    <w:name w:val="TOC Heading VPSC Char"/>
    <w:basedOn w:val="TOCHeadingChar"/>
    <w:link w:val="TOCHeadingVPSC"/>
    <w:rsid w:val="002D6592"/>
    <w:rPr>
      <w:rFonts w:ascii="Arial" w:eastAsiaTheme="majorEastAsia" w:hAnsi="Arial" w:cstheme="majorBidi"/>
      <w:b/>
      <w:bCs/>
      <w:color w:val="00965E" w:themeColor="accent1"/>
      <w:kern w:val="32"/>
      <w:sz w:val="20"/>
      <w:szCs w:val="28"/>
      <w:lang w:val="en-AU" w:eastAsia="en-AU"/>
    </w:rPr>
  </w:style>
  <w:style w:type="paragraph" w:customStyle="1" w:styleId="AppendixNLH1VPSC">
    <w:name w:val="Appendix NLH 1 VPSC"/>
    <w:next w:val="BodyVPSC"/>
    <w:link w:val="AppendixNLH1VPSCChar"/>
    <w:qFormat/>
    <w:rsid w:val="005B19A7"/>
    <w:pPr>
      <w:numPr>
        <w:numId w:val="25"/>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5B19A7"/>
    <w:pPr>
      <w:numPr>
        <w:ilvl w:val="1"/>
      </w:numPr>
    </w:pPr>
    <w:rPr>
      <w:sz w:val="20"/>
    </w:rPr>
  </w:style>
  <w:style w:type="character" w:customStyle="1" w:styleId="AppendixNLH1VPSCChar">
    <w:name w:val="Appendix NLH 1 VPSC Char"/>
    <w:basedOn w:val="DefaultParagraphFont"/>
    <w:link w:val="AppendixNLH1VPSC"/>
    <w:rsid w:val="005B19A7"/>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5B19A7"/>
    <w:rPr>
      <w:rFonts w:ascii="Arial" w:eastAsia="Times New Roman" w:hAnsi="Arial" w:cs="Tahoma"/>
      <w:b/>
      <w:color w:val="00965E" w:themeColor="accent1"/>
      <w:sz w:val="20"/>
      <w:szCs w:val="20"/>
      <w:lang w:val="en-AU" w:eastAsia="en-AU"/>
    </w:rPr>
  </w:style>
  <w:style w:type="paragraph" w:customStyle="1" w:styleId="TableParagraph">
    <w:name w:val="Table Paragraph"/>
    <w:basedOn w:val="Normal"/>
    <w:uiPriority w:val="1"/>
    <w:qFormat/>
    <w:rsid w:val="00AA4211"/>
    <w:pPr>
      <w:widowControl w:val="0"/>
      <w:autoSpaceDE w:val="0"/>
      <w:autoSpaceDN w:val="0"/>
      <w:spacing w:after="0"/>
    </w:pPr>
    <w:rPr>
      <w:rFonts w:ascii="Lucida Sans" w:eastAsia="Lucida Sans" w:hAnsi="Lucida Sans" w:cs="Lucida Sans"/>
      <w:sz w:val="22"/>
      <w:szCs w:val="22"/>
      <w:lang w:eastAsia="en-US"/>
    </w:rPr>
  </w:style>
  <w:style w:type="character" w:styleId="FootnoteReference">
    <w:name w:val="footnote reference"/>
    <w:basedOn w:val="DefaultParagraphFont"/>
    <w:uiPriority w:val="99"/>
    <w:semiHidden/>
    <w:unhideWhenUsed/>
    <w:rsid w:val="00D671EF"/>
    <w:rPr>
      <w:vertAlign w:val="superscript"/>
    </w:rPr>
  </w:style>
  <w:style w:type="paragraph" w:customStyle="1" w:styleId="VPSCBody">
    <w:name w:val="VPSC Body"/>
    <w:qFormat/>
    <w:rsid w:val="00696E8F"/>
    <w:pPr>
      <w:spacing w:after="100" w:line="276" w:lineRule="auto"/>
    </w:pPr>
    <w:rPr>
      <w:rFonts w:ascii="Arial" w:eastAsia="Times New Roman" w:hAnsi="Arial" w:cs="Tahoma"/>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sc.vic.gov.au/products/view-products/directors-code-of-conduct-and-guidance-notes.html" TargetMode="External"/><Relationship Id="rId13" Type="http://schemas.openxmlformats.org/officeDocument/2006/relationships/hyperlink" Target="https://vpsc.vic.gov.au/resources/conflict-of-interest-guidance-for-organisation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psc.vic.gov.au/products/view-products/directors-code-of-conduct-and-guidance-note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vic/consol_act/paa2004230/s8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ustlii.edu.au/au/legis/vic/consol_act/paa2004230/s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ustlii.edu.au/au/legis/vic/consol_act/paa2004230/s79.html" TargetMode="External"/><Relationship Id="rId14" Type="http://schemas.openxmlformats.org/officeDocument/2006/relationships/hyperlink" Target="https://vpsc.vic.gov.au/resources/gifts-benefits-and-hospitality-resource-su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ppData\Roaming\Microsoft\Templates\TRIM\Generic%20Template%20-%20Internal%20Green%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C914-737D-40CF-A34B-5452DECA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Internal Green - Portrait.DOTX</Template>
  <TotalTime>1</TotalTime>
  <Pages>7</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Model Conflict of Interest Policy for Boards of Victorian Public Entities</vt:lpstr>
    </vt:vector>
  </TitlesOfParts>
  <Company>Victorian Public Sector Commission</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Conflict of Interest Policy for Boards of Victorian Public Entities</dc:title>
  <dc:subject/>
  <dc:creator>Victorian Public Sector Commission</dc:creator>
  <cp:keywords/>
  <cp:lastModifiedBy>Julie Sincock</cp:lastModifiedBy>
  <cp:revision>2</cp:revision>
  <cp:lastPrinted>2016-07-05T04:45:00Z</cp:lastPrinted>
  <dcterms:created xsi:type="dcterms:W3CDTF">2018-11-28T06:25:00Z</dcterms:created>
  <dcterms:modified xsi:type="dcterms:W3CDTF">2018-11-28T06:25:00Z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61a05a9b-6d91-46c2-9fdb-a1a1811b6ba9</vt:lpwstr>
  </property>
  <property fmtid="{D5CDD505-2E9C-101B-9397-08002B2CF9AE}" pid="3" name="TRIM-recNumber">
    <vt:lpwstr>TRIM Number</vt:lpwstr>
  </property>
  <property fmtid="{D5CDD505-2E9C-101B-9397-08002B2CF9AE}" pid="4" name="Language">
    <vt:lpwstr>English</vt:lpwstr>
  </property>
  <property fmtid="{D5CDD505-2E9C-101B-9397-08002B2CF9AE}" pid="5" name="TemplateVersion">
    <vt:lpwstr>1.1</vt:lpwstr>
  </property>
  <property fmtid="{D5CDD505-2E9C-101B-9397-08002B2CF9AE}" pid="6" name="PSPFClassification">
    <vt:lpwstr>Unclassified</vt:lpwstr>
  </property>
</Properties>
</file>