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90" w:rsidRPr="003072C6" w:rsidRDefault="007E455E" w:rsidP="00A55989">
      <w:pPr>
        <w:pStyle w:val="WoVGbodynospace"/>
      </w:pPr>
      <w:r>
        <w:rPr>
          <w:noProof/>
          <w:lang w:eastAsia="en-AU"/>
        </w:rPr>
        <w:drawing>
          <wp:anchor distT="0" distB="0" distL="114300" distR="114300" simplePos="0" relativeHeight="251657728" behindDoc="1" locked="0" layoutInCell="1" allowOverlap="1" wp14:anchorId="6CC133A0" wp14:editId="4AE678C9">
            <wp:simplePos x="0" y="0"/>
            <wp:positionH relativeFrom="page">
              <wp:posOffset>-28394</wp:posOffset>
            </wp:positionH>
            <wp:positionV relativeFrom="page">
              <wp:posOffset>-12065</wp:posOffset>
            </wp:positionV>
            <wp:extent cx="7555865" cy="10691495"/>
            <wp:effectExtent l="0" t="0" r="6985" b="0"/>
            <wp:wrapNone/>
            <wp:docPr id="102" name="Picture 6"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586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25FF" w:rsidRPr="003072C6" w:rsidRDefault="000A25FF" w:rsidP="007E455E">
      <w:pPr>
        <w:pStyle w:val="WoVGreportmaintitle"/>
      </w:pPr>
      <w:r>
        <w:t>Leading the Way</w:t>
      </w:r>
    </w:p>
    <w:p w:rsidR="000A25FF" w:rsidRPr="003072C6" w:rsidRDefault="000A25FF" w:rsidP="0096004B">
      <w:pPr>
        <w:pStyle w:val="WoVGreportsubtitlegrey"/>
      </w:pPr>
      <w:r>
        <w:t xml:space="preserve">Improving health and safety </w:t>
      </w:r>
      <w:r>
        <w:br/>
        <w:t>in government workplaces</w:t>
      </w:r>
    </w:p>
    <w:p w:rsidR="0069374A" w:rsidRPr="00256E7C" w:rsidRDefault="0069374A" w:rsidP="00256E7C">
      <w:pPr>
        <w:pStyle w:val="WoVGbody"/>
      </w:pPr>
    </w:p>
    <w:p w:rsidR="00C51B1C" w:rsidRPr="00256E7C" w:rsidRDefault="00C51B1C" w:rsidP="00256E7C">
      <w:pPr>
        <w:pStyle w:val="WoVGbody"/>
        <w:sectPr w:rsidR="00C51B1C" w:rsidRPr="00256E7C" w:rsidSect="007E455E">
          <w:headerReference w:type="even" r:id="rId9"/>
          <w:headerReference w:type="default" r:id="rId10"/>
          <w:footerReference w:type="even" r:id="rId11"/>
          <w:footerReference w:type="default" r:id="rId12"/>
          <w:headerReference w:type="first" r:id="rId13"/>
          <w:footerReference w:type="first" r:id="rId14"/>
          <w:type w:val="oddPage"/>
          <w:pgSz w:w="11906" w:h="16838"/>
          <w:pgMar w:top="567" w:right="1304" w:bottom="1134" w:left="1304" w:header="454" w:footer="567" w:gutter="0"/>
          <w:cols w:space="720"/>
          <w:docGrid w:linePitch="360"/>
        </w:sectPr>
      </w:pPr>
    </w:p>
    <w:p w:rsidR="000346FC" w:rsidRPr="003E4244" w:rsidRDefault="003E4244" w:rsidP="000A25FF">
      <w:pPr>
        <w:pStyle w:val="WoVGaccessibilitypara"/>
        <w:spacing w:before="11000"/>
      </w:pPr>
      <w:r>
        <w:rPr>
          <w:lang w:eastAsia="en-AU"/>
        </w:rPr>
        <w:lastRenderedPageBreak/>
        <w:t>To receive t</w:t>
      </w:r>
      <w:r w:rsidRPr="003E4244">
        <w:t xml:space="preserve">his document in an alternative accessible format, </w:t>
      </w:r>
      <w:hyperlink r:id="rId15" w:history="1">
        <w:r w:rsidR="002B35F7" w:rsidRPr="00514606">
          <w:rPr>
            <w:rStyle w:val="Hyperlink"/>
          </w:rPr>
          <w:t>email the Victorian Public Sector Commission</w:t>
        </w:r>
      </w:hyperlink>
      <w:r>
        <w:t xml:space="preserve"> &lt;</w:t>
      </w:r>
      <w:r w:rsidRPr="003E4244">
        <w:t>info@vpsc.vic.gov.au</w:t>
      </w:r>
      <w:r>
        <w:t>&gt;.</w:t>
      </w:r>
    </w:p>
    <w:p w:rsidR="002B77C4" w:rsidRPr="00CD7B1E" w:rsidRDefault="002B77C4" w:rsidP="002B77C4">
      <w:pPr>
        <w:pStyle w:val="WoVGbody"/>
        <w:spacing w:after="80"/>
      </w:pPr>
      <w:bookmarkStart w:id="0" w:name="_GoBack"/>
      <w:r w:rsidRPr="00CD7B1E">
        <w:t>Authorised and published by the Victorian Government, 1 Treasury Place, Melbourne.</w:t>
      </w:r>
    </w:p>
    <w:p w:rsidR="002B77C4" w:rsidRPr="00CD7B1E" w:rsidRDefault="002B77C4" w:rsidP="002B77C4">
      <w:pPr>
        <w:pStyle w:val="WoVGbody"/>
        <w:spacing w:after="80"/>
      </w:pPr>
      <w:r w:rsidRPr="00CD7B1E">
        <w:t xml:space="preserve">© State of Victoria, Australia, Department of </w:t>
      </w:r>
      <w:r>
        <w:t>Education</w:t>
      </w:r>
      <w:r w:rsidRPr="00CD7B1E">
        <w:t>, May 2019.</w:t>
      </w:r>
    </w:p>
    <w:p w:rsidR="002B77C4" w:rsidRDefault="002B77C4" w:rsidP="002B77C4">
      <w:pPr>
        <w:pStyle w:val="WoVGbody"/>
        <w:spacing w:after="80"/>
      </w:pPr>
      <w:r>
        <w:t>P</w:t>
      </w:r>
      <w:r w:rsidRPr="00CD7B1E">
        <w:t xml:space="preserve">hone </w:t>
      </w:r>
      <w:r>
        <w:t xml:space="preserve">(03) </w:t>
      </w:r>
      <w:r>
        <w:t>7022</w:t>
      </w:r>
      <w:r>
        <w:t xml:space="preserve"> </w:t>
      </w:r>
      <w:r>
        <w:t>1045</w:t>
      </w:r>
      <w:r w:rsidRPr="00CD7B1E">
        <w:t>.</w:t>
      </w:r>
    </w:p>
    <w:p w:rsidR="002B77C4" w:rsidRDefault="002B77C4" w:rsidP="002B77C4">
      <w:pPr>
        <w:pStyle w:val="WoVGbody"/>
        <w:spacing w:after="80"/>
      </w:pPr>
      <w:r w:rsidRPr="00CD7B1E">
        <w:t xml:space="preserve">If you print and store this document, you may be looking at an obsolete version. Always check the latest version of this document </w:t>
      </w:r>
      <w:r>
        <w:t xml:space="preserve">at the </w:t>
      </w:r>
      <w:hyperlink r:id="rId16" w:history="1">
        <w:r w:rsidRPr="0054237E">
          <w:rPr>
            <w:rStyle w:val="Hyperlink"/>
          </w:rPr>
          <w:t>Victorian Public Sector Commission website</w:t>
        </w:r>
      </w:hyperlink>
      <w:r w:rsidRPr="00CD7B1E">
        <w:t xml:space="preserve"> </w:t>
      </w:r>
      <w:r>
        <w:t>&lt;</w:t>
      </w:r>
      <w:r w:rsidRPr="0054237E">
        <w:rPr>
          <w:rFonts w:cs="Arial"/>
        </w:rPr>
        <w:t>https://vpsc.vic.gov.au</w:t>
      </w:r>
      <w:r>
        <w:t>&gt;.</w:t>
      </w:r>
    </w:p>
    <w:p w:rsidR="002B77C4" w:rsidRPr="003072C6" w:rsidRDefault="002B77C4" w:rsidP="002B77C4">
      <w:pPr>
        <w:pStyle w:val="WoVGbody"/>
        <w:sectPr w:rsidR="002B77C4" w:rsidRPr="003072C6" w:rsidSect="00C51B1C">
          <w:pgSz w:w="11906" w:h="16838"/>
          <w:pgMar w:top="1701" w:right="1304" w:bottom="1134" w:left="1304" w:header="454" w:footer="567" w:gutter="0"/>
          <w:cols w:space="720"/>
          <w:docGrid w:linePitch="360"/>
        </w:sectPr>
      </w:pPr>
      <w:r>
        <w:rPr>
          <w:rFonts w:cs="Arial"/>
        </w:rPr>
        <w:t>Leading the way</w:t>
      </w:r>
      <w:r>
        <w:rPr>
          <w:rFonts w:cs="Arial"/>
        </w:rPr>
        <w:t xml:space="preserve">: </w:t>
      </w:r>
      <w:r>
        <w:rPr>
          <w:rFonts w:cs="Arial"/>
        </w:rPr>
        <w:t>improving health and safety in government workplaces</w:t>
      </w:r>
      <w:r w:rsidRPr="00CD7B1E">
        <w:rPr>
          <w:rFonts w:cs="Arial"/>
        </w:rPr>
        <w:t xml:space="preserve"> | Version 1.0 | </w:t>
      </w:r>
      <w:r>
        <w:rPr>
          <w:rFonts w:cs="Arial"/>
        </w:rPr>
        <w:t>May</w:t>
      </w:r>
      <w:r w:rsidRPr="00CD7B1E">
        <w:rPr>
          <w:rFonts w:cs="Arial"/>
        </w:rPr>
        <w:t xml:space="preserve"> 2019</w:t>
      </w:r>
    </w:p>
    <w:bookmarkEnd w:id="0"/>
    <w:p w:rsidR="00AC0C3B" w:rsidRPr="00711B0C" w:rsidRDefault="00AC0C3B" w:rsidP="002B77C4">
      <w:pPr>
        <w:pStyle w:val="Heading1"/>
      </w:pPr>
      <w:r w:rsidRPr="00711B0C">
        <w:lastRenderedPageBreak/>
        <w:t>Contents</w:t>
      </w:r>
    </w:p>
    <w:p w:rsidR="000B4D4C"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9245993" w:history="1">
        <w:r w:rsidR="000B4D4C" w:rsidRPr="00336128">
          <w:rPr>
            <w:rStyle w:val="Hyperlink"/>
          </w:rPr>
          <w:t>Foreword</w:t>
        </w:r>
        <w:r w:rsidR="000B4D4C">
          <w:rPr>
            <w:webHidden/>
          </w:rPr>
          <w:tab/>
        </w:r>
        <w:r w:rsidR="000B4D4C">
          <w:rPr>
            <w:webHidden/>
          </w:rPr>
          <w:fldChar w:fldCharType="begin"/>
        </w:r>
        <w:r w:rsidR="000B4D4C">
          <w:rPr>
            <w:webHidden/>
          </w:rPr>
          <w:instrText xml:space="preserve"> PAGEREF _Toc9245993 \h </w:instrText>
        </w:r>
        <w:r w:rsidR="000B4D4C">
          <w:rPr>
            <w:webHidden/>
          </w:rPr>
        </w:r>
        <w:r w:rsidR="000B4D4C">
          <w:rPr>
            <w:webHidden/>
          </w:rPr>
          <w:fldChar w:fldCharType="separate"/>
        </w:r>
        <w:r w:rsidR="000B4D4C">
          <w:rPr>
            <w:webHidden/>
          </w:rPr>
          <w:t>4</w:t>
        </w:r>
        <w:r w:rsidR="000B4D4C">
          <w:rPr>
            <w:webHidden/>
          </w:rPr>
          <w:fldChar w:fldCharType="end"/>
        </w:r>
      </w:hyperlink>
    </w:p>
    <w:p w:rsidR="000B4D4C" w:rsidRDefault="002B77C4">
      <w:pPr>
        <w:pStyle w:val="TOC1"/>
        <w:rPr>
          <w:rFonts w:asciiTheme="minorHAnsi" w:eastAsiaTheme="minorEastAsia" w:hAnsiTheme="minorHAnsi" w:cstheme="minorBidi"/>
          <w:b w:val="0"/>
          <w:sz w:val="22"/>
          <w:szCs w:val="22"/>
          <w:lang w:eastAsia="en-AU"/>
        </w:rPr>
      </w:pPr>
      <w:hyperlink w:anchor="_Toc9245994" w:history="1">
        <w:r w:rsidR="000B4D4C" w:rsidRPr="00336128">
          <w:rPr>
            <w:rStyle w:val="Hyperlink"/>
          </w:rPr>
          <w:t>Review</w:t>
        </w:r>
        <w:r w:rsidR="000B4D4C">
          <w:rPr>
            <w:webHidden/>
          </w:rPr>
          <w:tab/>
        </w:r>
        <w:r w:rsidR="000B4D4C">
          <w:rPr>
            <w:webHidden/>
          </w:rPr>
          <w:fldChar w:fldCharType="begin"/>
        </w:r>
        <w:r w:rsidR="000B4D4C">
          <w:rPr>
            <w:webHidden/>
          </w:rPr>
          <w:instrText xml:space="preserve"> PAGEREF _Toc9245994 \h </w:instrText>
        </w:r>
        <w:r w:rsidR="000B4D4C">
          <w:rPr>
            <w:webHidden/>
          </w:rPr>
        </w:r>
        <w:r w:rsidR="000B4D4C">
          <w:rPr>
            <w:webHidden/>
          </w:rPr>
          <w:fldChar w:fldCharType="separate"/>
        </w:r>
        <w:r w:rsidR="000B4D4C">
          <w:rPr>
            <w:webHidden/>
          </w:rPr>
          <w:t>4</w:t>
        </w:r>
        <w:r w:rsidR="000B4D4C">
          <w:rPr>
            <w:webHidden/>
          </w:rPr>
          <w:fldChar w:fldCharType="end"/>
        </w:r>
      </w:hyperlink>
    </w:p>
    <w:p w:rsidR="000B4D4C" w:rsidRDefault="002B77C4">
      <w:pPr>
        <w:pStyle w:val="TOC1"/>
        <w:rPr>
          <w:rFonts w:asciiTheme="minorHAnsi" w:eastAsiaTheme="minorEastAsia" w:hAnsiTheme="minorHAnsi" w:cstheme="minorBidi"/>
          <w:b w:val="0"/>
          <w:sz w:val="22"/>
          <w:szCs w:val="22"/>
          <w:lang w:eastAsia="en-AU"/>
        </w:rPr>
      </w:pPr>
      <w:hyperlink w:anchor="_Toc9245995" w:history="1">
        <w:r w:rsidR="000B4D4C" w:rsidRPr="00336128">
          <w:rPr>
            <w:rStyle w:val="Hyperlink"/>
          </w:rPr>
          <w:t>Acknowledgements</w:t>
        </w:r>
        <w:r w:rsidR="000B4D4C">
          <w:rPr>
            <w:webHidden/>
          </w:rPr>
          <w:tab/>
        </w:r>
        <w:r w:rsidR="000B4D4C">
          <w:rPr>
            <w:webHidden/>
          </w:rPr>
          <w:fldChar w:fldCharType="begin"/>
        </w:r>
        <w:r w:rsidR="000B4D4C">
          <w:rPr>
            <w:webHidden/>
          </w:rPr>
          <w:instrText xml:space="preserve"> PAGEREF _Toc9245995 \h </w:instrText>
        </w:r>
        <w:r w:rsidR="000B4D4C">
          <w:rPr>
            <w:webHidden/>
          </w:rPr>
        </w:r>
        <w:r w:rsidR="000B4D4C">
          <w:rPr>
            <w:webHidden/>
          </w:rPr>
          <w:fldChar w:fldCharType="separate"/>
        </w:r>
        <w:r w:rsidR="000B4D4C">
          <w:rPr>
            <w:webHidden/>
          </w:rPr>
          <w:t>4</w:t>
        </w:r>
        <w:r w:rsidR="000B4D4C">
          <w:rPr>
            <w:webHidden/>
          </w:rPr>
          <w:fldChar w:fldCharType="end"/>
        </w:r>
      </w:hyperlink>
    </w:p>
    <w:p w:rsidR="000B4D4C" w:rsidRDefault="002B77C4">
      <w:pPr>
        <w:pStyle w:val="TOC1"/>
        <w:rPr>
          <w:rFonts w:asciiTheme="minorHAnsi" w:eastAsiaTheme="minorEastAsia" w:hAnsiTheme="minorHAnsi" w:cstheme="minorBidi"/>
          <w:b w:val="0"/>
          <w:sz w:val="22"/>
          <w:szCs w:val="22"/>
          <w:lang w:eastAsia="en-AU"/>
        </w:rPr>
      </w:pPr>
      <w:hyperlink w:anchor="_Toc9245996" w:history="1">
        <w:r w:rsidR="000B4D4C" w:rsidRPr="00336128">
          <w:rPr>
            <w:rStyle w:val="Hyperlink"/>
          </w:rPr>
          <w:t>1. Introduction</w:t>
        </w:r>
        <w:r w:rsidR="000B4D4C">
          <w:rPr>
            <w:webHidden/>
          </w:rPr>
          <w:tab/>
        </w:r>
        <w:r w:rsidR="000B4D4C">
          <w:rPr>
            <w:webHidden/>
          </w:rPr>
          <w:fldChar w:fldCharType="begin"/>
        </w:r>
        <w:r w:rsidR="000B4D4C">
          <w:rPr>
            <w:webHidden/>
          </w:rPr>
          <w:instrText xml:space="preserve"> PAGEREF _Toc9245996 \h </w:instrText>
        </w:r>
        <w:r w:rsidR="000B4D4C">
          <w:rPr>
            <w:webHidden/>
          </w:rPr>
        </w:r>
        <w:r w:rsidR="000B4D4C">
          <w:rPr>
            <w:webHidden/>
          </w:rPr>
          <w:fldChar w:fldCharType="separate"/>
        </w:r>
        <w:r w:rsidR="000B4D4C">
          <w:rPr>
            <w:webHidden/>
          </w:rPr>
          <w:t>5</w:t>
        </w:r>
        <w:r w:rsidR="000B4D4C">
          <w:rPr>
            <w:webHidden/>
          </w:rPr>
          <w:fldChar w:fldCharType="end"/>
        </w:r>
      </w:hyperlink>
    </w:p>
    <w:p w:rsidR="000B4D4C" w:rsidRDefault="002B77C4">
      <w:pPr>
        <w:pStyle w:val="TOC1"/>
        <w:rPr>
          <w:rFonts w:asciiTheme="minorHAnsi" w:eastAsiaTheme="minorEastAsia" w:hAnsiTheme="minorHAnsi" w:cstheme="minorBidi"/>
          <w:b w:val="0"/>
          <w:sz w:val="22"/>
          <w:szCs w:val="22"/>
          <w:lang w:eastAsia="en-AU"/>
        </w:rPr>
      </w:pPr>
      <w:hyperlink w:anchor="_Toc9245997" w:history="1">
        <w:r w:rsidR="000B4D4C" w:rsidRPr="00336128">
          <w:rPr>
            <w:rStyle w:val="Hyperlink"/>
          </w:rPr>
          <w:t>2. Objectives</w:t>
        </w:r>
        <w:r w:rsidR="000B4D4C">
          <w:rPr>
            <w:webHidden/>
          </w:rPr>
          <w:tab/>
        </w:r>
        <w:r w:rsidR="000B4D4C">
          <w:rPr>
            <w:webHidden/>
          </w:rPr>
          <w:fldChar w:fldCharType="begin"/>
        </w:r>
        <w:r w:rsidR="000B4D4C">
          <w:rPr>
            <w:webHidden/>
          </w:rPr>
          <w:instrText xml:space="preserve"> PAGEREF _Toc9245997 \h </w:instrText>
        </w:r>
        <w:r w:rsidR="000B4D4C">
          <w:rPr>
            <w:webHidden/>
          </w:rPr>
        </w:r>
        <w:r w:rsidR="000B4D4C">
          <w:rPr>
            <w:webHidden/>
          </w:rPr>
          <w:fldChar w:fldCharType="separate"/>
        </w:r>
        <w:r w:rsidR="000B4D4C">
          <w:rPr>
            <w:webHidden/>
          </w:rPr>
          <w:t>5</w:t>
        </w:r>
        <w:r w:rsidR="000B4D4C">
          <w:rPr>
            <w:webHidden/>
          </w:rPr>
          <w:fldChar w:fldCharType="end"/>
        </w:r>
      </w:hyperlink>
    </w:p>
    <w:p w:rsidR="000B4D4C" w:rsidRDefault="002B77C4">
      <w:pPr>
        <w:pStyle w:val="TOC1"/>
        <w:rPr>
          <w:rFonts w:asciiTheme="minorHAnsi" w:eastAsiaTheme="minorEastAsia" w:hAnsiTheme="minorHAnsi" w:cstheme="minorBidi"/>
          <w:b w:val="0"/>
          <w:sz w:val="22"/>
          <w:szCs w:val="22"/>
          <w:lang w:eastAsia="en-AU"/>
        </w:rPr>
      </w:pPr>
      <w:hyperlink w:anchor="_Toc9245998" w:history="1">
        <w:r w:rsidR="000B4D4C" w:rsidRPr="00336128">
          <w:rPr>
            <w:rStyle w:val="Hyperlink"/>
          </w:rPr>
          <w:t>3. Leading the Way approach</w:t>
        </w:r>
        <w:r w:rsidR="000B4D4C">
          <w:rPr>
            <w:webHidden/>
          </w:rPr>
          <w:tab/>
        </w:r>
        <w:r w:rsidR="000B4D4C">
          <w:rPr>
            <w:webHidden/>
          </w:rPr>
          <w:fldChar w:fldCharType="begin"/>
        </w:r>
        <w:r w:rsidR="000B4D4C">
          <w:rPr>
            <w:webHidden/>
          </w:rPr>
          <w:instrText xml:space="preserve"> PAGEREF _Toc9245998 \h </w:instrText>
        </w:r>
        <w:r w:rsidR="000B4D4C">
          <w:rPr>
            <w:webHidden/>
          </w:rPr>
        </w:r>
        <w:r w:rsidR="000B4D4C">
          <w:rPr>
            <w:webHidden/>
          </w:rPr>
          <w:fldChar w:fldCharType="separate"/>
        </w:r>
        <w:r w:rsidR="000B4D4C">
          <w:rPr>
            <w:webHidden/>
          </w:rPr>
          <w:t>6</w:t>
        </w:r>
        <w:r w:rsidR="000B4D4C">
          <w:rPr>
            <w:webHidden/>
          </w:rPr>
          <w:fldChar w:fldCharType="end"/>
        </w:r>
      </w:hyperlink>
    </w:p>
    <w:p w:rsidR="000B4D4C" w:rsidRDefault="002B77C4">
      <w:pPr>
        <w:pStyle w:val="TOC2"/>
        <w:rPr>
          <w:rFonts w:asciiTheme="minorHAnsi" w:eastAsiaTheme="minorEastAsia" w:hAnsiTheme="minorHAnsi" w:cstheme="minorBidi"/>
          <w:sz w:val="22"/>
          <w:szCs w:val="22"/>
          <w:lang w:eastAsia="en-AU"/>
        </w:rPr>
      </w:pPr>
      <w:hyperlink w:anchor="_Toc9245999" w:history="1">
        <w:r w:rsidR="000B4D4C" w:rsidRPr="00336128">
          <w:rPr>
            <w:rStyle w:val="Hyperlink"/>
          </w:rPr>
          <w:t xml:space="preserve">3.1 </w:t>
        </w:r>
        <w:r w:rsidR="000B4D4C" w:rsidRPr="00336128">
          <w:rPr>
            <w:rStyle w:val="Hyperlink"/>
            <w:i/>
            <w:iCs/>
          </w:rPr>
          <w:t>Leading the Way</w:t>
        </w:r>
        <w:r w:rsidR="000B4D4C" w:rsidRPr="00336128">
          <w:rPr>
            <w:rStyle w:val="Hyperlink"/>
          </w:rPr>
          <w:t xml:space="preserve"> governance structure</w:t>
        </w:r>
        <w:r w:rsidR="000B4D4C">
          <w:rPr>
            <w:webHidden/>
          </w:rPr>
          <w:tab/>
        </w:r>
        <w:r w:rsidR="000B4D4C">
          <w:rPr>
            <w:webHidden/>
          </w:rPr>
          <w:fldChar w:fldCharType="begin"/>
        </w:r>
        <w:r w:rsidR="000B4D4C">
          <w:rPr>
            <w:webHidden/>
          </w:rPr>
          <w:instrText xml:space="preserve"> PAGEREF _Toc9245999 \h </w:instrText>
        </w:r>
        <w:r w:rsidR="000B4D4C">
          <w:rPr>
            <w:webHidden/>
          </w:rPr>
        </w:r>
        <w:r w:rsidR="000B4D4C">
          <w:rPr>
            <w:webHidden/>
          </w:rPr>
          <w:fldChar w:fldCharType="separate"/>
        </w:r>
        <w:r w:rsidR="000B4D4C">
          <w:rPr>
            <w:webHidden/>
          </w:rPr>
          <w:t>6</w:t>
        </w:r>
        <w:r w:rsidR="000B4D4C">
          <w:rPr>
            <w:webHidden/>
          </w:rPr>
          <w:fldChar w:fldCharType="end"/>
        </w:r>
      </w:hyperlink>
    </w:p>
    <w:p w:rsidR="000B4D4C" w:rsidRDefault="002B77C4">
      <w:pPr>
        <w:pStyle w:val="TOC2"/>
        <w:rPr>
          <w:rFonts w:asciiTheme="minorHAnsi" w:eastAsiaTheme="minorEastAsia" w:hAnsiTheme="minorHAnsi" w:cstheme="minorBidi"/>
          <w:sz w:val="22"/>
          <w:szCs w:val="22"/>
          <w:lang w:eastAsia="en-AU"/>
        </w:rPr>
      </w:pPr>
      <w:hyperlink w:anchor="_Toc9246000" w:history="1">
        <w:r w:rsidR="000B4D4C" w:rsidRPr="00336128">
          <w:rPr>
            <w:rStyle w:val="Hyperlink"/>
          </w:rPr>
          <w:t xml:space="preserve">3.2 </w:t>
        </w:r>
        <w:r w:rsidR="000B4D4C" w:rsidRPr="00336128">
          <w:rPr>
            <w:rStyle w:val="Hyperlink"/>
            <w:i/>
            <w:iCs/>
          </w:rPr>
          <w:t>Leading the Way</w:t>
        </w:r>
        <w:r w:rsidR="000B4D4C" w:rsidRPr="00336128">
          <w:rPr>
            <w:rStyle w:val="Hyperlink"/>
          </w:rPr>
          <w:t xml:space="preserve"> accountability and learning process and tools</w:t>
        </w:r>
        <w:r w:rsidR="000B4D4C">
          <w:rPr>
            <w:webHidden/>
          </w:rPr>
          <w:tab/>
        </w:r>
        <w:r w:rsidR="000B4D4C">
          <w:rPr>
            <w:webHidden/>
          </w:rPr>
          <w:fldChar w:fldCharType="begin"/>
        </w:r>
        <w:r w:rsidR="000B4D4C">
          <w:rPr>
            <w:webHidden/>
          </w:rPr>
          <w:instrText xml:space="preserve"> PAGEREF _Toc9246000 \h </w:instrText>
        </w:r>
        <w:r w:rsidR="000B4D4C">
          <w:rPr>
            <w:webHidden/>
          </w:rPr>
        </w:r>
        <w:r w:rsidR="000B4D4C">
          <w:rPr>
            <w:webHidden/>
          </w:rPr>
          <w:fldChar w:fldCharType="separate"/>
        </w:r>
        <w:r w:rsidR="000B4D4C">
          <w:rPr>
            <w:webHidden/>
          </w:rPr>
          <w:t>6</w:t>
        </w:r>
        <w:r w:rsidR="000B4D4C">
          <w:rPr>
            <w:webHidden/>
          </w:rPr>
          <w:fldChar w:fldCharType="end"/>
        </w:r>
      </w:hyperlink>
    </w:p>
    <w:p w:rsidR="000B4D4C" w:rsidRDefault="002B77C4">
      <w:pPr>
        <w:pStyle w:val="TOC1"/>
        <w:rPr>
          <w:rFonts w:asciiTheme="minorHAnsi" w:eastAsiaTheme="minorEastAsia" w:hAnsiTheme="minorHAnsi" w:cstheme="minorBidi"/>
          <w:b w:val="0"/>
          <w:sz w:val="22"/>
          <w:szCs w:val="22"/>
          <w:lang w:eastAsia="en-AU"/>
        </w:rPr>
      </w:pPr>
      <w:hyperlink w:anchor="_Toc9246001" w:history="1">
        <w:r w:rsidR="000B4D4C" w:rsidRPr="00336128">
          <w:rPr>
            <w:rStyle w:val="Hyperlink"/>
          </w:rPr>
          <w:t>4. Strategic priority 1 – Defining and evaluation shared issues</w:t>
        </w:r>
        <w:r w:rsidR="000B4D4C">
          <w:rPr>
            <w:webHidden/>
          </w:rPr>
          <w:tab/>
        </w:r>
        <w:r w:rsidR="000B4D4C">
          <w:rPr>
            <w:webHidden/>
          </w:rPr>
          <w:fldChar w:fldCharType="begin"/>
        </w:r>
        <w:r w:rsidR="000B4D4C">
          <w:rPr>
            <w:webHidden/>
          </w:rPr>
          <w:instrText xml:space="preserve"> PAGEREF _Toc9246001 \h </w:instrText>
        </w:r>
        <w:r w:rsidR="000B4D4C">
          <w:rPr>
            <w:webHidden/>
          </w:rPr>
        </w:r>
        <w:r w:rsidR="000B4D4C">
          <w:rPr>
            <w:webHidden/>
          </w:rPr>
          <w:fldChar w:fldCharType="separate"/>
        </w:r>
        <w:r w:rsidR="000B4D4C">
          <w:rPr>
            <w:webHidden/>
          </w:rPr>
          <w:t>7</w:t>
        </w:r>
        <w:r w:rsidR="000B4D4C">
          <w:rPr>
            <w:webHidden/>
          </w:rPr>
          <w:fldChar w:fldCharType="end"/>
        </w:r>
      </w:hyperlink>
    </w:p>
    <w:p w:rsidR="000B4D4C" w:rsidRDefault="002B77C4">
      <w:pPr>
        <w:pStyle w:val="TOC2"/>
        <w:tabs>
          <w:tab w:val="left" w:pos="567"/>
        </w:tabs>
        <w:rPr>
          <w:rFonts w:asciiTheme="minorHAnsi" w:eastAsiaTheme="minorEastAsia" w:hAnsiTheme="minorHAnsi" w:cstheme="minorBidi"/>
          <w:sz w:val="22"/>
          <w:szCs w:val="22"/>
          <w:lang w:eastAsia="en-AU"/>
        </w:rPr>
      </w:pPr>
      <w:hyperlink w:anchor="_Toc9246002" w:history="1">
        <w:r w:rsidR="000B4D4C" w:rsidRPr="00336128">
          <w:rPr>
            <w:rStyle w:val="Hyperlink"/>
          </w:rPr>
          <w:t>4.1</w:t>
        </w:r>
        <w:r w:rsidR="000B4D4C">
          <w:rPr>
            <w:rFonts w:asciiTheme="minorHAnsi" w:eastAsiaTheme="minorEastAsia" w:hAnsiTheme="minorHAnsi" w:cstheme="minorBidi"/>
            <w:sz w:val="22"/>
            <w:szCs w:val="22"/>
            <w:lang w:eastAsia="en-AU"/>
          </w:rPr>
          <w:tab/>
        </w:r>
        <w:r w:rsidR="000B4D4C" w:rsidRPr="00336128">
          <w:rPr>
            <w:rStyle w:val="Hyperlink"/>
          </w:rPr>
          <w:t xml:space="preserve">Victorian public sector </w:t>
        </w:r>
        <w:r w:rsidR="000B4D4C" w:rsidRPr="00336128">
          <w:rPr>
            <w:rStyle w:val="Hyperlink"/>
            <w:i/>
            <w:iCs/>
          </w:rPr>
          <w:t>Leading the Way</w:t>
        </w:r>
        <w:r w:rsidR="000B4D4C" w:rsidRPr="00336128">
          <w:rPr>
            <w:rStyle w:val="Hyperlink"/>
          </w:rPr>
          <w:t xml:space="preserve"> governance</w:t>
        </w:r>
        <w:r w:rsidR="000B4D4C">
          <w:rPr>
            <w:webHidden/>
          </w:rPr>
          <w:tab/>
        </w:r>
        <w:r w:rsidR="000B4D4C">
          <w:rPr>
            <w:webHidden/>
          </w:rPr>
          <w:fldChar w:fldCharType="begin"/>
        </w:r>
        <w:r w:rsidR="000B4D4C">
          <w:rPr>
            <w:webHidden/>
          </w:rPr>
          <w:instrText xml:space="preserve"> PAGEREF _Toc9246002 \h </w:instrText>
        </w:r>
        <w:r w:rsidR="000B4D4C">
          <w:rPr>
            <w:webHidden/>
          </w:rPr>
        </w:r>
        <w:r w:rsidR="000B4D4C">
          <w:rPr>
            <w:webHidden/>
          </w:rPr>
          <w:fldChar w:fldCharType="separate"/>
        </w:r>
        <w:r w:rsidR="000B4D4C">
          <w:rPr>
            <w:webHidden/>
          </w:rPr>
          <w:t>7</w:t>
        </w:r>
        <w:r w:rsidR="000B4D4C">
          <w:rPr>
            <w:webHidden/>
          </w:rPr>
          <w:fldChar w:fldCharType="end"/>
        </w:r>
      </w:hyperlink>
    </w:p>
    <w:p w:rsidR="000B4D4C" w:rsidRDefault="002B77C4">
      <w:pPr>
        <w:pStyle w:val="TOC2"/>
        <w:tabs>
          <w:tab w:val="left" w:pos="567"/>
        </w:tabs>
        <w:rPr>
          <w:rFonts w:asciiTheme="minorHAnsi" w:eastAsiaTheme="minorEastAsia" w:hAnsiTheme="minorHAnsi" w:cstheme="minorBidi"/>
          <w:sz w:val="22"/>
          <w:szCs w:val="22"/>
          <w:lang w:eastAsia="en-AU"/>
        </w:rPr>
      </w:pPr>
      <w:hyperlink w:anchor="_Toc9246003" w:history="1">
        <w:r w:rsidR="000B4D4C" w:rsidRPr="00336128">
          <w:rPr>
            <w:rStyle w:val="Hyperlink"/>
          </w:rPr>
          <w:t>4.2</w:t>
        </w:r>
        <w:r w:rsidR="000B4D4C">
          <w:rPr>
            <w:rFonts w:asciiTheme="minorHAnsi" w:eastAsiaTheme="minorEastAsia" w:hAnsiTheme="minorHAnsi" w:cstheme="minorBidi"/>
            <w:sz w:val="22"/>
            <w:szCs w:val="22"/>
            <w:lang w:eastAsia="en-AU"/>
          </w:rPr>
          <w:tab/>
        </w:r>
        <w:r w:rsidR="000B4D4C" w:rsidRPr="00336128">
          <w:rPr>
            <w:rStyle w:val="Hyperlink"/>
          </w:rPr>
          <w:t>Defining and Evaluating shared issues across Victorian public sector</w:t>
        </w:r>
        <w:r w:rsidR="000B4D4C">
          <w:rPr>
            <w:webHidden/>
          </w:rPr>
          <w:tab/>
        </w:r>
        <w:r w:rsidR="000B4D4C">
          <w:rPr>
            <w:webHidden/>
          </w:rPr>
          <w:fldChar w:fldCharType="begin"/>
        </w:r>
        <w:r w:rsidR="000B4D4C">
          <w:rPr>
            <w:webHidden/>
          </w:rPr>
          <w:instrText xml:space="preserve"> PAGEREF _Toc9246003 \h </w:instrText>
        </w:r>
        <w:r w:rsidR="000B4D4C">
          <w:rPr>
            <w:webHidden/>
          </w:rPr>
        </w:r>
        <w:r w:rsidR="000B4D4C">
          <w:rPr>
            <w:webHidden/>
          </w:rPr>
          <w:fldChar w:fldCharType="separate"/>
        </w:r>
        <w:r w:rsidR="000B4D4C">
          <w:rPr>
            <w:webHidden/>
          </w:rPr>
          <w:t>8</w:t>
        </w:r>
        <w:r w:rsidR="000B4D4C">
          <w:rPr>
            <w:webHidden/>
          </w:rPr>
          <w:fldChar w:fldCharType="end"/>
        </w:r>
      </w:hyperlink>
    </w:p>
    <w:p w:rsidR="000B4D4C" w:rsidRDefault="002B77C4">
      <w:pPr>
        <w:pStyle w:val="TOC1"/>
        <w:rPr>
          <w:rFonts w:asciiTheme="minorHAnsi" w:eastAsiaTheme="minorEastAsia" w:hAnsiTheme="minorHAnsi" w:cstheme="minorBidi"/>
          <w:b w:val="0"/>
          <w:sz w:val="22"/>
          <w:szCs w:val="22"/>
          <w:lang w:eastAsia="en-AU"/>
        </w:rPr>
      </w:pPr>
      <w:hyperlink w:anchor="_Toc9246004" w:history="1">
        <w:r w:rsidR="000B4D4C" w:rsidRPr="00336128">
          <w:rPr>
            <w:rStyle w:val="Hyperlink"/>
          </w:rPr>
          <w:t>5. Strategic priority 2 – Building and promoting leadership</w:t>
        </w:r>
        <w:r w:rsidR="000B4D4C">
          <w:rPr>
            <w:webHidden/>
          </w:rPr>
          <w:tab/>
        </w:r>
        <w:r w:rsidR="000B4D4C">
          <w:rPr>
            <w:webHidden/>
          </w:rPr>
          <w:fldChar w:fldCharType="begin"/>
        </w:r>
        <w:r w:rsidR="000B4D4C">
          <w:rPr>
            <w:webHidden/>
          </w:rPr>
          <w:instrText xml:space="preserve"> PAGEREF _Toc9246004 \h </w:instrText>
        </w:r>
        <w:r w:rsidR="000B4D4C">
          <w:rPr>
            <w:webHidden/>
          </w:rPr>
        </w:r>
        <w:r w:rsidR="000B4D4C">
          <w:rPr>
            <w:webHidden/>
          </w:rPr>
          <w:fldChar w:fldCharType="separate"/>
        </w:r>
        <w:r w:rsidR="000B4D4C">
          <w:rPr>
            <w:webHidden/>
          </w:rPr>
          <w:t>9</w:t>
        </w:r>
        <w:r w:rsidR="000B4D4C">
          <w:rPr>
            <w:webHidden/>
          </w:rPr>
          <w:fldChar w:fldCharType="end"/>
        </w:r>
      </w:hyperlink>
    </w:p>
    <w:p w:rsidR="000B4D4C" w:rsidRDefault="002B77C4">
      <w:pPr>
        <w:pStyle w:val="TOC2"/>
        <w:rPr>
          <w:rFonts w:asciiTheme="minorHAnsi" w:eastAsiaTheme="minorEastAsia" w:hAnsiTheme="minorHAnsi" w:cstheme="minorBidi"/>
          <w:sz w:val="22"/>
          <w:szCs w:val="22"/>
          <w:lang w:eastAsia="en-AU"/>
        </w:rPr>
      </w:pPr>
      <w:hyperlink w:anchor="_Toc9246005" w:history="1">
        <w:r w:rsidR="000B4D4C" w:rsidRPr="00336128">
          <w:rPr>
            <w:rStyle w:val="Hyperlink"/>
          </w:rPr>
          <w:t>5.1 Terminology</w:t>
        </w:r>
        <w:r w:rsidR="000B4D4C">
          <w:rPr>
            <w:webHidden/>
          </w:rPr>
          <w:tab/>
        </w:r>
        <w:r w:rsidR="000B4D4C">
          <w:rPr>
            <w:webHidden/>
          </w:rPr>
          <w:fldChar w:fldCharType="begin"/>
        </w:r>
        <w:r w:rsidR="000B4D4C">
          <w:rPr>
            <w:webHidden/>
          </w:rPr>
          <w:instrText xml:space="preserve"> PAGEREF _Toc9246005 \h </w:instrText>
        </w:r>
        <w:r w:rsidR="000B4D4C">
          <w:rPr>
            <w:webHidden/>
          </w:rPr>
        </w:r>
        <w:r w:rsidR="000B4D4C">
          <w:rPr>
            <w:webHidden/>
          </w:rPr>
          <w:fldChar w:fldCharType="separate"/>
        </w:r>
        <w:r w:rsidR="000B4D4C">
          <w:rPr>
            <w:webHidden/>
          </w:rPr>
          <w:t>9</w:t>
        </w:r>
        <w:r w:rsidR="000B4D4C">
          <w:rPr>
            <w:webHidden/>
          </w:rPr>
          <w:fldChar w:fldCharType="end"/>
        </w:r>
      </w:hyperlink>
    </w:p>
    <w:p w:rsidR="000B4D4C" w:rsidRDefault="002B77C4">
      <w:pPr>
        <w:pStyle w:val="TOC2"/>
        <w:rPr>
          <w:rFonts w:asciiTheme="minorHAnsi" w:eastAsiaTheme="minorEastAsia" w:hAnsiTheme="minorHAnsi" w:cstheme="minorBidi"/>
          <w:sz w:val="22"/>
          <w:szCs w:val="22"/>
          <w:lang w:eastAsia="en-AU"/>
        </w:rPr>
      </w:pPr>
      <w:hyperlink w:anchor="_Toc9246006" w:history="1">
        <w:r w:rsidR="000B4D4C" w:rsidRPr="00336128">
          <w:rPr>
            <w:rStyle w:val="Hyperlink"/>
          </w:rPr>
          <w:t>5.2</w:t>
        </w:r>
        <w:r w:rsidR="000B4D4C" w:rsidRPr="00336128">
          <w:rPr>
            <w:rStyle w:val="Hyperlink"/>
            <w:rFonts w:cs="Arial"/>
            <w:lang w:val="en-GB"/>
          </w:rPr>
          <w:t xml:space="preserve"> </w:t>
        </w:r>
        <w:r w:rsidR="000B4D4C" w:rsidRPr="00336128">
          <w:rPr>
            <w:rStyle w:val="Hyperlink"/>
            <w:i/>
            <w:iCs/>
          </w:rPr>
          <w:t>Leading the Way</w:t>
        </w:r>
        <w:r w:rsidR="000B4D4C" w:rsidRPr="00336128">
          <w:rPr>
            <w:rStyle w:val="Hyperlink"/>
          </w:rPr>
          <w:t xml:space="preserve"> framework</w:t>
        </w:r>
        <w:r w:rsidR="000B4D4C">
          <w:rPr>
            <w:webHidden/>
          </w:rPr>
          <w:tab/>
        </w:r>
        <w:r w:rsidR="000B4D4C">
          <w:rPr>
            <w:webHidden/>
          </w:rPr>
          <w:fldChar w:fldCharType="begin"/>
        </w:r>
        <w:r w:rsidR="000B4D4C">
          <w:rPr>
            <w:webHidden/>
          </w:rPr>
          <w:instrText xml:space="preserve"> PAGEREF _Toc9246006 \h </w:instrText>
        </w:r>
        <w:r w:rsidR="000B4D4C">
          <w:rPr>
            <w:webHidden/>
          </w:rPr>
        </w:r>
        <w:r w:rsidR="000B4D4C">
          <w:rPr>
            <w:webHidden/>
          </w:rPr>
          <w:fldChar w:fldCharType="separate"/>
        </w:r>
        <w:r w:rsidR="000B4D4C">
          <w:rPr>
            <w:webHidden/>
          </w:rPr>
          <w:t>10</w:t>
        </w:r>
        <w:r w:rsidR="000B4D4C">
          <w:rPr>
            <w:webHidden/>
          </w:rPr>
          <w:fldChar w:fldCharType="end"/>
        </w:r>
      </w:hyperlink>
    </w:p>
    <w:p w:rsidR="000B4D4C" w:rsidRDefault="002B77C4">
      <w:pPr>
        <w:pStyle w:val="TOC2"/>
        <w:rPr>
          <w:rFonts w:asciiTheme="minorHAnsi" w:eastAsiaTheme="minorEastAsia" w:hAnsiTheme="minorHAnsi" w:cstheme="minorBidi"/>
          <w:sz w:val="22"/>
          <w:szCs w:val="22"/>
          <w:lang w:eastAsia="en-AU"/>
        </w:rPr>
      </w:pPr>
      <w:hyperlink w:anchor="_Toc9246007" w:history="1">
        <w:r w:rsidR="000B4D4C" w:rsidRPr="00336128">
          <w:rPr>
            <w:rStyle w:val="Hyperlink"/>
          </w:rPr>
          <w:t xml:space="preserve">5.3 </w:t>
        </w:r>
        <w:r w:rsidR="000B4D4C" w:rsidRPr="00336128">
          <w:rPr>
            <w:rStyle w:val="Hyperlink"/>
            <w:i/>
            <w:iCs/>
          </w:rPr>
          <w:t>Leading the Way</w:t>
        </w:r>
        <w:r w:rsidR="000B4D4C" w:rsidRPr="00336128">
          <w:rPr>
            <w:rStyle w:val="Hyperlink"/>
          </w:rPr>
          <w:t xml:space="preserve"> maturity model</w:t>
        </w:r>
        <w:r w:rsidR="000B4D4C">
          <w:rPr>
            <w:webHidden/>
          </w:rPr>
          <w:tab/>
        </w:r>
        <w:r w:rsidR="000B4D4C">
          <w:rPr>
            <w:webHidden/>
          </w:rPr>
          <w:fldChar w:fldCharType="begin"/>
        </w:r>
        <w:r w:rsidR="000B4D4C">
          <w:rPr>
            <w:webHidden/>
          </w:rPr>
          <w:instrText xml:space="preserve"> PAGEREF _Toc9246007 \h </w:instrText>
        </w:r>
        <w:r w:rsidR="000B4D4C">
          <w:rPr>
            <w:webHidden/>
          </w:rPr>
        </w:r>
        <w:r w:rsidR="000B4D4C">
          <w:rPr>
            <w:webHidden/>
          </w:rPr>
          <w:fldChar w:fldCharType="separate"/>
        </w:r>
        <w:r w:rsidR="000B4D4C">
          <w:rPr>
            <w:webHidden/>
          </w:rPr>
          <w:t>11</w:t>
        </w:r>
        <w:r w:rsidR="000B4D4C">
          <w:rPr>
            <w:webHidden/>
          </w:rPr>
          <w:fldChar w:fldCharType="end"/>
        </w:r>
      </w:hyperlink>
    </w:p>
    <w:p w:rsidR="000B4D4C" w:rsidRDefault="002B77C4">
      <w:pPr>
        <w:pStyle w:val="TOC2"/>
        <w:rPr>
          <w:rFonts w:asciiTheme="minorHAnsi" w:eastAsiaTheme="minorEastAsia" w:hAnsiTheme="minorHAnsi" w:cstheme="minorBidi"/>
          <w:sz w:val="22"/>
          <w:szCs w:val="22"/>
          <w:lang w:eastAsia="en-AU"/>
        </w:rPr>
      </w:pPr>
      <w:hyperlink w:anchor="_Toc9246008" w:history="1">
        <w:r w:rsidR="000B4D4C" w:rsidRPr="00336128">
          <w:rPr>
            <w:rStyle w:val="Hyperlink"/>
          </w:rPr>
          <w:t xml:space="preserve">5.4 </w:t>
        </w:r>
        <w:r w:rsidR="000B4D4C" w:rsidRPr="00336128">
          <w:rPr>
            <w:rStyle w:val="Hyperlink"/>
            <w:i/>
            <w:iCs/>
          </w:rPr>
          <w:t>Leading the Way</w:t>
        </w:r>
        <w:r w:rsidR="000B4D4C" w:rsidRPr="00336128">
          <w:rPr>
            <w:rStyle w:val="Hyperlink"/>
          </w:rPr>
          <w:t xml:space="preserve"> self-assessment tool</w:t>
        </w:r>
        <w:r w:rsidR="000B4D4C">
          <w:rPr>
            <w:webHidden/>
          </w:rPr>
          <w:tab/>
        </w:r>
        <w:r w:rsidR="000B4D4C">
          <w:rPr>
            <w:webHidden/>
          </w:rPr>
          <w:fldChar w:fldCharType="begin"/>
        </w:r>
        <w:r w:rsidR="000B4D4C">
          <w:rPr>
            <w:webHidden/>
          </w:rPr>
          <w:instrText xml:space="preserve"> PAGEREF _Toc9246008 \h </w:instrText>
        </w:r>
        <w:r w:rsidR="000B4D4C">
          <w:rPr>
            <w:webHidden/>
          </w:rPr>
        </w:r>
        <w:r w:rsidR="000B4D4C">
          <w:rPr>
            <w:webHidden/>
          </w:rPr>
          <w:fldChar w:fldCharType="separate"/>
        </w:r>
        <w:r w:rsidR="000B4D4C">
          <w:rPr>
            <w:webHidden/>
          </w:rPr>
          <w:t>13</w:t>
        </w:r>
        <w:r w:rsidR="000B4D4C">
          <w:rPr>
            <w:webHidden/>
          </w:rPr>
          <w:fldChar w:fldCharType="end"/>
        </w:r>
      </w:hyperlink>
    </w:p>
    <w:p w:rsidR="000B4D4C" w:rsidRDefault="002B77C4">
      <w:pPr>
        <w:pStyle w:val="TOC2"/>
        <w:rPr>
          <w:rFonts w:asciiTheme="minorHAnsi" w:eastAsiaTheme="minorEastAsia" w:hAnsiTheme="minorHAnsi" w:cstheme="minorBidi"/>
          <w:sz w:val="22"/>
          <w:szCs w:val="22"/>
          <w:lang w:eastAsia="en-AU"/>
        </w:rPr>
      </w:pPr>
      <w:hyperlink w:anchor="_Toc9246009" w:history="1">
        <w:r w:rsidR="000B4D4C" w:rsidRPr="00336128">
          <w:rPr>
            <w:rStyle w:val="Hyperlink"/>
          </w:rPr>
          <w:t xml:space="preserve">5.5 </w:t>
        </w:r>
        <w:r w:rsidR="000B4D4C" w:rsidRPr="00336128">
          <w:rPr>
            <w:rStyle w:val="Hyperlink"/>
            <w:i/>
            <w:iCs/>
          </w:rPr>
          <w:t>Leading the Way</w:t>
        </w:r>
        <w:r w:rsidR="000B4D4C" w:rsidRPr="00336128">
          <w:rPr>
            <w:rStyle w:val="Hyperlink"/>
          </w:rPr>
          <w:t xml:space="preserve"> Action Plan</w:t>
        </w:r>
        <w:r w:rsidR="000B4D4C">
          <w:rPr>
            <w:webHidden/>
          </w:rPr>
          <w:tab/>
        </w:r>
        <w:r w:rsidR="000B4D4C">
          <w:rPr>
            <w:webHidden/>
          </w:rPr>
          <w:fldChar w:fldCharType="begin"/>
        </w:r>
        <w:r w:rsidR="000B4D4C">
          <w:rPr>
            <w:webHidden/>
          </w:rPr>
          <w:instrText xml:space="preserve"> PAGEREF _Toc9246009 \h </w:instrText>
        </w:r>
        <w:r w:rsidR="000B4D4C">
          <w:rPr>
            <w:webHidden/>
          </w:rPr>
        </w:r>
        <w:r w:rsidR="000B4D4C">
          <w:rPr>
            <w:webHidden/>
          </w:rPr>
          <w:fldChar w:fldCharType="separate"/>
        </w:r>
        <w:r w:rsidR="000B4D4C">
          <w:rPr>
            <w:webHidden/>
          </w:rPr>
          <w:t>21</w:t>
        </w:r>
        <w:r w:rsidR="000B4D4C">
          <w:rPr>
            <w:webHidden/>
          </w:rPr>
          <w:fldChar w:fldCharType="end"/>
        </w:r>
      </w:hyperlink>
    </w:p>
    <w:p w:rsidR="000B4D4C" w:rsidRDefault="002B77C4">
      <w:pPr>
        <w:pStyle w:val="TOC1"/>
        <w:rPr>
          <w:rFonts w:asciiTheme="minorHAnsi" w:eastAsiaTheme="minorEastAsia" w:hAnsiTheme="minorHAnsi" w:cstheme="minorBidi"/>
          <w:b w:val="0"/>
          <w:sz w:val="22"/>
          <w:szCs w:val="22"/>
          <w:lang w:eastAsia="en-AU"/>
        </w:rPr>
      </w:pPr>
      <w:hyperlink w:anchor="_Toc9246010" w:history="1">
        <w:r w:rsidR="000B4D4C" w:rsidRPr="00336128">
          <w:rPr>
            <w:rStyle w:val="Hyperlink"/>
          </w:rPr>
          <w:t>6. Strategic priority 3 – Building and promoting ownership and accountability</w:t>
        </w:r>
        <w:r w:rsidR="000B4D4C">
          <w:rPr>
            <w:webHidden/>
          </w:rPr>
          <w:tab/>
        </w:r>
        <w:r w:rsidR="000B4D4C">
          <w:rPr>
            <w:webHidden/>
          </w:rPr>
          <w:fldChar w:fldCharType="begin"/>
        </w:r>
        <w:r w:rsidR="000B4D4C">
          <w:rPr>
            <w:webHidden/>
          </w:rPr>
          <w:instrText xml:space="preserve"> PAGEREF _Toc9246010 \h </w:instrText>
        </w:r>
        <w:r w:rsidR="000B4D4C">
          <w:rPr>
            <w:webHidden/>
          </w:rPr>
        </w:r>
        <w:r w:rsidR="000B4D4C">
          <w:rPr>
            <w:webHidden/>
          </w:rPr>
          <w:fldChar w:fldCharType="separate"/>
        </w:r>
        <w:r w:rsidR="000B4D4C">
          <w:rPr>
            <w:webHidden/>
          </w:rPr>
          <w:t>24</w:t>
        </w:r>
        <w:r w:rsidR="000B4D4C">
          <w:rPr>
            <w:webHidden/>
          </w:rPr>
          <w:fldChar w:fldCharType="end"/>
        </w:r>
      </w:hyperlink>
    </w:p>
    <w:p w:rsidR="000B4D4C" w:rsidRDefault="002B77C4">
      <w:pPr>
        <w:pStyle w:val="TOC2"/>
        <w:rPr>
          <w:rFonts w:asciiTheme="minorHAnsi" w:eastAsiaTheme="minorEastAsia" w:hAnsiTheme="minorHAnsi" w:cstheme="minorBidi"/>
          <w:sz w:val="22"/>
          <w:szCs w:val="22"/>
          <w:lang w:eastAsia="en-AU"/>
        </w:rPr>
      </w:pPr>
      <w:hyperlink w:anchor="_Toc9246011" w:history="1">
        <w:r w:rsidR="000B4D4C" w:rsidRPr="00336128">
          <w:rPr>
            <w:rStyle w:val="Hyperlink"/>
          </w:rPr>
          <w:t>6.1 Performance indicators</w:t>
        </w:r>
        <w:r w:rsidR="000B4D4C">
          <w:rPr>
            <w:webHidden/>
          </w:rPr>
          <w:tab/>
        </w:r>
        <w:r w:rsidR="000B4D4C">
          <w:rPr>
            <w:webHidden/>
          </w:rPr>
          <w:fldChar w:fldCharType="begin"/>
        </w:r>
        <w:r w:rsidR="000B4D4C">
          <w:rPr>
            <w:webHidden/>
          </w:rPr>
          <w:instrText xml:space="preserve"> PAGEREF _Toc9246011 \h </w:instrText>
        </w:r>
        <w:r w:rsidR="000B4D4C">
          <w:rPr>
            <w:webHidden/>
          </w:rPr>
        </w:r>
        <w:r w:rsidR="000B4D4C">
          <w:rPr>
            <w:webHidden/>
          </w:rPr>
          <w:fldChar w:fldCharType="separate"/>
        </w:r>
        <w:r w:rsidR="000B4D4C">
          <w:rPr>
            <w:webHidden/>
          </w:rPr>
          <w:t>24</w:t>
        </w:r>
        <w:r w:rsidR="000B4D4C">
          <w:rPr>
            <w:webHidden/>
          </w:rPr>
          <w:fldChar w:fldCharType="end"/>
        </w:r>
      </w:hyperlink>
    </w:p>
    <w:p w:rsidR="000B4D4C" w:rsidRDefault="002B77C4">
      <w:pPr>
        <w:pStyle w:val="TOC2"/>
        <w:rPr>
          <w:rFonts w:asciiTheme="minorHAnsi" w:eastAsiaTheme="minorEastAsia" w:hAnsiTheme="minorHAnsi" w:cstheme="minorBidi"/>
          <w:sz w:val="22"/>
          <w:szCs w:val="22"/>
          <w:lang w:eastAsia="en-AU"/>
        </w:rPr>
      </w:pPr>
      <w:hyperlink w:anchor="_Toc9246012" w:history="1">
        <w:r w:rsidR="000B4D4C" w:rsidRPr="00336128">
          <w:rPr>
            <w:rStyle w:val="Hyperlink"/>
          </w:rPr>
          <w:t>6.2 Leading the Way reporting</w:t>
        </w:r>
        <w:r w:rsidR="000B4D4C">
          <w:rPr>
            <w:webHidden/>
          </w:rPr>
          <w:tab/>
        </w:r>
        <w:r w:rsidR="000B4D4C">
          <w:rPr>
            <w:webHidden/>
          </w:rPr>
          <w:fldChar w:fldCharType="begin"/>
        </w:r>
        <w:r w:rsidR="000B4D4C">
          <w:rPr>
            <w:webHidden/>
          </w:rPr>
          <w:instrText xml:space="preserve"> PAGEREF _Toc9246012 \h </w:instrText>
        </w:r>
        <w:r w:rsidR="000B4D4C">
          <w:rPr>
            <w:webHidden/>
          </w:rPr>
        </w:r>
        <w:r w:rsidR="000B4D4C">
          <w:rPr>
            <w:webHidden/>
          </w:rPr>
          <w:fldChar w:fldCharType="separate"/>
        </w:r>
        <w:r w:rsidR="000B4D4C">
          <w:rPr>
            <w:webHidden/>
          </w:rPr>
          <w:t>25</w:t>
        </w:r>
        <w:r w:rsidR="000B4D4C">
          <w:rPr>
            <w:webHidden/>
          </w:rPr>
          <w:fldChar w:fldCharType="end"/>
        </w:r>
      </w:hyperlink>
    </w:p>
    <w:p w:rsidR="000B4D4C" w:rsidRDefault="002B77C4">
      <w:pPr>
        <w:pStyle w:val="TOC2"/>
        <w:rPr>
          <w:rFonts w:asciiTheme="minorHAnsi" w:eastAsiaTheme="minorEastAsia" w:hAnsiTheme="minorHAnsi" w:cstheme="minorBidi"/>
          <w:sz w:val="22"/>
          <w:szCs w:val="22"/>
          <w:lang w:eastAsia="en-AU"/>
        </w:rPr>
      </w:pPr>
      <w:hyperlink w:anchor="_Toc9246013" w:history="1">
        <w:r w:rsidR="000B4D4C" w:rsidRPr="00336128">
          <w:rPr>
            <w:rStyle w:val="Hyperlink"/>
          </w:rPr>
          <w:t>6.3 Process reporting</w:t>
        </w:r>
        <w:r w:rsidR="000B4D4C">
          <w:rPr>
            <w:webHidden/>
          </w:rPr>
          <w:tab/>
        </w:r>
        <w:r w:rsidR="000B4D4C">
          <w:rPr>
            <w:webHidden/>
          </w:rPr>
          <w:fldChar w:fldCharType="begin"/>
        </w:r>
        <w:r w:rsidR="000B4D4C">
          <w:rPr>
            <w:webHidden/>
          </w:rPr>
          <w:instrText xml:space="preserve"> PAGEREF _Toc9246013 \h </w:instrText>
        </w:r>
        <w:r w:rsidR="000B4D4C">
          <w:rPr>
            <w:webHidden/>
          </w:rPr>
        </w:r>
        <w:r w:rsidR="000B4D4C">
          <w:rPr>
            <w:webHidden/>
          </w:rPr>
          <w:fldChar w:fldCharType="separate"/>
        </w:r>
        <w:r w:rsidR="000B4D4C">
          <w:rPr>
            <w:webHidden/>
          </w:rPr>
          <w:t>26</w:t>
        </w:r>
        <w:r w:rsidR="000B4D4C">
          <w:rPr>
            <w:webHidden/>
          </w:rPr>
          <w:fldChar w:fldCharType="end"/>
        </w:r>
      </w:hyperlink>
    </w:p>
    <w:p w:rsidR="000B4D4C" w:rsidRDefault="002B77C4">
      <w:pPr>
        <w:pStyle w:val="TOC2"/>
        <w:rPr>
          <w:rFonts w:asciiTheme="minorHAnsi" w:eastAsiaTheme="minorEastAsia" w:hAnsiTheme="minorHAnsi" w:cstheme="minorBidi"/>
          <w:sz w:val="22"/>
          <w:szCs w:val="22"/>
          <w:lang w:eastAsia="en-AU"/>
        </w:rPr>
      </w:pPr>
      <w:hyperlink w:anchor="_Toc9246014" w:history="1">
        <w:r w:rsidR="000B4D4C" w:rsidRPr="00336128">
          <w:rPr>
            <w:rStyle w:val="Hyperlink"/>
          </w:rPr>
          <w:t>6.4 Outcomes reporting</w:t>
        </w:r>
        <w:r w:rsidR="000B4D4C">
          <w:rPr>
            <w:webHidden/>
          </w:rPr>
          <w:tab/>
        </w:r>
        <w:r w:rsidR="000B4D4C">
          <w:rPr>
            <w:webHidden/>
          </w:rPr>
          <w:fldChar w:fldCharType="begin"/>
        </w:r>
        <w:r w:rsidR="000B4D4C">
          <w:rPr>
            <w:webHidden/>
          </w:rPr>
          <w:instrText xml:space="preserve"> PAGEREF _Toc9246014 \h </w:instrText>
        </w:r>
        <w:r w:rsidR="000B4D4C">
          <w:rPr>
            <w:webHidden/>
          </w:rPr>
        </w:r>
        <w:r w:rsidR="000B4D4C">
          <w:rPr>
            <w:webHidden/>
          </w:rPr>
          <w:fldChar w:fldCharType="separate"/>
        </w:r>
        <w:r w:rsidR="000B4D4C">
          <w:rPr>
            <w:webHidden/>
          </w:rPr>
          <w:t>30</w:t>
        </w:r>
        <w:r w:rsidR="000B4D4C">
          <w:rPr>
            <w:webHidden/>
          </w:rPr>
          <w:fldChar w:fldCharType="end"/>
        </w:r>
      </w:hyperlink>
    </w:p>
    <w:p w:rsidR="000B4D4C" w:rsidRDefault="002B77C4">
      <w:pPr>
        <w:pStyle w:val="TOC1"/>
        <w:rPr>
          <w:rFonts w:asciiTheme="minorHAnsi" w:eastAsiaTheme="minorEastAsia" w:hAnsiTheme="minorHAnsi" w:cstheme="minorBidi"/>
          <w:b w:val="0"/>
          <w:sz w:val="22"/>
          <w:szCs w:val="22"/>
          <w:lang w:eastAsia="en-AU"/>
        </w:rPr>
      </w:pPr>
      <w:hyperlink w:anchor="_Toc9246015" w:history="1">
        <w:r w:rsidR="000B4D4C" w:rsidRPr="00336128">
          <w:rPr>
            <w:rStyle w:val="Hyperlink"/>
          </w:rPr>
          <w:t>7. Strategic priority 4 – Defining and promoting the shared levers for change</w:t>
        </w:r>
        <w:r w:rsidR="000B4D4C">
          <w:rPr>
            <w:webHidden/>
          </w:rPr>
          <w:tab/>
        </w:r>
        <w:r w:rsidR="000B4D4C">
          <w:rPr>
            <w:webHidden/>
          </w:rPr>
          <w:fldChar w:fldCharType="begin"/>
        </w:r>
        <w:r w:rsidR="000B4D4C">
          <w:rPr>
            <w:webHidden/>
          </w:rPr>
          <w:instrText xml:space="preserve"> PAGEREF _Toc9246015 \h </w:instrText>
        </w:r>
        <w:r w:rsidR="000B4D4C">
          <w:rPr>
            <w:webHidden/>
          </w:rPr>
        </w:r>
        <w:r w:rsidR="000B4D4C">
          <w:rPr>
            <w:webHidden/>
          </w:rPr>
          <w:fldChar w:fldCharType="separate"/>
        </w:r>
        <w:r w:rsidR="000B4D4C">
          <w:rPr>
            <w:webHidden/>
          </w:rPr>
          <w:t>31</w:t>
        </w:r>
        <w:r w:rsidR="000B4D4C">
          <w:rPr>
            <w:webHidden/>
          </w:rPr>
          <w:fldChar w:fldCharType="end"/>
        </w:r>
      </w:hyperlink>
    </w:p>
    <w:p w:rsidR="000B4D4C" w:rsidRDefault="002B77C4">
      <w:pPr>
        <w:pStyle w:val="TOC2"/>
        <w:rPr>
          <w:rFonts w:asciiTheme="minorHAnsi" w:eastAsiaTheme="minorEastAsia" w:hAnsiTheme="minorHAnsi" w:cstheme="minorBidi"/>
          <w:sz w:val="22"/>
          <w:szCs w:val="22"/>
          <w:lang w:eastAsia="en-AU"/>
        </w:rPr>
      </w:pPr>
      <w:hyperlink w:anchor="_Toc9246016" w:history="1">
        <w:r w:rsidR="000B4D4C" w:rsidRPr="00336128">
          <w:rPr>
            <w:rStyle w:val="Hyperlink"/>
          </w:rPr>
          <w:t>7.1 Performance reporting and benchmarking</w:t>
        </w:r>
        <w:r w:rsidR="000B4D4C">
          <w:rPr>
            <w:webHidden/>
          </w:rPr>
          <w:tab/>
        </w:r>
        <w:r w:rsidR="000B4D4C">
          <w:rPr>
            <w:webHidden/>
          </w:rPr>
          <w:fldChar w:fldCharType="begin"/>
        </w:r>
        <w:r w:rsidR="000B4D4C">
          <w:rPr>
            <w:webHidden/>
          </w:rPr>
          <w:instrText xml:space="preserve"> PAGEREF _Toc9246016 \h </w:instrText>
        </w:r>
        <w:r w:rsidR="000B4D4C">
          <w:rPr>
            <w:webHidden/>
          </w:rPr>
        </w:r>
        <w:r w:rsidR="000B4D4C">
          <w:rPr>
            <w:webHidden/>
          </w:rPr>
          <w:fldChar w:fldCharType="separate"/>
        </w:r>
        <w:r w:rsidR="000B4D4C">
          <w:rPr>
            <w:webHidden/>
          </w:rPr>
          <w:t>31</w:t>
        </w:r>
        <w:r w:rsidR="000B4D4C">
          <w:rPr>
            <w:webHidden/>
          </w:rPr>
          <w:fldChar w:fldCharType="end"/>
        </w:r>
      </w:hyperlink>
    </w:p>
    <w:p w:rsidR="000B4D4C" w:rsidRDefault="002B77C4">
      <w:pPr>
        <w:pStyle w:val="TOC2"/>
        <w:rPr>
          <w:rFonts w:asciiTheme="minorHAnsi" w:eastAsiaTheme="minorEastAsia" w:hAnsiTheme="minorHAnsi" w:cstheme="minorBidi"/>
          <w:sz w:val="22"/>
          <w:szCs w:val="22"/>
          <w:lang w:eastAsia="en-AU"/>
        </w:rPr>
      </w:pPr>
      <w:hyperlink w:anchor="_Toc9246017" w:history="1">
        <w:r w:rsidR="000B4D4C" w:rsidRPr="00336128">
          <w:rPr>
            <w:rStyle w:val="Hyperlink"/>
          </w:rPr>
          <w:t>7.2 Process report template</w:t>
        </w:r>
        <w:r w:rsidR="000B4D4C">
          <w:rPr>
            <w:webHidden/>
          </w:rPr>
          <w:tab/>
        </w:r>
        <w:r w:rsidR="000B4D4C">
          <w:rPr>
            <w:webHidden/>
          </w:rPr>
          <w:fldChar w:fldCharType="begin"/>
        </w:r>
        <w:r w:rsidR="000B4D4C">
          <w:rPr>
            <w:webHidden/>
          </w:rPr>
          <w:instrText xml:space="preserve"> PAGEREF _Toc9246017 \h </w:instrText>
        </w:r>
        <w:r w:rsidR="000B4D4C">
          <w:rPr>
            <w:webHidden/>
          </w:rPr>
        </w:r>
        <w:r w:rsidR="000B4D4C">
          <w:rPr>
            <w:webHidden/>
          </w:rPr>
          <w:fldChar w:fldCharType="separate"/>
        </w:r>
        <w:r w:rsidR="000B4D4C">
          <w:rPr>
            <w:webHidden/>
          </w:rPr>
          <w:t>32</w:t>
        </w:r>
        <w:r w:rsidR="000B4D4C">
          <w:rPr>
            <w:webHidden/>
          </w:rPr>
          <w:fldChar w:fldCharType="end"/>
        </w:r>
      </w:hyperlink>
    </w:p>
    <w:p w:rsidR="000B4D4C" w:rsidRDefault="002B77C4">
      <w:pPr>
        <w:pStyle w:val="TOC2"/>
        <w:rPr>
          <w:rFonts w:asciiTheme="minorHAnsi" w:eastAsiaTheme="minorEastAsia" w:hAnsiTheme="minorHAnsi" w:cstheme="minorBidi"/>
          <w:sz w:val="22"/>
          <w:szCs w:val="22"/>
          <w:lang w:eastAsia="en-AU"/>
        </w:rPr>
      </w:pPr>
      <w:hyperlink w:anchor="_Toc9246018" w:history="1">
        <w:r w:rsidR="000B4D4C" w:rsidRPr="00336128">
          <w:rPr>
            <w:rStyle w:val="Hyperlink"/>
          </w:rPr>
          <w:t>7.3 Outcomes report template</w:t>
        </w:r>
        <w:r w:rsidR="000B4D4C">
          <w:rPr>
            <w:webHidden/>
          </w:rPr>
          <w:tab/>
        </w:r>
        <w:r w:rsidR="000B4D4C">
          <w:rPr>
            <w:webHidden/>
          </w:rPr>
          <w:fldChar w:fldCharType="begin"/>
        </w:r>
        <w:r w:rsidR="000B4D4C">
          <w:rPr>
            <w:webHidden/>
          </w:rPr>
          <w:instrText xml:space="preserve"> PAGEREF _Toc9246018 \h </w:instrText>
        </w:r>
        <w:r w:rsidR="000B4D4C">
          <w:rPr>
            <w:webHidden/>
          </w:rPr>
        </w:r>
        <w:r w:rsidR="000B4D4C">
          <w:rPr>
            <w:webHidden/>
          </w:rPr>
          <w:fldChar w:fldCharType="separate"/>
        </w:r>
        <w:r w:rsidR="000B4D4C">
          <w:rPr>
            <w:webHidden/>
          </w:rPr>
          <w:t>33</w:t>
        </w:r>
        <w:r w:rsidR="000B4D4C">
          <w:rPr>
            <w:webHidden/>
          </w:rPr>
          <w:fldChar w:fldCharType="end"/>
        </w:r>
      </w:hyperlink>
    </w:p>
    <w:p w:rsidR="000B4D4C" w:rsidRDefault="002B77C4">
      <w:pPr>
        <w:pStyle w:val="TOC1"/>
        <w:rPr>
          <w:rFonts w:asciiTheme="minorHAnsi" w:eastAsiaTheme="minorEastAsia" w:hAnsiTheme="minorHAnsi" w:cstheme="minorBidi"/>
          <w:b w:val="0"/>
          <w:sz w:val="22"/>
          <w:szCs w:val="22"/>
          <w:lang w:eastAsia="en-AU"/>
        </w:rPr>
      </w:pPr>
      <w:hyperlink w:anchor="_Toc9246019" w:history="1">
        <w:r w:rsidR="000B4D4C" w:rsidRPr="00336128">
          <w:rPr>
            <w:rStyle w:val="Hyperlink"/>
          </w:rPr>
          <w:t>8. References</w:t>
        </w:r>
        <w:r w:rsidR="000B4D4C">
          <w:rPr>
            <w:webHidden/>
          </w:rPr>
          <w:tab/>
        </w:r>
        <w:r w:rsidR="000B4D4C">
          <w:rPr>
            <w:webHidden/>
          </w:rPr>
          <w:fldChar w:fldCharType="begin"/>
        </w:r>
        <w:r w:rsidR="000B4D4C">
          <w:rPr>
            <w:webHidden/>
          </w:rPr>
          <w:instrText xml:space="preserve"> PAGEREF _Toc9246019 \h </w:instrText>
        </w:r>
        <w:r w:rsidR="000B4D4C">
          <w:rPr>
            <w:webHidden/>
          </w:rPr>
        </w:r>
        <w:r w:rsidR="000B4D4C">
          <w:rPr>
            <w:webHidden/>
          </w:rPr>
          <w:fldChar w:fldCharType="separate"/>
        </w:r>
        <w:r w:rsidR="000B4D4C">
          <w:rPr>
            <w:webHidden/>
          </w:rPr>
          <w:t>34</w:t>
        </w:r>
        <w:r w:rsidR="000B4D4C">
          <w:rPr>
            <w:webHidden/>
          </w:rPr>
          <w:fldChar w:fldCharType="end"/>
        </w:r>
      </w:hyperlink>
    </w:p>
    <w:p w:rsidR="000B4D4C" w:rsidRDefault="002B77C4">
      <w:pPr>
        <w:pStyle w:val="TOC1"/>
        <w:rPr>
          <w:rFonts w:asciiTheme="minorHAnsi" w:eastAsiaTheme="minorEastAsia" w:hAnsiTheme="minorHAnsi" w:cstheme="minorBidi"/>
          <w:b w:val="0"/>
          <w:sz w:val="22"/>
          <w:szCs w:val="22"/>
          <w:lang w:eastAsia="en-AU"/>
        </w:rPr>
      </w:pPr>
      <w:hyperlink w:anchor="_Toc9246020" w:history="1">
        <w:r w:rsidR="000B4D4C" w:rsidRPr="00336128">
          <w:rPr>
            <w:rStyle w:val="Hyperlink"/>
          </w:rPr>
          <w:t>Appendix 1: Process (lead) and outcome (lag) performance indicators</w:t>
        </w:r>
        <w:r w:rsidR="000B4D4C">
          <w:rPr>
            <w:webHidden/>
          </w:rPr>
          <w:tab/>
        </w:r>
        <w:r w:rsidR="000B4D4C">
          <w:rPr>
            <w:webHidden/>
          </w:rPr>
          <w:fldChar w:fldCharType="begin"/>
        </w:r>
        <w:r w:rsidR="000B4D4C">
          <w:rPr>
            <w:webHidden/>
          </w:rPr>
          <w:instrText xml:space="preserve"> PAGEREF _Toc9246020 \h </w:instrText>
        </w:r>
        <w:r w:rsidR="000B4D4C">
          <w:rPr>
            <w:webHidden/>
          </w:rPr>
        </w:r>
        <w:r w:rsidR="000B4D4C">
          <w:rPr>
            <w:webHidden/>
          </w:rPr>
          <w:fldChar w:fldCharType="separate"/>
        </w:r>
        <w:r w:rsidR="000B4D4C">
          <w:rPr>
            <w:webHidden/>
          </w:rPr>
          <w:t>36</w:t>
        </w:r>
        <w:r w:rsidR="000B4D4C">
          <w:rPr>
            <w:webHidden/>
          </w:rPr>
          <w:fldChar w:fldCharType="end"/>
        </w:r>
      </w:hyperlink>
    </w:p>
    <w:p w:rsidR="000B4D4C" w:rsidRDefault="002B77C4">
      <w:pPr>
        <w:pStyle w:val="TOC1"/>
        <w:rPr>
          <w:rFonts w:asciiTheme="minorHAnsi" w:eastAsiaTheme="minorEastAsia" w:hAnsiTheme="minorHAnsi" w:cstheme="minorBidi"/>
          <w:b w:val="0"/>
          <w:sz w:val="22"/>
          <w:szCs w:val="22"/>
          <w:lang w:eastAsia="en-AU"/>
        </w:rPr>
      </w:pPr>
      <w:hyperlink w:anchor="_Toc9246021" w:history="1">
        <w:r w:rsidR="000B4D4C" w:rsidRPr="00336128">
          <w:rPr>
            <w:rStyle w:val="Hyperlink"/>
          </w:rPr>
          <w:t>Appendix 2: Glossary</w:t>
        </w:r>
        <w:r w:rsidR="000B4D4C">
          <w:rPr>
            <w:webHidden/>
          </w:rPr>
          <w:tab/>
        </w:r>
        <w:r w:rsidR="000B4D4C">
          <w:rPr>
            <w:webHidden/>
          </w:rPr>
          <w:fldChar w:fldCharType="begin"/>
        </w:r>
        <w:r w:rsidR="000B4D4C">
          <w:rPr>
            <w:webHidden/>
          </w:rPr>
          <w:instrText xml:space="preserve"> PAGEREF _Toc9246021 \h </w:instrText>
        </w:r>
        <w:r w:rsidR="000B4D4C">
          <w:rPr>
            <w:webHidden/>
          </w:rPr>
        </w:r>
        <w:r w:rsidR="000B4D4C">
          <w:rPr>
            <w:webHidden/>
          </w:rPr>
          <w:fldChar w:fldCharType="separate"/>
        </w:r>
        <w:r w:rsidR="000B4D4C">
          <w:rPr>
            <w:webHidden/>
          </w:rPr>
          <w:t>38</w:t>
        </w:r>
        <w:r w:rsidR="000B4D4C">
          <w:rPr>
            <w:webHidden/>
          </w:rPr>
          <w:fldChar w:fldCharType="end"/>
        </w:r>
      </w:hyperlink>
    </w:p>
    <w:p w:rsidR="00562F6D" w:rsidRDefault="00E15DA9" w:rsidP="007E455E">
      <w:pPr>
        <w:pStyle w:val="TOC2"/>
        <w:rPr>
          <w:noProof w:val="0"/>
        </w:rPr>
      </w:pPr>
      <w:r w:rsidRPr="003072C6">
        <w:rPr>
          <w:noProof w:val="0"/>
        </w:rPr>
        <w:fldChar w:fldCharType="end"/>
      </w:r>
    </w:p>
    <w:p w:rsidR="00256E7C" w:rsidRPr="003072C6" w:rsidRDefault="00256E7C" w:rsidP="00E91933">
      <w:pPr>
        <w:pStyle w:val="WoVGbody"/>
      </w:pPr>
    </w:p>
    <w:p w:rsidR="00AC0C3B" w:rsidRPr="003072C6" w:rsidRDefault="00AC0C3B" w:rsidP="00E91933">
      <w:pPr>
        <w:pStyle w:val="WoVGbody"/>
        <w:sectPr w:rsidR="00AC0C3B" w:rsidRPr="003072C6" w:rsidSect="00C51B1C">
          <w:pgSz w:w="11906" w:h="16838"/>
          <w:pgMar w:top="1701" w:right="1304" w:bottom="1134" w:left="1304" w:header="454" w:footer="567" w:gutter="0"/>
          <w:cols w:space="720"/>
          <w:docGrid w:linePitch="360"/>
        </w:sectPr>
      </w:pPr>
    </w:p>
    <w:p w:rsidR="00E30414" w:rsidRPr="00AB50C1" w:rsidRDefault="004C7B37" w:rsidP="00711B0C">
      <w:pPr>
        <w:pStyle w:val="Heading1"/>
        <w:spacing w:before="0"/>
      </w:pPr>
      <w:bookmarkStart w:id="1" w:name="_Toc9245993"/>
      <w:r>
        <w:lastRenderedPageBreak/>
        <w:t>Foreword</w:t>
      </w:r>
      <w:bookmarkEnd w:id="1"/>
    </w:p>
    <w:p w:rsidR="004F38FA" w:rsidRPr="004F38FA" w:rsidRDefault="004F38FA" w:rsidP="008D04AE">
      <w:pPr>
        <w:pStyle w:val="WoVGbody"/>
      </w:pPr>
      <w:r w:rsidRPr="004F38FA">
        <w:t xml:space="preserve">As an employer, the Victorian Government is committed to </w:t>
      </w:r>
      <w:r w:rsidRPr="008D04AE">
        <w:rPr>
          <w:rStyle w:val="Emphasis"/>
        </w:rPr>
        <w:t>Leading the Way</w:t>
      </w:r>
      <w:r w:rsidRPr="004F38FA">
        <w:t xml:space="preserve"> in workplace occupational health and safety (OHS) management, including psychological health and safety. This commitment is part of an ongoing effort to enhance the wellbeing of Victoria’s workforce and wider community, and to strengthen our state’s competitive advantage.</w:t>
      </w:r>
    </w:p>
    <w:p w:rsidR="00562F6D" w:rsidRDefault="004F38FA" w:rsidP="008D04AE">
      <w:pPr>
        <w:pStyle w:val="WoVGbody"/>
      </w:pPr>
      <w:r w:rsidRPr="004F38FA">
        <w:t>While we have made significant inroads, performance can be improved in a number of key areas. To this end, four strategic priorities have been developed to help Victorian public sector organisations strengthen senior management commitment, improve safety culture, improve OHS performance and ensure accountability for continuous improvement at all levels within the sector.</w:t>
      </w:r>
    </w:p>
    <w:p w:rsidR="00562F6D" w:rsidRDefault="004F38FA" w:rsidP="008D04AE">
      <w:pPr>
        <w:pStyle w:val="WoVGbody"/>
      </w:pPr>
      <w:r w:rsidRPr="004F38FA">
        <w:t xml:space="preserve">The strategic priorities have been agreed by the Leading the Way governance bodies. The </w:t>
      </w:r>
      <w:r w:rsidRPr="00124E41">
        <w:rPr>
          <w:i/>
        </w:rPr>
        <w:t>Leading the Way</w:t>
      </w:r>
      <w:r w:rsidRPr="004F38FA">
        <w:t xml:space="preserve"> approach has been developed to support delivery of these strategies. The approach includes a governance structure together with accountability process elements and tools based on leading practice.</w:t>
      </w:r>
    </w:p>
    <w:p w:rsidR="00562F6D" w:rsidRDefault="004F38FA" w:rsidP="008D04AE">
      <w:pPr>
        <w:pStyle w:val="WoVGbody"/>
      </w:pPr>
      <w:r w:rsidRPr="004F38FA">
        <w:t>Within the approach is the Leading the Way framework and its embedded safety maturity model which provides departments with a vision for the future and guiding actions for change.</w:t>
      </w:r>
    </w:p>
    <w:p w:rsidR="00562F6D" w:rsidRDefault="004F38FA" w:rsidP="008D04AE">
      <w:pPr>
        <w:pStyle w:val="WoVGbody"/>
      </w:pPr>
      <w:r w:rsidRPr="004F38FA">
        <w:t xml:space="preserve">Leading the Way also provides Victorian government departments with guidance and processes to address key action areas and strategic outcomes of the </w:t>
      </w:r>
      <w:r w:rsidRPr="008D04AE">
        <w:rPr>
          <w:rStyle w:val="Emphasis"/>
        </w:rPr>
        <w:t>Australian Work Health and Safety Strategy 2012-2022</w:t>
      </w:r>
      <w:r w:rsidRPr="004F38FA">
        <w:t xml:space="preserve">; particularly Action </w:t>
      </w:r>
      <w:r w:rsidRPr="008D04AE">
        <w:rPr>
          <w:rStyle w:val="Emphasis"/>
        </w:rPr>
        <w:t>Area 4 - Leadership and culture</w:t>
      </w:r>
      <w:r w:rsidRPr="004F38FA">
        <w:t xml:space="preserve"> and </w:t>
      </w:r>
      <w:r w:rsidRPr="008D04AE">
        <w:rPr>
          <w:rStyle w:val="Emphasis"/>
        </w:rPr>
        <w:t>Action Area 6 - Government:</w:t>
      </w:r>
      <w:r w:rsidRPr="004F38FA">
        <w:t xml:space="preserve"> Strategic outcomes of Action Area 6 include governments influencing work health and safety through integration into policy design and implementation, investment and purchasing power and acting as exemplars of good work health and safety.</w:t>
      </w:r>
    </w:p>
    <w:p w:rsidR="00562F6D" w:rsidRDefault="004F38FA" w:rsidP="008D04AE">
      <w:pPr>
        <w:pStyle w:val="WoVGbody"/>
      </w:pPr>
      <w:r w:rsidRPr="004F38FA">
        <w:t xml:space="preserve">The Victorian Government, in seeking to lead the way in OHS, encourages departments to integrate the </w:t>
      </w:r>
      <w:r w:rsidRPr="008D04AE">
        <w:rPr>
          <w:rStyle w:val="Emphasis"/>
        </w:rPr>
        <w:t>Leading the Way</w:t>
      </w:r>
      <w:r w:rsidRPr="00124E41">
        <w:t xml:space="preserve"> approach</w:t>
      </w:r>
      <w:r w:rsidRPr="004F38FA">
        <w:t xml:space="preserve"> and strategic prior</w:t>
      </w:r>
      <w:r w:rsidR="002F70B9">
        <w:t>ities into their organisation.</w:t>
      </w:r>
    </w:p>
    <w:p w:rsidR="004F38FA" w:rsidRPr="004F38FA" w:rsidRDefault="004F38FA" w:rsidP="0096004B">
      <w:pPr>
        <w:pStyle w:val="Heading1"/>
      </w:pPr>
      <w:bookmarkStart w:id="2" w:name="_Toc9245994"/>
      <w:r w:rsidRPr="004F38FA">
        <w:t>Review</w:t>
      </w:r>
      <w:bookmarkEnd w:id="2"/>
    </w:p>
    <w:p w:rsidR="00562F6D" w:rsidRDefault="004F38FA" w:rsidP="008D04AE">
      <w:pPr>
        <w:pStyle w:val="WoVGbody"/>
        <w:rPr>
          <w:lang w:val="en-GB"/>
        </w:rPr>
      </w:pPr>
      <w:r w:rsidRPr="008D04AE">
        <w:rPr>
          <w:rStyle w:val="Emphasis"/>
        </w:rPr>
        <w:t>Leading the Way</w:t>
      </w:r>
      <w:r w:rsidRPr="00A52B54">
        <w:rPr>
          <w:lang w:val="en-GB"/>
        </w:rPr>
        <w:t xml:space="preserve"> will be reviewed periodically to ensure the initiatives and approach remains current, reflects the changing needs of government departments and delivers continuous improvement in performance across the Victorian public sector</w:t>
      </w:r>
      <w:r w:rsidRPr="00077BED">
        <w:rPr>
          <w:lang w:val="en-GB"/>
        </w:rPr>
        <w:t>.</w:t>
      </w:r>
    </w:p>
    <w:p w:rsidR="004F38FA" w:rsidRPr="002F70B9" w:rsidRDefault="004F38FA" w:rsidP="0096004B">
      <w:pPr>
        <w:pStyle w:val="Heading1"/>
      </w:pPr>
      <w:bookmarkStart w:id="3" w:name="_Toc9245995"/>
      <w:r w:rsidRPr="002F70B9">
        <w:t>Acknowledgements</w:t>
      </w:r>
      <w:bookmarkEnd w:id="3"/>
    </w:p>
    <w:p w:rsidR="004F38FA" w:rsidRDefault="004F38FA" w:rsidP="008D04AE">
      <w:pPr>
        <w:pStyle w:val="WoVGbody"/>
      </w:pPr>
      <w:r w:rsidRPr="00A52B54">
        <w:rPr>
          <w:lang w:val="en-GB"/>
        </w:rPr>
        <w:t xml:space="preserve">The representatives from Department of Economic Development, Jobs, Transport and Resources, Department of Education and Training, Department of Environment, Land, Water and Planning, Department of Justice and Regulation, Department of Premier and Cabinet, Department of State Development, Business and Innovation, Department of Treasury and Finance, Department of Health and Human Services, Victoria Police, WorkSafe Victoria, Community and Public Sector Union, The Police Association, Health and Community Services Union and Australian Education Union must be acknowledged for their valuable contribution to the development and review of </w:t>
      </w:r>
      <w:r w:rsidRPr="008D04AE">
        <w:rPr>
          <w:rStyle w:val="Emphasis"/>
        </w:rPr>
        <w:t>Leading the Way</w:t>
      </w:r>
      <w:r w:rsidR="002219EE" w:rsidRPr="008D04AE">
        <w:rPr>
          <w:rStyle w:val="Emphasis"/>
        </w:rPr>
        <w:t>.</w:t>
      </w:r>
    </w:p>
    <w:p w:rsidR="004F38FA" w:rsidRPr="0096004B" w:rsidRDefault="004F38FA" w:rsidP="0096004B">
      <w:pPr>
        <w:pStyle w:val="WoVGbody"/>
      </w:pPr>
      <w:r w:rsidRPr="0096004B">
        <w:br w:type="page"/>
      </w:r>
    </w:p>
    <w:p w:rsidR="004F38FA" w:rsidRPr="00AD7671" w:rsidRDefault="002F70B9" w:rsidP="002F70B9">
      <w:pPr>
        <w:pStyle w:val="Heading1"/>
      </w:pPr>
      <w:bookmarkStart w:id="4" w:name="_Toc477934191"/>
      <w:bookmarkStart w:id="5" w:name="_Toc9245996"/>
      <w:r>
        <w:lastRenderedPageBreak/>
        <w:t xml:space="preserve">1. </w:t>
      </w:r>
      <w:r w:rsidR="004F38FA" w:rsidRPr="006A4EEB">
        <w:t>Introduction</w:t>
      </w:r>
      <w:bookmarkEnd w:id="4"/>
      <w:bookmarkEnd w:id="5"/>
    </w:p>
    <w:p w:rsidR="004F38FA" w:rsidRPr="002219EE" w:rsidRDefault="004F38FA" w:rsidP="002219EE">
      <w:pPr>
        <w:pStyle w:val="WoVGbody"/>
      </w:pPr>
      <w:r w:rsidRPr="002219EE">
        <w:t>The benefits of providing a healthy and safe workplace extend beyond legal compliance and reducing work-related injury. An organisation that focuses on improving occupational health and safety (OHS) management will likely experience a host of secondary benefits including increased productivity, improved worker engagement, organisational reputation, recruitment and worker retention and financial performance.</w:t>
      </w:r>
    </w:p>
    <w:p w:rsidR="004F38FA" w:rsidRPr="002219EE" w:rsidRDefault="004F38FA" w:rsidP="002219EE">
      <w:pPr>
        <w:pStyle w:val="WoVGbody"/>
      </w:pPr>
      <w:r w:rsidRPr="002219EE">
        <w:t xml:space="preserve">The Victorian public sector is committed to </w:t>
      </w:r>
      <w:r w:rsidRPr="008D04AE">
        <w:rPr>
          <w:rStyle w:val="Emphasis"/>
        </w:rPr>
        <w:t>Leading the Way</w:t>
      </w:r>
      <w:r w:rsidRPr="002219EE">
        <w:t xml:space="preserve"> in OHS practice and performance, and to that end has established the following four strategic priorities:</w:t>
      </w:r>
    </w:p>
    <w:p w:rsidR="001A6977" w:rsidRPr="00077BED" w:rsidRDefault="001A6977" w:rsidP="0052429F">
      <w:pPr>
        <w:pStyle w:val="WoVGbullet1"/>
        <w:pBdr>
          <w:top w:val="single" w:sz="4" w:space="6" w:color="DAEEF3"/>
          <w:left w:val="single" w:sz="4" w:space="9" w:color="DAEEF3"/>
          <w:bottom w:val="single" w:sz="4" w:space="6" w:color="DAEEF3"/>
          <w:right w:val="single" w:sz="4" w:space="9" w:color="DAEEF3"/>
        </w:pBdr>
        <w:shd w:val="clear" w:color="auto" w:fill="DAEEF3"/>
        <w:ind w:left="454" w:right="170"/>
        <w:rPr>
          <w:lang w:val="en-GB"/>
        </w:rPr>
      </w:pPr>
      <w:r w:rsidRPr="004C4BE6">
        <w:rPr>
          <w:lang w:val="en-GB"/>
        </w:rPr>
        <w:t>Strategic priority 1</w:t>
      </w:r>
      <w:r>
        <w:rPr>
          <w:lang w:val="en-GB"/>
        </w:rPr>
        <w:t xml:space="preserve">: </w:t>
      </w:r>
      <w:r w:rsidRPr="00A52B54">
        <w:rPr>
          <w:lang w:val="en-GB"/>
        </w:rPr>
        <w:t>Defining and evaluating the shared issues</w:t>
      </w:r>
    </w:p>
    <w:p w:rsidR="001A6977" w:rsidRPr="00A52B54" w:rsidRDefault="001A6977" w:rsidP="0052429F">
      <w:pPr>
        <w:pStyle w:val="WoVGbullet1"/>
        <w:pBdr>
          <w:top w:val="single" w:sz="4" w:space="6" w:color="DAEEF3"/>
          <w:left w:val="single" w:sz="4" w:space="9" w:color="DAEEF3"/>
          <w:bottom w:val="single" w:sz="4" w:space="6" w:color="DAEEF3"/>
          <w:right w:val="single" w:sz="4" w:space="9" w:color="DAEEF3"/>
        </w:pBdr>
        <w:shd w:val="clear" w:color="auto" w:fill="DAEEF3"/>
        <w:ind w:left="454" w:right="170"/>
        <w:rPr>
          <w:lang w:val="en-GB"/>
        </w:rPr>
      </w:pPr>
      <w:r w:rsidRPr="004C4BE6">
        <w:rPr>
          <w:lang w:val="en-GB"/>
        </w:rPr>
        <w:t>Strategic priority 2</w:t>
      </w:r>
      <w:r>
        <w:rPr>
          <w:lang w:val="en-GB"/>
        </w:rPr>
        <w:t xml:space="preserve">: </w:t>
      </w:r>
      <w:r w:rsidRPr="00A52B54">
        <w:rPr>
          <w:lang w:val="en-GB"/>
        </w:rPr>
        <w:t>Building and promoting leadership</w:t>
      </w:r>
    </w:p>
    <w:p w:rsidR="001A6977" w:rsidRPr="00A52B54" w:rsidRDefault="001A6977" w:rsidP="0052429F">
      <w:pPr>
        <w:pStyle w:val="WoVGbullet1"/>
        <w:pBdr>
          <w:top w:val="single" w:sz="4" w:space="6" w:color="DAEEF3"/>
          <w:left w:val="single" w:sz="4" w:space="9" w:color="DAEEF3"/>
          <w:bottom w:val="single" w:sz="4" w:space="6" w:color="DAEEF3"/>
          <w:right w:val="single" w:sz="4" w:space="9" w:color="DAEEF3"/>
        </w:pBdr>
        <w:shd w:val="clear" w:color="auto" w:fill="DAEEF3"/>
        <w:ind w:left="454" w:right="170"/>
        <w:rPr>
          <w:lang w:val="en-GB"/>
        </w:rPr>
      </w:pPr>
      <w:r w:rsidRPr="004C4BE6">
        <w:rPr>
          <w:lang w:val="en-GB"/>
        </w:rPr>
        <w:t>Strategic priority 3</w:t>
      </w:r>
      <w:r>
        <w:rPr>
          <w:lang w:val="en-GB"/>
        </w:rPr>
        <w:t xml:space="preserve">: </w:t>
      </w:r>
      <w:r w:rsidRPr="00A52B54">
        <w:rPr>
          <w:lang w:val="en-GB"/>
        </w:rPr>
        <w:t>Building and promoting ownership and accountability</w:t>
      </w:r>
    </w:p>
    <w:p w:rsidR="001A6977" w:rsidRPr="00A52B54" w:rsidRDefault="001A6977" w:rsidP="0052429F">
      <w:pPr>
        <w:pStyle w:val="WoVGbullet1"/>
        <w:pBdr>
          <w:top w:val="single" w:sz="4" w:space="6" w:color="DAEEF3"/>
          <w:left w:val="single" w:sz="4" w:space="9" w:color="DAEEF3"/>
          <w:bottom w:val="single" w:sz="4" w:space="6" w:color="DAEEF3"/>
          <w:right w:val="single" w:sz="4" w:space="9" w:color="DAEEF3"/>
        </w:pBdr>
        <w:shd w:val="clear" w:color="auto" w:fill="DAEEF3"/>
        <w:ind w:left="454" w:right="170"/>
        <w:rPr>
          <w:lang w:val="en-GB"/>
        </w:rPr>
      </w:pPr>
      <w:r w:rsidRPr="004C4BE6">
        <w:rPr>
          <w:lang w:val="en-GB"/>
        </w:rPr>
        <w:t>Strategic priority 4</w:t>
      </w:r>
      <w:r>
        <w:rPr>
          <w:lang w:val="en-GB"/>
        </w:rPr>
        <w:t xml:space="preserve">: </w:t>
      </w:r>
      <w:r w:rsidRPr="00A52B54">
        <w:rPr>
          <w:lang w:val="en-GB"/>
        </w:rPr>
        <w:t>Defining and promoting the shared levers for change</w:t>
      </w:r>
    </w:p>
    <w:p w:rsidR="00562F6D" w:rsidRDefault="004C4BE6" w:rsidP="001A6977">
      <w:pPr>
        <w:pStyle w:val="WoVGbodyafterbullets"/>
      </w:pPr>
      <w:r w:rsidRPr="00225F77">
        <w:t xml:space="preserve">The </w:t>
      </w:r>
      <w:r w:rsidRPr="008D04AE">
        <w:rPr>
          <w:rStyle w:val="Emphasis"/>
        </w:rPr>
        <w:t>Leading the Way</w:t>
      </w:r>
      <w:r w:rsidRPr="00225F77">
        <w:t xml:space="preserve"> approach has been developed to deliver these strategic priorities. Elements of the Leading the Way approach generally correspond to individual strategic priorities as outlined in the remainder of this document. However, aspects of the approach may be considered to apply across the strategies.</w:t>
      </w:r>
    </w:p>
    <w:p w:rsidR="00562F6D" w:rsidRDefault="004C4BE6" w:rsidP="00225F77">
      <w:pPr>
        <w:pStyle w:val="WoVGbody"/>
      </w:pPr>
      <w:r w:rsidRPr="008D04AE">
        <w:rPr>
          <w:rStyle w:val="Emphasis"/>
        </w:rPr>
        <w:t>Leading the Way</w:t>
      </w:r>
      <w:r w:rsidRPr="00225F77">
        <w:t xml:space="preserve"> is intended to provide an agreed and standardised approach for government departments to identify and address opportunities for OHS improvement across the strategic priorities and focus areas.</w:t>
      </w:r>
    </w:p>
    <w:p w:rsidR="00562F6D" w:rsidRDefault="004C4BE6" w:rsidP="00225F77">
      <w:pPr>
        <w:pStyle w:val="WoVGbody"/>
      </w:pPr>
      <w:r w:rsidRPr="00225F77">
        <w:t xml:space="preserve">The </w:t>
      </w:r>
      <w:r w:rsidRPr="008D04AE">
        <w:rPr>
          <w:rStyle w:val="Emphasis"/>
        </w:rPr>
        <w:t>Leading the Way</w:t>
      </w:r>
      <w:r w:rsidRPr="00225F77">
        <w:t xml:space="preserve"> approach, framework and maturity model were reviewed in 2016 in consultation with stakeholders to ensure that they are best designed to deliver the strategic priorities whilst remaining flexible for tailored implementation in individual government departments.</w:t>
      </w:r>
    </w:p>
    <w:p w:rsidR="00562F6D" w:rsidRDefault="004C4BE6" w:rsidP="00225F77">
      <w:pPr>
        <w:pStyle w:val="WoVGbody"/>
      </w:pPr>
      <w:r w:rsidRPr="00225F77">
        <w:t xml:space="preserve">The </w:t>
      </w:r>
      <w:r w:rsidRPr="008D04AE">
        <w:rPr>
          <w:rStyle w:val="Emphasis"/>
        </w:rPr>
        <w:t>Leading the Way</w:t>
      </w:r>
      <w:r w:rsidRPr="00225F77">
        <w:t xml:space="preserve"> approach is designed to assist government departments to establish and/or improve the foundations for sound OHS management firstly through design, implementation and review of systems and processes which are then supported by programs and initiatives to influence and develop a positive organisational safety culture.</w:t>
      </w:r>
    </w:p>
    <w:p w:rsidR="004C4BE6" w:rsidRPr="00225F77" w:rsidRDefault="004C4BE6" w:rsidP="00225F77">
      <w:pPr>
        <w:pStyle w:val="WoVGbody"/>
      </w:pPr>
      <w:r w:rsidRPr="00225F77">
        <w:t>Most importantly, the program aims to facilitate and support government departments to monitor and report on their own OHS performance and share learnings that can lead the way for OHS improvement across the Victorian public sector.</w:t>
      </w:r>
      <w:bookmarkStart w:id="6" w:name="_Toc477934192"/>
    </w:p>
    <w:p w:rsidR="004C4BE6" w:rsidRPr="00EB7589" w:rsidRDefault="002F70B9" w:rsidP="00EB7589">
      <w:pPr>
        <w:pStyle w:val="Heading1"/>
      </w:pPr>
      <w:bookmarkStart w:id="7" w:name="_Toc9245997"/>
      <w:r w:rsidRPr="00EB7589">
        <w:t xml:space="preserve">2. </w:t>
      </w:r>
      <w:r w:rsidR="004C4BE6" w:rsidRPr="00EB7589">
        <w:t>Objectives</w:t>
      </w:r>
      <w:bookmarkEnd w:id="6"/>
      <w:bookmarkEnd w:id="7"/>
    </w:p>
    <w:p w:rsidR="004C4BE6" w:rsidRPr="00A52B54" w:rsidRDefault="004C4BE6" w:rsidP="008D04AE">
      <w:pPr>
        <w:pStyle w:val="WoVGbody"/>
        <w:rPr>
          <w:lang w:val="en-GB"/>
        </w:rPr>
      </w:pPr>
      <w:r w:rsidRPr="00A52B54">
        <w:rPr>
          <w:lang w:val="en-GB"/>
        </w:rPr>
        <w:t xml:space="preserve">The objectives of </w:t>
      </w:r>
      <w:r w:rsidRPr="008D04AE">
        <w:rPr>
          <w:rStyle w:val="Emphasis"/>
        </w:rPr>
        <w:t xml:space="preserve">Leading the Way </w:t>
      </w:r>
      <w:r w:rsidRPr="00A52B54">
        <w:rPr>
          <w:lang w:val="en-GB"/>
        </w:rPr>
        <w:t>are to:</w:t>
      </w:r>
    </w:p>
    <w:p w:rsidR="004C4BE6" w:rsidRPr="004C4BE6" w:rsidRDefault="004C4BE6" w:rsidP="004C4BE6">
      <w:pPr>
        <w:pStyle w:val="WoVGbullet1"/>
      </w:pPr>
      <w:r w:rsidRPr="004C4BE6">
        <w:t xml:space="preserve">provide a governance framework to (1) set the strategic priorities, (2) agree </w:t>
      </w:r>
      <w:r w:rsidRPr="008D04AE">
        <w:rPr>
          <w:rStyle w:val="Emphasis"/>
        </w:rPr>
        <w:t>Leading the Way</w:t>
      </w:r>
      <w:r w:rsidRPr="004C4BE6">
        <w:t xml:space="preserve"> approach, and (3) monitor and promote improvement through performance reporting</w:t>
      </w:r>
    </w:p>
    <w:p w:rsidR="004C4BE6" w:rsidRPr="004C4BE6" w:rsidRDefault="004C4BE6" w:rsidP="004C4BE6">
      <w:pPr>
        <w:pStyle w:val="WoVGbullet1"/>
      </w:pPr>
      <w:r w:rsidRPr="004C4BE6">
        <w:t>provide a means for assessing current and future levels of maturity in the Leading the Way maturity</w:t>
      </w:r>
      <w:r w:rsidR="00562F6D">
        <w:t xml:space="preserve"> </w:t>
      </w:r>
      <w:r w:rsidRPr="004C4BE6">
        <w:t>model</w:t>
      </w:r>
    </w:p>
    <w:p w:rsidR="004C4BE6" w:rsidRPr="004C4BE6" w:rsidRDefault="004C4BE6" w:rsidP="004C4BE6">
      <w:pPr>
        <w:pStyle w:val="WoVGbullet1"/>
      </w:pPr>
      <w:r w:rsidRPr="004C4BE6">
        <w:t>assist government departments to design and implement practical strategies to improve OHS performance</w:t>
      </w:r>
    </w:p>
    <w:p w:rsidR="004C4BE6" w:rsidRPr="004C4BE6" w:rsidRDefault="004C4BE6" w:rsidP="004C4BE6">
      <w:pPr>
        <w:pStyle w:val="WoVGbullet1"/>
      </w:pPr>
      <w:r w:rsidRPr="004C4BE6">
        <w:t>assist government departments to set clear accountabilities for OHS at all levels of the organisation</w:t>
      </w:r>
    </w:p>
    <w:p w:rsidR="00562F6D" w:rsidRDefault="004C4BE6" w:rsidP="004C4BE6">
      <w:pPr>
        <w:pStyle w:val="WoVGbullet1"/>
      </w:pPr>
      <w:r w:rsidRPr="004C4BE6">
        <w:lastRenderedPageBreak/>
        <w:t>establish performance indicators that measure improvement in the focus areas of senior management commitment safety culture, OHS systems and accountability</w:t>
      </w:r>
    </w:p>
    <w:p w:rsidR="004C4BE6" w:rsidRPr="004C4BE6" w:rsidRDefault="004C4BE6" w:rsidP="004C4BE6">
      <w:pPr>
        <w:pStyle w:val="WoVGbullet1"/>
      </w:pPr>
      <w:r w:rsidRPr="004C4BE6">
        <w:t>analyse data to identify and develop a more systematic and proactive approach to managing safety</w:t>
      </w:r>
    </w:p>
    <w:p w:rsidR="004C4BE6" w:rsidRPr="004C4BE6" w:rsidRDefault="004C4BE6" w:rsidP="004C4BE6">
      <w:pPr>
        <w:pStyle w:val="WoVGbullet1"/>
      </w:pPr>
      <w:r w:rsidRPr="004C4BE6">
        <w:t xml:space="preserve">provide an approach to performance reporting to (1) hold government departments accountable for improving performance according to an agreed set of outcome (lag) metrics and (2) use process (lead) indicators to identify where government departments are </w:t>
      </w:r>
      <w:r w:rsidRPr="008D04AE">
        <w:rPr>
          <w:rStyle w:val="Emphasis"/>
        </w:rPr>
        <w:t>Leading the Way</w:t>
      </w:r>
      <w:r w:rsidRPr="004C4BE6">
        <w:t xml:space="preserve"> in OHS management and safety culture</w:t>
      </w:r>
    </w:p>
    <w:p w:rsidR="004C4BE6" w:rsidRPr="004C4BE6" w:rsidRDefault="004C4BE6" w:rsidP="004C4BE6">
      <w:pPr>
        <w:pStyle w:val="WoVGbullet1"/>
      </w:pPr>
      <w:r w:rsidRPr="004C4BE6">
        <w:t>provide an opportunity to share information, data, case studies and ideas to promote innovation and continuous improvement in health and safety across the Victorian public sector.</w:t>
      </w:r>
    </w:p>
    <w:p w:rsidR="004C4BE6" w:rsidRPr="00EB7589" w:rsidRDefault="002F70B9" w:rsidP="00EB7589">
      <w:pPr>
        <w:pStyle w:val="Heading1"/>
      </w:pPr>
      <w:bookmarkStart w:id="8" w:name="_Toc477934193"/>
      <w:bookmarkStart w:id="9" w:name="_Toc9245998"/>
      <w:r w:rsidRPr="00EB7589">
        <w:t xml:space="preserve">3. </w:t>
      </w:r>
      <w:r w:rsidR="004C4BE6" w:rsidRPr="00EB7589">
        <w:t xml:space="preserve">Leading the </w:t>
      </w:r>
      <w:r w:rsidR="003F36CD">
        <w:t>W</w:t>
      </w:r>
      <w:r w:rsidR="004C4BE6" w:rsidRPr="00EB7589">
        <w:t xml:space="preserve">ay </w:t>
      </w:r>
      <w:r w:rsidR="003F36CD">
        <w:t>a</w:t>
      </w:r>
      <w:r w:rsidR="004C4BE6" w:rsidRPr="00EB7589">
        <w:t>pproach</w:t>
      </w:r>
      <w:bookmarkEnd w:id="8"/>
      <w:bookmarkEnd w:id="9"/>
    </w:p>
    <w:p w:rsidR="004C4BE6" w:rsidRDefault="004C4BE6" w:rsidP="008D04AE">
      <w:pPr>
        <w:pStyle w:val="WoVGbody"/>
        <w:rPr>
          <w:lang w:val="en-GB"/>
        </w:rPr>
      </w:pPr>
      <w:r w:rsidRPr="00A52B54">
        <w:rPr>
          <w:lang w:val="en-GB"/>
        </w:rPr>
        <w:t xml:space="preserve">The </w:t>
      </w:r>
      <w:r w:rsidRPr="008D04AE">
        <w:rPr>
          <w:rStyle w:val="Emphasis"/>
        </w:rPr>
        <w:t xml:space="preserve">Leading the Way </w:t>
      </w:r>
      <w:r w:rsidRPr="00A52B54">
        <w:rPr>
          <w:lang w:val="en-GB"/>
        </w:rPr>
        <w:t>approach represents an overarching framework for the Victorian public sector to balance accountability with learning and improvement. The approach comprises the elements illustrated in Figure 1 below.</w:t>
      </w:r>
    </w:p>
    <w:p w:rsidR="002F70B9" w:rsidRPr="0008389A" w:rsidRDefault="0008389A" w:rsidP="0008389A">
      <w:pPr>
        <w:pStyle w:val="WoVGfigurecaption"/>
      </w:pPr>
      <w:r>
        <w:t xml:space="preserve">Figure 1: </w:t>
      </w:r>
      <w:r w:rsidRPr="008D04AE">
        <w:rPr>
          <w:rStyle w:val="Emphasis"/>
        </w:rPr>
        <w:t>Leading the Way</w:t>
      </w:r>
      <w:r>
        <w:t xml:space="preserve"> approach</w:t>
      </w:r>
    </w:p>
    <w:p w:rsidR="004C4BE6" w:rsidRDefault="004C4BE6" w:rsidP="0047128D">
      <w:pPr>
        <w:pStyle w:val="WoVGbody"/>
      </w:pPr>
      <w:r>
        <w:rPr>
          <w:noProof/>
          <w:lang w:eastAsia="en-AU"/>
        </w:rPr>
        <w:drawing>
          <wp:inline distT="0" distB="0" distL="0" distR="0" wp14:anchorId="5192B4D8" wp14:editId="0430B317">
            <wp:extent cx="5875788" cy="1707204"/>
            <wp:effectExtent l="0" t="0" r="0" b="7620"/>
            <wp:docPr id="3" name="Picture 3" descr="Figure showing the structure of the Leading the Way approach, as described in the text that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B0BD11.tmp"/>
                    <pic:cNvPicPr/>
                  </pic:nvPicPr>
                  <pic:blipFill rotWithShape="1">
                    <a:blip r:embed="rId17">
                      <a:extLst>
                        <a:ext uri="{28A0092B-C50C-407E-A947-70E740481C1C}">
                          <a14:useLocalDpi xmlns:a14="http://schemas.microsoft.com/office/drawing/2010/main" val="0"/>
                        </a:ext>
                      </a:extLst>
                    </a:blip>
                    <a:srcRect l="4163" t="9223" r="3151" b="7218"/>
                    <a:stretch/>
                  </pic:blipFill>
                  <pic:spPr bwMode="auto">
                    <a:xfrm>
                      <a:off x="0" y="0"/>
                      <a:ext cx="5878824" cy="1708086"/>
                    </a:xfrm>
                    <a:prstGeom prst="rect">
                      <a:avLst/>
                    </a:prstGeom>
                    <a:ln>
                      <a:noFill/>
                    </a:ln>
                    <a:extLst>
                      <a:ext uri="{53640926-AAD7-44D8-BBD7-CCE9431645EC}">
                        <a14:shadowObscured xmlns:a14="http://schemas.microsoft.com/office/drawing/2010/main"/>
                      </a:ext>
                    </a:extLst>
                  </pic:spPr>
                </pic:pic>
              </a:graphicData>
            </a:graphic>
          </wp:inline>
        </w:drawing>
      </w:r>
    </w:p>
    <w:p w:rsidR="004C4BE6" w:rsidRPr="004C4BE6" w:rsidRDefault="004C4BE6" w:rsidP="00792402">
      <w:pPr>
        <w:pStyle w:val="Heading2"/>
      </w:pPr>
      <w:bookmarkStart w:id="10" w:name="_Toc477934194"/>
      <w:bookmarkStart w:id="11" w:name="_Toc9245999"/>
      <w:r w:rsidRPr="00D22836">
        <w:t>3</w:t>
      </w:r>
      <w:r w:rsidR="0008389A">
        <w:t>.</w:t>
      </w:r>
      <w:r w:rsidRPr="00D22836">
        <w:t xml:space="preserve">1 </w:t>
      </w:r>
      <w:r w:rsidRPr="008D04AE">
        <w:rPr>
          <w:rStyle w:val="Emphasis"/>
        </w:rPr>
        <w:t>Leading the Way</w:t>
      </w:r>
      <w:r w:rsidRPr="00861128">
        <w:t xml:space="preserve"> governance structure</w:t>
      </w:r>
      <w:bookmarkEnd w:id="10"/>
      <w:bookmarkEnd w:id="11"/>
    </w:p>
    <w:p w:rsidR="004C4BE6" w:rsidRDefault="004C4BE6" w:rsidP="008D04AE">
      <w:pPr>
        <w:pStyle w:val="WoVGbody"/>
        <w:rPr>
          <w:lang w:val="en-GB"/>
        </w:rPr>
      </w:pPr>
      <w:r w:rsidRPr="008D04AE">
        <w:rPr>
          <w:rStyle w:val="Strongemphasis"/>
        </w:rPr>
        <w:t>Leading the Way</w:t>
      </w:r>
      <w:r w:rsidRPr="00D82FD2">
        <w:rPr>
          <w:b/>
          <w:lang w:val="en-GB"/>
        </w:rPr>
        <w:t xml:space="preserve"> governance model</w:t>
      </w:r>
      <w:r w:rsidRPr="00D82FD2">
        <w:rPr>
          <w:lang w:val="en-GB"/>
        </w:rPr>
        <w:t xml:space="preserve">: The governance bodies provide an accountability structure to provide authority and guidance on strategic direction. The governance forums provide opportunities for </w:t>
      </w:r>
      <w:r w:rsidRPr="008D04AE">
        <w:rPr>
          <w:rStyle w:val="Emphasis"/>
        </w:rPr>
        <w:t>Leading the Way</w:t>
      </w:r>
      <w:r w:rsidRPr="00D82FD2">
        <w:rPr>
          <w:lang w:val="en-GB"/>
        </w:rPr>
        <w:t xml:space="preserve"> performance improvement monitoring and review to drive continuous improvement.</w:t>
      </w:r>
    </w:p>
    <w:p w:rsidR="004C4BE6" w:rsidRPr="00034AA9" w:rsidRDefault="004C4BE6" w:rsidP="00792402">
      <w:pPr>
        <w:pStyle w:val="Heading2"/>
      </w:pPr>
      <w:bookmarkStart w:id="12" w:name="_Toc477934195"/>
      <w:bookmarkStart w:id="13" w:name="_Toc9246000"/>
      <w:r>
        <w:t xml:space="preserve">3.2 </w:t>
      </w:r>
      <w:r w:rsidRPr="008D04AE">
        <w:rPr>
          <w:rStyle w:val="Emphasis"/>
        </w:rPr>
        <w:t>Leading the Way</w:t>
      </w:r>
      <w:r w:rsidRPr="00034AA9">
        <w:t xml:space="preserve"> accountability and learning process and tools</w:t>
      </w:r>
      <w:bookmarkEnd w:id="12"/>
      <w:bookmarkEnd w:id="13"/>
    </w:p>
    <w:p w:rsidR="004C4BE6" w:rsidRPr="00846B49" w:rsidRDefault="004C4BE6" w:rsidP="008D04AE">
      <w:pPr>
        <w:pStyle w:val="WoVGbody"/>
        <w:rPr>
          <w:lang w:val="en-GB"/>
        </w:rPr>
      </w:pPr>
      <w:r w:rsidRPr="00222C0C">
        <w:rPr>
          <w:lang w:val="en-GB"/>
        </w:rPr>
        <w:t>Together</w:t>
      </w:r>
      <w:r w:rsidRPr="00846B49">
        <w:rPr>
          <w:lang w:val="en-GB"/>
        </w:rPr>
        <w:t xml:space="preserve"> the following elements of the </w:t>
      </w:r>
      <w:r w:rsidRPr="008D04AE">
        <w:rPr>
          <w:rStyle w:val="Emphasis"/>
        </w:rPr>
        <w:t>Leading the Way</w:t>
      </w:r>
      <w:r w:rsidRPr="00846B49">
        <w:rPr>
          <w:lang w:val="en-GB"/>
        </w:rPr>
        <w:t xml:space="preserve"> approach provide the process and tools to inform and drive OHS improvement within individual government departments and across the public sector.</w:t>
      </w:r>
    </w:p>
    <w:p w:rsidR="00562F6D" w:rsidRDefault="004C4BE6" w:rsidP="002219EE">
      <w:pPr>
        <w:pStyle w:val="WoVGbullet1"/>
      </w:pPr>
      <w:r w:rsidRPr="008D04AE">
        <w:rPr>
          <w:rStyle w:val="Strongemphasis"/>
        </w:rPr>
        <w:t xml:space="preserve">Leading the Way </w:t>
      </w:r>
      <w:r w:rsidRPr="002219EE">
        <w:rPr>
          <w:b/>
        </w:rPr>
        <w:t>framework:</w:t>
      </w:r>
      <w:r w:rsidRPr="002219EE">
        <w:t xml:space="preserve"> The </w:t>
      </w:r>
      <w:r w:rsidRPr="008D04AE">
        <w:rPr>
          <w:rStyle w:val="Emphasis"/>
        </w:rPr>
        <w:t>Leading the Way</w:t>
      </w:r>
      <w:r w:rsidRPr="002219EE">
        <w:t xml:space="preserve"> framework links the focus areas to outcomes using an organisational safety maturity model. The maturity model is supported by a self-assessment tool to assist government departments to assess their level of maturity for each focus area.</w:t>
      </w:r>
    </w:p>
    <w:p w:rsidR="004C4BE6" w:rsidRPr="002219EE" w:rsidRDefault="004C4BE6" w:rsidP="002219EE">
      <w:pPr>
        <w:pStyle w:val="WoVGbullet1"/>
      </w:pPr>
      <w:r w:rsidRPr="002219EE">
        <w:rPr>
          <w:b/>
        </w:rPr>
        <w:t>Action plans:</w:t>
      </w:r>
      <w:r w:rsidRPr="002219EE">
        <w:t xml:space="preserve"> Outcomes from the </w:t>
      </w:r>
      <w:r w:rsidRPr="008D04AE">
        <w:rPr>
          <w:rStyle w:val="Emphasis"/>
        </w:rPr>
        <w:t>Leading the Way</w:t>
      </w:r>
      <w:r w:rsidRPr="002219EE">
        <w:t xml:space="preserve"> self-assessment and other performance data should be used to identify, prioritise and plan delivery of improvement actions.</w:t>
      </w:r>
    </w:p>
    <w:p w:rsidR="00562F6D" w:rsidRDefault="004C4BE6" w:rsidP="002219EE">
      <w:pPr>
        <w:pStyle w:val="WoVGbullet1"/>
      </w:pPr>
      <w:r w:rsidRPr="002219EE">
        <w:rPr>
          <w:b/>
        </w:rPr>
        <w:t>Performance indicators:</w:t>
      </w:r>
      <w:r w:rsidRPr="002219EE">
        <w:t xml:space="preserve"> Defined qualitative and quantitative measures selected to indicate how effectively OHS processes are operating against objectives and indicating improvement in focus areas. Data collection and analysis methodology should be established and defined.</w:t>
      </w:r>
    </w:p>
    <w:p w:rsidR="00562F6D" w:rsidRDefault="004C4BE6" w:rsidP="002219EE">
      <w:pPr>
        <w:pStyle w:val="WoVGbullet1"/>
      </w:pPr>
      <w:r w:rsidRPr="002219EE">
        <w:rPr>
          <w:b/>
        </w:rPr>
        <w:t>Reporting:</w:t>
      </w:r>
      <w:r w:rsidRPr="002219EE">
        <w:t xml:space="preserve"> OHS performance will be reported against a consistent set of outcome measures across the Victorian public sector and a complementary set of process measures to monitor government </w:t>
      </w:r>
      <w:r w:rsidRPr="002219EE">
        <w:lastRenderedPageBreak/>
        <w:t xml:space="preserve">departments’ improvement in the focus areas. Case studies may be used to showcase areas where government departments are </w:t>
      </w:r>
      <w:r w:rsidRPr="008D04AE">
        <w:rPr>
          <w:rStyle w:val="Emphasis"/>
        </w:rPr>
        <w:t>Leading the Way</w:t>
      </w:r>
      <w:r w:rsidRPr="002219EE">
        <w:t>.</w:t>
      </w:r>
    </w:p>
    <w:p w:rsidR="004C4BE6" w:rsidRPr="002219EE" w:rsidRDefault="004C4BE6" w:rsidP="002219EE">
      <w:pPr>
        <w:pStyle w:val="WoVGbullet1"/>
      </w:pPr>
      <w:r w:rsidRPr="002219EE">
        <w:rPr>
          <w:b/>
        </w:rPr>
        <w:t>Review:</w:t>
      </w:r>
      <w:r w:rsidRPr="002219EE">
        <w:t xml:space="preserve"> Governance bodies will review reported OHS performance and share learnings to inform and drive continuous improvement.</w:t>
      </w:r>
    </w:p>
    <w:p w:rsidR="004C4BE6" w:rsidRPr="00846B49" w:rsidRDefault="004C4BE6" w:rsidP="00562F6D">
      <w:pPr>
        <w:pStyle w:val="WoVGbodyafterbullets"/>
        <w:rPr>
          <w:lang w:val="en-GB"/>
        </w:rPr>
      </w:pPr>
      <w:r w:rsidRPr="00846B49">
        <w:rPr>
          <w:lang w:val="en-GB"/>
        </w:rPr>
        <w:t xml:space="preserve">Elements of the </w:t>
      </w:r>
      <w:r w:rsidRPr="008D04AE">
        <w:rPr>
          <w:rStyle w:val="Emphasis"/>
        </w:rPr>
        <w:t>Leading the Way</w:t>
      </w:r>
      <w:r w:rsidRPr="00846B49">
        <w:rPr>
          <w:lang w:val="en-GB"/>
        </w:rPr>
        <w:t xml:space="preserve"> approach align with the strategic priorities as follows:</w:t>
      </w:r>
    </w:p>
    <w:tbl>
      <w:tblPr>
        <w:tblStyle w:val="TableGrid"/>
        <w:tblW w:w="9299"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4649"/>
        <w:gridCol w:w="4650"/>
      </w:tblGrid>
      <w:tr w:rsidR="009C5944" w:rsidRPr="00077BED" w:rsidTr="00AB24F2">
        <w:trPr>
          <w:cantSplit/>
          <w:tblHeader/>
        </w:trPr>
        <w:tc>
          <w:tcPr>
            <w:tcW w:w="2500" w:type="pct"/>
            <w:tcBorders>
              <w:top w:val="single" w:sz="4" w:space="0" w:color="auto"/>
              <w:left w:val="single" w:sz="4" w:space="0" w:color="auto"/>
              <w:bottom w:val="single" w:sz="4" w:space="0" w:color="auto"/>
              <w:right w:val="single" w:sz="4" w:space="0" w:color="auto"/>
            </w:tcBorders>
            <w:shd w:val="clear" w:color="auto" w:fill="auto"/>
          </w:tcPr>
          <w:p w:rsidR="009C5944" w:rsidRPr="00846B49" w:rsidRDefault="009C5944" w:rsidP="00AB24F2">
            <w:pPr>
              <w:pStyle w:val="WoVGtablecolhead"/>
              <w:rPr>
                <w:lang w:val="en-GB"/>
              </w:rPr>
            </w:pPr>
            <w:r>
              <w:rPr>
                <w:lang w:val="en-GB"/>
              </w:rPr>
              <w:t>Strategic priority</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C5944" w:rsidRPr="004C4BE6" w:rsidRDefault="00AB24F2" w:rsidP="00AB24F2">
            <w:pPr>
              <w:pStyle w:val="WoVGtablecolhead"/>
              <w:rPr>
                <w:lang w:val="en-GB"/>
              </w:rPr>
            </w:pPr>
            <w:r>
              <w:rPr>
                <w:lang w:val="en-GB"/>
              </w:rPr>
              <w:t>Leading the Way element</w:t>
            </w:r>
          </w:p>
        </w:tc>
      </w:tr>
      <w:tr w:rsidR="009C5944" w:rsidRPr="00077BED" w:rsidTr="00AB24F2">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rsidR="009C5944" w:rsidRPr="00846B49" w:rsidRDefault="009C5944" w:rsidP="009C5944">
            <w:pPr>
              <w:pStyle w:val="WoVGtabletext"/>
              <w:rPr>
                <w:lang w:val="en-GB"/>
              </w:rPr>
            </w:pPr>
            <w:r w:rsidRPr="004C4BE6">
              <w:rPr>
                <w:lang w:val="en-GB"/>
              </w:rPr>
              <w:t>Strategic priority 1</w:t>
            </w:r>
            <w:r>
              <w:rPr>
                <w:lang w:val="en-GB"/>
              </w:rPr>
              <w:t xml:space="preserve">: </w:t>
            </w:r>
            <w:r w:rsidRPr="00846B49">
              <w:rPr>
                <w:lang w:val="en-GB"/>
              </w:rPr>
              <w:t xml:space="preserve">Defining and evaluating the shared issues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C5944" w:rsidRPr="00846B49" w:rsidRDefault="009C5944" w:rsidP="0047128D">
            <w:pPr>
              <w:pStyle w:val="WoVGtabletext"/>
              <w:rPr>
                <w:lang w:val="en-GB"/>
              </w:rPr>
            </w:pPr>
            <w:r w:rsidRPr="004C4BE6">
              <w:rPr>
                <w:lang w:val="en-GB"/>
              </w:rPr>
              <w:t>Leading the Way</w:t>
            </w:r>
            <w:r w:rsidRPr="00846B49">
              <w:rPr>
                <w:lang w:val="en-GB"/>
              </w:rPr>
              <w:t xml:space="preserve"> governance model</w:t>
            </w:r>
          </w:p>
        </w:tc>
      </w:tr>
      <w:tr w:rsidR="009C5944" w:rsidRPr="00077BED" w:rsidTr="00AB24F2">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rsidR="009C5944" w:rsidRPr="00846B49" w:rsidRDefault="009C5944" w:rsidP="009C5944">
            <w:pPr>
              <w:pStyle w:val="WoVGtabletext"/>
              <w:rPr>
                <w:lang w:val="en-GB"/>
              </w:rPr>
            </w:pPr>
            <w:r w:rsidRPr="004C4BE6">
              <w:rPr>
                <w:lang w:val="en-GB"/>
              </w:rPr>
              <w:t>Strategic priority 2</w:t>
            </w:r>
            <w:r>
              <w:rPr>
                <w:lang w:val="en-GB"/>
              </w:rPr>
              <w:t xml:space="preserve">: </w:t>
            </w:r>
            <w:r w:rsidRPr="00846B49">
              <w:rPr>
                <w:lang w:val="en-GB"/>
              </w:rPr>
              <w:t xml:space="preserve">Building and promoting leadership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C5944" w:rsidRPr="00846B49" w:rsidRDefault="009C5944" w:rsidP="0047128D">
            <w:pPr>
              <w:pStyle w:val="WoVGtabletext"/>
              <w:rPr>
                <w:lang w:val="en-GB"/>
              </w:rPr>
            </w:pPr>
            <w:r w:rsidRPr="004C4BE6">
              <w:rPr>
                <w:lang w:val="en-GB"/>
              </w:rPr>
              <w:t>Leading the Way</w:t>
            </w:r>
            <w:r w:rsidRPr="00846B49">
              <w:rPr>
                <w:lang w:val="en-GB"/>
              </w:rPr>
              <w:t xml:space="preserve"> framework, maturity model, </w:t>
            </w:r>
            <w:r w:rsidR="00AB24F2">
              <w:rPr>
                <w:lang w:val="en-GB"/>
              </w:rPr>
              <w:br/>
            </w:r>
            <w:r w:rsidRPr="00846B49">
              <w:rPr>
                <w:lang w:val="en-GB"/>
              </w:rPr>
              <w:t>self-assessment; action plan</w:t>
            </w:r>
          </w:p>
        </w:tc>
      </w:tr>
      <w:tr w:rsidR="009C5944" w:rsidRPr="00077BED" w:rsidTr="00AB24F2">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rsidR="009C5944" w:rsidRPr="00846B49" w:rsidRDefault="009C5944" w:rsidP="009C5944">
            <w:pPr>
              <w:pStyle w:val="WoVGtabletext"/>
              <w:rPr>
                <w:lang w:val="en-GB"/>
              </w:rPr>
            </w:pPr>
            <w:r w:rsidRPr="004C4BE6">
              <w:rPr>
                <w:lang w:val="en-GB"/>
              </w:rPr>
              <w:t>Strategic priority 3</w:t>
            </w:r>
            <w:r>
              <w:rPr>
                <w:lang w:val="en-GB"/>
              </w:rPr>
              <w:t xml:space="preserve">: </w:t>
            </w:r>
            <w:r w:rsidRPr="00846B49">
              <w:rPr>
                <w:lang w:val="en-GB"/>
              </w:rPr>
              <w:t>Building and promoting ownership and accountability</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C5944" w:rsidRPr="00846B49" w:rsidRDefault="009C5944" w:rsidP="0047128D">
            <w:pPr>
              <w:pStyle w:val="WoVGtabletext"/>
              <w:rPr>
                <w:lang w:val="en-GB"/>
              </w:rPr>
            </w:pPr>
            <w:r w:rsidRPr="00846B49">
              <w:rPr>
                <w:lang w:val="en-GB"/>
              </w:rPr>
              <w:t>Performance indicators</w:t>
            </w:r>
          </w:p>
          <w:p w:rsidR="009C5944" w:rsidRPr="00846B49" w:rsidRDefault="009C5944" w:rsidP="0047128D">
            <w:pPr>
              <w:pStyle w:val="WoVGtabletext"/>
              <w:rPr>
                <w:lang w:val="en-GB"/>
              </w:rPr>
            </w:pPr>
            <w:r w:rsidRPr="00846B49">
              <w:rPr>
                <w:lang w:val="en-GB"/>
              </w:rPr>
              <w:t>Reporting performance</w:t>
            </w:r>
          </w:p>
        </w:tc>
      </w:tr>
      <w:tr w:rsidR="009C5944" w:rsidRPr="00077BED" w:rsidTr="00AB24F2">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rsidR="009C5944" w:rsidRPr="00846B49" w:rsidRDefault="009C5944" w:rsidP="009C5944">
            <w:pPr>
              <w:pStyle w:val="WoVGtabletext"/>
              <w:rPr>
                <w:lang w:val="en-GB"/>
              </w:rPr>
            </w:pPr>
            <w:r w:rsidRPr="004C4BE6">
              <w:rPr>
                <w:lang w:val="en-GB"/>
              </w:rPr>
              <w:t>Strategic priority 4</w:t>
            </w:r>
            <w:r>
              <w:rPr>
                <w:lang w:val="en-GB"/>
              </w:rPr>
              <w:t xml:space="preserve">: </w:t>
            </w:r>
            <w:r w:rsidRPr="00846B49">
              <w:rPr>
                <w:lang w:val="en-GB"/>
              </w:rPr>
              <w:t>Defining and promoting the shared levers for change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C5944" w:rsidRPr="00846B49" w:rsidRDefault="009C5944" w:rsidP="0047128D">
            <w:pPr>
              <w:pStyle w:val="WoVGtabletext"/>
              <w:rPr>
                <w:lang w:val="en-GB"/>
              </w:rPr>
            </w:pPr>
            <w:r w:rsidRPr="00846B49">
              <w:rPr>
                <w:lang w:val="en-GB"/>
              </w:rPr>
              <w:t>Review</w:t>
            </w:r>
          </w:p>
        </w:tc>
      </w:tr>
    </w:tbl>
    <w:p w:rsidR="00562F6D" w:rsidRDefault="0008389A" w:rsidP="0008389A">
      <w:pPr>
        <w:pStyle w:val="Heading1"/>
      </w:pPr>
      <w:bookmarkStart w:id="14" w:name="_Toc477934196"/>
      <w:bookmarkStart w:id="15" w:name="_Toc9246001"/>
      <w:r>
        <w:t xml:space="preserve">4. </w:t>
      </w:r>
      <w:r w:rsidR="00D22836" w:rsidRPr="00D22836">
        <w:t>Strategic priority 1 – Defining and evaluation shared issues</w:t>
      </w:r>
      <w:bookmarkEnd w:id="14"/>
      <w:bookmarkEnd w:id="15"/>
    </w:p>
    <w:p w:rsidR="00562F6D" w:rsidRDefault="00D22836" w:rsidP="00681A85">
      <w:pPr>
        <w:pStyle w:val="Heading2"/>
        <w:numPr>
          <w:ilvl w:val="1"/>
          <w:numId w:val="17"/>
        </w:numPr>
      </w:pPr>
      <w:bookmarkStart w:id="16" w:name="_Toc477934197"/>
      <w:bookmarkStart w:id="17" w:name="_Toc9246002"/>
      <w:r w:rsidRPr="00D82FD2">
        <w:t xml:space="preserve">Victorian public sector </w:t>
      </w:r>
      <w:r w:rsidRPr="008D04AE">
        <w:rPr>
          <w:rStyle w:val="Emphasis"/>
        </w:rPr>
        <w:t>Leading the Way</w:t>
      </w:r>
      <w:r w:rsidRPr="00D82FD2">
        <w:t xml:space="preserve"> governance</w:t>
      </w:r>
      <w:bookmarkEnd w:id="16"/>
      <w:bookmarkEnd w:id="17"/>
    </w:p>
    <w:p w:rsidR="00D22836" w:rsidRDefault="00D22836" w:rsidP="00562F6D">
      <w:pPr>
        <w:pStyle w:val="WoVGbody"/>
      </w:pPr>
      <w:r w:rsidRPr="00D22836">
        <w:t xml:space="preserve">The diagram below summarises the </w:t>
      </w:r>
      <w:r w:rsidRPr="008D04AE">
        <w:rPr>
          <w:rStyle w:val="Emphasis"/>
        </w:rPr>
        <w:t>Leading the Way</w:t>
      </w:r>
      <w:r w:rsidRPr="00D22836">
        <w:t xml:space="preserve"> governance model operating within the Victorian public sector and highlights the links between (and membership of) the various senior leadership forums.</w:t>
      </w:r>
    </w:p>
    <w:p w:rsidR="0008389A" w:rsidRPr="0008389A" w:rsidRDefault="0008389A" w:rsidP="0008389A">
      <w:pPr>
        <w:pStyle w:val="WoVGfigurecaption"/>
      </w:pPr>
      <w:r w:rsidRPr="0008389A">
        <w:t>Figure 2: Victorian public sector L</w:t>
      </w:r>
      <w:r>
        <w:t>eading the Way governance model</w:t>
      </w:r>
    </w:p>
    <w:p w:rsidR="00D22836" w:rsidRDefault="004A0675" w:rsidP="0047128D">
      <w:pPr>
        <w:pStyle w:val="WoVGbody"/>
      </w:pPr>
      <w:r>
        <w:rPr>
          <w:rFonts w:cs="Arial"/>
          <w:noProof/>
          <w:lang w:eastAsia="en-AU"/>
        </w:rPr>
        <w:t>a</w:t>
      </w:r>
      <w:r w:rsidR="00D22836">
        <w:rPr>
          <w:rFonts w:cs="Arial"/>
          <w:noProof/>
          <w:lang w:eastAsia="en-AU"/>
        </w:rPr>
        <w:drawing>
          <wp:inline distT="0" distB="0" distL="0" distR="0" wp14:anchorId="7FD99A79" wp14:editId="5A08095E">
            <wp:extent cx="5549020" cy="3209925"/>
            <wp:effectExtent l="0" t="0" r="0" b="0"/>
            <wp:docPr id="18" name="Picture 18" descr="Diagram showing summary information about the three senior leadership forums, which are further described in the text that follows. 1. The Public Sector OHS Leadership Group is chaired by the Minister for Finance, and the members are department secretaries and union representatives. It holds half-yearly meetings, and has links with the Public Sector OHS Inter-departmental Committee (IDC). 2. The  Public Sector OHS Inter-departmental Committee (IDC) is chaired by CE, Worksafe Victoria, and the members are department deputy secretaries and union representatives. It holds quarterly meetings and has links with both the Public Sector OHS Leadership Group and the IDC Sub-committee. 3. The IDC Sub-committee is chaired by Worksafe Victoria, and the members are department nominees and union representatives. The meeting frequency is to be confirmed. It has links with the Public Sector OHS Inter-departmental Committee (I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B0AF3C.tmp"/>
                    <pic:cNvPicPr/>
                  </pic:nvPicPr>
                  <pic:blipFill>
                    <a:blip r:embed="rId18">
                      <a:extLst>
                        <a:ext uri="{28A0092B-C50C-407E-A947-70E740481C1C}">
                          <a14:useLocalDpi xmlns:a14="http://schemas.microsoft.com/office/drawing/2010/main" val="0"/>
                        </a:ext>
                      </a:extLst>
                    </a:blip>
                    <a:stretch>
                      <a:fillRect/>
                    </a:stretch>
                  </pic:blipFill>
                  <pic:spPr>
                    <a:xfrm>
                      <a:off x="0" y="0"/>
                      <a:ext cx="5557380" cy="3214761"/>
                    </a:xfrm>
                    <a:prstGeom prst="rect">
                      <a:avLst/>
                    </a:prstGeom>
                  </pic:spPr>
                </pic:pic>
              </a:graphicData>
            </a:graphic>
          </wp:inline>
        </w:drawing>
      </w:r>
    </w:p>
    <w:p w:rsidR="00D22836" w:rsidRPr="00D22836" w:rsidRDefault="00D22836" w:rsidP="00562F6D">
      <w:pPr>
        <w:pStyle w:val="WoVGbodyaftertablefigure"/>
      </w:pPr>
      <w:r w:rsidRPr="00D22836">
        <w:rPr>
          <w:rFonts w:eastAsia="MS Gothic"/>
          <w:b/>
          <w:bCs/>
          <w:sz w:val="24"/>
          <w:szCs w:val="26"/>
        </w:rPr>
        <w:t>Public Sector OHS Leadership Group:</w:t>
      </w:r>
      <w:r w:rsidRPr="00D22836">
        <w:t xml:space="preserve"> The OHS Leadership Group is a strategic government forum that has whole-of-government responsibility for OHS leadership. This group meets regularly to </w:t>
      </w:r>
      <w:r w:rsidRPr="00D22836">
        <w:lastRenderedPageBreak/>
        <w:t>exchange information and coordinate responses to state based initiatives or input to national initiatives. It is convened and chaired by the Minister for Finance.</w:t>
      </w:r>
    </w:p>
    <w:p w:rsidR="00D22836" w:rsidRPr="00D22836" w:rsidRDefault="00D22836" w:rsidP="00562F6D">
      <w:pPr>
        <w:pStyle w:val="WoVGbody"/>
      </w:pPr>
      <w:r w:rsidRPr="00D22836">
        <w:rPr>
          <w:rFonts w:eastAsia="MS Gothic"/>
          <w:b/>
          <w:bCs/>
          <w:szCs w:val="26"/>
        </w:rPr>
        <w:t>Public Sector Inter-Departmental Committee (IDC):</w:t>
      </w:r>
      <w:r w:rsidR="00562F6D">
        <w:t xml:space="preserve"> </w:t>
      </w:r>
      <w:r w:rsidRPr="00D22836">
        <w:t>The purpose of the IDC is to provide operational support to the Public Sector OHS Leadership group in fostering a commitment to healthy and safe workplaces in the public sector. The IDC provides a forum particularly for high</w:t>
      </w:r>
      <w:r w:rsidRPr="00D22836">
        <w:rPr>
          <w:rFonts w:ascii="Cambria Math" w:hAnsi="Cambria Math" w:cs="Cambria Math"/>
        </w:rPr>
        <w:t>‐</w:t>
      </w:r>
      <w:r w:rsidRPr="00D22836">
        <w:t>risk and large public sector employers, associated worker representatives and WorkSafe to develop initiatives and safety practices to improve public sector health and safety outcomes.</w:t>
      </w:r>
    </w:p>
    <w:p w:rsidR="00562F6D" w:rsidRDefault="00D22836" w:rsidP="00562F6D">
      <w:pPr>
        <w:pStyle w:val="WoVGbody"/>
      </w:pPr>
      <w:r w:rsidRPr="00D22836">
        <w:rPr>
          <w:rFonts w:eastAsia="MS Gothic"/>
          <w:b/>
          <w:bCs/>
          <w:sz w:val="24"/>
          <w:szCs w:val="26"/>
        </w:rPr>
        <w:t xml:space="preserve">IDC Sub-committee: </w:t>
      </w:r>
      <w:r w:rsidRPr="00D22836">
        <w:t xml:space="preserve">The IDC sub-committee will design, develop and assist with the implementation of </w:t>
      </w:r>
      <w:r w:rsidRPr="008D04AE">
        <w:rPr>
          <w:rStyle w:val="Emphasis"/>
        </w:rPr>
        <w:t>Leading the Way</w:t>
      </w:r>
      <w:r w:rsidRPr="00D22836">
        <w:t xml:space="preserve"> across the Victorian public sector. IDC sub-committee members will be champions for each component of the Leading the Way approach and will provide mentoring to departments in the application of each component. The IDC sub-committee may also collate department benchmarking reports and present these to the IDC.</w:t>
      </w:r>
    </w:p>
    <w:p w:rsidR="00562F6D" w:rsidRDefault="00D22836" w:rsidP="00681A85">
      <w:pPr>
        <w:pStyle w:val="Heading2"/>
        <w:numPr>
          <w:ilvl w:val="1"/>
          <w:numId w:val="17"/>
        </w:numPr>
      </w:pPr>
      <w:bookmarkStart w:id="18" w:name="_Toc477934198"/>
      <w:bookmarkStart w:id="19" w:name="_Toc9246003"/>
      <w:r w:rsidRPr="006A4EEB">
        <w:t>Defining and Evaluating shared issues across Victorian public sector</w:t>
      </w:r>
      <w:bookmarkEnd w:id="18"/>
      <w:bookmarkEnd w:id="19"/>
    </w:p>
    <w:p w:rsidR="00D22836" w:rsidRPr="00D22836" w:rsidRDefault="00D22836" w:rsidP="0047128D">
      <w:pPr>
        <w:pStyle w:val="WoVGbody"/>
      </w:pPr>
      <w:r w:rsidRPr="00D22836">
        <w:t>The OHS Leadership Group will be responsible for:</w:t>
      </w:r>
    </w:p>
    <w:p w:rsidR="00D22836" w:rsidRPr="00D22836" w:rsidRDefault="00D22836" w:rsidP="00D22836">
      <w:pPr>
        <w:pStyle w:val="WoVGbullet1"/>
      </w:pPr>
      <w:r w:rsidRPr="00D22836">
        <w:t>setting and reviewing the strategic priorities under Leading the Way</w:t>
      </w:r>
    </w:p>
    <w:p w:rsidR="00D22836" w:rsidRPr="00D22836" w:rsidRDefault="00D22836" w:rsidP="00D22836">
      <w:pPr>
        <w:pStyle w:val="WoVGbullet1"/>
      </w:pPr>
      <w:r w:rsidRPr="00D22836">
        <w:t>agreeing to the initiatives designed to deliver the Leading the Way strategic priorities</w:t>
      </w:r>
    </w:p>
    <w:p w:rsidR="00D22836" w:rsidRPr="00D22836" w:rsidRDefault="00D22836" w:rsidP="00D22836">
      <w:pPr>
        <w:pStyle w:val="WoVGbullet1"/>
      </w:pPr>
      <w:r w:rsidRPr="00D22836">
        <w:t>considering recommendations from the IDC relating to whole-of-government initiatives</w:t>
      </w:r>
    </w:p>
    <w:p w:rsidR="00D22836" w:rsidRPr="00D22836" w:rsidRDefault="00D22836" w:rsidP="00D22836">
      <w:pPr>
        <w:pStyle w:val="WoVGbullet1"/>
      </w:pPr>
      <w:r w:rsidRPr="00D22836">
        <w:t>monitoring OHS performance reports</w:t>
      </w:r>
    </w:p>
    <w:p w:rsidR="00D22836" w:rsidRPr="00D22836" w:rsidRDefault="00D22836" w:rsidP="00D22836">
      <w:pPr>
        <w:pStyle w:val="WoVGbullet1"/>
      </w:pPr>
      <w:r w:rsidRPr="00D22836">
        <w:t>enquiring into performance trends, and</w:t>
      </w:r>
    </w:p>
    <w:p w:rsidR="00562F6D" w:rsidRDefault="00D22836" w:rsidP="00D22836">
      <w:pPr>
        <w:pStyle w:val="WoVGbullet1"/>
      </w:pPr>
      <w:r w:rsidRPr="00D22836">
        <w:t>promoting innovation and continuous improvement in OHS across the Victorian public sector</w:t>
      </w:r>
    </w:p>
    <w:p w:rsidR="00562F6D" w:rsidRDefault="00D22836" w:rsidP="00562F6D">
      <w:pPr>
        <w:pStyle w:val="WoVGbodyafterbullets"/>
      </w:pPr>
      <w:r w:rsidRPr="00D22836">
        <w:t>The IDC will be responsible for:</w:t>
      </w:r>
    </w:p>
    <w:p w:rsidR="00562F6D" w:rsidRDefault="00D22836" w:rsidP="00D22836">
      <w:pPr>
        <w:pStyle w:val="WoVGbullet1"/>
      </w:pPr>
      <w:r w:rsidRPr="00D22836">
        <w:t>enquiring into and reporting to the OHS Leadership Group on public sector OHS performance and safety practices</w:t>
      </w:r>
    </w:p>
    <w:p w:rsidR="00562F6D" w:rsidRDefault="00D22836" w:rsidP="00D22836">
      <w:pPr>
        <w:pStyle w:val="WoVGbullet1"/>
      </w:pPr>
      <w:r w:rsidRPr="00D22836">
        <w:t>considering departmental OHS performance reports raised through implementation of Leading the Way</w:t>
      </w:r>
    </w:p>
    <w:p w:rsidR="00D22836" w:rsidRPr="00D22836" w:rsidRDefault="00D22836" w:rsidP="00D22836">
      <w:pPr>
        <w:pStyle w:val="WoVGbullet1"/>
      </w:pPr>
      <w:r w:rsidRPr="00D22836">
        <w:t>investigating and identifying key trends, issues, barriers and innovations affecting public sector safety culture, senior management commitment, accountability, OHS systems improvement, and</w:t>
      </w:r>
    </w:p>
    <w:p w:rsidR="00562F6D" w:rsidRDefault="00D22836" w:rsidP="00D22836">
      <w:pPr>
        <w:pStyle w:val="WoVGbullet1"/>
      </w:pPr>
      <w:r w:rsidRPr="00D22836">
        <w:t>making recommendations to the OHS Leadership Group on ways that performance under Leading the Way can be strengthened in the Victorian public sector.</w:t>
      </w:r>
    </w:p>
    <w:p w:rsidR="00D22836" w:rsidRPr="00D22836" w:rsidRDefault="00D22836" w:rsidP="00562F6D">
      <w:pPr>
        <w:pStyle w:val="WoVGbodyafterbullets"/>
      </w:pPr>
      <w:r w:rsidRPr="00D22836">
        <w:t>The IDC sub-committee will be responsible for:</w:t>
      </w:r>
    </w:p>
    <w:p w:rsidR="00562F6D" w:rsidRDefault="00D22836" w:rsidP="00D22836">
      <w:pPr>
        <w:pStyle w:val="WoVGbullet1"/>
      </w:pPr>
      <w:r w:rsidRPr="00D22836">
        <w:t>designing, developing and reviewing Leading the Way</w:t>
      </w:r>
    </w:p>
    <w:p w:rsidR="00D22836" w:rsidRPr="00D22836" w:rsidRDefault="00D22836" w:rsidP="00D22836">
      <w:pPr>
        <w:pStyle w:val="WoVGbullet1"/>
      </w:pPr>
      <w:r w:rsidRPr="00D22836">
        <w:t>assisting with the implementation of Leading the Way across the Victorian public sector</w:t>
      </w:r>
    </w:p>
    <w:p w:rsidR="00D22836" w:rsidRPr="00D22836" w:rsidRDefault="00D22836" w:rsidP="00D22836">
      <w:pPr>
        <w:pStyle w:val="WoVGbullet1"/>
      </w:pPr>
      <w:r w:rsidRPr="00D22836">
        <w:t>collating department OHS performance reports</w:t>
      </w:r>
    </w:p>
    <w:p w:rsidR="00D22836" w:rsidRPr="00D22836" w:rsidRDefault="00D22836" w:rsidP="00D22836">
      <w:pPr>
        <w:pStyle w:val="WoVGbullet1"/>
      </w:pPr>
      <w:r w:rsidRPr="00D22836">
        <w:t>presenting OHS performance reports to IDC, and</w:t>
      </w:r>
    </w:p>
    <w:p w:rsidR="00D22836" w:rsidRPr="00D22836" w:rsidRDefault="00D22836" w:rsidP="00D22836">
      <w:pPr>
        <w:pStyle w:val="WoVGbullet1"/>
      </w:pPr>
      <w:r w:rsidRPr="00D22836">
        <w:t>supporting the IDC in any other related matters.</w:t>
      </w:r>
    </w:p>
    <w:p w:rsidR="00D22836" w:rsidRPr="00D82FD2" w:rsidRDefault="00D22836" w:rsidP="00A865B3">
      <w:pPr>
        <w:pStyle w:val="Heading1"/>
        <w:spacing w:before="0" w:after="360" w:line="240" w:lineRule="auto"/>
      </w:pPr>
      <w:r>
        <w:rPr>
          <w:b/>
        </w:rPr>
        <w:br w:type="page"/>
      </w:r>
      <w:bookmarkStart w:id="20" w:name="_Toc477934199"/>
      <w:bookmarkStart w:id="21" w:name="_Toc9246004"/>
      <w:r w:rsidR="00A865B3" w:rsidRPr="00A865B3">
        <w:lastRenderedPageBreak/>
        <w:t>5.</w:t>
      </w:r>
      <w:r w:rsidR="00A865B3">
        <w:rPr>
          <w:b/>
        </w:rPr>
        <w:t xml:space="preserve"> </w:t>
      </w:r>
      <w:r w:rsidRPr="00A865B3">
        <w:t>Strategic priority 2 – Building and promoting leadership</w:t>
      </w:r>
      <w:bookmarkEnd w:id="20"/>
      <w:bookmarkEnd w:id="21"/>
    </w:p>
    <w:p w:rsidR="00D22836" w:rsidRPr="003329A8" w:rsidRDefault="00D22836" w:rsidP="00225F77">
      <w:pPr>
        <w:pStyle w:val="WoVGbody"/>
      </w:pPr>
      <w:r w:rsidRPr="003329A8">
        <w:t xml:space="preserve">Building and promoting leadership across the key focus areas in </w:t>
      </w:r>
      <w:r w:rsidRPr="00225F77">
        <w:t>Leading the Way</w:t>
      </w:r>
      <w:r w:rsidRPr="003329A8">
        <w:t xml:space="preserve"> is essential to improving OHS performance in the Victorian public sector. The focus areas are:</w:t>
      </w:r>
    </w:p>
    <w:p w:rsidR="00D22836" w:rsidRPr="003329A8" w:rsidRDefault="00D22836" w:rsidP="00225F77">
      <w:pPr>
        <w:pStyle w:val="WoVGbullet1"/>
      </w:pPr>
      <w:r w:rsidRPr="003329A8">
        <w:t>senior management commitment</w:t>
      </w:r>
    </w:p>
    <w:p w:rsidR="00D22836" w:rsidRPr="003329A8" w:rsidRDefault="00D22836" w:rsidP="00225F77">
      <w:pPr>
        <w:pStyle w:val="WoVGbullet1"/>
      </w:pPr>
      <w:r w:rsidRPr="003329A8">
        <w:t>OHS systems</w:t>
      </w:r>
    </w:p>
    <w:p w:rsidR="00D22836" w:rsidRPr="003329A8" w:rsidRDefault="00D22836" w:rsidP="00225F77">
      <w:pPr>
        <w:pStyle w:val="WoVGbullet1"/>
      </w:pPr>
      <w:r w:rsidRPr="003329A8">
        <w:t>accountability</w:t>
      </w:r>
    </w:p>
    <w:p w:rsidR="00D22836" w:rsidRPr="003329A8" w:rsidRDefault="00D22836" w:rsidP="00225F77">
      <w:pPr>
        <w:pStyle w:val="WoVGbullet1"/>
      </w:pPr>
      <w:r w:rsidRPr="003329A8">
        <w:t>safety culture</w:t>
      </w:r>
    </w:p>
    <w:p w:rsidR="00D22836" w:rsidRPr="00A865B3" w:rsidRDefault="00D22836" w:rsidP="00C35ACA">
      <w:pPr>
        <w:pStyle w:val="WoVGbodyafterbullets"/>
      </w:pPr>
      <w:r w:rsidRPr="003329A8">
        <w:t xml:space="preserve">Senior management’s active and visible commitment to systematic OHS management is critical to success. Senior management can have a powerful influence on the development of a positive safety culture where the health, safety, and wellbeing of employees is the key priority. Senior management also carry key accountabilities for the delivery </w:t>
      </w:r>
      <w:r w:rsidR="00A865B3">
        <w:t>of OHS improvement initiatives.</w:t>
      </w:r>
    </w:p>
    <w:p w:rsidR="00D22836" w:rsidRPr="003329A8" w:rsidRDefault="00792402" w:rsidP="00792402">
      <w:pPr>
        <w:pStyle w:val="Heading2"/>
      </w:pPr>
      <w:bookmarkStart w:id="22" w:name="_Toc9246005"/>
      <w:r>
        <w:t xml:space="preserve">5.1 </w:t>
      </w:r>
      <w:r w:rsidR="00D22836" w:rsidRPr="003329A8">
        <w:t>Terminology</w:t>
      </w:r>
      <w:bookmarkEnd w:id="22"/>
    </w:p>
    <w:p w:rsidR="00D22836" w:rsidRDefault="00D22836" w:rsidP="008D04AE">
      <w:pPr>
        <w:pStyle w:val="WoVGbody"/>
      </w:pPr>
      <w:r w:rsidRPr="003329A8">
        <w:t>The Leading the Way approach makes a distinction between roles and accountabilities as they relate to OHS management and safety culture. Each role makes important contributions to overall success. The terms used are top management, senior management, management, workers and worker representative. These terms and their use are consistent with the relevant Australian Standards listed in Section 8 References and as defined in the Glossary (Appendix 2).</w:t>
      </w:r>
    </w:p>
    <w:p w:rsidR="00562F6D" w:rsidRDefault="00D22836" w:rsidP="008D04AE">
      <w:pPr>
        <w:pStyle w:val="WoVGbody"/>
      </w:pPr>
      <w:r w:rsidRPr="00A865B3">
        <w:t xml:space="preserve">Figure 3 summarises how these terms are used within </w:t>
      </w:r>
      <w:r w:rsidRPr="008D04AE">
        <w:rPr>
          <w:rStyle w:val="Emphasis"/>
        </w:rPr>
        <w:t>Leading the Way</w:t>
      </w:r>
      <w:r w:rsidRPr="00A865B3">
        <w:t>.</w:t>
      </w:r>
    </w:p>
    <w:p w:rsidR="00A865B3" w:rsidRPr="00222C0C" w:rsidRDefault="00A865B3" w:rsidP="00A865B3">
      <w:pPr>
        <w:pStyle w:val="WoVGfigurecaption"/>
        <w:rPr>
          <w:rFonts w:cs="Arial"/>
        </w:rPr>
      </w:pPr>
      <w:r w:rsidRPr="00A865B3">
        <w:t>Figure 3: Management and worker structure</w:t>
      </w:r>
    </w:p>
    <w:p w:rsidR="00D22836" w:rsidRDefault="00D22836" w:rsidP="0047128D">
      <w:pPr>
        <w:pStyle w:val="WoVGbody"/>
        <w:rPr>
          <w:lang w:val="en-GB"/>
        </w:rPr>
      </w:pPr>
      <w:r>
        <w:rPr>
          <w:caps/>
          <w:noProof/>
          <w:lang w:eastAsia="en-AU"/>
        </w:rPr>
        <w:drawing>
          <wp:inline distT="0" distB="0" distL="0" distR="0" wp14:anchorId="11C76774" wp14:editId="29D87E5F">
            <wp:extent cx="5819341" cy="2636195"/>
            <wp:effectExtent l="0" t="0" r="0" b="0"/>
            <wp:docPr id="13" name="Picture 13" descr="The structure is headed by senior management (including top management), and moves down through management and workers. Senior management are individuals or groups with executive responsibility for the organisation. Top management are the level of senior management accountable directly to the organisation's governing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B459D5.tmp"/>
                    <pic:cNvPicPr/>
                  </pic:nvPicPr>
                  <pic:blipFill rotWithShape="1">
                    <a:blip r:embed="rId19">
                      <a:extLst>
                        <a:ext uri="{28A0092B-C50C-407E-A947-70E740481C1C}">
                          <a14:useLocalDpi xmlns:a14="http://schemas.microsoft.com/office/drawing/2010/main" val="0"/>
                        </a:ext>
                      </a:extLst>
                    </a:blip>
                    <a:srcRect l="4842" t="4159" r="2780" b="9225"/>
                    <a:stretch/>
                  </pic:blipFill>
                  <pic:spPr bwMode="auto">
                    <a:xfrm>
                      <a:off x="0" y="0"/>
                      <a:ext cx="5824952" cy="2638737"/>
                    </a:xfrm>
                    <a:prstGeom prst="rect">
                      <a:avLst/>
                    </a:prstGeom>
                    <a:ln>
                      <a:noFill/>
                    </a:ln>
                    <a:extLst>
                      <a:ext uri="{53640926-AAD7-44D8-BBD7-CCE9431645EC}">
                        <a14:shadowObscured xmlns:a14="http://schemas.microsoft.com/office/drawing/2010/main"/>
                      </a:ext>
                    </a:extLst>
                  </pic:spPr>
                </pic:pic>
              </a:graphicData>
            </a:graphic>
          </wp:inline>
        </w:drawing>
      </w:r>
    </w:p>
    <w:p w:rsidR="00562F6D" w:rsidRDefault="00562F6D" w:rsidP="00225F77">
      <w:pPr>
        <w:pStyle w:val="WoVGbody"/>
      </w:pPr>
    </w:p>
    <w:p w:rsidR="00EE3B2D" w:rsidRDefault="00EE3B2D" w:rsidP="00A865B3">
      <w:pPr>
        <w:pStyle w:val="WoVGfigurecaption"/>
        <w:sectPr w:rsidR="00EE3B2D" w:rsidSect="0015731D">
          <w:headerReference w:type="even" r:id="rId20"/>
          <w:headerReference w:type="default" r:id="rId21"/>
          <w:footerReference w:type="even" r:id="rId22"/>
          <w:footerReference w:type="default" r:id="rId23"/>
          <w:footerReference w:type="first" r:id="rId24"/>
          <w:pgSz w:w="11906" w:h="16838"/>
          <w:pgMar w:top="1701" w:right="1304" w:bottom="1134" w:left="1304" w:header="454" w:footer="510" w:gutter="0"/>
          <w:cols w:space="720"/>
          <w:docGrid w:linePitch="360"/>
        </w:sectPr>
      </w:pPr>
    </w:p>
    <w:p w:rsidR="00DF11D3" w:rsidRPr="00806DF6" w:rsidRDefault="00DF11D3" w:rsidP="00DF11D3">
      <w:pPr>
        <w:pStyle w:val="Heading2"/>
      </w:pPr>
      <w:bookmarkStart w:id="23" w:name="_Toc477934200"/>
      <w:bookmarkStart w:id="24" w:name="_Toc9246006"/>
      <w:r w:rsidRPr="00A865B3">
        <w:lastRenderedPageBreak/>
        <w:t>5.</w:t>
      </w:r>
      <w:r w:rsidR="00792402">
        <w:t>2</w:t>
      </w:r>
      <w:r>
        <w:rPr>
          <w:rFonts w:cs="Arial"/>
          <w:color w:val="auto"/>
          <w:sz w:val="20"/>
          <w:szCs w:val="20"/>
          <w:lang w:val="en-GB"/>
        </w:rPr>
        <w:t xml:space="preserve"> </w:t>
      </w:r>
      <w:r w:rsidRPr="008D04AE">
        <w:rPr>
          <w:rStyle w:val="Emphasis"/>
        </w:rPr>
        <w:t>Leading the Way</w:t>
      </w:r>
      <w:r w:rsidRPr="00806DF6">
        <w:t xml:space="preserve"> framework</w:t>
      </w:r>
      <w:bookmarkEnd w:id="23"/>
      <w:bookmarkEnd w:id="24"/>
    </w:p>
    <w:p w:rsidR="00DF11D3" w:rsidRPr="003329A8" w:rsidRDefault="00DF11D3" w:rsidP="00DF11D3">
      <w:pPr>
        <w:pStyle w:val="WoVGbody"/>
      </w:pPr>
      <w:r w:rsidRPr="003329A8">
        <w:t xml:space="preserve">The </w:t>
      </w:r>
      <w:r w:rsidRPr="00225F77">
        <w:t>Leading the Way</w:t>
      </w:r>
      <w:r w:rsidRPr="003329A8">
        <w:t xml:space="preserve"> framework in Figure 4 below shows that improvement in each of focus areas facilitates upwards progression in the organisational safety maturity model to deliver improved OHS outcomes.</w:t>
      </w:r>
    </w:p>
    <w:p w:rsidR="00DF11D3" w:rsidRDefault="00DF11D3" w:rsidP="00DF11D3">
      <w:pPr>
        <w:pStyle w:val="WoVGbody"/>
      </w:pPr>
      <w:r w:rsidRPr="003329A8">
        <w:t>The framework illustrates that to achieve the desired outcomes in each of the focus areas, the foundation must first be built through design, implementation and review of OHS management systems and processes. These systems and processes are then supported by programs and initiatives to influence and develop a positive organisational safety culture</w:t>
      </w:r>
      <w:r w:rsidRPr="00225F77">
        <w:t>.</w:t>
      </w:r>
    </w:p>
    <w:p w:rsidR="00A865B3" w:rsidRPr="00A865B3" w:rsidRDefault="00A865B3" w:rsidP="00A865B3">
      <w:pPr>
        <w:pStyle w:val="WoVGfigurecaption"/>
      </w:pPr>
      <w:r w:rsidRPr="00A865B3">
        <w:t xml:space="preserve">Figure 4: </w:t>
      </w:r>
      <w:r w:rsidRPr="008D04AE">
        <w:rPr>
          <w:rStyle w:val="Emphasis"/>
        </w:rPr>
        <w:t>Leading the Way</w:t>
      </w:r>
      <w:r>
        <w:t xml:space="preserve"> framework</w:t>
      </w:r>
    </w:p>
    <w:p w:rsidR="00EE3B2D" w:rsidRPr="00A865B3" w:rsidRDefault="003329A8" w:rsidP="0047128D">
      <w:pPr>
        <w:pStyle w:val="WoVGbody"/>
        <w:rPr>
          <w:lang w:val="en-GB"/>
        </w:rPr>
      </w:pPr>
      <w:r>
        <w:rPr>
          <w:rFonts w:cs="Arial"/>
          <w:noProof/>
          <w:lang w:eastAsia="en-AU"/>
        </w:rPr>
        <w:drawing>
          <wp:inline distT="0" distB="0" distL="0" distR="0" wp14:anchorId="75089884" wp14:editId="65CFF79D">
            <wp:extent cx="8283102" cy="4189589"/>
            <wp:effectExtent l="0" t="0" r="3810" b="1905"/>
            <wp:docPr id="24" name="Picture 24" descr="The figure shows the framework’s four levels of increasing maturity in safety culture. Level 1: Unstructured – Limited systematic OHS risk management; reactive response; and limited workforce engagement. Level 2: Foundation – OHS systems implemented for active prevention; management commitment and capability development; and worker participation. Level 3: Consolidation – OHS systems are consistently used, effective and integrated; and strong leaders and managers actively engaging with the workforce. Level 4: Leading and learning – Opportunities sought to continually improve OHS systems; ownership and leadership of performance shared at all levels; and learnings broadly shared. Factors that create increasing maturity are accountability, OHS systems, safety culture and senior management commitment. The outcomes are improved worker health and wellbeing; fewer injuries, incidents and claims; increased productivity; legal compliance; worker engagement; recruitment and retention; organisational reputation; positive safety culture; risk management; and reduced claims and premium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7E872B3.tmp"/>
                    <pic:cNvPicPr/>
                  </pic:nvPicPr>
                  <pic:blipFill rotWithShape="1">
                    <a:blip r:embed="rId25">
                      <a:extLst>
                        <a:ext uri="{28A0092B-C50C-407E-A947-70E740481C1C}">
                          <a14:useLocalDpi xmlns:a14="http://schemas.microsoft.com/office/drawing/2010/main" val="0"/>
                        </a:ext>
                      </a:extLst>
                    </a:blip>
                    <a:srcRect l="2888" t="13423" r="3235" b="5007"/>
                    <a:stretch/>
                  </pic:blipFill>
                  <pic:spPr bwMode="auto">
                    <a:xfrm>
                      <a:off x="0" y="0"/>
                      <a:ext cx="8300161" cy="4198217"/>
                    </a:xfrm>
                    <a:prstGeom prst="rect">
                      <a:avLst/>
                    </a:prstGeom>
                    <a:ln>
                      <a:noFill/>
                    </a:ln>
                    <a:extLst>
                      <a:ext uri="{53640926-AAD7-44D8-BBD7-CCE9431645EC}">
                        <a14:shadowObscured xmlns:a14="http://schemas.microsoft.com/office/drawing/2010/main"/>
                      </a:ext>
                    </a:extLst>
                  </pic:spPr>
                </pic:pic>
              </a:graphicData>
            </a:graphic>
          </wp:inline>
        </w:drawing>
      </w:r>
    </w:p>
    <w:p w:rsidR="00EE3B2D" w:rsidRDefault="00EE3B2D" w:rsidP="003329A8">
      <w:pPr>
        <w:pStyle w:val="Heading2"/>
        <w:sectPr w:rsidR="00EE3B2D" w:rsidSect="00EE3B2D">
          <w:headerReference w:type="default" r:id="rId26"/>
          <w:pgSz w:w="16838" w:h="11906" w:orient="landscape"/>
          <w:pgMar w:top="1304" w:right="1701" w:bottom="1304" w:left="1134" w:header="454" w:footer="510" w:gutter="0"/>
          <w:cols w:space="720"/>
          <w:docGrid w:linePitch="360"/>
        </w:sectPr>
      </w:pPr>
      <w:bookmarkStart w:id="25" w:name="_Toc477934201"/>
    </w:p>
    <w:p w:rsidR="00562F6D" w:rsidRDefault="00A865B3" w:rsidP="003329A8">
      <w:pPr>
        <w:pStyle w:val="Heading2"/>
      </w:pPr>
      <w:bookmarkStart w:id="26" w:name="_Toc9246007"/>
      <w:r>
        <w:lastRenderedPageBreak/>
        <w:t>5.</w:t>
      </w:r>
      <w:r w:rsidR="00792402">
        <w:t>3</w:t>
      </w:r>
      <w:r>
        <w:t xml:space="preserve"> </w:t>
      </w:r>
      <w:r w:rsidR="003329A8" w:rsidRPr="008D04AE">
        <w:rPr>
          <w:rStyle w:val="Emphasis"/>
        </w:rPr>
        <w:t>Leading the Way</w:t>
      </w:r>
      <w:r w:rsidR="003329A8" w:rsidRPr="00806DF6">
        <w:t xml:space="preserve"> maturity model</w:t>
      </w:r>
      <w:bookmarkEnd w:id="25"/>
      <w:bookmarkEnd w:id="26"/>
    </w:p>
    <w:p w:rsidR="003329A8" w:rsidRPr="003329A8" w:rsidRDefault="003329A8" w:rsidP="00225F77">
      <w:pPr>
        <w:pStyle w:val="WoVGbody"/>
      </w:pPr>
      <w:r w:rsidRPr="003329A8">
        <w:t xml:space="preserve">The </w:t>
      </w:r>
      <w:r w:rsidRPr="008D04AE">
        <w:rPr>
          <w:rStyle w:val="Emphasis"/>
        </w:rPr>
        <w:t>Leading the Way</w:t>
      </w:r>
      <w:r w:rsidRPr="003329A8">
        <w:t xml:space="preserve"> maturity model (Figure 5 over page) provides guidance on what constitutes a mature OHS system and a mature safety culture. The model has been adapted for the Victorian public sector using authoritative safety maturity models (including Hudson 1999, HSE 2001 and others listed in Section 8 References).</w:t>
      </w:r>
    </w:p>
    <w:p w:rsidR="00562F6D" w:rsidRDefault="003329A8" w:rsidP="00225F77">
      <w:pPr>
        <w:pStyle w:val="WoVGbody"/>
      </w:pPr>
      <w:r w:rsidRPr="003329A8">
        <w:t xml:space="preserve">The </w:t>
      </w:r>
      <w:r w:rsidRPr="00225F77">
        <w:t>Leading the Way</w:t>
      </w:r>
      <w:r w:rsidRPr="003329A8">
        <w:t xml:space="preserve"> maturity model illustrates the interrelationship between OHS systems maturity and safety culture maturity to achieve sustainable OHS performance outcomes. The maturity model describes the recognised stages of safety maturity and the factors that contribute to improving OHS outcomes. The model also highlights the role of all parties in achieving improved outcomes with organisational leadership being particularly influential.</w:t>
      </w:r>
    </w:p>
    <w:p w:rsidR="00562F6D" w:rsidRDefault="003329A8" w:rsidP="00225F77">
      <w:pPr>
        <w:pStyle w:val="WoVGbody"/>
      </w:pPr>
      <w:r w:rsidRPr="003329A8">
        <w:t>Improved OHS outcomes require both systematic and consistent management of OHS risks as well as the development of safety cultural elements that enable engagement, consultation, learning and safety leadership at all levels.</w:t>
      </w:r>
    </w:p>
    <w:p w:rsidR="00A865B3" w:rsidRPr="00A865B3" w:rsidRDefault="00A865B3" w:rsidP="00A865B3">
      <w:pPr>
        <w:pStyle w:val="WoVGfigurecaption"/>
      </w:pPr>
      <w:r w:rsidRPr="00A865B3">
        <w:t>Figure 5: Leading the Way maturity model*</w:t>
      </w:r>
    </w:p>
    <w:p w:rsidR="003329A8" w:rsidRPr="00A865B3" w:rsidRDefault="003329A8" w:rsidP="0047128D">
      <w:pPr>
        <w:pStyle w:val="WoVGbody"/>
        <w:rPr>
          <w:lang w:val="en-GB"/>
        </w:rPr>
      </w:pPr>
      <w:r>
        <w:rPr>
          <w:rFonts w:cs="Arial"/>
          <w:noProof/>
          <w:spacing w:val="-3"/>
          <w:lang w:eastAsia="en-AU"/>
        </w:rPr>
        <w:drawing>
          <wp:inline distT="0" distB="0" distL="0" distR="0" wp14:anchorId="765B1F05" wp14:editId="20C1EC9E">
            <wp:extent cx="5734050" cy="2807904"/>
            <wp:effectExtent l="0" t="0" r="0" b="0"/>
            <wp:docPr id="4" name="Picture 4" descr="Moving up through the levels indicates increasing organisational maturity, a  progression from a high to a low degree of uncontrolled organisational OHS risk, and a progression from a low to a high level of safety culture maturity. Building consistent systematic and effective processes for minimising and managing OHS risks results in reduced rates of injury and non-compliance; and improvement in lag indicators. Influencing and developing a positive organisational safety culture results in enhanced safety culture and sustained performance; and improvement in lead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1861CA.tmp"/>
                    <pic:cNvPicPr/>
                  </pic:nvPicPr>
                  <pic:blipFill>
                    <a:blip r:embed="rId27">
                      <a:extLst>
                        <a:ext uri="{28A0092B-C50C-407E-A947-70E740481C1C}">
                          <a14:useLocalDpi xmlns:a14="http://schemas.microsoft.com/office/drawing/2010/main" val="0"/>
                        </a:ext>
                      </a:extLst>
                    </a:blip>
                    <a:stretch>
                      <a:fillRect/>
                    </a:stretch>
                  </pic:blipFill>
                  <pic:spPr>
                    <a:xfrm>
                      <a:off x="0" y="0"/>
                      <a:ext cx="5762656" cy="2821912"/>
                    </a:xfrm>
                    <a:prstGeom prst="rect">
                      <a:avLst/>
                    </a:prstGeom>
                  </pic:spPr>
                </pic:pic>
              </a:graphicData>
            </a:graphic>
          </wp:inline>
        </w:drawing>
      </w:r>
    </w:p>
    <w:p w:rsidR="00AB24F2" w:rsidRDefault="00AB24F2" w:rsidP="00AB24F2">
      <w:pPr>
        <w:pStyle w:val="WoVGbody"/>
      </w:pPr>
      <w:r>
        <w:br w:type="page"/>
      </w:r>
    </w:p>
    <w:p w:rsidR="00EC08A4" w:rsidRPr="003072C6" w:rsidRDefault="00EC08A4" w:rsidP="00EC08A4">
      <w:pPr>
        <w:pStyle w:val="WoVGtablecaption"/>
      </w:pPr>
      <w:r>
        <w:lastRenderedPageBreak/>
        <w:t>Table 1: Characteristics of Leading the Way maturity model stages*</w:t>
      </w:r>
    </w:p>
    <w:tbl>
      <w:tblPr>
        <w:tblStyle w:val="TableGrid1"/>
        <w:tblW w:w="9299" w:type="dxa"/>
        <w:tblLook w:val="06A0" w:firstRow="1" w:lastRow="0" w:firstColumn="1" w:lastColumn="0" w:noHBand="1" w:noVBand="1"/>
      </w:tblPr>
      <w:tblGrid>
        <w:gridCol w:w="1682"/>
        <w:gridCol w:w="1683"/>
        <w:gridCol w:w="1996"/>
        <w:gridCol w:w="1970"/>
        <w:gridCol w:w="1968"/>
      </w:tblGrid>
      <w:tr w:rsidR="00EC08A4" w:rsidRPr="003072C6" w:rsidTr="0052429F">
        <w:trPr>
          <w:tblHeader/>
        </w:trPr>
        <w:tc>
          <w:tcPr>
            <w:tcW w:w="905" w:type="pct"/>
            <w:tcBorders>
              <w:bottom w:val="single" w:sz="4" w:space="0" w:color="auto"/>
            </w:tcBorders>
            <w:shd w:val="clear" w:color="auto" w:fill="92CDDC"/>
          </w:tcPr>
          <w:p w:rsidR="00EC08A4" w:rsidRPr="00711B0C" w:rsidRDefault="00EC08A4" w:rsidP="00F837CB">
            <w:pPr>
              <w:pStyle w:val="WoVGtablecolhead"/>
            </w:pPr>
            <w:r>
              <w:t>Characteristics</w:t>
            </w:r>
          </w:p>
        </w:tc>
        <w:tc>
          <w:tcPr>
            <w:tcW w:w="905" w:type="pct"/>
            <w:tcBorders>
              <w:bottom w:val="single" w:sz="4" w:space="0" w:color="auto"/>
            </w:tcBorders>
            <w:shd w:val="clear" w:color="auto" w:fill="92CDDC"/>
          </w:tcPr>
          <w:p w:rsidR="00EC08A4" w:rsidRPr="00711B0C" w:rsidRDefault="00EC08A4" w:rsidP="00F837CB">
            <w:pPr>
              <w:pStyle w:val="WoVGtablecolhead"/>
            </w:pPr>
            <w:r>
              <w:t>Unstructured</w:t>
            </w:r>
          </w:p>
        </w:tc>
        <w:tc>
          <w:tcPr>
            <w:tcW w:w="1073" w:type="pct"/>
            <w:tcBorders>
              <w:bottom w:val="single" w:sz="4" w:space="0" w:color="auto"/>
            </w:tcBorders>
            <w:shd w:val="clear" w:color="auto" w:fill="92CDDC"/>
          </w:tcPr>
          <w:p w:rsidR="00EC08A4" w:rsidRPr="003072C6" w:rsidRDefault="00EC08A4" w:rsidP="00F837CB">
            <w:pPr>
              <w:pStyle w:val="WoVGtablecolhead"/>
            </w:pPr>
            <w:r>
              <w:t>Foundation</w:t>
            </w:r>
          </w:p>
        </w:tc>
        <w:tc>
          <w:tcPr>
            <w:tcW w:w="1059" w:type="pct"/>
            <w:tcBorders>
              <w:bottom w:val="single" w:sz="4" w:space="0" w:color="auto"/>
            </w:tcBorders>
            <w:shd w:val="clear" w:color="auto" w:fill="92CDDC"/>
          </w:tcPr>
          <w:p w:rsidR="00EC08A4" w:rsidRPr="003072C6" w:rsidRDefault="00EC08A4" w:rsidP="00EC08A4">
            <w:pPr>
              <w:pStyle w:val="WoVGtablecolhead"/>
            </w:pPr>
            <w:r>
              <w:t>Consolidating</w:t>
            </w:r>
          </w:p>
        </w:tc>
        <w:tc>
          <w:tcPr>
            <w:tcW w:w="1059" w:type="pct"/>
            <w:tcBorders>
              <w:bottom w:val="single" w:sz="4" w:space="0" w:color="auto"/>
            </w:tcBorders>
            <w:shd w:val="clear" w:color="auto" w:fill="92CDDC"/>
          </w:tcPr>
          <w:p w:rsidR="00EC08A4" w:rsidRDefault="00EC08A4" w:rsidP="00F837CB">
            <w:pPr>
              <w:pStyle w:val="WoVGtablecolhead"/>
            </w:pPr>
            <w:r>
              <w:t>Leading and learning</w:t>
            </w:r>
          </w:p>
        </w:tc>
      </w:tr>
      <w:tr w:rsidR="00EC08A4" w:rsidRPr="003072C6" w:rsidTr="0052429F">
        <w:tc>
          <w:tcPr>
            <w:tcW w:w="905" w:type="pct"/>
            <w:shd w:val="clear" w:color="auto" w:fill="F2F2F2" w:themeFill="background1" w:themeFillShade="F2"/>
          </w:tcPr>
          <w:p w:rsidR="00EC08A4" w:rsidRPr="003072C6" w:rsidRDefault="00EC08A4" w:rsidP="00F837CB">
            <w:pPr>
              <w:pStyle w:val="WoVGtabletext"/>
            </w:pPr>
            <w:r>
              <w:t>Safety champions</w:t>
            </w:r>
          </w:p>
        </w:tc>
        <w:tc>
          <w:tcPr>
            <w:tcW w:w="905" w:type="pct"/>
            <w:shd w:val="clear" w:color="auto" w:fill="F2F2F2" w:themeFill="background1" w:themeFillShade="F2"/>
          </w:tcPr>
          <w:p w:rsidR="00EC08A4" w:rsidRPr="003072C6" w:rsidRDefault="00EC08A4" w:rsidP="00F837CB">
            <w:pPr>
              <w:pStyle w:val="WoVGtabletext"/>
            </w:pPr>
            <w:r>
              <w:t>No champions or individuals only</w:t>
            </w:r>
          </w:p>
        </w:tc>
        <w:tc>
          <w:tcPr>
            <w:tcW w:w="1073" w:type="pct"/>
            <w:shd w:val="clear" w:color="auto" w:fill="F2F2F2" w:themeFill="background1" w:themeFillShade="F2"/>
          </w:tcPr>
          <w:p w:rsidR="00EC08A4" w:rsidRPr="003072C6" w:rsidRDefault="00EC08A4" w:rsidP="00EC08A4">
            <w:pPr>
              <w:pStyle w:val="WoVGtablebullet2"/>
            </w:pPr>
            <w:r>
              <w:t>Safety professionals</w:t>
            </w:r>
          </w:p>
        </w:tc>
        <w:tc>
          <w:tcPr>
            <w:tcW w:w="1059" w:type="pct"/>
            <w:shd w:val="clear" w:color="auto" w:fill="F2F2F2" w:themeFill="background1" w:themeFillShade="F2"/>
          </w:tcPr>
          <w:p w:rsidR="00EC08A4" w:rsidRPr="003072C6" w:rsidRDefault="00EC08A4" w:rsidP="00EC08A4">
            <w:pPr>
              <w:pStyle w:val="WoVGtablebullet2"/>
            </w:pPr>
            <w:r w:rsidRPr="003329A8">
              <w:t>Senior management</w:t>
            </w:r>
          </w:p>
        </w:tc>
        <w:tc>
          <w:tcPr>
            <w:tcW w:w="1059" w:type="pct"/>
            <w:shd w:val="clear" w:color="auto" w:fill="F2F2F2" w:themeFill="background1" w:themeFillShade="F2"/>
          </w:tcPr>
          <w:p w:rsidR="00EC08A4" w:rsidRDefault="00EC08A4" w:rsidP="00EC08A4">
            <w:pPr>
              <w:pStyle w:val="WoVGtablebullet2"/>
            </w:pPr>
            <w:r>
              <w:t xml:space="preserve">Collaborative </w:t>
            </w:r>
            <w:r w:rsidRPr="003329A8">
              <w:t>leadership with workers and senior management</w:t>
            </w:r>
          </w:p>
        </w:tc>
      </w:tr>
      <w:tr w:rsidR="00EC08A4" w:rsidRPr="003072C6" w:rsidTr="0052429F">
        <w:tc>
          <w:tcPr>
            <w:tcW w:w="905" w:type="pct"/>
            <w:shd w:val="clear" w:color="auto" w:fill="F2F2F2" w:themeFill="background1" w:themeFillShade="F2"/>
          </w:tcPr>
          <w:p w:rsidR="00EC08A4" w:rsidRPr="003072C6" w:rsidRDefault="00EC08A4" w:rsidP="00F837CB">
            <w:pPr>
              <w:pStyle w:val="WoVGtabletext"/>
            </w:pPr>
            <w:r>
              <w:t>Focus</w:t>
            </w:r>
          </w:p>
        </w:tc>
        <w:tc>
          <w:tcPr>
            <w:tcW w:w="905" w:type="pct"/>
            <w:shd w:val="clear" w:color="auto" w:fill="F2F2F2" w:themeFill="background1" w:themeFillShade="F2"/>
          </w:tcPr>
          <w:p w:rsidR="00EC08A4" w:rsidRPr="003072C6" w:rsidRDefault="00EC08A4" w:rsidP="00EC08A4">
            <w:pPr>
              <w:pStyle w:val="WoVGtablebullet2"/>
            </w:pPr>
            <w:r w:rsidRPr="003329A8">
              <w:t>Response to damaging events; minimum compliance</w:t>
            </w:r>
          </w:p>
        </w:tc>
        <w:tc>
          <w:tcPr>
            <w:tcW w:w="1073" w:type="pct"/>
            <w:shd w:val="clear" w:color="auto" w:fill="F2F2F2" w:themeFill="background1" w:themeFillShade="F2"/>
          </w:tcPr>
          <w:p w:rsidR="00EC08A4" w:rsidRPr="003072C6" w:rsidRDefault="00EC08A4" w:rsidP="00EC08A4">
            <w:pPr>
              <w:pStyle w:val="WoVGtablebullet2"/>
            </w:pPr>
            <w:r w:rsidRPr="003329A8">
              <w:t>Active prevention; compliance improvement; systematic OHS risk minimisation</w:t>
            </w:r>
          </w:p>
        </w:tc>
        <w:tc>
          <w:tcPr>
            <w:tcW w:w="1059" w:type="pct"/>
            <w:shd w:val="clear" w:color="auto" w:fill="F2F2F2" w:themeFill="background1" w:themeFillShade="F2"/>
          </w:tcPr>
          <w:p w:rsidR="00EC08A4" w:rsidRPr="003072C6" w:rsidRDefault="00EC08A4" w:rsidP="00EC08A4">
            <w:pPr>
              <w:pStyle w:val="WoVGtablebullet2"/>
            </w:pPr>
            <w:r w:rsidRPr="003329A8">
              <w:t>Safety leadership; OHS management system effective</w:t>
            </w:r>
          </w:p>
        </w:tc>
        <w:tc>
          <w:tcPr>
            <w:tcW w:w="1059" w:type="pct"/>
            <w:shd w:val="clear" w:color="auto" w:fill="F2F2F2" w:themeFill="background1" w:themeFillShade="F2"/>
          </w:tcPr>
          <w:p w:rsidR="00EC08A4" w:rsidRDefault="00EC08A4" w:rsidP="00EC08A4">
            <w:pPr>
              <w:pStyle w:val="WoVGtablebullet2"/>
            </w:pPr>
            <w:r w:rsidRPr="003329A8">
              <w:t>Engagement at all levels; OHS systems permanent</w:t>
            </w:r>
          </w:p>
        </w:tc>
      </w:tr>
      <w:tr w:rsidR="00EC08A4" w:rsidRPr="003072C6" w:rsidTr="0052429F">
        <w:tc>
          <w:tcPr>
            <w:tcW w:w="905" w:type="pct"/>
            <w:shd w:val="clear" w:color="auto" w:fill="F2F2F2" w:themeFill="background1" w:themeFillShade="F2"/>
          </w:tcPr>
          <w:p w:rsidR="00EC08A4" w:rsidRPr="003072C6" w:rsidRDefault="00EC08A4" w:rsidP="00F837CB">
            <w:pPr>
              <w:pStyle w:val="WoVGtabletext"/>
            </w:pPr>
            <w:r>
              <w:t>Features</w:t>
            </w:r>
          </w:p>
        </w:tc>
        <w:tc>
          <w:tcPr>
            <w:tcW w:w="905" w:type="pct"/>
            <w:shd w:val="clear" w:color="auto" w:fill="F2F2F2" w:themeFill="background1" w:themeFillShade="F2"/>
          </w:tcPr>
          <w:p w:rsidR="00EC08A4" w:rsidRPr="003072C6" w:rsidRDefault="00EC08A4" w:rsidP="00F837CB">
            <w:pPr>
              <w:pStyle w:val="WoVGtabletext"/>
            </w:pPr>
            <w:r>
              <w:t xml:space="preserve">Ad hoc responses to </w:t>
            </w:r>
            <w:r w:rsidRPr="003329A8">
              <w:t>incidents; lack of engagement at most levels; hazards not recognised and not controlled</w:t>
            </w:r>
            <w:r>
              <w:t xml:space="preserve"> </w:t>
            </w:r>
          </w:p>
        </w:tc>
        <w:tc>
          <w:tcPr>
            <w:tcW w:w="1073" w:type="pct"/>
            <w:shd w:val="clear" w:color="auto" w:fill="F2F2F2" w:themeFill="background1" w:themeFillShade="F2"/>
          </w:tcPr>
          <w:p w:rsidR="00EC08A4" w:rsidRPr="003072C6" w:rsidRDefault="00EC08A4" w:rsidP="00EC08A4">
            <w:pPr>
              <w:pStyle w:val="WoVGtabletext"/>
            </w:pPr>
            <w:r w:rsidRPr="003329A8">
              <w:t>Management commitment and resourcing; establishing and implementing systemic OHS risk management procedures and practices; building management capability; engaging with workers; enabling easy and effective reporting and analysis</w:t>
            </w:r>
          </w:p>
        </w:tc>
        <w:tc>
          <w:tcPr>
            <w:tcW w:w="1059" w:type="pct"/>
            <w:shd w:val="clear" w:color="auto" w:fill="F2F2F2" w:themeFill="background1" w:themeFillShade="F2"/>
          </w:tcPr>
          <w:p w:rsidR="00EC08A4" w:rsidRPr="003072C6" w:rsidRDefault="00EC08A4" w:rsidP="00EC08A4">
            <w:pPr>
              <w:pStyle w:val="WoVGtablebullet2"/>
            </w:pPr>
            <w:r w:rsidRPr="003329A8">
              <w:t>OHS management systems and practices are consistently implemented and regularly reviewed effectiveness; OHS management and leadership capability developed at all levels; OHS management integrated into business planning, processes and decision making; OHS management processes integrated into service delivery and management of client OHS</w:t>
            </w:r>
          </w:p>
        </w:tc>
        <w:tc>
          <w:tcPr>
            <w:tcW w:w="1059" w:type="pct"/>
            <w:shd w:val="clear" w:color="auto" w:fill="F2F2F2" w:themeFill="background1" w:themeFillShade="F2"/>
          </w:tcPr>
          <w:p w:rsidR="00EC08A4" w:rsidRDefault="00EC08A4" w:rsidP="00EC08A4">
            <w:pPr>
              <w:pStyle w:val="WoVGtablebullet2"/>
            </w:pPr>
            <w:r w:rsidRPr="003329A8">
              <w:t>Continually seeking opportunities to improve; all workforce engaged in and owns OHS improvement processes; learning and sharing outside organisation; OHS embedded into business thinking</w:t>
            </w:r>
          </w:p>
        </w:tc>
      </w:tr>
      <w:tr w:rsidR="00EC08A4" w:rsidRPr="003072C6" w:rsidTr="0052429F">
        <w:tc>
          <w:tcPr>
            <w:tcW w:w="905" w:type="pct"/>
            <w:shd w:val="clear" w:color="auto" w:fill="F2F2F2" w:themeFill="background1" w:themeFillShade="F2"/>
          </w:tcPr>
          <w:p w:rsidR="00EC08A4" w:rsidRDefault="00EC08A4" w:rsidP="00F837CB">
            <w:pPr>
              <w:pStyle w:val="WoVGtabletext"/>
            </w:pPr>
            <w:r>
              <w:t>Levers for change</w:t>
            </w:r>
          </w:p>
        </w:tc>
        <w:tc>
          <w:tcPr>
            <w:tcW w:w="905" w:type="pct"/>
            <w:shd w:val="clear" w:color="auto" w:fill="F2F2F2" w:themeFill="background1" w:themeFillShade="F2"/>
          </w:tcPr>
          <w:p w:rsidR="00EC08A4" w:rsidRDefault="00EC08A4" w:rsidP="00F837CB">
            <w:pPr>
              <w:pStyle w:val="WoVGtabletext"/>
            </w:pPr>
            <w:r w:rsidRPr="003329A8">
              <w:t>Develop OHS management systems; management participation; worker representation; worker induction and training</w:t>
            </w:r>
          </w:p>
        </w:tc>
        <w:tc>
          <w:tcPr>
            <w:tcW w:w="1073" w:type="pct"/>
            <w:shd w:val="clear" w:color="auto" w:fill="F2F2F2" w:themeFill="background1" w:themeFillShade="F2"/>
          </w:tcPr>
          <w:p w:rsidR="00EC08A4" w:rsidRPr="003329A8" w:rsidRDefault="00EC08A4" w:rsidP="00EC08A4">
            <w:pPr>
              <w:pStyle w:val="WoVGtabletext"/>
            </w:pPr>
            <w:r w:rsidRPr="003329A8">
              <w:t>Compliance improvement; Level of OHS systems implementation; people manager training; worker engagement and participation</w:t>
            </w:r>
          </w:p>
        </w:tc>
        <w:tc>
          <w:tcPr>
            <w:tcW w:w="1059" w:type="pct"/>
            <w:shd w:val="clear" w:color="auto" w:fill="F2F2F2" w:themeFill="background1" w:themeFillShade="F2"/>
          </w:tcPr>
          <w:p w:rsidR="00EC08A4" w:rsidRPr="003329A8" w:rsidRDefault="00EC08A4" w:rsidP="00EC08A4">
            <w:pPr>
              <w:pStyle w:val="WoVGtablebullet2"/>
            </w:pPr>
            <w:r w:rsidRPr="00EC08A4">
              <w:t>Systems review and improvement; consistency implementation; safety climate survey/results</w:t>
            </w:r>
          </w:p>
        </w:tc>
        <w:tc>
          <w:tcPr>
            <w:tcW w:w="1059" w:type="pct"/>
            <w:shd w:val="clear" w:color="auto" w:fill="F2F2F2" w:themeFill="background1" w:themeFillShade="F2"/>
          </w:tcPr>
          <w:p w:rsidR="00EC08A4" w:rsidRPr="003329A8" w:rsidRDefault="00EC08A4" w:rsidP="00EC08A4">
            <w:pPr>
              <w:pStyle w:val="WoVGtablebullet2"/>
            </w:pPr>
            <w:r w:rsidRPr="003329A8">
              <w:t>Innovative solutions; continual improvement; case studies</w:t>
            </w:r>
          </w:p>
        </w:tc>
      </w:tr>
    </w:tbl>
    <w:p w:rsidR="003329A8" w:rsidRPr="00EC08A4" w:rsidRDefault="003329A8" w:rsidP="00EC08A4">
      <w:pPr>
        <w:pStyle w:val="WoVGtablecaption"/>
      </w:pPr>
      <w:r>
        <w:rPr>
          <w:b w:val="0"/>
          <w:highlight w:val="lightGray"/>
        </w:rPr>
        <w:br w:type="page"/>
      </w:r>
    </w:p>
    <w:p w:rsidR="003329A8" w:rsidRPr="00806DF6" w:rsidRDefault="00EC08A4" w:rsidP="003329A8">
      <w:pPr>
        <w:pStyle w:val="Heading2"/>
        <w:keepNext w:val="0"/>
        <w:keepLines w:val="0"/>
        <w:numPr>
          <w:ilvl w:val="1"/>
          <w:numId w:val="0"/>
        </w:numPr>
        <w:spacing w:before="120" w:after="0" w:line="276" w:lineRule="auto"/>
        <w:ind w:left="576" w:hanging="576"/>
      </w:pPr>
      <w:bookmarkStart w:id="27" w:name="_Toc477934202"/>
      <w:bookmarkStart w:id="28" w:name="_Toc9246008"/>
      <w:r>
        <w:lastRenderedPageBreak/>
        <w:t>5.</w:t>
      </w:r>
      <w:r w:rsidR="00792402">
        <w:t>4</w:t>
      </w:r>
      <w:r>
        <w:t xml:space="preserve"> </w:t>
      </w:r>
      <w:r w:rsidR="003329A8" w:rsidRPr="008D04AE">
        <w:rPr>
          <w:rStyle w:val="Emphasis"/>
        </w:rPr>
        <w:t>Leading the Way</w:t>
      </w:r>
      <w:r w:rsidR="003329A8" w:rsidRPr="00806DF6">
        <w:t xml:space="preserve"> self-assessment tool</w:t>
      </w:r>
      <w:bookmarkEnd w:id="27"/>
      <w:bookmarkEnd w:id="28"/>
    </w:p>
    <w:p w:rsidR="00562F6D" w:rsidRDefault="003329A8" w:rsidP="00225F77">
      <w:pPr>
        <w:pStyle w:val="WoVGbody"/>
      </w:pPr>
      <w:r w:rsidRPr="003329A8">
        <w:t xml:space="preserve">The </w:t>
      </w:r>
      <w:r w:rsidRPr="00225F77">
        <w:t>Leading the Way</w:t>
      </w:r>
      <w:r w:rsidRPr="003329A8">
        <w:t xml:space="preserve"> self-assessment tool assists government departments to determine their general level of safety maturity in each of the focus areas and it provides an overview of maturity levels for safety systems and safety culture.</w:t>
      </w:r>
    </w:p>
    <w:p w:rsidR="00562F6D" w:rsidRDefault="003329A8" w:rsidP="00225F77">
      <w:pPr>
        <w:pStyle w:val="WoVGbody"/>
      </w:pPr>
      <w:r w:rsidRPr="003329A8">
        <w:t>This is not an independently validated tool, but does reflect the elements of OHS management systems identified in the Australian Standards, as well as elements of a mature safety culture widely recognised in OHS literature.</w:t>
      </w:r>
    </w:p>
    <w:p w:rsidR="003329A8" w:rsidRPr="003329A8" w:rsidRDefault="003329A8" w:rsidP="00225F77">
      <w:pPr>
        <w:pStyle w:val="WoVGbody"/>
      </w:pPr>
      <w:r w:rsidRPr="003329A8">
        <w:t>Both management and worker perceptions of their leaders contribute to creating and maintaining a positive safety culture and a reduction in workplace injuries. So, while the OHS team may coordinate the self-assessment, it should be completed with input from a range of stakeholder viewpoints including:</w:t>
      </w:r>
    </w:p>
    <w:p w:rsidR="003329A8" w:rsidRPr="003329A8" w:rsidRDefault="003329A8" w:rsidP="003329A8">
      <w:pPr>
        <w:pStyle w:val="WoVGbullet1"/>
      </w:pPr>
      <w:r w:rsidRPr="003329A8">
        <w:t>senior management</w:t>
      </w:r>
    </w:p>
    <w:p w:rsidR="00562F6D" w:rsidRDefault="003329A8" w:rsidP="003329A8">
      <w:pPr>
        <w:pStyle w:val="WoVGbullet1"/>
      </w:pPr>
      <w:r w:rsidRPr="003329A8">
        <w:t>management</w:t>
      </w:r>
    </w:p>
    <w:p w:rsidR="003329A8" w:rsidRPr="003329A8" w:rsidRDefault="003329A8" w:rsidP="003329A8">
      <w:pPr>
        <w:pStyle w:val="WoVGbullet1"/>
      </w:pPr>
      <w:r w:rsidRPr="003329A8">
        <w:t>OHS specialists (e.g. OHS manager, OHS advisors, health and safety representatives)</w:t>
      </w:r>
    </w:p>
    <w:p w:rsidR="00562F6D" w:rsidRDefault="003329A8" w:rsidP="003329A8">
      <w:pPr>
        <w:pStyle w:val="WoVGbullet1"/>
      </w:pPr>
      <w:r w:rsidRPr="003329A8">
        <w:t>workers and their representatives.</w:t>
      </w:r>
    </w:p>
    <w:p w:rsidR="00562F6D" w:rsidRDefault="003329A8" w:rsidP="0047128D">
      <w:pPr>
        <w:pStyle w:val="WoVGbodyafterbullets"/>
      </w:pPr>
      <w:r w:rsidRPr="007B621E">
        <w:t>Differences between stakeholder ratings can highlight areas for fur</w:t>
      </w:r>
      <w:r w:rsidR="00CB31F5">
        <w:t>ther analysis and improvement.</w:t>
      </w:r>
    </w:p>
    <w:p w:rsidR="003329A8" w:rsidRPr="00CB31F5" w:rsidRDefault="00792402" w:rsidP="00792402">
      <w:pPr>
        <w:pStyle w:val="Heading3"/>
      </w:pPr>
      <w:r>
        <w:t xml:space="preserve">5.4.1 </w:t>
      </w:r>
      <w:r w:rsidR="003329A8" w:rsidRPr="00CB31F5">
        <w:t>Using the self-assessment tool</w:t>
      </w:r>
    </w:p>
    <w:p w:rsidR="00CB31F5" w:rsidRPr="003329A8" w:rsidRDefault="003329A8" w:rsidP="00225F77">
      <w:pPr>
        <w:pStyle w:val="WoVGbody"/>
      </w:pPr>
      <w:r w:rsidRPr="003329A8">
        <w:t>The term ‘senior management’ is used most often in the criteria. However, a few criteria specify ‘top management’ i.e. those senior management reporting directly to the board or equivalent. These criteria reflect the responsibilities specified for top management in the relevant Australian Standards cited in the Reference list.</w:t>
      </w:r>
    </w:p>
    <w:p w:rsidR="00562F6D" w:rsidRDefault="003329A8" w:rsidP="00225F77">
      <w:pPr>
        <w:pStyle w:val="WoVGbody"/>
      </w:pPr>
      <w:r w:rsidRPr="003329A8">
        <w:t>Use the scoring system to respond to each statement in the four focus areas. Err on the side of a lower score if there is any uncertainly about the level of implementation on a particular criterion.</w:t>
      </w:r>
    </w:p>
    <w:p w:rsidR="00562F6D" w:rsidRDefault="003329A8" w:rsidP="00225F77">
      <w:pPr>
        <w:pStyle w:val="WoVGbody"/>
      </w:pPr>
      <w:r w:rsidRPr="003329A8">
        <w:t>Once all statements within the self-assessment tool have been scored, tally up the scores for each focus areas, as well as for the safety systems and culture components. Safety systems and safety culture criteria are distributed across the focus areas and are colour coded: blue for systems; green for culture. These scores will assist each department to estimate its maturity level according to the Leading the Way maturity model.</w:t>
      </w:r>
    </w:p>
    <w:p w:rsidR="00562F6D" w:rsidRDefault="003329A8" w:rsidP="00225F77">
      <w:pPr>
        <w:pStyle w:val="WoVGbody"/>
      </w:pPr>
      <w:r w:rsidRPr="003329A8">
        <w:t xml:space="preserve">Results from the </w:t>
      </w:r>
      <w:r w:rsidRPr="00225F77">
        <w:t>Leading the Way</w:t>
      </w:r>
      <w:r w:rsidRPr="003329A8">
        <w:t xml:space="preserve"> self-assessment should be used in conjunction with the range of other Leading the Way performance data and risk profiles to identify priorities and to plan actions for monitoring and continuous improvement.</w:t>
      </w:r>
    </w:p>
    <w:p w:rsidR="003329A8" w:rsidRPr="003329A8" w:rsidRDefault="003329A8" w:rsidP="008D04AE">
      <w:pPr>
        <w:pStyle w:val="WoVGbody"/>
      </w:pPr>
      <w:r w:rsidRPr="003329A8">
        <w:t>Government departments should use the findings of the Leading the Way self-assessment to identify aspects of their OHS systems and safety culture that require more detailed analysis through:</w:t>
      </w:r>
    </w:p>
    <w:p w:rsidR="003329A8" w:rsidRPr="003329A8" w:rsidRDefault="003329A8" w:rsidP="003329A8">
      <w:pPr>
        <w:pStyle w:val="WoVGbullet1"/>
      </w:pPr>
      <w:r w:rsidRPr="003329A8">
        <w:t>formal evaluation of the OHS management system (OHSMS) to determine implementation status and effectiveness</w:t>
      </w:r>
    </w:p>
    <w:p w:rsidR="00562F6D" w:rsidRDefault="003329A8" w:rsidP="003329A8">
      <w:pPr>
        <w:pStyle w:val="WoVGbullet1"/>
      </w:pPr>
      <w:r w:rsidRPr="003329A8">
        <w:t>data analysis to determine physical and psychological risk priorities</w:t>
      </w:r>
    </w:p>
    <w:p w:rsidR="00562F6D" w:rsidRDefault="003329A8" w:rsidP="003329A8">
      <w:pPr>
        <w:pStyle w:val="WoVGbullet1"/>
      </w:pPr>
      <w:r w:rsidRPr="003329A8">
        <w:t>use of safety culture and/or organisational culture assessment tools.</w:t>
      </w:r>
    </w:p>
    <w:p w:rsidR="003329A8" w:rsidRPr="003329A8" w:rsidRDefault="003329A8" w:rsidP="008D04AE">
      <w:pPr>
        <w:pStyle w:val="WoVGbodyafterbullets"/>
      </w:pPr>
      <w:r w:rsidRPr="003329A8">
        <w:t>Note: Consideration must be given to compliance with the OHS provisions included in the enterprise agreements with employee representatives and unions.</w:t>
      </w:r>
      <w:bookmarkStart w:id="29" w:name="_Toc381274997"/>
      <w:bookmarkStart w:id="30" w:name="_Toc381298061"/>
      <w:bookmarkStart w:id="31" w:name="_Toc381298395"/>
      <w:bookmarkStart w:id="32" w:name="_Toc381298730"/>
      <w:bookmarkStart w:id="33" w:name="_Toc381274998"/>
      <w:bookmarkStart w:id="34" w:name="_Toc381298062"/>
      <w:bookmarkStart w:id="35" w:name="_Toc381298396"/>
      <w:bookmarkStart w:id="36" w:name="_Toc381298731"/>
      <w:bookmarkStart w:id="37" w:name="_Toc381274999"/>
      <w:bookmarkStart w:id="38" w:name="_Toc381298063"/>
      <w:bookmarkStart w:id="39" w:name="_Toc381298397"/>
      <w:bookmarkStart w:id="40" w:name="_Toc381298732"/>
      <w:bookmarkStart w:id="41" w:name="_Toc381275000"/>
      <w:bookmarkStart w:id="42" w:name="_Toc381298064"/>
      <w:bookmarkStart w:id="43" w:name="_Toc381298398"/>
      <w:bookmarkStart w:id="44" w:name="_Toc381298733"/>
      <w:bookmarkStart w:id="45" w:name="_Toc381275001"/>
      <w:bookmarkStart w:id="46" w:name="_Toc381298065"/>
      <w:bookmarkStart w:id="47" w:name="_Toc381298399"/>
      <w:bookmarkStart w:id="48" w:name="_Toc381298734"/>
      <w:bookmarkStart w:id="49" w:name="_Toc381275002"/>
      <w:bookmarkStart w:id="50" w:name="_Toc381298066"/>
      <w:bookmarkStart w:id="51" w:name="_Toc381298400"/>
      <w:bookmarkStart w:id="52" w:name="_Toc381298735"/>
      <w:bookmarkStart w:id="53" w:name="_Toc381275003"/>
      <w:bookmarkStart w:id="54" w:name="_Toc381298067"/>
      <w:bookmarkStart w:id="55" w:name="_Toc381298401"/>
      <w:bookmarkStart w:id="56" w:name="_Toc381298736"/>
      <w:bookmarkStart w:id="57" w:name="_Toc381275004"/>
      <w:bookmarkStart w:id="58" w:name="_Toc381298068"/>
      <w:bookmarkStart w:id="59" w:name="_Toc381298402"/>
      <w:bookmarkStart w:id="60" w:name="_Toc381298737"/>
      <w:bookmarkStart w:id="61" w:name="_Toc381275005"/>
      <w:bookmarkStart w:id="62" w:name="_Toc381298069"/>
      <w:bookmarkStart w:id="63" w:name="_Toc381298403"/>
      <w:bookmarkStart w:id="64" w:name="_Toc381298738"/>
      <w:bookmarkStart w:id="65" w:name="_Toc380143527"/>
      <w:bookmarkStart w:id="66" w:name="_Toc380144452"/>
      <w:bookmarkStart w:id="67" w:name="_Toc381275006"/>
      <w:bookmarkStart w:id="68" w:name="_Toc381298070"/>
      <w:bookmarkStart w:id="69" w:name="_Toc381298404"/>
      <w:bookmarkStart w:id="70" w:name="_Toc381298739"/>
      <w:bookmarkStart w:id="71" w:name="_Toc380143528"/>
      <w:bookmarkStart w:id="72" w:name="_Toc380144453"/>
      <w:bookmarkStart w:id="73" w:name="_Toc381275007"/>
      <w:bookmarkStart w:id="74" w:name="_Toc381298071"/>
      <w:bookmarkStart w:id="75" w:name="_Toc381298405"/>
      <w:bookmarkStart w:id="76" w:name="_Toc381298740"/>
      <w:bookmarkStart w:id="77" w:name="_Toc380143529"/>
      <w:bookmarkStart w:id="78" w:name="_Toc380144454"/>
      <w:bookmarkStart w:id="79" w:name="_Toc381275008"/>
      <w:bookmarkStart w:id="80" w:name="_Toc381298072"/>
      <w:bookmarkStart w:id="81" w:name="_Toc381298406"/>
      <w:bookmarkStart w:id="82" w:name="_Toc381298741"/>
      <w:bookmarkStart w:id="83" w:name="_Toc380143530"/>
      <w:bookmarkStart w:id="84" w:name="_Toc380144455"/>
      <w:bookmarkStart w:id="85" w:name="_Toc381275009"/>
      <w:bookmarkStart w:id="86" w:name="_Toc381298073"/>
      <w:bookmarkStart w:id="87" w:name="_Toc381298407"/>
      <w:bookmarkStart w:id="88" w:name="_Toc381298742"/>
      <w:bookmarkStart w:id="89" w:name="_Toc380143531"/>
      <w:bookmarkStart w:id="90" w:name="_Toc380144456"/>
      <w:bookmarkStart w:id="91" w:name="_Toc381275010"/>
      <w:bookmarkStart w:id="92" w:name="_Toc381298074"/>
      <w:bookmarkStart w:id="93" w:name="_Toc381298408"/>
      <w:bookmarkStart w:id="94" w:name="_Toc381298743"/>
      <w:bookmarkStart w:id="95" w:name="_Toc380143532"/>
      <w:bookmarkStart w:id="96" w:name="_Toc380144457"/>
      <w:bookmarkStart w:id="97" w:name="_Toc381275011"/>
      <w:bookmarkStart w:id="98" w:name="_Toc381298075"/>
      <w:bookmarkStart w:id="99" w:name="_Toc381298409"/>
      <w:bookmarkStart w:id="100" w:name="_Toc381298744"/>
      <w:bookmarkStart w:id="101" w:name="_Toc380143533"/>
      <w:bookmarkStart w:id="102" w:name="_Toc380144458"/>
      <w:bookmarkStart w:id="103" w:name="_Toc381275012"/>
      <w:bookmarkStart w:id="104" w:name="_Toc381298076"/>
      <w:bookmarkStart w:id="105" w:name="_Toc381298410"/>
      <w:bookmarkStart w:id="106" w:name="_Toc38129874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3329A8" w:rsidRDefault="003329A8" w:rsidP="0047128D">
      <w:pPr>
        <w:pStyle w:val="WoVGbody"/>
        <w:rPr>
          <w:lang w:val="en-GB"/>
        </w:rPr>
      </w:pPr>
      <w:r>
        <w:rPr>
          <w:rFonts w:cs="Arial"/>
          <w:b/>
          <w:spacing w:val="-3"/>
          <w:lang w:val="en-GB"/>
        </w:rPr>
        <w:br w:type="page"/>
      </w:r>
    </w:p>
    <w:p w:rsidR="003329A8" w:rsidRDefault="003329A8" w:rsidP="00CB31F5">
      <w:pPr>
        <w:pStyle w:val="WoVGtablecaption"/>
      </w:pPr>
      <w:r w:rsidRPr="00CB31F5">
        <w:lastRenderedPageBreak/>
        <w:t>Scoring system</w:t>
      </w:r>
    </w:p>
    <w:tbl>
      <w:tblPr>
        <w:tblStyle w:val="TableGrid"/>
        <w:tblW w:w="9299" w:type="dxa"/>
        <w:tblInd w:w="-5" w:type="dxa"/>
        <w:tblLook w:val="04A0" w:firstRow="1" w:lastRow="0" w:firstColumn="1" w:lastColumn="0" w:noHBand="0" w:noVBand="1"/>
      </w:tblPr>
      <w:tblGrid>
        <w:gridCol w:w="1134"/>
        <w:gridCol w:w="8165"/>
      </w:tblGrid>
      <w:tr w:rsidR="00044D0D" w:rsidRPr="00CD5CAB" w:rsidTr="0052429F">
        <w:trPr>
          <w:trHeight w:val="314"/>
        </w:trPr>
        <w:tc>
          <w:tcPr>
            <w:tcW w:w="1134" w:type="dxa"/>
            <w:shd w:val="clear" w:color="auto" w:fill="92CDDC"/>
          </w:tcPr>
          <w:p w:rsidR="00044D0D" w:rsidRPr="009C4A1F" w:rsidRDefault="00044D0D" w:rsidP="00044D0D">
            <w:pPr>
              <w:pStyle w:val="WoVGtablecolhead"/>
            </w:pPr>
            <w:r>
              <w:t>Level achieved</w:t>
            </w:r>
          </w:p>
        </w:tc>
        <w:tc>
          <w:tcPr>
            <w:tcW w:w="8165" w:type="dxa"/>
            <w:shd w:val="clear" w:color="auto" w:fill="92CDDC"/>
          </w:tcPr>
          <w:p w:rsidR="00044D0D" w:rsidRPr="009C4A1F" w:rsidRDefault="00044D0D" w:rsidP="00044D0D">
            <w:pPr>
              <w:pStyle w:val="WoVGtablecolhead"/>
            </w:pPr>
            <w:r>
              <w:t>Description</w:t>
            </w:r>
          </w:p>
        </w:tc>
      </w:tr>
      <w:tr w:rsidR="009C4A1F" w:rsidRPr="00CD5CAB" w:rsidTr="0052429F">
        <w:trPr>
          <w:trHeight w:val="314"/>
        </w:trPr>
        <w:tc>
          <w:tcPr>
            <w:tcW w:w="1134" w:type="dxa"/>
            <w:shd w:val="clear" w:color="auto" w:fill="F2F2F2" w:themeFill="background1" w:themeFillShade="F2"/>
          </w:tcPr>
          <w:p w:rsidR="009C4A1F" w:rsidRPr="00CD5CAB" w:rsidRDefault="009C4A1F" w:rsidP="009C4A1F">
            <w:pPr>
              <w:pStyle w:val="WoVGtabletext"/>
              <w:rPr>
                <w:rFonts w:cs="Arial"/>
                <w:b/>
                <w:color w:val="000000"/>
              </w:rPr>
            </w:pPr>
            <w:r w:rsidRPr="009C4A1F">
              <w:t>0</w:t>
            </w:r>
          </w:p>
        </w:tc>
        <w:tc>
          <w:tcPr>
            <w:tcW w:w="8165" w:type="dxa"/>
            <w:shd w:val="clear" w:color="auto" w:fill="F2F2F2" w:themeFill="background1" w:themeFillShade="F2"/>
          </w:tcPr>
          <w:p w:rsidR="009C4A1F" w:rsidRPr="009C4A1F" w:rsidRDefault="009C4A1F" w:rsidP="009C4A1F">
            <w:pPr>
              <w:pStyle w:val="WoVGtabletext"/>
            </w:pPr>
            <w:r w:rsidRPr="009C4A1F">
              <w:t>No evidence of implementation</w:t>
            </w:r>
          </w:p>
        </w:tc>
      </w:tr>
      <w:tr w:rsidR="009C4A1F" w:rsidRPr="00CD5CAB" w:rsidTr="0052429F">
        <w:trPr>
          <w:trHeight w:val="519"/>
        </w:trPr>
        <w:tc>
          <w:tcPr>
            <w:tcW w:w="1134" w:type="dxa"/>
            <w:shd w:val="clear" w:color="auto" w:fill="F2F2F2" w:themeFill="background1" w:themeFillShade="F2"/>
          </w:tcPr>
          <w:p w:rsidR="009C4A1F" w:rsidRPr="009C4A1F" w:rsidRDefault="009C4A1F" w:rsidP="009C4A1F">
            <w:pPr>
              <w:pStyle w:val="WoVGtabletext"/>
            </w:pPr>
            <w:r w:rsidRPr="009C4A1F">
              <w:t>1</w:t>
            </w:r>
          </w:p>
        </w:tc>
        <w:tc>
          <w:tcPr>
            <w:tcW w:w="8165" w:type="dxa"/>
            <w:shd w:val="clear" w:color="auto" w:fill="F2F2F2" w:themeFill="background1" w:themeFillShade="F2"/>
          </w:tcPr>
          <w:p w:rsidR="009C4A1F" w:rsidRPr="009C4A1F" w:rsidRDefault="009C4A1F" w:rsidP="009C4A1F">
            <w:pPr>
              <w:pStyle w:val="WoVGtabletext"/>
            </w:pPr>
            <w:r w:rsidRPr="009C4A1F">
              <w:t>Limited systematic OHS risk management; reactive response; limited consultation and engagement with workers</w:t>
            </w:r>
          </w:p>
        </w:tc>
      </w:tr>
      <w:tr w:rsidR="009C4A1F" w:rsidRPr="00CD5CAB" w:rsidTr="0052429F">
        <w:trPr>
          <w:trHeight w:val="533"/>
        </w:trPr>
        <w:tc>
          <w:tcPr>
            <w:tcW w:w="1134" w:type="dxa"/>
            <w:shd w:val="clear" w:color="auto" w:fill="F2F2F2" w:themeFill="background1" w:themeFillShade="F2"/>
          </w:tcPr>
          <w:p w:rsidR="009C4A1F" w:rsidRPr="009C4A1F" w:rsidRDefault="009C4A1F" w:rsidP="009C4A1F">
            <w:pPr>
              <w:pStyle w:val="WoVGtabletext"/>
            </w:pPr>
            <w:r w:rsidRPr="009C4A1F">
              <w:t>2</w:t>
            </w:r>
          </w:p>
        </w:tc>
        <w:tc>
          <w:tcPr>
            <w:tcW w:w="8165" w:type="dxa"/>
            <w:shd w:val="clear" w:color="auto" w:fill="F2F2F2" w:themeFill="background1" w:themeFillShade="F2"/>
          </w:tcPr>
          <w:p w:rsidR="009C4A1F" w:rsidRPr="009C4A1F" w:rsidRDefault="009C4A1F" w:rsidP="009C4A1F">
            <w:pPr>
              <w:pStyle w:val="WoVGtabletext"/>
            </w:pPr>
            <w:r w:rsidRPr="009C4A1F">
              <w:t>OHS systems implemented for active prevention; management commitment and capability development; worker participation</w:t>
            </w:r>
          </w:p>
        </w:tc>
      </w:tr>
      <w:tr w:rsidR="009C4A1F" w:rsidRPr="00CD5CAB" w:rsidTr="0052429F">
        <w:trPr>
          <w:trHeight w:val="519"/>
        </w:trPr>
        <w:tc>
          <w:tcPr>
            <w:tcW w:w="1134" w:type="dxa"/>
            <w:shd w:val="clear" w:color="auto" w:fill="F2F2F2" w:themeFill="background1" w:themeFillShade="F2"/>
          </w:tcPr>
          <w:p w:rsidR="009C4A1F" w:rsidRPr="009C4A1F" w:rsidRDefault="009C4A1F" w:rsidP="009C4A1F">
            <w:pPr>
              <w:pStyle w:val="WoVGtabletext"/>
            </w:pPr>
            <w:r w:rsidRPr="009C4A1F">
              <w:t>3</w:t>
            </w:r>
          </w:p>
        </w:tc>
        <w:tc>
          <w:tcPr>
            <w:tcW w:w="8165" w:type="dxa"/>
            <w:shd w:val="clear" w:color="auto" w:fill="F2F2F2" w:themeFill="background1" w:themeFillShade="F2"/>
          </w:tcPr>
          <w:p w:rsidR="009C4A1F" w:rsidRPr="009C4A1F" w:rsidRDefault="009C4A1F" w:rsidP="009C4A1F">
            <w:pPr>
              <w:pStyle w:val="WoVGtabletext"/>
            </w:pPr>
            <w:r w:rsidRPr="009C4A1F">
              <w:t>OHS systems are consistently used, effective and integrated; strong leadership and managers actively engage with the workers on OHS matters</w:t>
            </w:r>
          </w:p>
        </w:tc>
      </w:tr>
      <w:tr w:rsidR="009C4A1F" w:rsidRPr="00CD5CAB" w:rsidTr="0052429F">
        <w:trPr>
          <w:trHeight w:val="519"/>
        </w:trPr>
        <w:tc>
          <w:tcPr>
            <w:tcW w:w="1134" w:type="dxa"/>
            <w:shd w:val="clear" w:color="auto" w:fill="F2F2F2" w:themeFill="background1" w:themeFillShade="F2"/>
          </w:tcPr>
          <w:p w:rsidR="009C4A1F" w:rsidRPr="009C4A1F" w:rsidRDefault="009C4A1F" w:rsidP="009C4A1F">
            <w:pPr>
              <w:pStyle w:val="WoVGtabletext"/>
            </w:pPr>
            <w:r w:rsidRPr="009C4A1F">
              <w:t>4</w:t>
            </w:r>
          </w:p>
        </w:tc>
        <w:tc>
          <w:tcPr>
            <w:tcW w:w="8165" w:type="dxa"/>
            <w:shd w:val="clear" w:color="auto" w:fill="F2F2F2" w:themeFill="background1" w:themeFillShade="F2"/>
          </w:tcPr>
          <w:p w:rsidR="009C4A1F" w:rsidRPr="009C4A1F" w:rsidRDefault="009C4A1F" w:rsidP="009C4A1F">
            <w:pPr>
              <w:pStyle w:val="WoVGtabletext"/>
            </w:pPr>
            <w:r w:rsidRPr="009C4A1F">
              <w:t>Opportunities sought to continually improve OHS systems; ownership and leadership of performance shared at all levels; learnings broadly shared</w:t>
            </w:r>
          </w:p>
        </w:tc>
      </w:tr>
    </w:tbl>
    <w:p w:rsidR="003329A8" w:rsidRDefault="003329A8" w:rsidP="00044D0D">
      <w:pPr>
        <w:pStyle w:val="WoVGbodyaftertablefigure"/>
      </w:pPr>
      <w:r>
        <w:rPr>
          <w:noProof/>
          <w:lang w:eastAsia="en-AU"/>
        </w:rPr>
        <w:drawing>
          <wp:inline distT="0" distB="0" distL="0" distR="0" wp14:anchorId="4A9F2F28" wp14:editId="57E0EF7D">
            <wp:extent cx="5897168" cy="1084634"/>
            <wp:effectExtent l="0" t="0" r="8890" b="1270"/>
            <wp:docPr id="17" name="Picture 17" descr="Key to the four levels of the scoring system as presented in Figure 4 above. Level 1: Unstructured. Level 2: Foundation. Level 3: Consolidation. Level 4: Leading and learning. Each level represents 25% of the process of full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918E152.tmp"/>
                    <pic:cNvPicPr/>
                  </pic:nvPicPr>
                  <pic:blipFill>
                    <a:blip r:embed="rId28">
                      <a:extLst>
                        <a:ext uri="{28A0092B-C50C-407E-A947-70E740481C1C}">
                          <a14:useLocalDpi xmlns:a14="http://schemas.microsoft.com/office/drawing/2010/main" val="0"/>
                        </a:ext>
                      </a:extLst>
                    </a:blip>
                    <a:stretch>
                      <a:fillRect/>
                    </a:stretch>
                  </pic:blipFill>
                  <pic:spPr>
                    <a:xfrm>
                      <a:off x="0" y="0"/>
                      <a:ext cx="5898905" cy="1084953"/>
                    </a:xfrm>
                    <a:prstGeom prst="rect">
                      <a:avLst/>
                    </a:prstGeom>
                  </pic:spPr>
                </pic:pic>
              </a:graphicData>
            </a:graphic>
          </wp:inline>
        </w:drawing>
      </w:r>
    </w:p>
    <w:p w:rsidR="003329A8" w:rsidRDefault="003329A8" w:rsidP="0047128D">
      <w:pPr>
        <w:pStyle w:val="WoVGbody"/>
      </w:pPr>
      <w:r>
        <w:rPr>
          <w:b/>
        </w:rPr>
        <w:br w:type="page"/>
      </w:r>
    </w:p>
    <w:p w:rsidR="00562F6D" w:rsidRDefault="002219EE" w:rsidP="002219EE">
      <w:pPr>
        <w:pStyle w:val="Heading3"/>
      </w:pPr>
      <w:bookmarkStart w:id="107" w:name="_Toc477934203"/>
      <w:r w:rsidRPr="002219EE">
        <w:lastRenderedPageBreak/>
        <w:t>5.</w:t>
      </w:r>
      <w:r w:rsidR="00792402">
        <w:t>4</w:t>
      </w:r>
      <w:r w:rsidRPr="002219EE">
        <w:t>.</w:t>
      </w:r>
      <w:r w:rsidR="00792402">
        <w:t>2</w:t>
      </w:r>
      <w:r w:rsidRPr="002219EE">
        <w:t xml:space="preserve"> </w:t>
      </w:r>
      <w:r w:rsidR="003329A8" w:rsidRPr="002219EE">
        <w:t>Senior management commitment</w:t>
      </w:r>
      <w:bookmarkEnd w:id="107"/>
    </w:p>
    <w:p w:rsidR="0088584B" w:rsidRPr="003072C6" w:rsidRDefault="003329A8" w:rsidP="0088584B">
      <w:pPr>
        <w:pStyle w:val="WoVGtablecaption"/>
      </w:pPr>
      <w:r w:rsidRPr="003329A8">
        <w:t>Self-assessment</w:t>
      </w:r>
      <w:r w:rsidR="00044D0D">
        <w:t xml:space="preserve"> of senior management commitment</w:t>
      </w:r>
    </w:p>
    <w:tbl>
      <w:tblPr>
        <w:tblStyle w:val="TableGrid1"/>
        <w:tblW w:w="9189" w:type="dxa"/>
        <w:tblInd w:w="-5" w:type="dxa"/>
        <w:tblLook w:val="04A0" w:firstRow="1" w:lastRow="0" w:firstColumn="1" w:lastColumn="0" w:noHBand="0" w:noVBand="1"/>
      </w:tblPr>
      <w:tblGrid>
        <w:gridCol w:w="1106"/>
        <w:gridCol w:w="7087"/>
        <w:gridCol w:w="996"/>
      </w:tblGrid>
      <w:tr w:rsidR="00714F45" w:rsidRPr="00703D1F" w:rsidTr="00965FA8">
        <w:tc>
          <w:tcPr>
            <w:tcW w:w="1106" w:type="dxa"/>
            <w:shd w:val="clear" w:color="auto" w:fill="92CDDC" w:themeFill="accent5" w:themeFillTint="99"/>
          </w:tcPr>
          <w:p w:rsidR="00A57E95" w:rsidRPr="00935EB6" w:rsidRDefault="005D62BB" w:rsidP="00714F45">
            <w:pPr>
              <w:pStyle w:val="WoVGtablecolhead"/>
            </w:pPr>
            <w:r w:rsidRPr="00935EB6">
              <w:t>Criteri</w:t>
            </w:r>
            <w:r w:rsidR="00A57E95" w:rsidRPr="00935EB6">
              <w:t>on number</w:t>
            </w:r>
          </w:p>
        </w:tc>
        <w:tc>
          <w:tcPr>
            <w:tcW w:w="7087" w:type="dxa"/>
            <w:shd w:val="clear" w:color="auto" w:fill="92CDDC" w:themeFill="accent5" w:themeFillTint="99"/>
          </w:tcPr>
          <w:p w:rsidR="00714F45" w:rsidRPr="00935EB6" w:rsidRDefault="00A57E95" w:rsidP="00714F45">
            <w:pPr>
              <w:pStyle w:val="WoVGtablecolhead"/>
            </w:pPr>
            <w:r w:rsidRPr="00935EB6">
              <w:t>Criterion</w:t>
            </w:r>
          </w:p>
        </w:tc>
        <w:tc>
          <w:tcPr>
            <w:tcW w:w="996" w:type="dxa"/>
            <w:shd w:val="clear" w:color="auto" w:fill="92CDDC" w:themeFill="accent5" w:themeFillTint="99"/>
          </w:tcPr>
          <w:p w:rsidR="00562F6D" w:rsidRPr="00935EB6" w:rsidRDefault="00714F45" w:rsidP="00714F45">
            <w:pPr>
              <w:pStyle w:val="WoVGtablecolhead"/>
            </w:pPr>
            <w:r w:rsidRPr="00935EB6">
              <w:t>Score</w:t>
            </w:r>
          </w:p>
          <w:p w:rsidR="00714F45" w:rsidRPr="00935EB6" w:rsidRDefault="00714F45" w:rsidP="00714F45">
            <w:pPr>
              <w:pStyle w:val="WoVGtablecolhead"/>
            </w:pPr>
            <w:r w:rsidRPr="00935EB6">
              <w:t>0 - 4</w:t>
            </w:r>
          </w:p>
        </w:tc>
      </w:tr>
      <w:tr w:rsidR="00714F45" w:rsidRPr="00CB4699" w:rsidTr="00965FA8">
        <w:tc>
          <w:tcPr>
            <w:tcW w:w="9189" w:type="dxa"/>
            <w:gridSpan w:val="3"/>
            <w:shd w:val="clear" w:color="auto" w:fill="EAF1DD" w:themeFill="accent3" w:themeFillTint="33"/>
          </w:tcPr>
          <w:p w:rsidR="00714F45" w:rsidRPr="005D62BB" w:rsidRDefault="00714F45" w:rsidP="00714F45">
            <w:pPr>
              <w:pStyle w:val="WoVGtablebullet2"/>
              <w:rPr>
                <w:rFonts w:cs="Arial"/>
                <w:b/>
                <w:spacing w:val="-3"/>
                <w:lang w:val="en-GB"/>
              </w:rPr>
            </w:pPr>
            <w:r w:rsidRPr="005D62BB">
              <w:rPr>
                <w:b/>
              </w:rPr>
              <w:t>Safety systems</w:t>
            </w:r>
          </w:p>
        </w:tc>
      </w:tr>
      <w:tr w:rsidR="00714F45" w:rsidRPr="00CA2662" w:rsidTr="00965FA8">
        <w:tc>
          <w:tcPr>
            <w:tcW w:w="1106" w:type="dxa"/>
            <w:shd w:val="clear" w:color="auto" w:fill="EAF1DD" w:themeFill="accent3" w:themeFillTint="33"/>
          </w:tcPr>
          <w:p w:rsidR="00714F45" w:rsidRPr="007B621E" w:rsidRDefault="00714F45" w:rsidP="00714F45">
            <w:pPr>
              <w:pStyle w:val="WoVGtabletext"/>
              <w:jc w:val="center"/>
              <w:rPr>
                <w:rFonts w:cs="Arial"/>
              </w:rPr>
            </w:pPr>
            <w:r w:rsidRPr="00714F45">
              <w:t>(1)</w:t>
            </w:r>
          </w:p>
        </w:tc>
        <w:tc>
          <w:tcPr>
            <w:tcW w:w="7087" w:type="dxa"/>
            <w:shd w:val="clear" w:color="auto" w:fill="EAF1DD" w:themeFill="accent3" w:themeFillTint="33"/>
          </w:tcPr>
          <w:p w:rsidR="00714F45" w:rsidRPr="007B621E" w:rsidRDefault="00714F45" w:rsidP="00714F45">
            <w:pPr>
              <w:pStyle w:val="WoVGtabletext"/>
              <w:rPr>
                <w:rFonts w:cs="Arial"/>
              </w:rPr>
            </w:pPr>
            <w:r w:rsidRPr="00714F45">
              <w:t>The organisation has a current policy statement approved by top management that outlines their commitment to development of a systematic approach to OHS</w:t>
            </w:r>
          </w:p>
        </w:tc>
        <w:tc>
          <w:tcPr>
            <w:tcW w:w="996" w:type="dxa"/>
            <w:shd w:val="clear" w:color="auto" w:fill="EAF1DD" w:themeFill="accent3" w:themeFillTint="33"/>
          </w:tcPr>
          <w:p w:rsidR="00714F45" w:rsidRPr="007B621E" w:rsidRDefault="00714F45" w:rsidP="0047128D">
            <w:pPr>
              <w:pStyle w:val="WoVGtabletext"/>
              <w:jc w:val="center"/>
              <w:rPr>
                <w:lang w:val="en-GB"/>
              </w:rPr>
            </w:pPr>
          </w:p>
        </w:tc>
      </w:tr>
      <w:tr w:rsidR="00714F45" w:rsidRPr="00CA2662" w:rsidTr="00965FA8">
        <w:tc>
          <w:tcPr>
            <w:tcW w:w="1106" w:type="dxa"/>
            <w:shd w:val="clear" w:color="auto" w:fill="EAF1DD" w:themeFill="accent3" w:themeFillTint="33"/>
          </w:tcPr>
          <w:p w:rsidR="00714F45" w:rsidRPr="00714F45" w:rsidRDefault="00714F45" w:rsidP="00714F45">
            <w:pPr>
              <w:pStyle w:val="WoVGtabletext"/>
              <w:jc w:val="center"/>
            </w:pPr>
            <w:r w:rsidRPr="00714F45">
              <w:t>(2)</w:t>
            </w:r>
          </w:p>
        </w:tc>
        <w:tc>
          <w:tcPr>
            <w:tcW w:w="7087" w:type="dxa"/>
            <w:shd w:val="clear" w:color="auto" w:fill="EAF1DD" w:themeFill="accent3" w:themeFillTint="33"/>
          </w:tcPr>
          <w:p w:rsidR="00714F45" w:rsidRPr="00714F45" w:rsidRDefault="00714F45" w:rsidP="00714F45">
            <w:pPr>
              <w:pStyle w:val="WoVGtabletext"/>
            </w:pPr>
            <w:r w:rsidRPr="00714F45">
              <w:t>Top management establish key objectives towards continual improvement in OHS management</w:t>
            </w:r>
          </w:p>
        </w:tc>
        <w:tc>
          <w:tcPr>
            <w:tcW w:w="996" w:type="dxa"/>
            <w:shd w:val="clear" w:color="auto" w:fill="EAF1DD" w:themeFill="accent3" w:themeFillTint="33"/>
          </w:tcPr>
          <w:p w:rsidR="00714F45" w:rsidRPr="007B621E" w:rsidRDefault="00714F45" w:rsidP="0047128D">
            <w:pPr>
              <w:pStyle w:val="WoVGtabletext"/>
              <w:jc w:val="center"/>
              <w:rPr>
                <w:lang w:val="en-GB"/>
              </w:rPr>
            </w:pPr>
          </w:p>
        </w:tc>
      </w:tr>
      <w:tr w:rsidR="00714F45" w:rsidRPr="00CA2662" w:rsidTr="00965FA8">
        <w:tc>
          <w:tcPr>
            <w:tcW w:w="1106" w:type="dxa"/>
            <w:shd w:val="clear" w:color="auto" w:fill="EAF1DD" w:themeFill="accent3" w:themeFillTint="33"/>
          </w:tcPr>
          <w:p w:rsidR="00714F45" w:rsidRPr="00714F45" w:rsidRDefault="00714F45" w:rsidP="00714F45">
            <w:pPr>
              <w:pStyle w:val="WoVGtabletext"/>
              <w:jc w:val="center"/>
            </w:pPr>
            <w:r w:rsidRPr="00714F45">
              <w:t>(3)</w:t>
            </w:r>
          </w:p>
        </w:tc>
        <w:tc>
          <w:tcPr>
            <w:tcW w:w="7087" w:type="dxa"/>
            <w:shd w:val="clear" w:color="auto" w:fill="EAF1DD" w:themeFill="accent3" w:themeFillTint="33"/>
          </w:tcPr>
          <w:p w:rsidR="00714F45" w:rsidRPr="00714F45" w:rsidRDefault="00714F45" w:rsidP="00714F45">
            <w:pPr>
              <w:pStyle w:val="WoVGtabletext"/>
            </w:pPr>
            <w:r w:rsidRPr="00714F45">
              <w:t xml:space="preserve">Top management representative (s) has overall responsibility of OHS systems and reports to the executive board on performance </w:t>
            </w:r>
          </w:p>
        </w:tc>
        <w:tc>
          <w:tcPr>
            <w:tcW w:w="996" w:type="dxa"/>
            <w:shd w:val="clear" w:color="auto" w:fill="EAF1DD" w:themeFill="accent3" w:themeFillTint="33"/>
          </w:tcPr>
          <w:p w:rsidR="00714F45" w:rsidRPr="007B621E" w:rsidRDefault="00714F45" w:rsidP="0047128D">
            <w:pPr>
              <w:pStyle w:val="WoVGtabletext"/>
              <w:jc w:val="center"/>
              <w:rPr>
                <w:lang w:val="en-GB"/>
              </w:rPr>
            </w:pPr>
          </w:p>
        </w:tc>
      </w:tr>
      <w:tr w:rsidR="00714F45" w:rsidRPr="0015681D" w:rsidTr="00965FA8">
        <w:tc>
          <w:tcPr>
            <w:tcW w:w="1106" w:type="dxa"/>
            <w:shd w:val="clear" w:color="auto" w:fill="EAF1DD" w:themeFill="accent3" w:themeFillTint="33"/>
          </w:tcPr>
          <w:p w:rsidR="00714F45" w:rsidRPr="00714F45" w:rsidRDefault="00714F45" w:rsidP="00714F45">
            <w:pPr>
              <w:pStyle w:val="WoVGtabletext"/>
              <w:jc w:val="center"/>
            </w:pPr>
            <w:r w:rsidRPr="00714F45">
              <w:t>(4)</w:t>
            </w:r>
          </w:p>
        </w:tc>
        <w:tc>
          <w:tcPr>
            <w:tcW w:w="7087" w:type="dxa"/>
            <w:shd w:val="clear" w:color="auto" w:fill="EAF1DD" w:themeFill="accent3" w:themeFillTint="33"/>
          </w:tcPr>
          <w:p w:rsidR="00714F45" w:rsidRPr="00714F45" w:rsidRDefault="00714F45" w:rsidP="00714F45">
            <w:pPr>
              <w:pStyle w:val="WoVGtabletext"/>
            </w:pPr>
            <w:r w:rsidRPr="00714F45">
              <w:t>Senior management undertake a review of the OHS program to generate and implement recommendations to improve performance</w:t>
            </w:r>
          </w:p>
        </w:tc>
        <w:tc>
          <w:tcPr>
            <w:tcW w:w="996" w:type="dxa"/>
            <w:shd w:val="clear" w:color="auto" w:fill="EAF1DD" w:themeFill="accent3" w:themeFillTint="33"/>
          </w:tcPr>
          <w:p w:rsidR="00714F45" w:rsidRPr="007B621E" w:rsidRDefault="00714F45" w:rsidP="0047128D">
            <w:pPr>
              <w:pStyle w:val="WoVGtabletext"/>
              <w:jc w:val="center"/>
              <w:rPr>
                <w:lang w:val="en-GB"/>
              </w:rPr>
            </w:pPr>
          </w:p>
        </w:tc>
      </w:tr>
      <w:tr w:rsidR="00714F45" w:rsidRPr="0015681D" w:rsidTr="00965FA8">
        <w:tc>
          <w:tcPr>
            <w:tcW w:w="8193" w:type="dxa"/>
            <w:gridSpan w:val="2"/>
            <w:shd w:val="clear" w:color="auto" w:fill="EAF1DD" w:themeFill="accent3" w:themeFillTint="33"/>
          </w:tcPr>
          <w:p w:rsidR="00714F45" w:rsidRPr="007B621E" w:rsidRDefault="00714F45" w:rsidP="00714F45">
            <w:pPr>
              <w:pStyle w:val="WoVGtablebullet2"/>
              <w:jc w:val="right"/>
              <w:rPr>
                <w:rFonts w:cs="Arial"/>
              </w:rPr>
            </w:pPr>
            <w:r w:rsidRPr="00714F45">
              <w:t>Safety systems score</w:t>
            </w:r>
          </w:p>
        </w:tc>
        <w:tc>
          <w:tcPr>
            <w:tcW w:w="996" w:type="dxa"/>
            <w:shd w:val="clear" w:color="auto" w:fill="EAF1DD" w:themeFill="accent3" w:themeFillTint="33"/>
          </w:tcPr>
          <w:p w:rsidR="00714F45" w:rsidRPr="007B621E" w:rsidRDefault="00714F45" w:rsidP="0047128D">
            <w:pPr>
              <w:pStyle w:val="WoVGtabletext"/>
              <w:jc w:val="center"/>
              <w:rPr>
                <w:lang w:val="en-GB"/>
              </w:rPr>
            </w:pPr>
          </w:p>
        </w:tc>
      </w:tr>
      <w:tr w:rsidR="00714F45" w:rsidRPr="00CA2662" w:rsidTr="00965FA8">
        <w:tc>
          <w:tcPr>
            <w:tcW w:w="8193" w:type="dxa"/>
            <w:gridSpan w:val="2"/>
            <w:shd w:val="clear" w:color="auto" w:fill="DAEEF3" w:themeFill="accent5" w:themeFillTint="33"/>
          </w:tcPr>
          <w:p w:rsidR="00714F45" w:rsidRPr="005D62BB" w:rsidRDefault="00714F45" w:rsidP="00714F45">
            <w:pPr>
              <w:pStyle w:val="WoVGtablebullet2"/>
              <w:rPr>
                <w:rFonts w:cs="Arial"/>
                <w:b/>
              </w:rPr>
            </w:pPr>
            <w:r w:rsidRPr="005D62BB">
              <w:rPr>
                <w:b/>
              </w:rPr>
              <w:t>Safety culture</w:t>
            </w:r>
          </w:p>
        </w:tc>
        <w:tc>
          <w:tcPr>
            <w:tcW w:w="996" w:type="dxa"/>
            <w:shd w:val="clear" w:color="auto" w:fill="DAEEF3" w:themeFill="accent5" w:themeFillTint="33"/>
          </w:tcPr>
          <w:p w:rsidR="00714F45" w:rsidRPr="007B621E"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714F45" w:rsidRDefault="00714F45" w:rsidP="00714F45">
            <w:pPr>
              <w:pStyle w:val="WoVGtabletext"/>
              <w:jc w:val="center"/>
            </w:pPr>
            <w:r w:rsidRPr="00714F45">
              <w:t>(5)</w:t>
            </w:r>
          </w:p>
        </w:tc>
        <w:tc>
          <w:tcPr>
            <w:tcW w:w="7087" w:type="dxa"/>
            <w:shd w:val="clear" w:color="auto" w:fill="DAEEF3" w:themeFill="accent5" w:themeFillTint="33"/>
          </w:tcPr>
          <w:p w:rsidR="00714F45" w:rsidRPr="00714F45" w:rsidRDefault="00714F45" w:rsidP="00714F45">
            <w:pPr>
              <w:pStyle w:val="WoVGtabletext"/>
            </w:pPr>
            <w:r w:rsidRPr="00714F45">
              <w:t>Senior management reinforce the importance of a safe and healthy workplace</w:t>
            </w:r>
          </w:p>
        </w:tc>
        <w:tc>
          <w:tcPr>
            <w:tcW w:w="996" w:type="dxa"/>
            <w:shd w:val="clear" w:color="auto" w:fill="DAEEF3" w:themeFill="accent5" w:themeFillTint="33"/>
          </w:tcPr>
          <w:p w:rsidR="00714F45" w:rsidRPr="007B621E"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714F45" w:rsidRDefault="00714F45" w:rsidP="00714F45">
            <w:pPr>
              <w:pStyle w:val="WoVGtabletext"/>
              <w:jc w:val="center"/>
            </w:pPr>
            <w:r w:rsidRPr="00714F45">
              <w:t>(6)</w:t>
            </w:r>
          </w:p>
        </w:tc>
        <w:tc>
          <w:tcPr>
            <w:tcW w:w="7087" w:type="dxa"/>
            <w:shd w:val="clear" w:color="auto" w:fill="DAEEF3" w:themeFill="accent5" w:themeFillTint="33"/>
          </w:tcPr>
          <w:p w:rsidR="00714F45" w:rsidRPr="00714F45" w:rsidRDefault="00714F45" w:rsidP="00714F45">
            <w:pPr>
              <w:pStyle w:val="WoVGtabletext"/>
            </w:pPr>
            <w:r w:rsidRPr="00714F45">
              <w:t xml:space="preserve">Senior management demonstrate sound understanding of the organisation’s legal obligations and how to fulfil them </w:t>
            </w:r>
          </w:p>
        </w:tc>
        <w:tc>
          <w:tcPr>
            <w:tcW w:w="996" w:type="dxa"/>
            <w:shd w:val="clear" w:color="auto" w:fill="DAEEF3" w:themeFill="accent5" w:themeFillTint="33"/>
          </w:tcPr>
          <w:p w:rsidR="00714F45" w:rsidRPr="007B621E"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714F45" w:rsidRDefault="00714F45" w:rsidP="00714F45">
            <w:pPr>
              <w:pStyle w:val="WoVGtabletext"/>
              <w:jc w:val="center"/>
            </w:pPr>
            <w:r w:rsidRPr="00714F45">
              <w:t>(7)</w:t>
            </w:r>
          </w:p>
        </w:tc>
        <w:tc>
          <w:tcPr>
            <w:tcW w:w="7087" w:type="dxa"/>
            <w:shd w:val="clear" w:color="auto" w:fill="DAEEF3" w:themeFill="accent5" w:themeFillTint="33"/>
          </w:tcPr>
          <w:p w:rsidR="00714F45" w:rsidRPr="00714F45" w:rsidRDefault="00714F45" w:rsidP="00714F45">
            <w:pPr>
              <w:pStyle w:val="WoVGtabletext"/>
            </w:pPr>
            <w:r w:rsidRPr="00714F45">
              <w:t>Senior management ensure that the protection of health, safety and wellbeing of workers and others to whom a duty is owed is a systematic part of organisational decision making</w:t>
            </w:r>
          </w:p>
        </w:tc>
        <w:tc>
          <w:tcPr>
            <w:tcW w:w="996" w:type="dxa"/>
            <w:shd w:val="clear" w:color="auto" w:fill="DAEEF3" w:themeFill="accent5" w:themeFillTint="33"/>
          </w:tcPr>
          <w:p w:rsidR="00714F45" w:rsidRPr="007B621E"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714F45" w:rsidRDefault="00714F45" w:rsidP="00714F45">
            <w:pPr>
              <w:pStyle w:val="WoVGtabletext"/>
              <w:jc w:val="center"/>
            </w:pPr>
            <w:r w:rsidRPr="00714F45">
              <w:t>(8)</w:t>
            </w:r>
          </w:p>
        </w:tc>
        <w:tc>
          <w:tcPr>
            <w:tcW w:w="7087" w:type="dxa"/>
            <w:shd w:val="clear" w:color="auto" w:fill="DAEEF3" w:themeFill="accent5" w:themeFillTint="33"/>
          </w:tcPr>
          <w:p w:rsidR="00714F45" w:rsidRPr="00714F45" w:rsidRDefault="00714F45" w:rsidP="00714F45">
            <w:pPr>
              <w:pStyle w:val="WoVGtabletext"/>
            </w:pPr>
            <w:r w:rsidRPr="00714F45">
              <w:t>Senior management sponsor key OHS initiatives</w:t>
            </w:r>
          </w:p>
        </w:tc>
        <w:tc>
          <w:tcPr>
            <w:tcW w:w="996" w:type="dxa"/>
            <w:shd w:val="clear" w:color="auto" w:fill="DAEEF3" w:themeFill="accent5" w:themeFillTint="33"/>
          </w:tcPr>
          <w:p w:rsidR="00714F45" w:rsidRPr="007B621E"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714F45" w:rsidRDefault="00714F45" w:rsidP="00714F45">
            <w:pPr>
              <w:pStyle w:val="WoVGtabletext"/>
              <w:jc w:val="center"/>
            </w:pPr>
            <w:r w:rsidRPr="00714F45">
              <w:t>(9)</w:t>
            </w:r>
          </w:p>
        </w:tc>
        <w:tc>
          <w:tcPr>
            <w:tcW w:w="7087" w:type="dxa"/>
            <w:shd w:val="clear" w:color="auto" w:fill="DAEEF3" w:themeFill="accent5" w:themeFillTint="33"/>
          </w:tcPr>
          <w:p w:rsidR="00714F45" w:rsidRPr="00714F45" w:rsidRDefault="00714F45" w:rsidP="00714F45">
            <w:pPr>
              <w:pStyle w:val="WoVGtabletext"/>
            </w:pPr>
            <w:r w:rsidRPr="00714F45">
              <w:t>Senior management support and enable (e.g. provision of resources, time) workplace managers to implement OHS policy, systems and improvement strategy</w:t>
            </w:r>
          </w:p>
        </w:tc>
        <w:tc>
          <w:tcPr>
            <w:tcW w:w="996" w:type="dxa"/>
            <w:shd w:val="clear" w:color="auto" w:fill="DAEEF3" w:themeFill="accent5" w:themeFillTint="33"/>
          </w:tcPr>
          <w:p w:rsidR="00714F45" w:rsidRPr="007B621E"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714F45" w:rsidRDefault="00714F45" w:rsidP="00714F45">
            <w:pPr>
              <w:pStyle w:val="WoVGtabletext"/>
              <w:jc w:val="center"/>
            </w:pPr>
            <w:r w:rsidRPr="00714F45">
              <w:t>(10)</w:t>
            </w:r>
          </w:p>
        </w:tc>
        <w:tc>
          <w:tcPr>
            <w:tcW w:w="7087" w:type="dxa"/>
            <w:shd w:val="clear" w:color="auto" w:fill="DAEEF3" w:themeFill="accent5" w:themeFillTint="33"/>
          </w:tcPr>
          <w:p w:rsidR="00714F45" w:rsidRPr="00714F45" w:rsidRDefault="00714F45" w:rsidP="00714F45">
            <w:pPr>
              <w:pStyle w:val="WoVGtabletext"/>
            </w:pPr>
            <w:r w:rsidRPr="00714F45">
              <w:t>Senior management lead and influence organisational safety culture in a positive way</w:t>
            </w:r>
          </w:p>
        </w:tc>
        <w:tc>
          <w:tcPr>
            <w:tcW w:w="996" w:type="dxa"/>
            <w:shd w:val="clear" w:color="auto" w:fill="DAEEF3" w:themeFill="accent5" w:themeFillTint="33"/>
          </w:tcPr>
          <w:p w:rsidR="00714F45" w:rsidRPr="007B621E"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714F45" w:rsidRDefault="00714F45" w:rsidP="00714F45">
            <w:pPr>
              <w:pStyle w:val="WoVGtabletext"/>
              <w:jc w:val="center"/>
            </w:pPr>
            <w:r w:rsidRPr="00714F45">
              <w:t>(11)</w:t>
            </w:r>
          </w:p>
        </w:tc>
        <w:tc>
          <w:tcPr>
            <w:tcW w:w="7087" w:type="dxa"/>
            <w:shd w:val="clear" w:color="auto" w:fill="DAEEF3" w:themeFill="accent5" w:themeFillTint="33"/>
          </w:tcPr>
          <w:p w:rsidR="00714F45" w:rsidRPr="00714F45" w:rsidRDefault="00714F45" w:rsidP="00714F45">
            <w:pPr>
              <w:pStyle w:val="WoVGtabletext"/>
            </w:pPr>
            <w:r w:rsidRPr="00714F45">
              <w:t>Senior management actively engage with workers (and/or worker representatives) in matters relating to OHS</w:t>
            </w:r>
          </w:p>
        </w:tc>
        <w:tc>
          <w:tcPr>
            <w:tcW w:w="996" w:type="dxa"/>
            <w:shd w:val="clear" w:color="auto" w:fill="DAEEF3" w:themeFill="accent5" w:themeFillTint="33"/>
          </w:tcPr>
          <w:p w:rsidR="00714F45" w:rsidRPr="007B621E" w:rsidRDefault="00714F45" w:rsidP="0047128D">
            <w:pPr>
              <w:pStyle w:val="WoVGtabletext"/>
              <w:jc w:val="center"/>
              <w:rPr>
                <w:lang w:val="en-GB"/>
              </w:rPr>
            </w:pPr>
          </w:p>
        </w:tc>
      </w:tr>
      <w:tr w:rsidR="00714F45" w:rsidRPr="00E608F8" w:rsidTr="00965FA8">
        <w:tc>
          <w:tcPr>
            <w:tcW w:w="1106" w:type="dxa"/>
            <w:shd w:val="clear" w:color="auto" w:fill="DAEEF3" w:themeFill="accent5" w:themeFillTint="33"/>
          </w:tcPr>
          <w:p w:rsidR="00714F45" w:rsidRPr="00714F45" w:rsidRDefault="00714F45" w:rsidP="00714F45">
            <w:pPr>
              <w:pStyle w:val="WoVGtabletext"/>
              <w:jc w:val="center"/>
            </w:pPr>
            <w:r w:rsidRPr="00714F45">
              <w:t>(12)</w:t>
            </w:r>
          </w:p>
        </w:tc>
        <w:tc>
          <w:tcPr>
            <w:tcW w:w="7087" w:type="dxa"/>
            <w:shd w:val="clear" w:color="auto" w:fill="DAEEF3" w:themeFill="accent5" w:themeFillTint="33"/>
          </w:tcPr>
          <w:p w:rsidR="00714F45" w:rsidRPr="00714F45" w:rsidRDefault="00714F45" w:rsidP="00714F45">
            <w:pPr>
              <w:pStyle w:val="WoVGtabletext"/>
            </w:pPr>
            <w:r w:rsidRPr="00714F45">
              <w:t>Senior management demonstrate support for worker representatives, OHS consultative structures and processes</w:t>
            </w:r>
          </w:p>
        </w:tc>
        <w:tc>
          <w:tcPr>
            <w:tcW w:w="996" w:type="dxa"/>
            <w:shd w:val="clear" w:color="auto" w:fill="DAEEF3" w:themeFill="accent5" w:themeFillTint="33"/>
          </w:tcPr>
          <w:p w:rsidR="00714F45" w:rsidRPr="007B621E" w:rsidRDefault="00714F45" w:rsidP="0047128D">
            <w:pPr>
              <w:pStyle w:val="WoVGtabletext"/>
              <w:jc w:val="center"/>
              <w:rPr>
                <w:lang w:val="en-GB"/>
              </w:rPr>
            </w:pPr>
          </w:p>
        </w:tc>
      </w:tr>
      <w:tr w:rsidR="00714F45" w:rsidRPr="00E608F8" w:rsidDel="00544D04" w:rsidTr="00965FA8">
        <w:tc>
          <w:tcPr>
            <w:tcW w:w="1106" w:type="dxa"/>
            <w:shd w:val="clear" w:color="auto" w:fill="DAEEF3" w:themeFill="accent5" w:themeFillTint="33"/>
          </w:tcPr>
          <w:p w:rsidR="00714F45" w:rsidRPr="00714F45" w:rsidRDefault="00714F45" w:rsidP="00714F45">
            <w:pPr>
              <w:pStyle w:val="WoVGtabletext"/>
              <w:jc w:val="center"/>
            </w:pPr>
            <w:r w:rsidRPr="00714F45">
              <w:t>(13)</w:t>
            </w:r>
          </w:p>
        </w:tc>
        <w:tc>
          <w:tcPr>
            <w:tcW w:w="7087" w:type="dxa"/>
            <w:shd w:val="clear" w:color="auto" w:fill="DAEEF3" w:themeFill="accent5" w:themeFillTint="33"/>
          </w:tcPr>
          <w:p w:rsidR="00714F45" w:rsidRPr="00714F45" w:rsidRDefault="00714F45" w:rsidP="00714F45">
            <w:pPr>
              <w:pStyle w:val="WoVGtabletext"/>
            </w:pPr>
            <w:r w:rsidRPr="00714F45">
              <w:t>All levels of management actively acquire and maintain their knowledge and skills to manage workplace health, safety and wellbeing</w:t>
            </w:r>
          </w:p>
        </w:tc>
        <w:tc>
          <w:tcPr>
            <w:tcW w:w="996" w:type="dxa"/>
            <w:shd w:val="clear" w:color="auto" w:fill="DAEEF3" w:themeFill="accent5" w:themeFillTint="33"/>
          </w:tcPr>
          <w:p w:rsidR="00714F45" w:rsidRPr="007B621E" w:rsidDel="00544D04" w:rsidRDefault="00714F45" w:rsidP="0047128D">
            <w:pPr>
              <w:pStyle w:val="WoVGtabletext"/>
              <w:jc w:val="center"/>
              <w:rPr>
                <w:lang w:val="en-GB"/>
              </w:rPr>
            </w:pPr>
          </w:p>
        </w:tc>
      </w:tr>
      <w:tr w:rsidR="00714F45" w:rsidRPr="00E608F8" w:rsidDel="00544D04" w:rsidTr="00965FA8">
        <w:tc>
          <w:tcPr>
            <w:tcW w:w="1106" w:type="dxa"/>
            <w:shd w:val="clear" w:color="auto" w:fill="DAEEF3" w:themeFill="accent5" w:themeFillTint="33"/>
          </w:tcPr>
          <w:p w:rsidR="00714F45" w:rsidRPr="007B621E" w:rsidRDefault="00714F45" w:rsidP="0047128D">
            <w:pPr>
              <w:pStyle w:val="WoVGtabletext"/>
            </w:pPr>
          </w:p>
        </w:tc>
        <w:tc>
          <w:tcPr>
            <w:tcW w:w="7087" w:type="dxa"/>
            <w:shd w:val="clear" w:color="auto" w:fill="DAEEF3" w:themeFill="accent5" w:themeFillTint="33"/>
            <w:vAlign w:val="center"/>
          </w:tcPr>
          <w:p w:rsidR="00714F45" w:rsidRPr="00714F45" w:rsidRDefault="00714F45" w:rsidP="00714F45">
            <w:pPr>
              <w:pStyle w:val="WoVGtablebullet2"/>
              <w:jc w:val="right"/>
            </w:pPr>
            <w:r w:rsidRPr="00714F45">
              <w:t xml:space="preserve">Safety culture score </w:t>
            </w:r>
          </w:p>
        </w:tc>
        <w:tc>
          <w:tcPr>
            <w:tcW w:w="996" w:type="dxa"/>
            <w:shd w:val="clear" w:color="auto" w:fill="DAEEF3" w:themeFill="accent5" w:themeFillTint="33"/>
          </w:tcPr>
          <w:p w:rsidR="00714F45" w:rsidRPr="007B621E" w:rsidDel="00544D04" w:rsidRDefault="00714F45" w:rsidP="0047128D">
            <w:pPr>
              <w:pStyle w:val="WoVGtabletext"/>
              <w:jc w:val="center"/>
              <w:rPr>
                <w:lang w:val="en-GB"/>
              </w:rPr>
            </w:pPr>
          </w:p>
        </w:tc>
      </w:tr>
      <w:tr w:rsidR="00714F45" w:rsidRPr="00665D39" w:rsidDel="00544D04" w:rsidTr="00965FA8">
        <w:tc>
          <w:tcPr>
            <w:tcW w:w="1106" w:type="dxa"/>
            <w:shd w:val="clear" w:color="auto" w:fill="F2F2F2" w:themeFill="background1" w:themeFillShade="F2"/>
          </w:tcPr>
          <w:p w:rsidR="00714F45" w:rsidRPr="007B621E" w:rsidRDefault="00714F45" w:rsidP="0047128D">
            <w:pPr>
              <w:pStyle w:val="WoVGtabletext"/>
            </w:pPr>
          </w:p>
        </w:tc>
        <w:tc>
          <w:tcPr>
            <w:tcW w:w="7087" w:type="dxa"/>
            <w:shd w:val="clear" w:color="auto" w:fill="F2F2F2" w:themeFill="background1" w:themeFillShade="F2"/>
            <w:vAlign w:val="center"/>
          </w:tcPr>
          <w:p w:rsidR="00714F45" w:rsidRPr="00714F45" w:rsidRDefault="00714F45" w:rsidP="00714F45">
            <w:pPr>
              <w:pStyle w:val="WoVGtablebullet2"/>
              <w:jc w:val="right"/>
            </w:pPr>
            <w:r w:rsidRPr="00714F45">
              <w:t>Total focus area score</w:t>
            </w:r>
          </w:p>
        </w:tc>
        <w:tc>
          <w:tcPr>
            <w:tcW w:w="996" w:type="dxa"/>
            <w:shd w:val="clear" w:color="auto" w:fill="F2F2F2" w:themeFill="background1" w:themeFillShade="F2"/>
          </w:tcPr>
          <w:p w:rsidR="00714F45" w:rsidRPr="007B621E" w:rsidDel="00544D04" w:rsidRDefault="00714F45" w:rsidP="0047128D">
            <w:pPr>
              <w:pStyle w:val="WoVGtabletext"/>
              <w:jc w:val="center"/>
            </w:pPr>
          </w:p>
        </w:tc>
      </w:tr>
    </w:tbl>
    <w:p w:rsidR="003329A8" w:rsidRDefault="003329A8" w:rsidP="0047128D">
      <w:pPr>
        <w:pStyle w:val="WoVGbody"/>
      </w:pPr>
      <w:r>
        <w:br w:type="page"/>
      </w:r>
    </w:p>
    <w:p w:rsidR="003329A8" w:rsidRPr="002219EE" w:rsidRDefault="002219EE" w:rsidP="002219EE">
      <w:pPr>
        <w:pStyle w:val="Heading3"/>
      </w:pPr>
      <w:bookmarkStart w:id="108" w:name="_Toc477934204"/>
      <w:r w:rsidRPr="002219EE">
        <w:lastRenderedPageBreak/>
        <w:t>5.</w:t>
      </w:r>
      <w:r w:rsidR="00792402">
        <w:t>4</w:t>
      </w:r>
      <w:r w:rsidRPr="002219EE">
        <w:t>.</w:t>
      </w:r>
      <w:r w:rsidR="00792402">
        <w:t>3</w:t>
      </w:r>
      <w:r w:rsidRPr="002219EE">
        <w:t xml:space="preserve"> </w:t>
      </w:r>
      <w:r w:rsidR="003329A8" w:rsidRPr="002219EE">
        <w:t>Safety culture</w:t>
      </w:r>
      <w:bookmarkEnd w:id="108"/>
    </w:p>
    <w:p w:rsidR="003329A8" w:rsidRDefault="003329A8" w:rsidP="002219EE">
      <w:pPr>
        <w:pStyle w:val="WoVGtablecaption"/>
      </w:pPr>
      <w:r w:rsidRPr="003329A8">
        <w:t>Self-assessment</w:t>
      </w:r>
      <w:r w:rsidR="0047505E">
        <w:t xml:space="preserve"> of safety culture</w:t>
      </w:r>
    </w:p>
    <w:tbl>
      <w:tblPr>
        <w:tblStyle w:val="TableGrid"/>
        <w:tblW w:w="9185" w:type="dxa"/>
        <w:tblInd w:w="-5" w:type="dxa"/>
        <w:tblLook w:val="04A0" w:firstRow="1" w:lastRow="0" w:firstColumn="1" w:lastColumn="0" w:noHBand="0" w:noVBand="1"/>
      </w:tblPr>
      <w:tblGrid>
        <w:gridCol w:w="1106"/>
        <w:gridCol w:w="7087"/>
        <w:gridCol w:w="992"/>
      </w:tblGrid>
      <w:tr w:rsidR="00714F45" w:rsidRPr="00CA2662" w:rsidTr="00965FA8">
        <w:tc>
          <w:tcPr>
            <w:tcW w:w="1106" w:type="dxa"/>
            <w:shd w:val="clear" w:color="auto" w:fill="B6DDE8" w:themeFill="accent5" w:themeFillTint="66"/>
          </w:tcPr>
          <w:p w:rsidR="00714F45" w:rsidRPr="00935EB6" w:rsidRDefault="00E20D7E" w:rsidP="00714F45">
            <w:pPr>
              <w:pStyle w:val="WoVGtablecolhead"/>
            </w:pPr>
            <w:r w:rsidRPr="00935EB6">
              <w:t>Criterion number</w:t>
            </w:r>
          </w:p>
        </w:tc>
        <w:tc>
          <w:tcPr>
            <w:tcW w:w="7087" w:type="dxa"/>
            <w:shd w:val="clear" w:color="auto" w:fill="B6DDE8" w:themeFill="accent5" w:themeFillTint="66"/>
          </w:tcPr>
          <w:p w:rsidR="00714F45" w:rsidRPr="00935EB6" w:rsidRDefault="00E20D7E" w:rsidP="00714F45">
            <w:pPr>
              <w:pStyle w:val="WoVGtablecolhead"/>
            </w:pPr>
            <w:r w:rsidRPr="00935EB6">
              <w:t>Criterion</w:t>
            </w:r>
          </w:p>
        </w:tc>
        <w:tc>
          <w:tcPr>
            <w:tcW w:w="992" w:type="dxa"/>
            <w:shd w:val="clear" w:color="auto" w:fill="B6DDE8" w:themeFill="accent5" w:themeFillTint="66"/>
          </w:tcPr>
          <w:p w:rsidR="00562F6D" w:rsidRPr="00935EB6" w:rsidRDefault="00714F45" w:rsidP="00714F45">
            <w:pPr>
              <w:pStyle w:val="WoVGtablecolhead"/>
            </w:pPr>
            <w:r w:rsidRPr="00935EB6">
              <w:t>Score</w:t>
            </w:r>
          </w:p>
          <w:p w:rsidR="00714F45" w:rsidRPr="00935EB6" w:rsidRDefault="00714F45" w:rsidP="00714F45">
            <w:pPr>
              <w:pStyle w:val="WoVGtablecolhead"/>
            </w:pPr>
            <w:r w:rsidRPr="00935EB6">
              <w:t>0 - 4</w:t>
            </w:r>
          </w:p>
        </w:tc>
      </w:tr>
      <w:tr w:rsidR="00714F45" w:rsidRPr="00CA2662" w:rsidTr="00965FA8">
        <w:tc>
          <w:tcPr>
            <w:tcW w:w="8193" w:type="dxa"/>
            <w:gridSpan w:val="2"/>
            <w:shd w:val="clear" w:color="auto" w:fill="DAEEF3" w:themeFill="accent5" w:themeFillTint="33"/>
          </w:tcPr>
          <w:p w:rsidR="00714F45" w:rsidRPr="005D62BB" w:rsidRDefault="00714F45" w:rsidP="00714F45">
            <w:pPr>
              <w:pStyle w:val="WoVGtablebullet2"/>
              <w:rPr>
                <w:rFonts w:cs="Arial"/>
                <w:b/>
                <w:color w:val="404040" w:themeColor="background1" w:themeShade="40"/>
              </w:rPr>
            </w:pPr>
            <w:r w:rsidRPr="005D62BB">
              <w:rPr>
                <w:b/>
              </w:rPr>
              <w:t>Safety culture</w:t>
            </w:r>
          </w:p>
        </w:tc>
        <w:tc>
          <w:tcPr>
            <w:tcW w:w="992" w:type="dxa"/>
            <w:shd w:val="clear" w:color="auto" w:fill="DAEEF3" w:themeFill="accent5" w:themeFillTint="33"/>
          </w:tcPr>
          <w:p w:rsidR="00714F45" w:rsidRPr="00F048F2"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F048F2" w:rsidRDefault="00714F45" w:rsidP="00714F45">
            <w:pPr>
              <w:pStyle w:val="WoVGtabletext"/>
              <w:jc w:val="center"/>
              <w:rPr>
                <w:rFonts w:cs="Arial"/>
                <w:color w:val="404040" w:themeColor="background1" w:themeShade="40"/>
              </w:rPr>
            </w:pPr>
            <w:r w:rsidRPr="00714F45">
              <w:t>(1)</w:t>
            </w:r>
          </w:p>
        </w:tc>
        <w:tc>
          <w:tcPr>
            <w:tcW w:w="7087" w:type="dxa"/>
            <w:shd w:val="clear" w:color="auto" w:fill="DAEEF3" w:themeFill="accent5" w:themeFillTint="33"/>
          </w:tcPr>
          <w:p w:rsidR="00714F45" w:rsidRPr="00714F45" w:rsidRDefault="00714F45" w:rsidP="00714F45">
            <w:pPr>
              <w:pStyle w:val="WoVGtabletext"/>
            </w:pPr>
            <w:r w:rsidRPr="00714F45">
              <w:t>The behaviour and actions of senior management demonstrate that protecting the health, safety and wellbeing of workers is of high importance to the organisation</w:t>
            </w:r>
          </w:p>
        </w:tc>
        <w:tc>
          <w:tcPr>
            <w:tcW w:w="992" w:type="dxa"/>
            <w:shd w:val="clear" w:color="auto" w:fill="DAEEF3" w:themeFill="accent5" w:themeFillTint="33"/>
          </w:tcPr>
          <w:p w:rsidR="00714F45" w:rsidRPr="00F048F2"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714F45" w:rsidRDefault="00714F45" w:rsidP="00714F45">
            <w:pPr>
              <w:pStyle w:val="WoVGtabletext"/>
              <w:jc w:val="center"/>
            </w:pPr>
            <w:r w:rsidRPr="00714F45">
              <w:t>(2)</w:t>
            </w:r>
          </w:p>
        </w:tc>
        <w:tc>
          <w:tcPr>
            <w:tcW w:w="7087" w:type="dxa"/>
            <w:shd w:val="clear" w:color="auto" w:fill="DAEEF3" w:themeFill="accent5" w:themeFillTint="33"/>
          </w:tcPr>
          <w:p w:rsidR="00714F45" w:rsidRPr="00714F45" w:rsidRDefault="00714F45" w:rsidP="00714F45">
            <w:pPr>
              <w:pStyle w:val="WoVGtabletext"/>
            </w:pPr>
            <w:r w:rsidRPr="00714F45">
              <w:t>The workers perceive senior management is exhibiting leadership in OHS</w:t>
            </w:r>
          </w:p>
        </w:tc>
        <w:tc>
          <w:tcPr>
            <w:tcW w:w="992" w:type="dxa"/>
            <w:shd w:val="clear" w:color="auto" w:fill="DAEEF3" w:themeFill="accent5" w:themeFillTint="33"/>
          </w:tcPr>
          <w:p w:rsidR="00714F45" w:rsidRPr="00F048F2"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714F45" w:rsidRDefault="00714F45" w:rsidP="00714F45">
            <w:pPr>
              <w:pStyle w:val="WoVGtabletext"/>
              <w:jc w:val="center"/>
            </w:pPr>
            <w:r w:rsidRPr="00714F45">
              <w:t>(3)</w:t>
            </w:r>
          </w:p>
        </w:tc>
        <w:tc>
          <w:tcPr>
            <w:tcW w:w="7087" w:type="dxa"/>
            <w:shd w:val="clear" w:color="auto" w:fill="DAEEF3" w:themeFill="accent5" w:themeFillTint="33"/>
          </w:tcPr>
          <w:p w:rsidR="00714F45" w:rsidRPr="00714F45" w:rsidRDefault="00714F45" w:rsidP="00714F45">
            <w:pPr>
              <w:pStyle w:val="WoVGtabletext"/>
            </w:pPr>
            <w:r w:rsidRPr="00714F45">
              <w:t>Workers and workers’ representatives feel empowered to raise OHS issues in the workplace</w:t>
            </w:r>
          </w:p>
        </w:tc>
        <w:tc>
          <w:tcPr>
            <w:tcW w:w="992" w:type="dxa"/>
            <w:shd w:val="clear" w:color="auto" w:fill="DAEEF3" w:themeFill="accent5" w:themeFillTint="33"/>
          </w:tcPr>
          <w:p w:rsidR="00714F45" w:rsidRPr="00F048F2"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714F45" w:rsidRDefault="00714F45" w:rsidP="00714F45">
            <w:pPr>
              <w:pStyle w:val="WoVGtabletext"/>
              <w:jc w:val="center"/>
            </w:pPr>
            <w:r w:rsidRPr="00714F45">
              <w:t>(4)</w:t>
            </w:r>
          </w:p>
        </w:tc>
        <w:tc>
          <w:tcPr>
            <w:tcW w:w="7087" w:type="dxa"/>
            <w:shd w:val="clear" w:color="auto" w:fill="DAEEF3" w:themeFill="accent5" w:themeFillTint="33"/>
          </w:tcPr>
          <w:p w:rsidR="00714F45" w:rsidRPr="00714F45" w:rsidRDefault="00714F45" w:rsidP="00714F45">
            <w:pPr>
              <w:pStyle w:val="WoVGtabletext"/>
            </w:pPr>
            <w:r w:rsidRPr="00714F45">
              <w:t>OHS vision, strategy and performance expectations are communicated by senior management and cascade through managers to all levels of the organisation</w:t>
            </w:r>
          </w:p>
        </w:tc>
        <w:tc>
          <w:tcPr>
            <w:tcW w:w="992" w:type="dxa"/>
            <w:shd w:val="clear" w:color="auto" w:fill="DAEEF3" w:themeFill="accent5" w:themeFillTint="33"/>
          </w:tcPr>
          <w:p w:rsidR="00714F45" w:rsidRPr="00F048F2"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714F45" w:rsidRDefault="00714F45" w:rsidP="00714F45">
            <w:pPr>
              <w:pStyle w:val="WoVGtabletext"/>
              <w:jc w:val="center"/>
            </w:pPr>
            <w:r w:rsidRPr="00714F45">
              <w:t>(5)</w:t>
            </w:r>
          </w:p>
        </w:tc>
        <w:tc>
          <w:tcPr>
            <w:tcW w:w="7087" w:type="dxa"/>
            <w:shd w:val="clear" w:color="auto" w:fill="DAEEF3" w:themeFill="accent5" w:themeFillTint="33"/>
          </w:tcPr>
          <w:p w:rsidR="00714F45" w:rsidRPr="00714F45" w:rsidRDefault="00714F45" w:rsidP="00714F45">
            <w:pPr>
              <w:pStyle w:val="WoVGtabletext"/>
            </w:pPr>
            <w:r w:rsidRPr="00714F45">
              <w:t>There is trust between all levels of management and workers with respect to managing OHS in the workplace</w:t>
            </w:r>
          </w:p>
        </w:tc>
        <w:tc>
          <w:tcPr>
            <w:tcW w:w="992" w:type="dxa"/>
            <w:shd w:val="clear" w:color="auto" w:fill="DAEEF3" w:themeFill="accent5" w:themeFillTint="33"/>
          </w:tcPr>
          <w:p w:rsidR="00714F45" w:rsidRPr="00F048F2"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714F45" w:rsidRDefault="00714F45" w:rsidP="00714F45">
            <w:pPr>
              <w:pStyle w:val="WoVGtabletext"/>
              <w:jc w:val="center"/>
            </w:pPr>
            <w:r w:rsidRPr="00714F45">
              <w:t>(6)</w:t>
            </w:r>
          </w:p>
        </w:tc>
        <w:tc>
          <w:tcPr>
            <w:tcW w:w="7087" w:type="dxa"/>
            <w:shd w:val="clear" w:color="auto" w:fill="DAEEF3" w:themeFill="accent5" w:themeFillTint="33"/>
          </w:tcPr>
          <w:p w:rsidR="00714F45" w:rsidRPr="00714F45" w:rsidRDefault="00714F45" w:rsidP="00714F45">
            <w:pPr>
              <w:pStyle w:val="WoVGtabletext"/>
            </w:pPr>
            <w:r w:rsidRPr="00714F45">
              <w:t>There is frequent formal and informal communication between workers and management in relation to OHS matters</w:t>
            </w:r>
          </w:p>
        </w:tc>
        <w:tc>
          <w:tcPr>
            <w:tcW w:w="992" w:type="dxa"/>
            <w:shd w:val="clear" w:color="auto" w:fill="DAEEF3" w:themeFill="accent5" w:themeFillTint="33"/>
          </w:tcPr>
          <w:p w:rsidR="00714F45" w:rsidRPr="00F048F2"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714F45" w:rsidRDefault="00714F45" w:rsidP="00714F45">
            <w:pPr>
              <w:pStyle w:val="WoVGtabletext"/>
              <w:jc w:val="center"/>
            </w:pPr>
            <w:r w:rsidRPr="00714F45">
              <w:t>(7)</w:t>
            </w:r>
          </w:p>
        </w:tc>
        <w:tc>
          <w:tcPr>
            <w:tcW w:w="7087" w:type="dxa"/>
            <w:shd w:val="clear" w:color="auto" w:fill="DAEEF3" w:themeFill="accent5" w:themeFillTint="33"/>
          </w:tcPr>
          <w:p w:rsidR="00714F45" w:rsidRPr="00714F45" w:rsidRDefault="00714F45" w:rsidP="00714F45">
            <w:pPr>
              <w:pStyle w:val="WoVGtabletext"/>
            </w:pPr>
            <w:r w:rsidRPr="00714F45">
              <w:t>All levels of management and workers are engaged in OHS improvement.</w:t>
            </w:r>
          </w:p>
        </w:tc>
        <w:tc>
          <w:tcPr>
            <w:tcW w:w="992" w:type="dxa"/>
            <w:shd w:val="clear" w:color="auto" w:fill="DAEEF3" w:themeFill="accent5" w:themeFillTint="33"/>
          </w:tcPr>
          <w:p w:rsidR="00714F45" w:rsidRPr="00F048F2"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714F45" w:rsidRDefault="00714F45" w:rsidP="00714F45">
            <w:pPr>
              <w:pStyle w:val="WoVGtabletext"/>
              <w:jc w:val="center"/>
            </w:pPr>
            <w:r w:rsidRPr="00714F45">
              <w:t>(8)</w:t>
            </w:r>
          </w:p>
        </w:tc>
        <w:tc>
          <w:tcPr>
            <w:tcW w:w="7087" w:type="dxa"/>
            <w:shd w:val="clear" w:color="auto" w:fill="DAEEF3" w:themeFill="accent5" w:themeFillTint="33"/>
          </w:tcPr>
          <w:p w:rsidR="00714F45" w:rsidRPr="00714F45" w:rsidRDefault="00714F45" w:rsidP="00714F45">
            <w:pPr>
              <w:pStyle w:val="WoVGtabletext"/>
            </w:pPr>
            <w:r w:rsidRPr="00714F45">
              <w:t>There is flexibility and adaptability to changing conditions within the workplace to ensure the continuing health, safety and wellbeing of workers</w:t>
            </w:r>
          </w:p>
        </w:tc>
        <w:tc>
          <w:tcPr>
            <w:tcW w:w="992" w:type="dxa"/>
            <w:shd w:val="clear" w:color="auto" w:fill="DAEEF3" w:themeFill="accent5" w:themeFillTint="33"/>
          </w:tcPr>
          <w:p w:rsidR="00714F45" w:rsidRPr="00F048F2"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714F45" w:rsidRDefault="00714F45" w:rsidP="00714F45">
            <w:pPr>
              <w:pStyle w:val="WoVGtabletext"/>
              <w:jc w:val="center"/>
            </w:pPr>
            <w:r w:rsidRPr="00714F45">
              <w:t>(9)</w:t>
            </w:r>
          </w:p>
        </w:tc>
        <w:tc>
          <w:tcPr>
            <w:tcW w:w="7087" w:type="dxa"/>
            <w:shd w:val="clear" w:color="auto" w:fill="DAEEF3" w:themeFill="accent5" w:themeFillTint="33"/>
          </w:tcPr>
          <w:p w:rsidR="00714F45" w:rsidRPr="00714F45" w:rsidRDefault="00714F45" w:rsidP="00714F45">
            <w:pPr>
              <w:pStyle w:val="WoVGtabletext"/>
            </w:pPr>
            <w:r w:rsidRPr="00714F45">
              <w:t>The organisation promotes and supports health, safety and wellbeing of workers and clients</w:t>
            </w:r>
          </w:p>
        </w:tc>
        <w:tc>
          <w:tcPr>
            <w:tcW w:w="992" w:type="dxa"/>
            <w:shd w:val="clear" w:color="auto" w:fill="DAEEF3" w:themeFill="accent5" w:themeFillTint="33"/>
          </w:tcPr>
          <w:p w:rsidR="00714F45" w:rsidRPr="00F048F2" w:rsidRDefault="00714F45" w:rsidP="0047128D">
            <w:pPr>
              <w:pStyle w:val="WoVGtabletext"/>
              <w:jc w:val="center"/>
              <w:rPr>
                <w:lang w:val="en-GB"/>
              </w:rPr>
            </w:pPr>
          </w:p>
        </w:tc>
      </w:tr>
      <w:tr w:rsidR="00714F45" w:rsidRPr="00CA2662" w:rsidTr="00965FA8">
        <w:tc>
          <w:tcPr>
            <w:tcW w:w="1106" w:type="dxa"/>
            <w:shd w:val="clear" w:color="auto" w:fill="DAEEF3" w:themeFill="accent5" w:themeFillTint="33"/>
          </w:tcPr>
          <w:p w:rsidR="00714F45" w:rsidRPr="00714F45" w:rsidRDefault="00714F45" w:rsidP="00714F45">
            <w:pPr>
              <w:pStyle w:val="WoVGtabletext"/>
              <w:jc w:val="center"/>
            </w:pPr>
            <w:r w:rsidRPr="00714F45">
              <w:t>(10)</w:t>
            </w:r>
          </w:p>
        </w:tc>
        <w:tc>
          <w:tcPr>
            <w:tcW w:w="7087" w:type="dxa"/>
            <w:shd w:val="clear" w:color="auto" w:fill="DAEEF3" w:themeFill="accent5" w:themeFillTint="33"/>
          </w:tcPr>
          <w:p w:rsidR="00714F45" w:rsidRPr="00714F45" w:rsidRDefault="00714F45" w:rsidP="00714F45">
            <w:pPr>
              <w:pStyle w:val="WoVGtabletext"/>
            </w:pPr>
            <w:r w:rsidRPr="00714F45">
              <w:t>Everyone in the organisation believes they have a right to work in a safe and healthy environment</w:t>
            </w:r>
          </w:p>
        </w:tc>
        <w:tc>
          <w:tcPr>
            <w:tcW w:w="992" w:type="dxa"/>
            <w:shd w:val="clear" w:color="auto" w:fill="DAEEF3" w:themeFill="accent5" w:themeFillTint="33"/>
          </w:tcPr>
          <w:p w:rsidR="00714F45" w:rsidRPr="00F048F2" w:rsidRDefault="00714F45" w:rsidP="0047128D">
            <w:pPr>
              <w:pStyle w:val="WoVGtabletext"/>
              <w:jc w:val="center"/>
              <w:rPr>
                <w:lang w:val="en-GB"/>
              </w:rPr>
            </w:pPr>
          </w:p>
        </w:tc>
      </w:tr>
      <w:tr w:rsidR="00714F45" w:rsidRPr="00A72AFC" w:rsidTr="00965FA8">
        <w:tc>
          <w:tcPr>
            <w:tcW w:w="1106" w:type="dxa"/>
            <w:shd w:val="clear" w:color="auto" w:fill="DAEEF3" w:themeFill="accent5" w:themeFillTint="33"/>
          </w:tcPr>
          <w:p w:rsidR="00714F45" w:rsidRPr="00714F45" w:rsidRDefault="00714F45" w:rsidP="00714F45">
            <w:pPr>
              <w:pStyle w:val="WoVGtabletext"/>
              <w:jc w:val="center"/>
            </w:pPr>
            <w:r w:rsidRPr="00714F45">
              <w:t>(11)</w:t>
            </w:r>
          </w:p>
        </w:tc>
        <w:tc>
          <w:tcPr>
            <w:tcW w:w="7087" w:type="dxa"/>
            <w:shd w:val="clear" w:color="auto" w:fill="DAEEF3" w:themeFill="accent5" w:themeFillTint="33"/>
          </w:tcPr>
          <w:p w:rsidR="00714F45" w:rsidRPr="00714F45" w:rsidRDefault="00714F45" w:rsidP="00714F45">
            <w:pPr>
              <w:pStyle w:val="WoVGtabletext"/>
            </w:pPr>
            <w:r w:rsidRPr="00714F45">
              <w:t>Health, safety and wellbeing is considered just as important as operational objectives, service delivery and quality</w:t>
            </w:r>
          </w:p>
        </w:tc>
        <w:tc>
          <w:tcPr>
            <w:tcW w:w="992" w:type="dxa"/>
            <w:shd w:val="clear" w:color="auto" w:fill="DAEEF3" w:themeFill="accent5" w:themeFillTint="33"/>
          </w:tcPr>
          <w:p w:rsidR="00714F45" w:rsidRPr="00F048F2" w:rsidRDefault="00714F45" w:rsidP="0047128D">
            <w:pPr>
              <w:pStyle w:val="WoVGtabletext"/>
              <w:jc w:val="center"/>
              <w:rPr>
                <w:lang w:val="en-GB"/>
              </w:rPr>
            </w:pPr>
          </w:p>
        </w:tc>
      </w:tr>
      <w:tr w:rsidR="00714F45" w:rsidRPr="00A72AFC" w:rsidTr="00965FA8">
        <w:tc>
          <w:tcPr>
            <w:tcW w:w="1106" w:type="dxa"/>
            <w:shd w:val="clear" w:color="auto" w:fill="DAEEF3" w:themeFill="accent5" w:themeFillTint="33"/>
          </w:tcPr>
          <w:p w:rsidR="00714F45" w:rsidRPr="00714F45" w:rsidRDefault="00714F45" w:rsidP="00714F45">
            <w:pPr>
              <w:pStyle w:val="WoVGtabletext"/>
              <w:jc w:val="center"/>
            </w:pPr>
            <w:r w:rsidRPr="00714F45">
              <w:t>(12)</w:t>
            </w:r>
          </w:p>
        </w:tc>
        <w:tc>
          <w:tcPr>
            <w:tcW w:w="7087" w:type="dxa"/>
            <w:shd w:val="clear" w:color="auto" w:fill="DAEEF3" w:themeFill="accent5" w:themeFillTint="33"/>
          </w:tcPr>
          <w:p w:rsidR="00714F45" w:rsidRPr="00714F45" w:rsidRDefault="00714F45" w:rsidP="00714F45">
            <w:pPr>
              <w:pStyle w:val="WoVGtabletext"/>
            </w:pPr>
            <w:r w:rsidRPr="00714F45">
              <w:t>The organisation communicates learnings from reports on health, safety and wellbeing issues</w:t>
            </w:r>
          </w:p>
        </w:tc>
        <w:tc>
          <w:tcPr>
            <w:tcW w:w="992" w:type="dxa"/>
            <w:shd w:val="clear" w:color="auto" w:fill="DAEEF3" w:themeFill="accent5" w:themeFillTint="33"/>
          </w:tcPr>
          <w:p w:rsidR="00714F45" w:rsidRPr="00F048F2" w:rsidRDefault="00714F45" w:rsidP="0047128D">
            <w:pPr>
              <w:pStyle w:val="WoVGtabletext"/>
              <w:jc w:val="center"/>
              <w:rPr>
                <w:lang w:val="en-GB"/>
              </w:rPr>
            </w:pPr>
          </w:p>
        </w:tc>
      </w:tr>
      <w:tr w:rsidR="00714F45" w:rsidRPr="00CD5CAB" w:rsidDel="00544D04" w:rsidTr="00965FA8">
        <w:tc>
          <w:tcPr>
            <w:tcW w:w="1106" w:type="dxa"/>
            <w:shd w:val="clear" w:color="auto" w:fill="DAEEF3" w:themeFill="accent5" w:themeFillTint="33"/>
          </w:tcPr>
          <w:p w:rsidR="00714F45" w:rsidRPr="00F048F2" w:rsidDel="00544D04" w:rsidRDefault="00714F45" w:rsidP="0047128D">
            <w:pPr>
              <w:pStyle w:val="WoVGtabletext"/>
            </w:pPr>
          </w:p>
        </w:tc>
        <w:tc>
          <w:tcPr>
            <w:tcW w:w="7087" w:type="dxa"/>
            <w:shd w:val="clear" w:color="auto" w:fill="DAEEF3" w:themeFill="accent5" w:themeFillTint="33"/>
          </w:tcPr>
          <w:p w:rsidR="00714F45" w:rsidRPr="00714F45" w:rsidRDefault="00714F45" w:rsidP="00714F45">
            <w:pPr>
              <w:pStyle w:val="WoVGtablebullet2"/>
              <w:jc w:val="right"/>
            </w:pPr>
            <w:r w:rsidRPr="00714F45">
              <w:t>Safety culture score</w:t>
            </w:r>
          </w:p>
        </w:tc>
        <w:tc>
          <w:tcPr>
            <w:tcW w:w="992" w:type="dxa"/>
            <w:shd w:val="clear" w:color="auto" w:fill="DAEEF3" w:themeFill="accent5" w:themeFillTint="33"/>
          </w:tcPr>
          <w:p w:rsidR="00714F45" w:rsidRPr="00F048F2" w:rsidDel="00544D04" w:rsidRDefault="00714F45" w:rsidP="0047128D">
            <w:pPr>
              <w:pStyle w:val="WoVGtabletext"/>
              <w:jc w:val="center"/>
              <w:rPr>
                <w:lang w:val="en-GB"/>
              </w:rPr>
            </w:pPr>
          </w:p>
        </w:tc>
      </w:tr>
      <w:tr w:rsidR="00714F45" w:rsidRPr="00CD5CAB" w:rsidDel="00544D04" w:rsidTr="00965FA8">
        <w:tc>
          <w:tcPr>
            <w:tcW w:w="1106" w:type="dxa"/>
            <w:shd w:val="clear" w:color="auto" w:fill="F2F2F2" w:themeFill="background1" w:themeFillShade="F2"/>
          </w:tcPr>
          <w:p w:rsidR="00714F45" w:rsidRPr="00F048F2" w:rsidDel="00544D04" w:rsidRDefault="00714F45" w:rsidP="0047128D">
            <w:pPr>
              <w:pStyle w:val="WoVGtabletext"/>
            </w:pPr>
          </w:p>
        </w:tc>
        <w:tc>
          <w:tcPr>
            <w:tcW w:w="7087" w:type="dxa"/>
            <w:shd w:val="clear" w:color="auto" w:fill="F2F2F2" w:themeFill="background1" w:themeFillShade="F2"/>
          </w:tcPr>
          <w:p w:rsidR="00714F45" w:rsidRPr="00714F45" w:rsidRDefault="00714F45" w:rsidP="00714F45">
            <w:pPr>
              <w:pStyle w:val="WoVGtablebullet2"/>
              <w:jc w:val="right"/>
            </w:pPr>
            <w:r w:rsidRPr="00714F45">
              <w:t>Total focus area score</w:t>
            </w:r>
          </w:p>
        </w:tc>
        <w:tc>
          <w:tcPr>
            <w:tcW w:w="992" w:type="dxa"/>
            <w:shd w:val="clear" w:color="auto" w:fill="F2F2F2" w:themeFill="background1" w:themeFillShade="F2"/>
          </w:tcPr>
          <w:p w:rsidR="00714F45" w:rsidRPr="00F048F2" w:rsidDel="00544D04" w:rsidRDefault="00714F45" w:rsidP="0047128D">
            <w:pPr>
              <w:pStyle w:val="WoVGtabletext"/>
              <w:jc w:val="center"/>
              <w:rPr>
                <w:lang w:val="en-GB"/>
              </w:rPr>
            </w:pPr>
          </w:p>
        </w:tc>
      </w:tr>
    </w:tbl>
    <w:p w:rsidR="003329A8" w:rsidRPr="008D04AE" w:rsidRDefault="003329A8" w:rsidP="008D04AE">
      <w:pPr>
        <w:pStyle w:val="WoVGbody"/>
      </w:pPr>
      <w:r w:rsidRPr="008D04AE">
        <w:br w:type="page"/>
      </w:r>
    </w:p>
    <w:p w:rsidR="003329A8" w:rsidRPr="002219EE" w:rsidRDefault="002219EE" w:rsidP="002219EE">
      <w:pPr>
        <w:pStyle w:val="Heading3"/>
      </w:pPr>
      <w:bookmarkStart w:id="109" w:name="_Toc477934205"/>
      <w:r w:rsidRPr="002219EE">
        <w:lastRenderedPageBreak/>
        <w:t>5.</w:t>
      </w:r>
      <w:r w:rsidR="00792402">
        <w:t>4.4</w:t>
      </w:r>
      <w:r w:rsidRPr="002219EE">
        <w:t xml:space="preserve"> </w:t>
      </w:r>
      <w:r w:rsidR="003329A8" w:rsidRPr="002219EE">
        <w:t>OHS systems</w:t>
      </w:r>
      <w:bookmarkEnd w:id="109"/>
    </w:p>
    <w:p w:rsidR="003329A8" w:rsidRDefault="003329A8" w:rsidP="002219EE">
      <w:pPr>
        <w:pStyle w:val="WoVGtablecaption"/>
      </w:pPr>
      <w:r w:rsidRPr="003329A8">
        <w:t>Self-assessment</w:t>
      </w:r>
      <w:r w:rsidR="0047505E">
        <w:t xml:space="preserve"> of OHS systems</w:t>
      </w:r>
    </w:p>
    <w:tbl>
      <w:tblPr>
        <w:tblStyle w:val="TableGrid"/>
        <w:tblW w:w="9210" w:type="dxa"/>
        <w:tblInd w:w="-5" w:type="dxa"/>
        <w:tblLook w:val="04A0" w:firstRow="1" w:lastRow="0" w:firstColumn="1" w:lastColumn="0" w:noHBand="0" w:noVBand="1"/>
      </w:tblPr>
      <w:tblGrid>
        <w:gridCol w:w="1106"/>
        <w:gridCol w:w="7087"/>
        <w:gridCol w:w="1017"/>
      </w:tblGrid>
      <w:tr w:rsidR="007A29C3" w:rsidRPr="006719E9" w:rsidTr="005D62BB">
        <w:trPr>
          <w:tblHeader/>
        </w:trPr>
        <w:tc>
          <w:tcPr>
            <w:tcW w:w="1106" w:type="dxa"/>
            <w:shd w:val="clear" w:color="auto" w:fill="B6DDE8" w:themeFill="accent5" w:themeFillTint="66"/>
          </w:tcPr>
          <w:p w:rsidR="007A29C3" w:rsidRPr="00935EB6" w:rsidRDefault="00E20D7E" w:rsidP="007A29C3">
            <w:pPr>
              <w:pStyle w:val="WoVGtablecolhead"/>
            </w:pPr>
            <w:r w:rsidRPr="00935EB6">
              <w:t>Criterion number</w:t>
            </w:r>
          </w:p>
        </w:tc>
        <w:tc>
          <w:tcPr>
            <w:tcW w:w="7087" w:type="dxa"/>
            <w:shd w:val="clear" w:color="auto" w:fill="B6DDE8" w:themeFill="accent5" w:themeFillTint="66"/>
          </w:tcPr>
          <w:p w:rsidR="007A29C3" w:rsidRPr="00935EB6" w:rsidRDefault="00E20D7E" w:rsidP="007A29C3">
            <w:pPr>
              <w:pStyle w:val="WoVGtablecolhead"/>
            </w:pPr>
            <w:r w:rsidRPr="00935EB6">
              <w:t>Criterion</w:t>
            </w:r>
          </w:p>
        </w:tc>
        <w:tc>
          <w:tcPr>
            <w:tcW w:w="1017" w:type="dxa"/>
            <w:shd w:val="clear" w:color="auto" w:fill="B6DDE8" w:themeFill="accent5" w:themeFillTint="66"/>
          </w:tcPr>
          <w:p w:rsidR="00562F6D" w:rsidRPr="00935EB6" w:rsidRDefault="007A29C3" w:rsidP="007A29C3">
            <w:pPr>
              <w:pStyle w:val="WoVGtablecolhead"/>
            </w:pPr>
            <w:r w:rsidRPr="00935EB6">
              <w:t>Score</w:t>
            </w:r>
          </w:p>
          <w:p w:rsidR="007A29C3" w:rsidRPr="00935EB6" w:rsidRDefault="007A29C3" w:rsidP="007A29C3">
            <w:pPr>
              <w:pStyle w:val="WoVGtablecolhead"/>
            </w:pPr>
            <w:r w:rsidRPr="00935EB6">
              <w:t>0 - 4</w:t>
            </w:r>
          </w:p>
        </w:tc>
      </w:tr>
      <w:tr w:rsidR="007A29C3" w:rsidRPr="006719E9" w:rsidTr="00965FA8">
        <w:tc>
          <w:tcPr>
            <w:tcW w:w="9210" w:type="dxa"/>
            <w:gridSpan w:val="3"/>
            <w:shd w:val="clear" w:color="auto" w:fill="EAF1DD" w:themeFill="accent3" w:themeFillTint="33"/>
          </w:tcPr>
          <w:p w:rsidR="007A29C3" w:rsidRPr="005D62BB" w:rsidRDefault="007A29C3" w:rsidP="007A29C3">
            <w:pPr>
              <w:pStyle w:val="WoVGtabletext"/>
              <w:rPr>
                <w:rFonts w:cs="Arial"/>
                <w:b/>
                <w:spacing w:val="-3"/>
                <w:lang w:val="en-GB"/>
              </w:rPr>
            </w:pPr>
            <w:r w:rsidRPr="005D62BB">
              <w:rPr>
                <w:b/>
              </w:rPr>
              <w:t>Safety systems</w:t>
            </w:r>
            <w:r w:rsidRPr="005D62BB">
              <w:rPr>
                <w:rFonts w:cs="Arial"/>
                <w:b/>
              </w:rPr>
              <w:t xml:space="preserve"> </w:t>
            </w:r>
          </w:p>
        </w:tc>
      </w:tr>
      <w:tr w:rsidR="007A29C3" w:rsidRPr="006719E9" w:rsidTr="00965FA8">
        <w:tc>
          <w:tcPr>
            <w:tcW w:w="1106" w:type="dxa"/>
            <w:shd w:val="clear" w:color="auto" w:fill="EAF1DD" w:themeFill="accent3" w:themeFillTint="33"/>
          </w:tcPr>
          <w:p w:rsidR="007A29C3" w:rsidRPr="006719E9" w:rsidRDefault="007A29C3" w:rsidP="007A29C3">
            <w:pPr>
              <w:pStyle w:val="WoVGtabletext"/>
              <w:jc w:val="center"/>
              <w:rPr>
                <w:rFonts w:cs="Arial"/>
              </w:rPr>
            </w:pPr>
            <w:r w:rsidRPr="007A29C3">
              <w:t>(1)</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An OHS policy has been endorsed and supported by top management</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(2)</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The organisation has documented its OHS policy, plans, procedures, work instructions and these are subject to document and data control procedures</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(3)</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The organisation reviews OHS procedures to ensure these reflect current legislative requirements, leading practice, emerging hazards and key risks</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(4)</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OHS objectives and targets are established for all levels of the organisation and are consistent with the organisation’s OHS policy</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(5)</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Performance indicators are set and consistent with the objectives and targets for the organisation</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(6)</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OHS management plans are used to define how an organisation will meet its objectives and targets</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(7)</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 xml:space="preserve">OHS management plans are developed from using systematic review of injury, incident and hazard data, legal compliance, management system gaps and identified opportunities for improvement </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(8)</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Progress towards meeting objectives and targets is monitored and corrective action taken if required</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(9)</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Sufficient resources are provided to ensure effective OHS management</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(10)</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All levels of the organisation have been allocated and understand their responsibilities and accountabilities for OHS management</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(11)</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The organisation identifies OHS training needs (including induction) and competency requirements (including legislative competency requirements) for workers, managers, senior management and other relevant persons (including contractors and visitors)</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(12)</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 xml:space="preserve">The organisation provides access to OHS training to meet identified needs and ensure required competencies are developed and maintained </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(13)</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Workers are consulted on OHS matters of concern to them and any proposed changes in the workplace that may impact their health and safety</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(14)</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The organisation has consulted with workers about the number of designated work groups and a process in place for the election of health and safety representatives by the designated work group</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(15)</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 xml:space="preserve">The organisation has formal and informal means for communicating OHS information to workers and others </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(16)</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 xml:space="preserve">The organisation has procedures and systems for reporting workplace hazard and incident and systems failures that are readily accessible to workers and easy to use </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(17)</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The organisation’s OHS reporting systems enable the timely reporting and monitoring of corrective actions implementation</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(18)</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The organisation has documented and implemented a defined approach to hazard identification, risk assessment and risk control (risk management methodology)</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lastRenderedPageBreak/>
              <w:t>(19)</w:t>
            </w:r>
          </w:p>
        </w:tc>
        <w:tc>
          <w:tcPr>
            <w:tcW w:w="7087" w:type="dxa"/>
            <w:shd w:val="clear" w:color="auto" w:fill="EAF1DD" w:themeFill="accent3" w:themeFillTint="33"/>
          </w:tcPr>
          <w:p w:rsidR="007A29C3" w:rsidRPr="006719E9" w:rsidRDefault="007A29C3" w:rsidP="007A29C3">
            <w:pPr>
              <w:pStyle w:val="WoVGtabletext"/>
              <w:rPr>
                <w:rFonts w:cs="Arial"/>
              </w:rPr>
            </w:pPr>
            <w:r>
              <w:rPr>
                <w:rFonts w:cs="Arial"/>
              </w:rPr>
              <w:t>The organisation has clear, documented procedures to inform workplace managers and workers how to minimise and manage workplace hazards</w:t>
            </w:r>
          </w:p>
        </w:tc>
        <w:tc>
          <w:tcPr>
            <w:tcW w:w="1017" w:type="dxa"/>
            <w:shd w:val="clear" w:color="auto" w:fill="EAF1DD" w:themeFill="accent3" w:themeFillTint="33"/>
          </w:tcPr>
          <w:p w:rsidR="007A29C3" w:rsidRPr="006719E9" w:rsidDel="00292593"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(20)</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 xml:space="preserve">The organisation determines OHS requirements for contracted services and monitors that contractors adhere to OHS requirements </w:t>
            </w:r>
          </w:p>
        </w:tc>
        <w:tc>
          <w:tcPr>
            <w:tcW w:w="1017" w:type="dxa"/>
            <w:shd w:val="clear" w:color="auto" w:fill="EAF1DD" w:themeFill="accent3" w:themeFillTint="33"/>
          </w:tcPr>
          <w:p w:rsidR="007A29C3" w:rsidRPr="006719E9" w:rsidDel="00292593"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(21)</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 xml:space="preserve">The organisation determines OHS requirements prior to purchasing goods and verifies that these requirements have been met </w:t>
            </w:r>
          </w:p>
        </w:tc>
        <w:tc>
          <w:tcPr>
            <w:tcW w:w="1017" w:type="dxa"/>
            <w:shd w:val="clear" w:color="auto" w:fill="EAF1DD" w:themeFill="accent3" w:themeFillTint="33"/>
          </w:tcPr>
          <w:p w:rsidR="007A29C3" w:rsidRPr="006719E9" w:rsidDel="00292593"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(22)</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The organisation has identified and documented a planned response to potential emergency situations</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(23)</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The organisation monitors and evaluates its OHS performance including conducting inspections, testing, monitoring, health surveillance, incident investigation and auditing</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(24)</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 xml:space="preserve">The organisation has procedures for reporting on OHS performance and uses this information to drive improvement </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7A29C3" w:rsidRDefault="007A29C3" w:rsidP="007A29C3">
            <w:pPr>
              <w:pStyle w:val="WoVGtabletext"/>
              <w:jc w:val="center"/>
            </w:pPr>
            <w:r w:rsidRPr="007A29C3">
              <w:t>(25)</w:t>
            </w:r>
          </w:p>
        </w:tc>
        <w:tc>
          <w:tcPr>
            <w:tcW w:w="7087" w:type="dxa"/>
            <w:shd w:val="clear" w:color="auto" w:fill="EAF1DD" w:themeFill="accent3" w:themeFillTint="33"/>
          </w:tcPr>
          <w:p w:rsidR="007A29C3" w:rsidRPr="006719E9" w:rsidRDefault="007A29C3" w:rsidP="007A29C3">
            <w:pPr>
              <w:pStyle w:val="WoVGtabletext"/>
              <w:rPr>
                <w:rFonts w:cs="Arial"/>
              </w:rPr>
            </w:pPr>
            <w:r w:rsidRPr="006719E9">
              <w:rPr>
                <w:rFonts w:cs="Arial"/>
              </w:rPr>
              <w:t>The organisation reviews its approach to OHS management to ensure its continued suitability and effectiveness</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EAF1DD" w:themeFill="accent3" w:themeFillTint="33"/>
          </w:tcPr>
          <w:p w:rsidR="007A29C3" w:rsidRPr="006719E9" w:rsidRDefault="007A29C3" w:rsidP="0047128D">
            <w:pPr>
              <w:pStyle w:val="WoVGtabletext"/>
            </w:pPr>
          </w:p>
        </w:tc>
        <w:tc>
          <w:tcPr>
            <w:tcW w:w="7087" w:type="dxa"/>
            <w:shd w:val="clear" w:color="auto" w:fill="EAF1DD" w:themeFill="accent3" w:themeFillTint="33"/>
          </w:tcPr>
          <w:p w:rsidR="007A29C3" w:rsidRPr="007A29C3" w:rsidRDefault="007A29C3" w:rsidP="007A29C3">
            <w:pPr>
              <w:pStyle w:val="WoVGtabletext"/>
              <w:jc w:val="right"/>
            </w:pPr>
            <w:r w:rsidRPr="007A29C3">
              <w:t>Safety systems score</w:t>
            </w:r>
            <w:r w:rsidRPr="007A29C3" w:rsidDel="00544D04">
              <w:t xml:space="preserve"> </w:t>
            </w:r>
          </w:p>
        </w:tc>
        <w:tc>
          <w:tcPr>
            <w:tcW w:w="1017" w:type="dxa"/>
            <w:shd w:val="clear" w:color="auto" w:fill="EAF1DD" w:themeFill="accent3" w:themeFillTint="33"/>
          </w:tcPr>
          <w:p w:rsidR="007A29C3" w:rsidRPr="006719E9" w:rsidRDefault="007A29C3" w:rsidP="0047128D">
            <w:pPr>
              <w:pStyle w:val="WoVGtabletext"/>
              <w:jc w:val="center"/>
              <w:rPr>
                <w:lang w:val="en-GB"/>
              </w:rPr>
            </w:pPr>
          </w:p>
        </w:tc>
      </w:tr>
      <w:tr w:rsidR="007A29C3" w:rsidRPr="006719E9" w:rsidTr="00965FA8">
        <w:tc>
          <w:tcPr>
            <w:tcW w:w="1106" w:type="dxa"/>
            <w:shd w:val="clear" w:color="auto" w:fill="F2F2F2" w:themeFill="background1" w:themeFillShade="F2"/>
          </w:tcPr>
          <w:p w:rsidR="007A29C3" w:rsidRPr="006719E9" w:rsidRDefault="007A29C3" w:rsidP="0047128D">
            <w:pPr>
              <w:pStyle w:val="WoVGtabletext"/>
            </w:pPr>
          </w:p>
        </w:tc>
        <w:tc>
          <w:tcPr>
            <w:tcW w:w="7087" w:type="dxa"/>
            <w:shd w:val="clear" w:color="auto" w:fill="F2F2F2" w:themeFill="background1" w:themeFillShade="F2"/>
          </w:tcPr>
          <w:p w:rsidR="007A29C3" w:rsidRPr="007A29C3" w:rsidRDefault="007A29C3" w:rsidP="0052429F">
            <w:pPr>
              <w:pStyle w:val="WoVGtabletext"/>
              <w:jc w:val="right"/>
            </w:pPr>
            <w:r w:rsidRPr="007A29C3">
              <w:t>Total focus area score</w:t>
            </w:r>
          </w:p>
        </w:tc>
        <w:tc>
          <w:tcPr>
            <w:tcW w:w="1017" w:type="dxa"/>
            <w:shd w:val="clear" w:color="auto" w:fill="F2F2F2" w:themeFill="background1" w:themeFillShade="F2"/>
          </w:tcPr>
          <w:p w:rsidR="007A29C3" w:rsidRPr="006719E9" w:rsidRDefault="007A29C3" w:rsidP="0047128D">
            <w:pPr>
              <w:pStyle w:val="WoVGtabletext"/>
              <w:jc w:val="center"/>
              <w:rPr>
                <w:lang w:val="en-GB"/>
              </w:rPr>
            </w:pPr>
          </w:p>
        </w:tc>
      </w:tr>
    </w:tbl>
    <w:p w:rsidR="003329A8" w:rsidRDefault="003329A8" w:rsidP="0047128D">
      <w:pPr>
        <w:pStyle w:val="WoVGbody"/>
      </w:pPr>
      <w:r>
        <w:br w:type="page"/>
      </w:r>
    </w:p>
    <w:p w:rsidR="003329A8" w:rsidRPr="002219EE" w:rsidRDefault="002219EE" w:rsidP="002219EE">
      <w:pPr>
        <w:pStyle w:val="Heading3"/>
      </w:pPr>
      <w:bookmarkStart w:id="110" w:name="_Toc477934206"/>
      <w:r w:rsidRPr="002219EE">
        <w:lastRenderedPageBreak/>
        <w:t>5.</w:t>
      </w:r>
      <w:r w:rsidR="00792402">
        <w:t>4.5</w:t>
      </w:r>
      <w:r w:rsidRPr="002219EE">
        <w:t xml:space="preserve"> </w:t>
      </w:r>
      <w:r w:rsidR="003329A8" w:rsidRPr="002219EE">
        <w:t>Accountability</w:t>
      </w:r>
      <w:bookmarkEnd w:id="110"/>
    </w:p>
    <w:p w:rsidR="00F7419B" w:rsidRPr="00F7419B" w:rsidRDefault="003329A8" w:rsidP="00F7419B">
      <w:pPr>
        <w:pStyle w:val="WoVGtablecaption"/>
      </w:pPr>
      <w:r w:rsidRPr="003329A8">
        <w:t>Self-assessment</w:t>
      </w:r>
      <w:r w:rsidR="0047505E">
        <w:t xml:space="preserve"> of accountability and responsibility</w:t>
      </w:r>
    </w:p>
    <w:tbl>
      <w:tblPr>
        <w:tblStyle w:val="TableGrid"/>
        <w:tblW w:w="9190" w:type="dxa"/>
        <w:tblInd w:w="-5" w:type="dxa"/>
        <w:tblLook w:val="04A0" w:firstRow="1" w:lastRow="0" w:firstColumn="1" w:lastColumn="0" w:noHBand="0" w:noVBand="1"/>
      </w:tblPr>
      <w:tblGrid>
        <w:gridCol w:w="1111"/>
        <w:gridCol w:w="7087"/>
        <w:gridCol w:w="992"/>
      </w:tblGrid>
      <w:tr w:rsidR="003329A8" w:rsidRPr="00CA2662" w:rsidTr="00965FA8">
        <w:tc>
          <w:tcPr>
            <w:tcW w:w="1111" w:type="dxa"/>
            <w:shd w:val="clear" w:color="auto" w:fill="B6DDE8" w:themeFill="accent5" w:themeFillTint="66"/>
          </w:tcPr>
          <w:p w:rsidR="003329A8" w:rsidRPr="00935EB6" w:rsidRDefault="00E20D7E" w:rsidP="00F7419B">
            <w:pPr>
              <w:pStyle w:val="WoVGtablecolhead"/>
            </w:pPr>
            <w:r w:rsidRPr="00935EB6">
              <w:t>Criterion number</w:t>
            </w:r>
          </w:p>
        </w:tc>
        <w:tc>
          <w:tcPr>
            <w:tcW w:w="7087" w:type="dxa"/>
            <w:shd w:val="clear" w:color="auto" w:fill="B6DDE8" w:themeFill="accent5" w:themeFillTint="66"/>
          </w:tcPr>
          <w:p w:rsidR="003329A8" w:rsidRPr="00935EB6" w:rsidRDefault="00E20D7E" w:rsidP="00F7419B">
            <w:pPr>
              <w:pStyle w:val="WoVGtablecolhead"/>
            </w:pPr>
            <w:r w:rsidRPr="00935EB6">
              <w:t>Criterion</w:t>
            </w:r>
          </w:p>
        </w:tc>
        <w:tc>
          <w:tcPr>
            <w:tcW w:w="992" w:type="dxa"/>
            <w:shd w:val="clear" w:color="auto" w:fill="B6DDE8" w:themeFill="accent5" w:themeFillTint="66"/>
          </w:tcPr>
          <w:p w:rsidR="00562F6D" w:rsidRPr="00935EB6" w:rsidRDefault="003329A8" w:rsidP="00F7419B">
            <w:pPr>
              <w:pStyle w:val="WoVGtablecolhead"/>
            </w:pPr>
            <w:r w:rsidRPr="00935EB6">
              <w:t>Score</w:t>
            </w:r>
          </w:p>
          <w:p w:rsidR="003329A8" w:rsidRPr="00935EB6" w:rsidRDefault="003329A8" w:rsidP="00F7419B">
            <w:pPr>
              <w:pStyle w:val="WoVGtablecolhead"/>
            </w:pPr>
            <w:r w:rsidRPr="00935EB6">
              <w:t>0 - 4</w:t>
            </w:r>
          </w:p>
        </w:tc>
      </w:tr>
      <w:tr w:rsidR="003329A8" w:rsidRPr="00CA2662" w:rsidTr="00965FA8">
        <w:tc>
          <w:tcPr>
            <w:tcW w:w="8198" w:type="dxa"/>
            <w:gridSpan w:val="2"/>
            <w:shd w:val="clear" w:color="auto" w:fill="EAF1DD" w:themeFill="accent3" w:themeFillTint="33"/>
          </w:tcPr>
          <w:p w:rsidR="003329A8" w:rsidRPr="005D62BB" w:rsidRDefault="003329A8" w:rsidP="00F7419B">
            <w:pPr>
              <w:pStyle w:val="WoVGtabletext"/>
              <w:rPr>
                <w:rFonts w:cs="Arial"/>
                <w:b/>
              </w:rPr>
            </w:pPr>
            <w:r w:rsidRPr="005D62BB">
              <w:rPr>
                <w:b/>
              </w:rPr>
              <w:t>Safety systems</w:t>
            </w:r>
          </w:p>
        </w:tc>
        <w:tc>
          <w:tcPr>
            <w:tcW w:w="992" w:type="dxa"/>
            <w:shd w:val="clear" w:color="auto" w:fill="EAF1DD" w:themeFill="accent3" w:themeFillTint="33"/>
          </w:tcPr>
          <w:p w:rsidR="003329A8" w:rsidRPr="0047128D" w:rsidRDefault="003329A8" w:rsidP="0047128D">
            <w:pPr>
              <w:pStyle w:val="WoVGtabletext"/>
              <w:jc w:val="center"/>
            </w:pPr>
          </w:p>
        </w:tc>
      </w:tr>
      <w:tr w:rsidR="003329A8" w:rsidRPr="00CA2662" w:rsidTr="00965FA8">
        <w:tc>
          <w:tcPr>
            <w:tcW w:w="1111" w:type="dxa"/>
            <w:shd w:val="clear" w:color="auto" w:fill="EAF1DD" w:themeFill="accent3" w:themeFillTint="33"/>
          </w:tcPr>
          <w:p w:rsidR="003329A8" w:rsidRPr="00F7419B" w:rsidRDefault="003329A8" w:rsidP="00F7419B">
            <w:pPr>
              <w:pStyle w:val="WoVGtabletext"/>
              <w:jc w:val="center"/>
            </w:pPr>
            <w:r w:rsidRPr="00F7419B">
              <w:t>(1)</w:t>
            </w:r>
          </w:p>
        </w:tc>
        <w:tc>
          <w:tcPr>
            <w:tcW w:w="7087" w:type="dxa"/>
            <w:shd w:val="clear" w:color="auto" w:fill="EAF1DD" w:themeFill="accent3" w:themeFillTint="33"/>
          </w:tcPr>
          <w:p w:rsidR="003329A8" w:rsidRPr="006719E9" w:rsidRDefault="003329A8" w:rsidP="00F7419B">
            <w:pPr>
              <w:pStyle w:val="WoVGtabletext"/>
              <w:rPr>
                <w:rFonts w:cs="Arial"/>
              </w:rPr>
            </w:pPr>
            <w:r w:rsidRPr="006719E9">
              <w:rPr>
                <w:rFonts w:cs="Arial"/>
              </w:rPr>
              <w:t>Top management representative(s) are clearly endorsed as the organisation’s OHS management representative(s)</w:t>
            </w:r>
          </w:p>
        </w:tc>
        <w:tc>
          <w:tcPr>
            <w:tcW w:w="992" w:type="dxa"/>
            <w:shd w:val="clear" w:color="auto" w:fill="EAF1DD" w:themeFill="accent3" w:themeFillTint="33"/>
          </w:tcPr>
          <w:p w:rsidR="003329A8" w:rsidRPr="0047128D" w:rsidRDefault="003329A8" w:rsidP="0047128D">
            <w:pPr>
              <w:pStyle w:val="WoVGtabletext"/>
              <w:jc w:val="center"/>
            </w:pPr>
          </w:p>
        </w:tc>
      </w:tr>
      <w:tr w:rsidR="003329A8" w:rsidRPr="00CA2662" w:rsidTr="00965FA8">
        <w:tc>
          <w:tcPr>
            <w:tcW w:w="1111" w:type="dxa"/>
            <w:shd w:val="clear" w:color="auto" w:fill="EAF1DD" w:themeFill="accent3" w:themeFillTint="33"/>
          </w:tcPr>
          <w:p w:rsidR="003329A8" w:rsidRPr="00F7419B" w:rsidRDefault="003329A8" w:rsidP="00F7419B">
            <w:pPr>
              <w:pStyle w:val="WoVGtabletext"/>
              <w:jc w:val="center"/>
            </w:pPr>
            <w:r w:rsidRPr="00F7419B">
              <w:t>(2)</w:t>
            </w:r>
          </w:p>
        </w:tc>
        <w:tc>
          <w:tcPr>
            <w:tcW w:w="7087" w:type="dxa"/>
            <w:shd w:val="clear" w:color="auto" w:fill="EAF1DD" w:themeFill="accent3" w:themeFillTint="33"/>
          </w:tcPr>
          <w:p w:rsidR="003329A8" w:rsidRPr="006719E9" w:rsidRDefault="003329A8" w:rsidP="00F7419B">
            <w:pPr>
              <w:pStyle w:val="WoVGtabletext"/>
              <w:rPr>
                <w:rFonts w:cs="Arial"/>
              </w:rPr>
            </w:pPr>
            <w:r w:rsidRPr="006719E9">
              <w:rPr>
                <w:rFonts w:cs="Arial"/>
              </w:rPr>
              <w:t>Specific OHS accountabilities and responsibilities, authorities to act and reporting relationships are defined, documented and communicated</w:t>
            </w:r>
          </w:p>
        </w:tc>
        <w:tc>
          <w:tcPr>
            <w:tcW w:w="992" w:type="dxa"/>
            <w:shd w:val="clear" w:color="auto" w:fill="EAF1DD" w:themeFill="accent3" w:themeFillTint="33"/>
          </w:tcPr>
          <w:p w:rsidR="003329A8" w:rsidRPr="0047128D" w:rsidRDefault="003329A8" w:rsidP="0047128D">
            <w:pPr>
              <w:pStyle w:val="WoVGtabletext"/>
              <w:jc w:val="center"/>
            </w:pPr>
            <w:r w:rsidRPr="0047128D">
              <w:t>□</w:t>
            </w:r>
          </w:p>
        </w:tc>
      </w:tr>
      <w:tr w:rsidR="003329A8" w:rsidRPr="00A72AFC" w:rsidTr="00965FA8">
        <w:tc>
          <w:tcPr>
            <w:tcW w:w="8198" w:type="dxa"/>
            <w:gridSpan w:val="2"/>
            <w:shd w:val="clear" w:color="auto" w:fill="DAEEF3" w:themeFill="accent5" w:themeFillTint="33"/>
          </w:tcPr>
          <w:p w:rsidR="003329A8" w:rsidRPr="005D62BB" w:rsidRDefault="003329A8" w:rsidP="00F7419B">
            <w:pPr>
              <w:pStyle w:val="WoVGtabletext"/>
              <w:rPr>
                <w:rFonts w:cs="Arial"/>
                <w:b/>
              </w:rPr>
            </w:pPr>
            <w:r w:rsidRPr="005D62BB">
              <w:rPr>
                <w:b/>
              </w:rPr>
              <w:t>Safety culture</w:t>
            </w:r>
          </w:p>
        </w:tc>
        <w:tc>
          <w:tcPr>
            <w:tcW w:w="992" w:type="dxa"/>
            <w:shd w:val="clear" w:color="auto" w:fill="DAEEF3" w:themeFill="accent5" w:themeFillTint="33"/>
          </w:tcPr>
          <w:p w:rsidR="003329A8" w:rsidRPr="0047128D" w:rsidRDefault="003329A8" w:rsidP="0047128D">
            <w:pPr>
              <w:pStyle w:val="WoVGtabletext"/>
              <w:jc w:val="center"/>
            </w:pPr>
          </w:p>
        </w:tc>
      </w:tr>
      <w:tr w:rsidR="003329A8" w:rsidRPr="00CA2662" w:rsidTr="00965FA8">
        <w:tc>
          <w:tcPr>
            <w:tcW w:w="1111" w:type="dxa"/>
            <w:shd w:val="clear" w:color="auto" w:fill="DAEEF3" w:themeFill="accent5" w:themeFillTint="33"/>
          </w:tcPr>
          <w:p w:rsidR="003329A8" w:rsidRPr="006719E9" w:rsidRDefault="003329A8" w:rsidP="0047128D">
            <w:pPr>
              <w:pStyle w:val="WoVGtabletext"/>
              <w:jc w:val="center"/>
            </w:pPr>
            <w:r w:rsidRPr="006719E9">
              <w:t>(3)</w:t>
            </w:r>
          </w:p>
        </w:tc>
        <w:tc>
          <w:tcPr>
            <w:tcW w:w="7087" w:type="dxa"/>
            <w:shd w:val="clear" w:color="auto" w:fill="DAEEF3" w:themeFill="accent5" w:themeFillTint="33"/>
          </w:tcPr>
          <w:p w:rsidR="003329A8" w:rsidRPr="006719E9" w:rsidRDefault="003329A8" w:rsidP="00F7419B">
            <w:pPr>
              <w:pStyle w:val="WoVGtabletext"/>
              <w:rPr>
                <w:rFonts w:cs="Arial"/>
              </w:rPr>
            </w:pPr>
            <w:r w:rsidRPr="006719E9">
              <w:rPr>
                <w:rFonts w:cs="Arial"/>
              </w:rPr>
              <w:t>All levels of management and workers are held accountable for OHS performance in accordance with defined responsibilities</w:t>
            </w:r>
          </w:p>
        </w:tc>
        <w:tc>
          <w:tcPr>
            <w:tcW w:w="992" w:type="dxa"/>
            <w:shd w:val="clear" w:color="auto" w:fill="DAEEF3" w:themeFill="accent5" w:themeFillTint="33"/>
          </w:tcPr>
          <w:p w:rsidR="003329A8" w:rsidRPr="0047128D" w:rsidRDefault="003329A8" w:rsidP="0047128D">
            <w:pPr>
              <w:pStyle w:val="WoVGtabletext"/>
              <w:jc w:val="center"/>
            </w:pPr>
            <w:r w:rsidRPr="0047128D">
              <w:t>□</w:t>
            </w:r>
          </w:p>
        </w:tc>
      </w:tr>
      <w:tr w:rsidR="003329A8" w:rsidRPr="00A72AFC" w:rsidTr="00965FA8">
        <w:tc>
          <w:tcPr>
            <w:tcW w:w="1111" w:type="dxa"/>
            <w:shd w:val="clear" w:color="auto" w:fill="DAEEF3" w:themeFill="accent5" w:themeFillTint="33"/>
          </w:tcPr>
          <w:p w:rsidR="003329A8" w:rsidRPr="006719E9" w:rsidRDefault="003329A8" w:rsidP="0047128D">
            <w:pPr>
              <w:pStyle w:val="WoVGtabletext"/>
              <w:jc w:val="center"/>
            </w:pPr>
            <w:r w:rsidRPr="006719E9">
              <w:t>(4)</w:t>
            </w:r>
          </w:p>
        </w:tc>
        <w:tc>
          <w:tcPr>
            <w:tcW w:w="7087" w:type="dxa"/>
            <w:shd w:val="clear" w:color="auto" w:fill="DAEEF3" w:themeFill="accent5" w:themeFillTint="33"/>
          </w:tcPr>
          <w:p w:rsidR="003329A8" w:rsidRPr="006719E9" w:rsidRDefault="003329A8" w:rsidP="00F7419B">
            <w:pPr>
              <w:pStyle w:val="WoVGtabletext"/>
              <w:rPr>
                <w:rFonts w:cs="Arial"/>
              </w:rPr>
            </w:pPr>
            <w:r w:rsidRPr="006719E9">
              <w:rPr>
                <w:rFonts w:cs="Arial"/>
              </w:rPr>
              <w:t xml:space="preserve">Senior management takes action to address under performance and non-conformance </w:t>
            </w:r>
          </w:p>
        </w:tc>
        <w:tc>
          <w:tcPr>
            <w:tcW w:w="992" w:type="dxa"/>
            <w:shd w:val="clear" w:color="auto" w:fill="DAEEF3" w:themeFill="accent5" w:themeFillTint="33"/>
          </w:tcPr>
          <w:p w:rsidR="003329A8" w:rsidRPr="0047128D" w:rsidRDefault="003329A8" w:rsidP="0047128D">
            <w:pPr>
              <w:pStyle w:val="WoVGtabletext"/>
              <w:jc w:val="center"/>
            </w:pPr>
            <w:r w:rsidRPr="0047128D">
              <w:t>□</w:t>
            </w:r>
          </w:p>
        </w:tc>
      </w:tr>
      <w:tr w:rsidR="003329A8" w:rsidRPr="00A72AFC" w:rsidTr="00965FA8">
        <w:tc>
          <w:tcPr>
            <w:tcW w:w="1111" w:type="dxa"/>
            <w:shd w:val="clear" w:color="auto" w:fill="DAEEF3" w:themeFill="accent5" w:themeFillTint="33"/>
          </w:tcPr>
          <w:p w:rsidR="003329A8" w:rsidRPr="006719E9" w:rsidRDefault="003329A8" w:rsidP="0047128D">
            <w:pPr>
              <w:pStyle w:val="WoVGtabletext"/>
              <w:jc w:val="center"/>
            </w:pPr>
            <w:r w:rsidRPr="006719E9">
              <w:t>(5)</w:t>
            </w:r>
          </w:p>
        </w:tc>
        <w:tc>
          <w:tcPr>
            <w:tcW w:w="7087" w:type="dxa"/>
            <w:shd w:val="clear" w:color="auto" w:fill="DAEEF3" w:themeFill="accent5" w:themeFillTint="33"/>
          </w:tcPr>
          <w:p w:rsidR="003329A8" w:rsidRPr="006719E9" w:rsidRDefault="003329A8" w:rsidP="00F7419B">
            <w:pPr>
              <w:pStyle w:val="WoVGtabletext"/>
              <w:rPr>
                <w:rFonts w:cs="Arial"/>
              </w:rPr>
            </w:pPr>
            <w:r w:rsidRPr="006719E9">
              <w:rPr>
                <w:rFonts w:cs="Arial"/>
              </w:rPr>
              <w:t xml:space="preserve">Senior management recognises, reinforces and supports positive safety performance </w:t>
            </w:r>
          </w:p>
        </w:tc>
        <w:tc>
          <w:tcPr>
            <w:tcW w:w="992" w:type="dxa"/>
            <w:shd w:val="clear" w:color="auto" w:fill="DAEEF3" w:themeFill="accent5" w:themeFillTint="33"/>
          </w:tcPr>
          <w:p w:rsidR="003329A8" w:rsidRPr="0047128D" w:rsidRDefault="003329A8" w:rsidP="0047128D">
            <w:pPr>
              <w:pStyle w:val="WoVGtabletext"/>
              <w:jc w:val="center"/>
            </w:pPr>
            <w:r w:rsidRPr="0047128D">
              <w:t>□</w:t>
            </w:r>
          </w:p>
        </w:tc>
      </w:tr>
      <w:tr w:rsidR="003329A8" w:rsidRPr="00A72AFC" w:rsidTr="00965FA8">
        <w:tc>
          <w:tcPr>
            <w:tcW w:w="1111" w:type="dxa"/>
            <w:shd w:val="clear" w:color="auto" w:fill="DAEEF3" w:themeFill="accent5" w:themeFillTint="33"/>
          </w:tcPr>
          <w:p w:rsidR="003329A8" w:rsidRPr="006719E9" w:rsidRDefault="003329A8" w:rsidP="0047128D">
            <w:pPr>
              <w:pStyle w:val="WoVGtabletext"/>
              <w:jc w:val="center"/>
            </w:pPr>
            <w:r w:rsidRPr="006719E9">
              <w:t>(6)</w:t>
            </w:r>
          </w:p>
        </w:tc>
        <w:tc>
          <w:tcPr>
            <w:tcW w:w="7087" w:type="dxa"/>
            <w:shd w:val="clear" w:color="auto" w:fill="DAEEF3" w:themeFill="accent5" w:themeFillTint="33"/>
          </w:tcPr>
          <w:p w:rsidR="003329A8" w:rsidRPr="006719E9" w:rsidRDefault="003329A8" w:rsidP="00F7419B">
            <w:pPr>
              <w:pStyle w:val="WoVGtabletext"/>
              <w:rPr>
                <w:rFonts w:cs="Arial"/>
              </w:rPr>
            </w:pPr>
            <w:r w:rsidRPr="006719E9">
              <w:rPr>
                <w:rFonts w:cs="Arial"/>
              </w:rPr>
              <w:t xml:space="preserve">Managers ensure corrective actions arising from inspections, investigations, audits and reviews are implemented and documented </w:t>
            </w:r>
            <w:r>
              <w:rPr>
                <w:rFonts w:cs="Arial"/>
              </w:rPr>
              <w:t>in a timely manner</w:t>
            </w:r>
          </w:p>
        </w:tc>
        <w:tc>
          <w:tcPr>
            <w:tcW w:w="992" w:type="dxa"/>
            <w:shd w:val="clear" w:color="auto" w:fill="DAEEF3" w:themeFill="accent5" w:themeFillTint="33"/>
          </w:tcPr>
          <w:p w:rsidR="003329A8" w:rsidRPr="0047128D" w:rsidRDefault="003329A8" w:rsidP="0047128D">
            <w:pPr>
              <w:pStyle w:val="WoVGtabletext"/>
              <w:jc w:val="center"/>
            </w:pPr>
            <w:r w:rsidRPr="0047128D">
              <w:t>□</w:t>
            </w:r>
          </w:p>
        </w:tc>
      </w:tr>
      <w:tr w:rsidR="003329A8" w:rsidRPr="00A72AFC" w:rsidTr="00965FA8">
        <w:trPr>
          <w:trHeight w:val="461"/>
        </w:trPr>
        <w:tc>
          <w:tcPr>
            <w:tcW w:w="1111" w:type="dxa"/>
            <w:shd w:val="clear" w:color="auto" w:fill="DAEEF3" w:themeFill="accent5" w:themeFillTint="33"/>
          </w:tcPr>
          <w:p w:rsidR="003329A8" w:rsidRPr="006719E9" w:rsidRDefault="003329A8" w:rsidP="0047128D">
            <w:pPr>
              <w:pStyle w:val="WoVGtabletext"/>
              <w:jc w:val="center"/>
            </w:pPr>
            <w:r w:rsidRPr="006719E9">
              <w:t>(7)</w:t>
            </w:r>
          </w:p>
        </w:tc>
        <w:tc>
          <w:tcPr>
            <w:tcW w:w="7087" w:type="dxa"/>
            <w:shd w:val="clear" w:color="auto" w:fill="DAEEF3" w:themeFill="accent5" w:themeFillTint="33"/>
          </w:tcPr>
          <w:p w:rsidR="003329A8" w:rsidRPr="00F7419B" w:rsidRDefault="003329A8" w:rsidP="00F7419B">
            <w:pPr>
              <w:pStyle w:val="WoVGtabletext"/>
              <w:rPr>
                <w:rFonts w:cs="Arial"/>
              </w:rPr>
            </w:pPr>
            <w:r w:rsidRPr="006719E9">
              <w:rPr>
                <w:rFonts w:cs="Arial"/>
              </w:rPr>
              <w:t>Everyone accepts personal responsibility for ensuring the health and safety of themselves and of others</w:t>
            </w:r>
          </w:p>
        </w:tc>
        <w:tc>
          <w:tcPr>
            <w:tcW w:w="992" w:type="dxa"/>
            <w:shd w:val="clear" w:color="auto" w:fill="DAEEF3" w:themeFill="accent5" w:themeFillTint="33"/>
          </w:tcPr>
          <w:p w:rsidR="003329A8" w:rsidRPr="0047128D" w:rsidRDefault="003329A8" w:rsidP="0047128D">
            <w:pPr>
              <w:pStyle w:val="WoVGtabletext"/>
              <w:jc w:val="center"/>
            </w:pPr>
            <w:r w:rsidRPr="0047128D">
              <w:t>□</w:t>
            </w:r>
          </w:p>
        </w:tc>
      </w:tr>
      <w:tr w:rsidR="003329A8" w:rsidRPr="00BE3B4A" w:rsidTr="00965FA8">
        <w:trPr>
          <w:trHeight w:val="461"/>
        </w:trPr>
        <w:tc>
          <w:tcPr>
            <w:tcW w:w="1111" w:type="dxa"/>
            <w:shd w:val="clear" w:color="auto" w:fill="EAF1DD" w:themeFill="accent3" w:themeFillTint="33"/>
          </w:tcPr>
          <w:p w:rsidR="003329A8" w:rsidRPr="006719E9" w:rsidRDefault="003329A8" w:rsidP="0047128D">
            <w:pPr>
              <w:pStyle w:val="WoVGtabletext"/>
              <w:jc w:val="center"/>
            </w:pPr>
          </w:p>
        </w:tc>
        <w:tc>
          <w:tcPr>
            <w:tcW w:w="7087" w:type="dxa"/>
            <w:shd w:val="clear" w:color="auto" w:fill="EAF1DD" w:themeFill="accent3" w:themeFillTint="33"/>
          </w:tcPr>
          <w:p w:rsidR="003329A8" w:rsidRPr="00F7419B" w:rsidRDefault="003329A8" w:rsidP="00F7419B">
            <w:pPr>
              <w:pStyle w:val="WoVGtabletext"/>
              <w:jc w:val="right"/>
            </w:pPr>
            <w:r w:rsidRPr="00F7419B">
              <w:t>Safety systems score</w:t>
            </w:r>
            <w:r w:rsidRPr="00F7419B" w:rsidDel="00544D04">
              <w:t xml:space="preserve"> </w:t>
            </w:r>
          </w:p>
        </w:tc>
        <w:tc>
          <w:tcPr>
            <w:tcW w:w="992" w:type="dxa"/>
            <w:shd w:val="clear" w:color="auto" w:fill="EAF1DD" w:themeFill="accent3" w:themeFillTint="33"/>
          </w:tcPr>
          <w:p w:rsidR="003329A8" w:rsidRPr="0047128D" w:rsidRDefault="003329A8" w:rsidP="0047128D">
            <w:pPr>
              <w:pStyle w:val="WoVGtabletext"/>
              <w:jc w:val="center"/>
            </w:pPr>
          </w:p>
        </w:tc>
      </w:tr>
      <w:tr w:rsidR="003329A8" w:rsidRPr="00BE3B4A" w:rsidTr="00965FA8">
        <w:trPr>
          <w:trHeight w:val="461"/>
        </w:trPr>
        <w:tc>
          <w:tcPr>
            <w:tcW w:w="1111" w:type="dxa"/>
            <w:shd w:val="clear" w:color="auto" w:fill="DAEEF3" w:themeFill="accent5" w:themeFillTint="33"/>
          </w:tcPr>
          <w:p w:rsidR="003329A8" w:rsidRPr="006719E9" w:rsidRDefault="003329A8" w:rsidP="0047128D">
            <w:pPr>
              <w:pStyle w:val="WoVGtabletext"/>
              <w:jc w:val="center"/>
            </w:pPr>
          </w:p>
        </w:tc>
        <w:tc>
          <w:tcPr>
            <w:tcW w:w="7087" w:type="dxa"/>
            <w:shd w:val="clear" w:color="auto" w:fill="DAEEF3" w:themeFill="accent5" w:themeFillTint="33"/>
          </w:tcPr>
          <w:p w:rsidR="003329A8" w:rsidRPr="00F7419B" w:rsidRDefault="003329A8" w:rsidP="00F7419B">
            <w:pPr>
              <w:pStyle w:val="WoVGtabletext"/>
              <w:jc w:val="right"/>
            </w:pPr>
            <w:r w:rsidRPr="00F7419B">
              <w:t>Safety culture score</w:t>
            </w:r>
          </w:p>
        </w:tc>
        <w:tc>
          <w:tcPr>
            <w:tcW w:w="992" w:type="dxa"/>
            <w:shd w:val="clear" w:color="auto" w:fill="DAEEF3" w:themeFill="accent5" w:themeFillTint="33"/>
          </w:tcPr>
          <w:p w:rsidR="003329A8" w:rsidRPr="0047128D" w:rsidRDefault="003329A8" w:rsidP="0047128D">
            <w:pPr>
              <w:pStyle w:val="WoVGtabletext"/>
              <w:jc w:val="center"/>
            </w:pPr>
          </w:p>
        </w:tc>
      </w:tr>
      <w:tr w:rsidR="003329A8" w:rsidRPr="00BE3B4A" w:rsidTr="00965FA8">
        <w:trPr>
          <w:trHeight w:val="461"/>
        </w:trPr>
        <w:tc>
          <w:tcPr>
            <w:tcW w:w="1111" w:type="dxa"/>
            <w:shd w:val="clear" w:color="auto" w:fill="F2F2F2" w:themeFill="background1" w:themeFillShade="F2"/>
          </w:tcPr>
          <w:p w:rsidR="003329A8" w:rsidRPr="006719E9" w:rsidRDefault="003329A8" w:rsidP="0047128D">
            <w:pPr>
              <w:pStyle w:val="WoVGtabletext"/>
              <w:jc w:val="center"/>
            </w:pPr>
          </w:p>
        </w:tc>
        <w:tc>
          <w:tcPr>
            <w:tcW w:w="7087" w:type="dxa"/>
            <w:shd w:val="clear" w:color="auto" w:fill="F2F2F2" w:themeFill="background1" w:themeFillShade="F2"/>
          </w:tcPr>
          <w:p w:rsidR="003329A8" w:rsidRPr="00F7419B" w:rsidRDefault="003329A8" w:rsidP="00F7419B">
            <w:pPr>
              <w:pStyle w:val="WoVGtabletext"/>
              <w:jc w:val="right"/>
            </w:pPr>
            <w:r w:rsidRPr="00F7419B">
              <w:t>Total focus area score</w:t>
            </w:r>
          </w:p>
        </w:tc>
        <w:tc>
          <w:tcPr>
            <w:tcW w:w="992" w:type="dxa"/>
            <w:shd w:val="clear" w:color="auto" w:fill="F2F2F2" w:themeFill="background1" w:themeFillShade="F2"/>
          </w:tcPr>
          <w:p w:rsidR="003329A8" w:rsidRPr="0047128D" w:rsidRDefault="003329A8" w:rsidP="0047128D">
            <w:pPr>
              <w:pStyle w:val="WoVGtabletext"/>
              <w:jc w:val="center"/>
            </w:pPr>
          </w:p>
        </w:tc>
      </w:tr>
    </w:tbl>
    <w:p w:rsidR="003329A8" w:rsidRDefault="003329A8" w:rsidP="0047128D">
      <w:pPr>
        <w:pStyle w:val="WoVGbody"/>
      </w:pPr>
      <w:r>
        <w:br w:type="page"/>
      </w:r>
    </w:p>
    <w:p w:rsidR="00626D64" w:rsidRPr="00626D64" w:rsidRDefault="002219EE" w:rsidP="00626D64">
      <w:pPr>
        <w:pStyle w:val="Heading3"/>
      </w:pPr>
      <w:bookmarkStart w:id="111" w:name="_Toc477934207"/>
      <w:r w:rsidRPr="002219EE">
        <w:lastRenderedPageBreak/>
        <w:t>5.</w:t>
      </w:r>
      <w:r w:rsidR="00792402">
        <w:t xml:space="preserve">4.6 </w:t>
      </w:r>
      <w:r w:rsidR="003329A8" w:rsidRPr="002219EE">
        <w:t>Self-assessment summary</w:t>
      </w:r>
      <w:bookmarkEnd w:id="111"/>
    </w:p>
    <w:tbl>
      <w:tblPr>
        <w:tblStyle w:val="TableGrid"/>
        <w:tblW w:w="9185" w:type="dxa"/>
        <w:tblInd w:w="-5" w:type="dxa"/>
        <w:tblLayout w:type="fixed"/>
        <w:tblLook w:val="04A0" w:firstRow="1" w:lastRow="0" w:firstColumn="1" w:lastColumn="0" w:noHBand="0" w:noVBand="1"/>
      </w:tblPr>
      <w:tblGrid>
        <w:gridCol w:w="1625"/>
        <w:gridCol w:w="1512"/>
        <w:gridCol w:w="1512"/>
        <w:gridCol w:w="1418"/>
        <w:gridCol w:w="1606"/>
        <w:gridCol w:w="1512"/>
      </w:tblGrid>
      <w:tr w:rsidR="003329A8" w:rsidTr="00965FA8">
        <w:tc>
          <w:tcPr>
            <w:tcW w:w="1625" w:type="dxa"/>
          </w:tcPr>
          <w:p w:rsidR="003329A8" w:rsidRPr="006023EA" w:rsidRDefault="003329A8" w:rsidP="0047128D">
            <w:pPr>
              <w:pStyle w:val="WoVGtablecolhead"/>
            </w:pPr>
          </w:p>
        </w:tc>
        <w:tc>
          <w:tcPr>
            <w:tcW w:w="1512" w:type="dxa"/>
            <w:shd w:val="clear" w:color="auto" w:fill="B6DDE8" w:themeFill="accent5" w:themeFillTint="66"/>
          </w:tcPr>
          <w:p w:rsidR="003329A8" w:rsidRPr="00935EB6" w:rsidRDefault="003329A8" w:rsidP="003329A8">
            <w:pPr>
              <w:pStyle w:val="WoVGtablecolhead"/>
            </w:pPr>
            <w:r w:rsidRPr="00935EB6">
              <w:t>Senior management commitment</w:t>
            </w:r>
          </w:p>
        </w:tc>
        <w:tc>
          <w:tcPr>
            <w:tcW w:w="1512" w:type="dxa"/>
            <w:shd w:val="clear" w:color="auto" w:fill="B6DDE8" w:themeFill="accent5" w:themeFillTint="66"/>
          </w:tcPr>
          <w:p w:rsidR="003329A8" w:rsidRPr="00935EB6" w:rsidRDefault="003329A8" w:rsidP="003329A8">
            <w:pPr>
              <w:pStyle w:val="WoVGtablecolhead"/>
            </w:pPr>
            <w:r w:rsidRPr="00935EB6">
              <w:t>Safety Culture</w:t>
            </w:r>
          </w:p>
        </w:tc>
        <w:tc>
          <w:tcPr>
            <w:tcW w:w="1418" w:type="dxa"/>
            <w:shd w:val="clear" w:color="auto" w:fill="B6DDE8" w:themeFill="accent5" w:themeFillTint="66"/>
          </w:tcPr>
          <w:p w:rsidR="003329A8" w:rsidRPr="00935EB6" w:rsidRDefault="003329A8" w:rsidP="003329A8">
            <w:pPr>
              <w:pStyle w:val="WoVGtablecolhead"/>
            </w:pPr>
            <w:r w:rsidRPr="00935EB6">
              <w:t>OHS Systems</w:t>
            </w:r>
          </w:p>
        </w:tc>
        <w:tc>
          <w:tcPr>
            <w:tcW w:w="1606" w:type="dxa"/>
            <w:shd w:val="clear" w:color="auto" w:fill="B6DDE8" w:themeFill="accent5" w:themeFillTint="66"/>
          </w:tcPr>
          <w:p w:rsidR="003329A8" w:rsidRPr="00935EB6" w:rsidRDefault="003329A8" w:rsidP="003329A8">
            <w:pPr>
              <w:pStyle w:val="WoVGtablecolhead"/>
            </w:pPr>
            <w:r w:rsidRPr="00935EB6">
              <w:t>Accountability</w:t>
            </w:r>
          </w:p>
        </w:tc>
        <w:tc>
          <w:tcPr>
            <w:tcW w:w="1512" w:type="dxa"/>
            <w:shd w:val="clear" w:color="auto" w:fill="B6DDE8" w:themeFill="accent5" w:themeFillTint="66"/>
          </w:tcPr>
          <w:p w:rsidR="003329A8" w:rsidRPr="00935EB6" w:rsidRDefault="003329A8" w:rsidP="003329A8">
            <w:pPr>
              <w:pStyle w:val="WoVGtablecolhead"/>
            </w:pPr>
            <w:r w:rsidRPr="00935EB6">
              <w:t>Overall Score**</w:t>
            </w:r>
          </w:p>
        </w:tc>
      </w:tr>
      <w:tr w:rsidR="003329A8" w:rsidTr="00965FA8">
        <w:trPr>
          <w:trHeight w:val="379"/>
        </w:trPr>
        <w:tc>
          <w:tcPr>
            <w:tcW w:w="1625" w:type="dxa"/>
            <w:shd w:val="clear" w:color="auto" w:fill="F2F2F2" w:themeFill="background1" w:themeFillShade="F2"/>
          </w:tcPr>
          <w:p w:rsidR="003329A8" w:rsidRPr="003329A8" w:rsidRDefault="003329A8" w:rsidP="003329A8">
            <w:pPr>
              <w:pStyle w:val="WoVGtablecolhead"/>
            </w:pPr>
            <w:r w:rsidRPr="003329A8">
              <w:t>Safety Systems Score</w:t>
            </w:r>
          </w:p>
        </w:tc>
        <w:tc>
          <w:tcPr>
            <w:tcW w:w="1512" w:type="dxa"/>
            <w:shd w:val="clear" w:color="auto" w:fill="EAF1DD" w:themeFill="accent3" w:themeFillTint="33"/>
          </w:tcPr>
          <w:p w:rsidR="003329A8" w:rsidRPr="003329A8" w:rsidRDefault="003329A8" w:rsidP="003329A8">
            <w:pPr>
              <w:pStyle w:val="WoVGtabletext"/>
            </w:pPr>
          </w:p>
        </w:tc>
        <w:tc>
          <w:tcPr>
            <w:tcW w:w="1512" w:type="dxa"/>
            <w:shd w:val="clear" w:color="auto" w:fill="EAF1DD" w:themeFill="accent3" w:themeFillTint="33"/>
          </w:tcPr>
          <w:p w:rsidR="003329A8" w:rsidRPr="003329A8" w:rsidRDefault="003329A8" w:rsidP="003329A8">
            <w:pPr>
              <w:pStyle w:val="WoVGtabletext"/>
            </w:pPr>
            <w:r w:rsidRPr="003329A8">
              <w:t>N/A</w:t>
            </w:r>
          </w:p>
        </w:tc>
        <w:tc>
          <w:tcPr>
            <w:tcW w:w="1418" w:type="dxa"/>
            <w:shd w:val="clear" w:color="auto" w:fill="EAF1DD" w:themeFill="accent3" w:themeFillTint="33"/>
          </w:tcPr>
          <w:p w:rsidR="003329A8" w:rsidRPr="003329A8" w:rsidRDefault="003329A8" w:rsidP="003329A8">
            <w:pPr>
              <w:pStyle w:val="WoVGtabletext"/>
            </w:pPr>
          </w:p>
        </w:tc>
        <w:tc>
          <w:tcPr>
            <w:tcW w:w="1606" w:type="dxa"/>
            <w:shd w:val="clear" w:color="auto" w:fill="EAF1DD" w:themeFill="accent3" w:themeFillTint="33"/>
          </w:tcPr>
          <w:p w:rsidR="003329A8" w:rsidRPr="003329A8" w:rsidRDefault="003329A8" w:rsidP="003329A8">
            <w:pPr>
              <w:pStyle w:val="WoVGtabletext"/>
            </w:pPr>
          </w:p>
        </w:tc>
        <w:tc>
          <w:tcPr>
            <w:tcW w:w="1512" w:type="dxa"/>
            <w:shd w:val="clear" w:color="auto" w:fill="EAF1DD" w:themeFill="accent3" w:themeFillTint="33"/>
          </w:tcPr>
          <w:p w:rsidR="003329A8" w:rsidRPr="003329A8" w:rsidRDefault="003329A8" w:rsidP="003329A8">
            <w:pPr>
              <w:pStyle w:val="WoVGtabletext"/>
            </w:pPr>
          </w:p>
        </w:tc>
      </w:tr>
      <w:tr w:rsidR="003329A8" w:rsidTr="00965FA8">
        <w:tc>
          <w:tcPr>
            <w:tcW w:w="1625" w:type="dxa"/>
            <w:shd w:val="clear" w:color="auto" w:fill="F2F2F2" w:themeFill="background1" w:themeFillShade="F2"/>
          </w:tcPr>
          <w:p w:rsidR="003329A8" w:rsidRPr="003329A8" w:rsidRDefault="003329A8" w:rsidP="003329A8">
            <w:pPr>
              <w:pStyle w:val="WoVGtablecolhead"/>
            </w:pPr>
            <w:r w:rsidRPr="003329A8">
              <w:t>% Safety Systems Score</w:t>
            </w:r>
          </w:p>
        </w:tc>
        <w:tc>
          <w:tcPr>
            <w:tcW w:w="1512" w:type="dxa"/>
            <w:shd w:val="clear" w:color="auto" w:fill="EAF1DD" w:themeFill="accent3" w:themeFillTint="33"/>
          </w:tcPr>
          <w:p w:rsidR="003329A8" w:rsidRPr="003329A8" w:rsidRDefault="003329A8" w:rsidP="003329A8">
            <w:pPr>
              <w:pStyle w:val="WoVGtabletext"/>
            </w:pPr>
            <w:r w:rsidRPr="003329A8">
              <w:t>=(score/4)</w:t>
            </w:r>
            <w:r w:rsidR="0052429F">
              <w:br/>
            </w:r>
            <w:r w:rsidRPr="003329A8">
              <w:t>x25</w:t>
            </w:r>
          </w:p>
        </w:tc>
        <w:tc>
          <w:tcPr>
            <w:tcW w:w="1512" w:type="dxa"/>
            <w:shd w:val="clear" w:color="auto" w:fill="EAF1DD" w:themeFill="accent3" w:themeFillTint="33"/>
          </w:tcPr>
          <w:p w:rsidR="003329A8" w:rsidRPr="003329A8" w:rsidRDefault="003329A8" w:rsidP="003329A8">
            <w:pPr>
              <w:pStyle w:val="WoVGtabletext"/>
            </w:pPr>
            <w:r w:rsidRPr="003329A8">
              <w:t>N/A</w:t>
            </w:r>
          </w:p>
        </w:tc>
        <w:tc>
          <w:tcPr>
            <w:tcW w:w="1418" w:type="dxa"/>
            <w:shd w:val="clear" w:color="auto" w:fill="EAF1DD" w:themeFill="accent3" w:themeFillTint="33"/>
          </w:tcPr>
          <w:p w:rsidR="003329A8" w:rsidRPr="003329A8" w:rsidRDefault="003329A8" w:rsidP="003329A8">
            <w:pPr>
              <w:pStyle w:val="WoVGtabletext"/>
            </w:pPr>
            <w:r w:rsidRPr="007E2A52">
              <w:rPr>
                <w:rFonts w:cs="Arial"/>
              </w:rPr>
              <w:t>=(score/24)</w:t>
            </w:r>
            <w:r w:rsidR="0052429F">
              <w:rPr>
                <w:rFonts w:cs="Arial"/>
              </w:rPr>
              <w:br/>
            </w:r>
            <w:r w:rsidRPr="007E2A52">
              <w:rPr>
                <w:rFonts w:cs="Arial"/>
              </w:rPr>
              <w:t>x25</w:t>
            </w:r>
          </w:p>
        </w:tc>
        <w:tc>
          <w:tcPr>
            <w:tcW w:w="1606" w:type="dxa"/>
            <w:shd w:val="clear" w:color="auto" w:fill="EAF1DD" w:themeFill="accent3" w:themeFillTint="33"/>
          </w:tcPr>
          <w:p w:rsidR="003329A8" w:rsidRPr="003329A8" w:rsidRDefault="003329A8" w:rsidP="003329A8">
            <w:pPr>
              <w:pStyle w:val="WoVGtabletext"/>
            </w:pPr>
            <w:r w:rsidRPr="003329A8">
              <w:t>=(score/2)</w:t>
            </w:r>
            <w:r w:rsidR="0052429F">
              <w:br/>
            </w:r>
            <w:r w:rsidRPr="003329A8">
              <w:t>x25</w:t>
            </w:r>
          </w:p>
        </w:tc>
        <w:tc>
          <w:tcPr>
            <w:tcW w:w="1512" w:type="dxa"/>
            <w:shd w:val="clear" w:color="auto" w:fill="EAF1DD" w:themeFill="accent3" w:themeFillTint="33"/>
          </w:tcPr>
          <w:p w:rsidR="003329A8" w:rsidRPr="003329A8" w:rsidRDefault="003329A8" w:rsidP="003329A8">
            <w:pPr>
              <w:pStyle w:val="WoVGtabletext"/>
            </w:pPr>
            <w:r w:rsidRPr="003329A8">
              <w:t>=(score/30)</w:t>
            </w:r>
            <w:r w:rsidR="0052429F">
              <w:br/>
            </w:r>
            <w:r w:rsidRPr="003329A8">
              <w:t>x25</w:t>
            </w:r>
          </w:p>
        </w:tc>
      </w:tr>
      <w:tr w:rsidR="003329A8" w:rsidTr="00965FA8">
        <w:tc>
          <w:tcPr>
            <w:tcW w:w="1625" w:type="dxa"/>
            <w:shd w:val="clear" w:color="auto" w:fill="F2F2F2" w:themeFill="background1" w:themeFillShade="F2"/>
          </w:tcPr>
          <w:p w:rsidR="003329A8" w:rsidRPr="003329A8" w:rsidRDefault="003329A8" w:rsidP="003329A8">
            <w:pPr>
              <w:pStyle w:val="WoVGtablecolhead"/>
            </w:pPr>
            <w:r w:rsidRPr="003329A8">
              <w:t>Safety Systems Maturity Level***</w:t>
            </w:r>
          </w:p>
        </w:tc>
        <w:tc>
          <w:tcPr>
            <w:tcW w:w="1512" w:type="dxa"/>
            <w:shd w:val="clear" w:color="auto" w:fill="EAF1DD" w:themeFill="accent3" w:themeFillTint="33"/>
          </w:tcPr>
          <w:p w:rsidR="003329A8" w:rsidRPr="003329A8" w:rsidRDefault="003329A8" w:rsidP="003329A8">
            <w:pPr>
              <w:pStyle w:val="WoVGtabletext"/>
            </w:pPr>
          </w:p>
        </w:tc>
        <w:tc>
          <w:tcPr>
            <w:tcW w:w="1512" w:type="dxa"/>
            <w:shd w:val="clear" w:color="auto" w:fill="EAF1DD" w:themeFill="accent3" w:themeFillTint="33"/>
          </w:tcPr>
          <w:p w:rsidR="003329A8" w:rsidRPr="003329A8" w:rsidRDefault="003329A8" w:rsidP="003329A8">
            <w:pPr>
              <w:pStyle w:val="WoVGtabletext"/>
            </w:pPr>
            <w:r w:rsidRPr="003329A8">
              <w:t>N/A</w:t>
            </w:r>
          </w:p>
        </w:tc>
        <w:tc>
          <w:tcPr>
            <w:tcW w:w="1418" w:type="dxa"/>
            <w:shd w:val="clear" w:color="auto" w:fill="EAF1DD" w:themeFill="accent3" w:themeFillTint="33"/>
          </w:tcPr>
          <w:p w:rsidR="003329A8" w:rsidRPr="003329A8" w:rsidRDefault="003329A8" w:rsidP="003329A8">
            <w:pPr>
              <w:pStyle w:val="WoVGtabletext"/>
            </w:pPr>
          </w:p>
        </w:tc>
        <w:tc>
          <w:tcPr>
            <w:tcW w:w="1606" w:type="dxa"/>
            <w:shd w:val="clear" w:color="auto" w:fill="EAF1DD" w:themeFill="accent3" w:themeFillTint="33"/>
          </w:tcPr>
          <w:p w:rsidR="003329A8" w:rsidRPr="003329A8" w:rsidRDefault="003329A8" w:rsidP="003329A8">
            <w:pPr>
              <w:pStyle w:val="WoVGtabletext"/>
            </w:pPr>
          </w:p>
        </w:tc>
        <w:tc>
          <w:tcPr>
            <w:tcW w:w="1512" w:type="dxa"/>
            <w:shd w:val="clear" w:color="auto" w:fill="EAF1DD" w:themeFill="accent3" w:themeFillTint="33"/>
          </w:tcPr>
          <w:p w:rsidR="003329A8" w:rsidRPr="003329A8" w:rsidRDefault="003329A8" w:rsidP="003329A8">
            <w:pPr>
              <w:pStyle w:val="WoVGtabletext"/>
            </w:pPr>
          </w:p>
        </w:tc>
      </w:tr>
      <w:tr w:rsidR="003329A8" w:rsidTr="00965FA8">
        <w:tc>
          <w:tcPr>
            <w:tcW w:w="1625" w:type="dxa"/>
            <w:shd w:val="clear" w:color="auto" w:fill="F2F2F2" w:themeFill="background1" w:themeFillShade="F2"/>
          </w:tcPr>
          <w:p w:rsidR="003329A8" w:rsidRPr="003329A8" w:rsidRDefault="003329A8" w:rsidP="003329A8">
            <w:pPr>
              <w:pStyle w:val="WoVGtablecolhead"/>
            </w:pPr>
            <w:r w:rsidRPr="003329A8">
              <w:t>Safety Culture Score</w:t>
            </w:r>
          </w:p>
        </w:tc>
        <w:tc>
          <w:tcPr>
            <w:tcW w:w="1512" w:type="dxa"/>
            <w:shd w:val="clear" w:color="auto" w:fill="DAEEF3" w:themeFill="accent5" w:themeFillTint="33"/>
          </w:tcPr>
          <w:p w:rsidR="003329A8" w:rsidRPr="003329A8" w:rsidRDefault="003329A8" w:rsidP="003329A8">
            <w:pPr>
              <w:pStyle w:val="WoVGtabletext"/>
            </w:pPr>
          </w:p>
        </w:tc>
        <w:tc>
          <w:tcPr>
            <w:tcW w:w="1512" w:type="dxa"/>
            <w:shd w:val="clear" w:color="auto" w:fill="DAEEF3" w:themeFill="accent5" w:themeFillTint="33"/>
          </w:tcPr>
          <w:p w:rsidR="003329A8" w:rsidRPr="003329A8" w:rsidRDefault="003329A8" w:rsidP="003329A8">
            <w:pPr>
              <w:pStyle w:val="WoVGtabletext"/>
            </w:pPr>
          </w:p>
        </w:tc>
        <w:tc>
          <w:tcPr>
            <w:tcW w:w="1418" w:type="dxa"/>
            <w:shd w:val="clear" w:color="auto" w:fill="DAEEF3" w:themeFill="accent5" w:themeFillTint="33"/>
          </w:tcPr>
          <w:p w:rsidR="003329A8" w:rsidRPr="003329A8" w:rsidRDefault="003329A8" w:rsidP="003329A8">
            <w:pPr>
              <w:pStyle w:val="WoVGtabletext"/>
            </w:pPr>
            <w:r w:rsidRPr="003329A8">
              <w:t>N/A</w:t>
            </w:r>
          </w:p>
        </w:tc>
        <w:tc>
          <w:tcPr>
            <w:tcW w:w="1606" w:type="dxa"/>
            <w:shd w:val="clear" w:color="auto" w:fill="DAEEF3" w:themeFill="accent5" w:themeFillTint="33"/>
          </w:tcPr>
          <w:p w:rsidR="003329A8" w:rsidRPr="003329A8" w:rsidRDefault="003329A8" w:rsidP="003329A8">
            <w:pPr>
              <w:pStyle w:val="WoVGtabletext"/>
            </w:pPr>
          </w:p>
        </w:tc>
        <w:tc>
          <w:tcPr>
            <w:tcW w:w="1512" w:type="dxa"/>
            <w:shd w:val="clear" w:color="auto" w:fill="DAEEF3" w:themeFill="accent5" w:themeFillTint="33"/>
          </w:tcPr>
          <w:p w:rsidR="003329A8" w:rsidRPr="003329A8" w:rsidRDefault="003329A8" w:rsidP="003329A8">
            <w:pPr>
              <w:pStyle w:val="WoVGtabletext"/>
            </w:pPr>
          </w:p>
        </w:tc>
      </w:tr>
      <w:tr w:rsidR="003329A8" w:rsidTr="00965FA8">
        <w:tc>
          <w:tcPr>
            <w:tcW w:w="1625" w:type="dxa"/>
            <w:shd w:val="clear" w:color="auto" w:fill="F2F2F2" w:themeFill="background1" w:themeFillShade="F2"/>
          </w:tcPr>
          <w:p w:rsidR="003329A8" w:rsidRPr="003329A8" w:rsidRDefault="003329A8" w:rsidP="003329A8">
            <w:pPr>
              <w:pStyle w:val="WoVGtablecolhead"/>
            </w:pPr>
            <w:r w:rsidRPr="003329A8">
              <w:t>% Safety Culture Score</w:t>
            </w:r>
          </w:p>
        </w:tc>
        <w:tc>
          <w:tcPr>
            <w:tcW w:w="1512" w:type="dxa"/>
            <w:shd w:val="clear" w:color="auto" w:fill="DAEEF3" w:themeFill="accent5" w:themeFillTint="33"/>
          </w:tcPr>
          <w:p w:rsidR="003329A8" w:rsidRPr="003329A8" w:rsidRDefault="003329A8" w:rsidP="003329A8">
            <w:pPr>
              <w:pStyle w:val="WoVGtabletext"/>
            </w:pPr>
            <w:r w:rsidRPr="003329A8">
              <w:t>=(score/9)</w:t>
            </w:r>
            <w:r w:rsidR="0052429F">
              <w:br/>
            </w:r>
            <w:r w:rsidRPr="003329A8">
              <w:t>x25</w:t>
            </w:r>
          </w:p>
        </w:tc>
        <w:tc>
          <w:tcPr>
            <w:tcW w:w="1512" w:type="dxa"/>
            <w:shd w:val="clear" w:color="auto" w:fill="DAEEF3" w:themeFill="accent5" w:themeFillTint="33"/>
          </w:tcPr>
          <w:p w:rsidR="003329A8" w:rsidRPr="003329A8" w:rsidRDefault="003329A8" w:rsidP="003329A8">
            <w:pPr>
              <w:pStyle w:val="WoVGtabletext"/>
            </w:pPr>
            <w:r w:rsidRPr="003329A8">
              <w:t>=(score/12)</w:t>
            </w:r>
            <w:r w:rsidR="0052429F">
              <w:br/>
            </w:r>
            <w:r w:rsidRPr="003329A8">
              <w:t>x25</w:t>
            </w:r>
          </w:p>
        </w:tc>
        <w:tc>
          <w:tcPr>
            <w:tcW w:w="1418" w:type="dxa"/>
            <w:shd w:val="clear" w:color="auto" w:fill="DAEEF3" w:themeFill="accent5" w:themeFillTint="33"/>
          </w:tcPr>
          <w:p w:rsidR="003329A8" w:rsidRPr="003329A8" w:rsidRDefault="003329A8" w:rsidP="003329A8">
            <w:pPr>
              <w:pStyle w:val="WoVGtabletext"/>
            </w:pPr>
            <w:r w:rsidRPr="003329A8">
              <w:t>N/A</w:t>
            </w:r>
          </w:p>
        </w:tc>
        <w:tc>
          <w:tcPr>
            <w:tcW w:w="1606" w:type="dxa"/>
            <w:shd w:val="clear" w:color="auto" w:fill="DAEEF3" w:themeFill="accent5" w:themeFillTint="33"/>
          </w:tcPr>
          <w:p w:rsidR="003329A8" w:rsidRPr="003329A8" w:rsidRDefault="003329A8" w:rsidP="003329A8">
            <w:pPr>
              <w:pStyle w:val="WoVGtabletext"/>
            </w:pPr>
            <w:r w:rsidRPr="003329A8">
              <w:t>=(score/5)</w:t>
            </w:r>
            <w:r w:rsidR="0052429F">
              <w:br/>
            </w:r>
            <w:r w:rsidRPr="003329A8">
              <w:t>x25</w:t>
            </w:r>
          </w:p>
        </w:tc>
        <w:tc>
          <w:tcPr>
            <w:tcW w:w="1512" w:type="dxa"/>
            <w:shd w:val="clear" w:color="auto" w:fill="DAEEF3" w:themeFill="accent5" w:themeFillTint="33"/>
          </w:tcPr>
          <w:p w:rsidR="003329A8" w:rsidRPr="003329A8" w:rsidRDefault="003329A8" w:rsidP="003329A8">
            <w:pPr>
              <w:pStyle w:val="WoVGtabletext"/>
            </w:pPr>
            <w:r w:rsidRPr="003329A8">
              <w:t>=(score/26)</w:t>
            </w:r>
            <w:r w:rsidR="0052429F">
              <w:br/>
            </w:r>
            <w:r w:rsidRPr="003329A8">
              <w:t>x25</w:t>
            </w:r>
          </w:p>
        </w:tc>
      </w:tr>
      <w:tr w:rsidR="003329A8" w:rsidTr="00965FA8">
        <w:trPr>
          <w:trHeight w:val="624"/>
        </w:trPr>
        <w:tc>
          <w:tcPr>
            <w:tcW w:w="1625" w:type="dxa"/>
            <w:shd w:val="clear" w:color="auto" w:fill="F2F2F2" w:themeFill="background1" w:themeFillShade="F2"/>
          </w:tcPr>
          <w:p w:rsidR="003329A8" w:rsidRPr="003329A8" w:rsidRDefault="003329A8" w:rsidP="003329A8">
            <w:pPr>
              <w:pStyle w:val="WoVGtablecolhead"/>
            </w:pPr>
            <w:r w:rsidRPr="003329A8">
              <w:t>Safety Culture Maturity Level***</w:t>
            </w:r>
          </w:p>
        </w:tc>
        <w:tc>
          <w:tcPr>
            <w:tcW w:w="1512" w:type="dxa"/>
            <w:shd w:val="clear" w:color="auto" w:fill="DAEEF3" w:themeFill="accent5" w:themeFillTint="33"/>
          </w:tcPr>
          <w:p w:rsidR="003329A8" w:rsidRPr="003329A8" w:rsidRDefault="003329A8" w:rsidP="003329A8">
            <w:pPr>
              <w:pStyle w:val="WoVGtabletext"/>
            </w:pPr>
          </w:p>
        </w:tc>
        <w:tc>
          <w:tcPr>
            <w:tcW w:w="1512" w:type="dxa"/>
            <w:shd w:val="clear" w:color="auto" w:fill="DAEEF3" w:themeFill="accent5" w:themeFillTint="33"/>
          </w:tcPr>
          <w:p w:rsidR="003329A8" w:rsidRPr="003329A8" w:rsidRDefault="003329A8" w:rsidP="003329A8">
            <w:pPr>
              <w:pStyle w:val="WoVGtabletext"/>
            </w:pPr>
          </w:p>
        </w:tc>
        <w:tc>
          <w:tcPr>
            <w:tcW w:w="1418" w:type="dxa"/>
            <w:shd w:val="clear" w:color="auto" w:fill="DAEEF3" w:themeFill="accent5" w:themeFillTint="33"/>
          </w:tcPr>
          <w:p w:rsidR="003329A8" w:rsidRPr="003329A8" w:rsidRDefault="003329A8" w:rsidP="003329A8">
            <w:pPr>
              <w:pStyle w:val="WoVGtabletext"/>
            </w:pPr>
            <w:r w:rsidRPr="003329A8">
              <w:t>N/A</w:t>
            </w:r>
          </w:p>
        </w:tc>
        <w:tc>
          <w:tcPr>
            <w:tcW w:w="1606" w:type="dxa"/>
            <w:shd w:val="clear" w:color="auto" w:fill="DAEEF3" w:themeFill="accent5" w:themeFillTint="33"/>
          </w:tcPr>
          <w:p w:rsidR="003329A8" w:rsidRPr="003329A8" w:rsidRDefault="003329A8" w:rsidP="003329A8">
            <w:pPr>
              <w:pStyle w:val="WoVGtabletext"/>
            </w:pPr>
          </w:p>
        </w:tc>
        <w:tc>
          <w:tcPr>
            <w:tcW w:w="1512" w:type="dxa"/>
            <w:shd w:val="clear" w:color="auto" w:fill="DAEEF3" w:themeFill="accent5" w:themeFillTint="33"/>
          </w:tcPr>
          <w:p w:rsidR="003329A8" w:rsidRPr="003329A8" w:rsidRDefault="003329A8" w:rsidP="003329A8">
            <w:pPr>
              <w:pStyle w:val="WoVGtabletext"/>
            </w:pPr>
          </w:p>
        </w:tc>
      </w:tr>
      <w:tr w:rsidR="003329A8" w:rsidTr="00965FA8">
        <w:tc>
          <w:tcPr>
            <w:tcW w:w="1625" w:type="dxa"/>
            <w:shd w:val="clear" w:color="auto" w:fill="F2F2F2" w:themeFill="background1" w:themeFillShade="F2"/>
          </w:tcPr>
          <w:p w:rsidR="003329A8" w:rsidRPr="003329A8" w:rsidRDefault="003329A8" w:rsidP="003329A8">
            <w:pPr>
              <w:pStyle w:val="WoVGtablecolhead"/>
            </w:pPr>
            <w:r w:rsidRPr="003329A8">
              <w:t>Total Score*</w:t>
            </w:r>
          </w:p>
        </w:tc>
        <w:tc>
          <w:tcPr>
            <w:tcW w:w="1512" w:type="dxa"/>
            <w:shd w:val="clear" w:color="auto" w:fill="F2F2F2" w:themeFill="background1" w:themeFillShade="F2"/>
          </w:tcPr>
          <w:p w:rsidR="003329A8" w:rsidRPr="003329A8" w:rsidRDefault="003329A8" w:rsidP="003329A8">
            <w:pPr>
              <w:pStyle w:val="WoVGtabletext"/>
            </w:pPr>
          </w:p>
        </w:tc>
        <w:tc>
          <w:tcPr>
            <w:tcW w:w="1512" w:type="dxa"/>
            <w:shd w:val="clear" w:color="auto" w:fill="F2F2F2" w:themeFill="background1" w:themeFillShade="F2"/>
          </w:tcPr>
          <w:p w:rsidR="003329A8" w:rsidRPr="003329A8" w:rsidRDefault="003329A8" w:rsidP="003329A8">
            <w:pPr>
              <w:pStyle w:val="WoVGtabletext"/>
            </w:pPr>
          </w:p>
        </w:tc>
        <w:tc>
          <w:tcPr>
            <w:tcW w:w="1418" w:type="dxa"/>
            <w:shd w:val="clear" w:color="auto" w:fill="F2F2F2" w:themeFill="background1" w:themeFillShade="F2"/>
          </w:tcPr>
          <w:p w:rsidR="003329A8" w:rsidRPr="003329A8" w:rsidRDefault="003329A8" w:rsidP="003329A8">
            <w:pPr>
              <w:pStyle w:val="WoVGtabletext"/>
            </w:pPr>
          </w:p>
        </w:tc>
        <w:tc>
          <w:tcPr>
            <w:tcW w:w="1606" w:type="dxa"/>
            <w:shd w:val="clear" w:color="auto" w:fill="F2F2F2" w:themeFill="background1" w:themeFillShade="F2"/>
          </w:tcPr>
          <w:p w:rsidR="003329A8" w:rsidRPr="003329A8" w:rsidRDefault="003329A8" w:rsidP="003329A8">
            <w:pPr>
              <w:pStyle w:val="WoVGtabletext"/>
            </w:pPr>
          </w:p>
        </w:tc>
        <w:tc>
          <w:tcPr>
            <w:tcW w:w="1512" w:type="dxa"/>
            <w:shd w:val="clear" w:color="auto" w:fill="F2F2F2" w:themeFill="background1" w:themeFillShade="F2"/>
          </w:tcPr>
          <w:p w:rsidR="003329A8" w:rsidRPr="003329A8" w:rsidRDefault="003329A8" w:rsidP="003329A8">
            <w:pPr>
              <w:pStyle w:val="WoVGtabletext"/>
            </w:pPr>
          </w:p>
        </w:tc>
      </w:tr>
      <w:tr w:rsidR="003329A8" w:rsidTr="00965FA8">
        <w:tc>
          <w:tcPr>
            <w:tcW w:w="1625" w:type="dxa"/>
            <w:shd w:val="clear" w:color="auto" w:fill="F2F2F2" w:themeFill="background1" w:themeFillShade="F2"/>
          </w:tcPr>
          <w:p w:rsidR="003329A8" w:rsidRPr="003329A8" w:rsidRDefault="003329A8" w:rsidP="003329A8">
            <w:pPr>
              <w:pStyle w:val="WoVGtablecolhead"/>
            </w:pPr>
            <w:r w:rsidRPr="003329A8">
              <w:t>Total % Score</w:t>
            </w:r>
          </w:p>
        </w:tc>
        <w:tc>
          <w:tcPr>
            <w:tcW w:w="1512" w:type="dxa"/>
            <w:shd w:val="clear" w:color="auto" w:fill="F2F2F2" w:themeFill="background1" w:themeFillShade="F2"/>
          </w:tcPr>
          <w:p w:rsidR="003329A8" w:rsidRPr="003329A8" w:rsidRDefault="003329A8" w:rsidP="003329A8">
            <w:pPr>
              <w:pStyle w:val="WoVGtabletext"/>
            </w:pPr>
            <w:r w:rsidRPr="003329A8">
              <w:t>=(score/13)</w:t>
            </w:r>
            <w:r w:rsidR="0052429F">
              <w:br/>
            </w:r>
            <w:r w:rsidRPr="003329A8">
              <w:t>x25</w:t>
            </w:r>
          </w:p>
        </w:tc>
        <w:tc>
          <w:tcPr>
            <w:tcW w:w="1512" w:type="dxa"/>
            <w:shd w:val="clear" w:color="auto" w:fill="F2F2F2" w:themeFill="background1" w:themeFillShade="F2"/>
          </w:tcPr>
          <w:p w:rsidR="003329A8" w:rsidRPr="003329A8" w:rsidRDefault="003329A8" w:rsidP="003329A8">
            <w:pPr>
              <w:pStyle w:val="WoVGtabletext"/>
            </w:pPr>
            <w:r w:rsidRPr="003329A8">
              <w:t>=(score/12)</w:t>
            </w:r>
            <w:r w:rsidR="0052429F">
              <w:br/>
            </w:r>
            <w:r w:rsidRPr="003329A8">
              <w:t>x25</w:t>
            </w:r>
          </w:p>
        </w:tc>
        <w:tc>
          <w:tcPr>
            <w:tcW w:w="1418" w:type="dxa"/>
            <w:shd w:val="clear" w:color="auto" w:fill="F2F2F2" w:themeFill="background1" w:themeFillShade="F2"/>
          </w:tcPr>
          <w:p w:rsidR="003329A8" w:rsidRPr="003329A8" w:rsidRDefault="003329A8" w:rsidP="003329A8">
            <w:pPr>
              <w:pStyle w:val="WoVGtabletext"/>
            </w:pPr>
            <w:r w:rsidRPr="003329A8">
              <w:t>=(score/25)</w:t>
            </w:r>
            <w:r w:rsidR="0052429F">
              <w:br/>
            </w:r>
            <w:r w:rsidRPr="003329A8">
              <w:t>x25</w:t>
            </w:r>
          </w:p>
        </w:tc>
        <w:tc>
          <w:tcPr>
            <w:tcW w:w="1606" w:type="dxa"/>
            <w:shd w:val="clear" w:color="auto" w:fill="F2F2F2" w:themeFill="background1" w:themeFillShade="F2"/>
          </w:tcPr>
          <w:p w:rsidR="003329A8" w:rsidRPr="003329A8" w:rsidRDefault="003329A8" w:rsidP="003329A8">
            <w:pPr>
              <w:pStyle w:val="WoVGtabletext"/>
            </w:pPr>
            <w:r w:rsidRPr="003329A8">
              <w:t>=(score/7)</w:t>
            </w:r>
            <w:r w:rsidR="0052429F">
              <w:br/>
            </w:r>
            <w:r w:rsidRPr="003329A8">
              <w:t>x25</w:t>
            </w:r>
          </w:p>
        </w:tc>
        <w:tc>
          <w:tcPr>
            <w:tcW w:w="1512" w:type="dxa"/>
            <w:shd w:val="clear" w:color="auto" w:fill="F2F2F2" w:themeFill="background1" w:themeFillShade="F2"/>
          </w:tcPr>
          <w:p w:rsidR="003329A8" w:rsidRPr="003329A8" w:rsidRDefault="003329A8" w:rsidP="003329A8">
            <w:pPr>
              <w:pStyle w:val="WoVGtabletext"/>
            </w:pPr>
            <w:r w:rsidRPr="003329A8">
              <w:t>=(score/57)</w:t>
            </w:r>
            <w:r w:rsidR="0052429F">
              <w:br/>
            </w:r>
            <w:r w:rsidRPr="003329A8">
              <w:t>x25</w:t>
            </w:r>
          </w:p>
        </w:tc>
      </w:tr>
      <w:tr w:rsidR="003329A8" w:rsidTr="00965FA8">
        <w:tc>
          <w:tcPr>
            <w:tcW w:w="1625" w:type="dxa"/>
            <w:shd w:val="clear" w:color="auto" w:fill="F2F2F2" w:themeFill="background1" w:themeFillShade="F2"/>
          </w:tcPr>
          <w:p w:rsidR="003329A8" w:rsidRPr="003329A8" w:rsidRDefault="003329A8" w:rsidP="003329A8">
            <w:pPr>
              <w:pStyle w:val="WoVGtablecolhead"/>
            </w:pPr>
            <w:r w:rsidRPr="003329A8">
              <w:t>Total Maturity Level***</w:t>
            </w:r>
          </w:p>
        </w:tc>
        <w:tc>
          <w:tcPr>
            <w:tcW w:w="1512" w:type="dxa"/>
            <w:shd w:val="clear" w:color="auto" w:fill="F2F2F2" w:themeFill="background1" w:themeFillShade="F2"/>
          </w:tcPr>
          <w:p w:rsidR="003329A8" w:rsidRPr="003329A8" w:rsidRDefault="003329A8" w:rsidP="003329A8">
            <w:pPr>
              <w:pStyle w:val="WoVGtabletext"/>
            </w:pPr>
          </w:p>
        </w:tc>
        <w:tc>
          <w:tcPr>
            <w:tcW w:w="1512" w:type="dxa"/>
            <w:shd w:val="clear" w:color="auto" w:fill="F2F2F2" w:themeFill="background1" w:themeFillShade="F2"/>
          </w:tcPr>
          <w:p w:rsidR="003329A8" w:rsidRPr="003329A8" w:rsidRDefault="003329A8" w:rsidP="003329A8">
            <w:pPr>
              <w:pStyle w:val="WoVGtabletext"/>
            </w:pPr>
          </w:p>
        </w:tc>
        <w:tc>
          <w:tcPr>
            <w:tcW w:w="1418" w:type="dxa"/>
            <w:shd w:val="clear" w:color="auto" w:fill="F2F2F2" w:themeFill="background1" w:themeFillShade="F2"/>
          </w:tcPr>
          <w:p w:rsidR="003329A8" w:rsidRPr="003329A8" w:rsidRDefault="003329A8" w:rsidP="003329A8">
            <w:pPr>
              <w:pStyle w:val="WoVGtabletext"/>
            </w:pPr>
          </w:p>
        </w:tc>
        <w:tc>
          <w:tcPr>
            <w:tcW w:w="1606" w:type="dxa"/>
            <w:shd w:val="clear" w:color="auto" w:fill="F2F2F2" w:themeFill="background1" w:themeFillShade="F2"/>
          </w:tcPr>
          <w:p w:rsidR="003329A8" w:rsidRPr="003329A8" w:rsidRDefault="003329A8" w:rsidP="003329A8">
            <w:pPr>
              <w:pStyle w:val="WoVGtabletext"/>
            </w:pPr>
          </w:p>
        </w:tc>
        <w:tc>
          <w:tcPr>
            <w:tcW w:w="1512" w:type="dxa"/>
            <w:shd w:val="clear" w:color="auto" w:fill="F2F2F2" w:themeFill="background1" w:themeFillShade="F2"/>
          </w:tcPr>
          <w:p w:rsidR="003329A8" w:rsidRPr="003329A8" w:rsidRDefault="003329A8" w:rsidP="003329A8">
            <w:pPr>
              <w:pStyle w:val="WoVGtabletext"/>
            </w:pPr>
          </w:p>
        </w:tc>
      </w:tr>
    </w:tbl>
    <w:p w:rsidR="003329A8" w:rsidRPr="003329A8" w:rsidRDefault="003329A8" w:rsidP="003329A8">
      <w:pPr>
        <w:pStyle w:val="WoVGtablefigurenote"/>
      </w:pPr>
      <w:r w:rsidRPr="003329A8">
        <w:t>* Total Score = Safety Systems Score + Safety Culture Score</w:t>
      </w:r>
    </w:p>
    <w:p w:rsidR="003329A8" w:rsidRPr="003329A8" w:rsidRDefault="003329A8" w:rsidP="003329A8">
      <w:pPr>
        <w:pStyle w:val="WoVGtablefigurenote"/>
      </w:pPr>
      <w:r w:rsidRPr="003329A8">
        <w:t>** Overall Score = Sum of each focus area score</w:t>
      </w:r>
    </w:p>
    <w:p w:rsidR="003329A8" w:rsidRPr="003329A8" w:rsidRDefault="003329A8" w:rsidP="003329A8">
      <w:pPr>
        <w:pStyle w:val="WoVGtablefigurenote"/>
      </w:pPr>
      <w:r w:rsidRPr="003329A8">
        <w:t>*** To determine maturity level, apply the % score to the scale below to determine maturity level (e.g. a score of 58% would indicate a maturity level of Consolidation)</w:t>
      </w:r>
    </w:p>
    <w:p w:rsidR="003329A8" w:rsidRDefault="003329A8" w:rsidP="003329A8">
      <w:pPr>
        <w:pStyle w:val="ListBullet"/>
        <w:numPr>
          <w:ilvl w:val="0"/>
          <w:numId w:val="0"/>
        </w:numPr>
      </w:pPr>
      <w:r>
        <w:rPr>
          <w:b/>
          <w:noProof/>
          <w:lang w:eastAsia="en-AU"/>
        </w:rPr>
        <w:drawing>
          <wp:inline distT="0" distB="0" distL="0" distR="0" wp14:anchorId="791C0BE5" wp14:editId="4401587C">
            <wp:extent cx="5727700" cy="1053465"/>
            <wp:effectExtent l="0" t="0" r="6350" b="0"/>
            <wp:docPr id="22" name="Picture 22" descr="Key to the four levels of the scoring system as presented earlier in Figure 4. Level 1: Unstructured. Level 2: Foundation. Level 3: Consolidation. Level 4: Leading and learning. Each level represents 25% of the process of full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918E152.tmp"/>
                    <pic:cNvPicPr/>
                  </pic:nvPicPr>
                  <pic:blipFill>
                    <a:blip r:embed="rId28">
                      <a:extLst>
                        <a:ext uri="{28A0092B-C50C-407E-A947-70E740481C1C}">
                          <a14:useLocalDpi xmlns:a14="http://schemas.microsoft.com/office/drawing/2010/main" val="0"/>
                        </a:ext>
                      </a:extLst>
                    </a:blip>
                    <a:stretch>
                      <a:fillRect/>
                    </a:stretch>
                  </pic:blipFill>
                  <pic:spPr>
                    <a:xfrm>
                      <a:off x="0" y="0"/>
                      <a:ext cx="5727700" cy="1053465"/>
                    </a:xfrm>
                    <a:prstGeom prst="rect">
                      <a:avLst/>
                    </a:prstGeom>
                  </pic:spPr>
                </pic:pic>
              </a:graphicData>
            </a:graphic>
          </wp:inline>
        </w:drawing>
      </w:r>
    </w:p>
    <w:p w:rsidR="003329A8" w:rsidRDefault="003329A8" w:rsidP="0047128D">
      <w:pPr>
        <w:pStyle w:val="WoVGbody"/>
      </w:pPr>
      <w:r>
        <w:br w:type="page"/>
      </w:r>
    </w:p>
    <w:p w:rsidR="003329A8" w:rsidRPr="00806DF6" w:rsidRDefault="002219EE" w:rsidP="003329A8">
      <w:pPr>
        <w:pStyle w:val="Heading2"/>
      </w:pPr>
      <w:bookmarkStart w:id="112" w:name="_Toc477934208"/>
      <w:bookmarkStart w:id="113" w:name="_Toc9246009"/>
      <w:r>
        <w:lastRenderedPageBreak/>
        <w:t>5</w:t>
      </w:r>
      <w:r w:rsidR="00792402">
        <w:t>.5</w:t>
      </w:r>
      <w:r>
        <w:t xml:space="preserve"> </w:t>
      </w:r>
      <w:r w:rsidR="003329A8" w:rsidRPr="008D04AE">
        <w:rPr>
          <w:rStyle w:val="Emphasis"/>
        </w:rPr>
        <w:t>Leading the Way</w:t>
      </w:r>
      <w:r w:rsidR="003329A8" w:rsidRPr="00806DF6">
        <w:t xml:space="preserve"> Action Plan</w:t>
      </w:r>
      <w:bookmarkEnd w:id="112"/>
      <w:bookmarkEnd w:id="113"/>
    </w:p>
    <w:p w:rsidR="003329A8" w:rsidRPr="003329A8" w:rsidRDefault="003329A8" w:rsidP="008D04AE">
      <w:pPr>
        <w:pStyle w:val="WoVGbody"/>
      </w:pPr>
      <w:r w:rsidRPr="003329A8">
        <w:t xml:space="preserve">The </w:t>
      </w:r>
      <w:r w:rsidRPr="008D04AE">
        <w:rPr>
          <w:rStyle w:val="Emphasis"/>
        </w:rPr>
        <w:t>Leading the Way</w:t>
      </w:r>
      <w:r w:rsidRPr="003329A8">
        <w:t xml:space="preserve"> Action Plan is the tool to articulate and drive each department’s OHS improvement strategy.</w:t>
      </w:r>
    </w:p>
    <w:p w:rsidR="00562F6D" w:rsidRDefault="00792402" w:rsidP="00792402">
      <w:pPr>
        <w:pStyle w:val="Heading3"/>
      </w:pPr>
      <w:r>
        <w:t xml:space="preserve">5.5.1 </w:t>
      </w:r>
      <w:r w:rsidR="003329A8" w:rsidRPr="003329A8">
        <w:t>Identifying improvement actions</w:t>
      </w:r>
    </w:p>
    <w:p w:rsidR="00562F6D" w:rsidRDefault="003329A8" w:rsidP="007E2A52">
      <w:pPr>
        <w:pStyle w:val="WoVGbody"/>
      </w:pPr>
      <w:r w:rsidRPr="003329A8">
        <w:t>Government departments can use analysis of the self-assessment results to identify strengths, weaknesses and opportunities for improvement in each focus area. Departments should establish measureable targets for improvement.</w:t>
      </w:r>
    </w:p>
    <w:p w:rsidR="00562F6D" w:rsidRDefault="003329A8" w:rsidP="007E2A52">
      <w:pPr>
        <w:pStyle w:val="WoVGbody"/>
      </w:pPr>
      <w:r w:rsidRPr="003329A8">
        <w:t>The Leading the Way self-assessment data should be used in conjunction with other OHS performance data to identify priorities for action.</w:t>
      </w:r>
    </w:p>
    <w:p w:rsidR="00562F6D" w:rsidRDefault="003329A8" w:rsidP="007E2A52">
      <w:pPr>
        <w:pStyle w:val="WoVGbody"/>
      </w:pPr>
      <w:r w:rsidRPr="003329A8">
        <w:t>The Leading the Way maturity model lends guidance to selecting the most useful change actions for the current level of safety maturity.</w:t>
      </w:r>
    </w:p>
    <w:p w:rsidR="00562F6D" w:rsidRDefault="003329A8" w:rsidP="007E2A52">
      <w:pPr>
        <w:pStyle w:val="WoVGbody"/>
      </w:pPr>
      <w:r w:rsidRPr="003329A8">
        <w:t>Departments should select improvement actions across all four Leading the Way focus areas.</w:t>
      </w:r>
    </w:p>
    <w:p w:rsidR="00562F6D" w:rsidRDefault="00792402" w:rsidP="00792402">
      <w:pPr>
        <w:pStyle w:val="Heading3"/>
      </w:pPr>
      <w:r>
        <w:t xml:space="preserve">5.5.2 </w:t>
      </w:r>
      <w:r w:rsidR="003329A8" w:rsidRPr="003329A8">
        <w:t>Documenting the Action Plan</w:t>
      </w:r>
    </w:p>
    <w:p w:rsidR="00562F6D" w:rsidRDefault="003329A8" w:rsidP="007E2A52">
      <w:pPr>
        <w:pStyle w:val="WoVGbody"/>
      </w:pPr>
      <w:r w:rsidRPr="003329A8">
        <w:t>Departments can use either the sample Action Plan template shown in section 5.4.1 or their own template, provided it is consistent with all elements the sample action plan.</w:t>
      </w:r>
    </w:p>
    <w:p w:rsidR="00562F6D" w:rsidRDefault="003329A8" w:rsidP="007E2A52">
      <w:pPr>
        <w:pStyle w:val="WoVGbody"/>
      </w:pPr>
      <w:r w:rsidRPr="003329A8">
        <w:t>The priority rating assigned to each action should be according to the department’s own risk management methodology.</w:t>
      </w:r>
    </w:p>
    <w:p w:rsidR="003329A8" w:rsidRPr="003329A8" w:rsidRDefault="003329A8" w:rsidP="0047128D">
      <w:pPr>
        <w:pStyle w:val="WoVGbody"/>
      </w:pPr>
      <w:r w:rsidRPr="003329A8">
        <w:t>Development of the action plan should include consultation with:</w:t>
      </w:r>
    </w:p>
    <w:p w:rsidR="00562F6D" w:rsidRDefault="003329A8" w:rsidP="003329A8">
      <w:pPr>
        <w:pStyle w:val="WoVGbullet1"/>
      </w:pPr>
      <w:r w:rsidRPr="003329A8">
        <w:t>the department’s OHS professionals or advisors and</w:t>
      </w:r>
    </w:p>
    <w:p w:rsidR="003329A8" w:rsidRPr="003329A8" w:rsidRDefault="003329A8" w:rsidP="003329A8">
      <w:pPr>
        <w:pStyle w:val="WoVGbullet1"/>
      </w:pPr>
      <w:r w:rsidRPr="003329A8">
        <w:t>workers and their representatives, through OHS consultative forums or processes.</w:t>
      </w:r>
    </w:p>
    <w:p w:rsidR="00562F6D" w:rsidRDefault="003329A8" w:rsidP="0047128D">
      <w:pPr>
        <w:pStyle w:val="WoVGbodyafterbullets"/>
      </w:pPr>
      <w:r w:rsidRPr="007E2A52">
        <w:t>The evaluation column should include evidence demonstrating that the action has been implemented and is effective.</w:t>
      </w:r>
    </w:p>
    <w:p w:rsidR="003329A8" w:rsidRPr="007E2A52" w:rsidRDefault="00792402" w:rsidP="00792402">
      <w:pPr>
        <w:pStyle w:val="Heading3"/>
      </w:pPr>
      <w:r>
        <w:t xml:space="preserve">5.5.3 </w:t>
      </w:r>
      <w:r w:rsidR="003329A8" w:rsidRPr="007E2A52">
        <w:t>Monitoring progress of actions</w:t>
      </w:r>
    </w:p>
    <w:p w:rsidR="00562F6D" w:rsidRDefault="003329A8" w:rsidP="007E2A52">
      <w:pPr>
        <w:pStyle w:val="WoVGbody"/>
      </w:pPr>
      <w:r w:rsidRPr="003329A8">
        <w:t>Progress and implementation of action items should be monitored against timelines and reported to senior management.</w:t>
      </w:r>
    </w:p>
    <w:p w:rsidR="003329A8" w:rsidRPr="003329A8" w:rsidRDefault="003329A8" w:rsidP="007E2A52">
      <w:pPr>
        <w:pStyle w:val="WoVGbody"/>
      </w:pPr>
      <w:r w:rsidRPr="003329A8">
        <w:t>Departments may periodically re-assess against the maturity curve using the self-assessment tools to gauge whether actions taken are improving their performance in the particular focus area(s).</w:t>
      </w:r>
    </w:p>
    <w:p w:rsidR="00FD5172" w:rsidRDefault="00FD5172" w:rsidP="008D04AE">
      <w:pPr>
        <w:pStyle w:val="WoVGbody"/>
        <w:rPr>
          <w:lang w:val="en-GB"/>
        </w:rPr>
      </w:pPr>
    </w:p>
    <w:p w:rsidR="00FD5172" w:rsidRDefault="00FD5172" w:rsidP="0047128D">
      <w:pPr>
        <w:pStyle w:val="WoVGbody"/>
        <w:rPr>
          <w:lang w:val="en-GB"/>
        </w:rPr>
        <w:sectPr w:rsidR="00FD5172" w:rsidSect="0015731D">
          <w:headerReference w:type="default" r:id="rId29"/>
          <w:pgSz w:w="11906" w:h="16838"/>
          <w:pgMar w:top="1701" w:right="1304" w:bottom="1134" w:left="1304" w:header="454" w:footer="510" w:gutter="0"/>
          <w:cols w:space="720"/>
          <w:docGrid w:linePitch="360"/>
        </w:sectPr>
      </w:pPr>
    </w:p>
    <w:p w:rsidR="00FD5172" w:rsidRPr="00806DF6" w:rsidRDefault="00FD5172" w:rsidP="006A0F87">
      <w:pPr>
        <w:pStyle w:val="Heading3"/>
        <w:spacing w:before="0"/>
      </w:pPr>
      <w:r>
        <w:lastRenderedPageBreak/>
        <w:t>5.</w:t>
      </w:r>
      <w:r w:rsidR="00792402">
        <w:t>5.4</w:t>
      </w:r>
      <w:r>
        <w:t xml:space="preserve"> </w:t>
      </w:r>
      <w:r w:rsidRPr="00806DF6">
        <w:t>Sample Action Plan Template</w:t>
      </w:r>
    </w:p>
    <w:tbl>
      <w:tblPr>
        <w:tblStyle w:val="TableGrid1"/>
        <w:tblW w:w="13991" w:type="dxa"/>
        <w:tblLayout w:type="fixed"/>
        <w:tblLook w:val="04A0" w:firstRow="1" w:lastRow="0" w:firstColumn="1" w:lastColumn="0" w:noHBand="0" w:noVBand="1"/>
      </w:tblPr>
      <w:tblGrid>
        <w:gridCol w:w="1129"/>
        <w:gridCol w:w="5866"/>
        <w:gridCol w:w="1931"/>
        <w:gridCol w:w="5065"/>
      </w:tblGrid>
      <w:tr w:rsidR="006A0F87" w:rsidTr="00240D8C">
        <w:tc>
          <w:tcPr>
            <w:tcW w:w="403" w:type="pct"/>
          </w:tcPr>
          <w:p w:rsidR="006A0F87" w:rsidRPr="007E2A52" w:rsidRDefault="006A0F87" w:rsidP="00F837CB">
            <w:pPr>
              <w:pStyle w:val="WoVGtablecolhead"/>
            </w:pPr>
            <w:r w:rsidRPr="007E2A52">
              <w:t>Year</w:t>
            </w:r>
          </w:p>
        </w:tc>
        <w:tc>
          <w:tcPr>
            <w:tcW w:w="2096" w:type="pct"/>
          </w:tcPr>
          <w:p w:rsidR="006A0F87" w:rsidRPr="007E2A52" w:rsidRDefault="00240D8C" w:rsidP="00F837CB">
            <w:pPr>
              <w:pStyle w:val="WoVGtablecolhead"/>
            </w:pPr>
            <w:r w:rsidRPr="007E2A52">
              <w:t>(e.g. January 20XX to December 20XX)</w:t>
            </w:r>
          </w:p>
        </w:tc>
        <w:tc>
          <w:tcPr>
            <w:tcW w:w="690" w:type="pct"/>
          </w:tcPr>
          <w:p w:rsidR="006A0F87" w:rsidRPr="007E2A52" w:rsidRDefault="006A0F87" w:rsidP="0047128D">
            <w:pPr>
              <w:pStyle w:val="WoVGtablecolhead"/>
            </w:pPr>
            <w:r w:rsidRPr="007E2A52">
              <w:t>Workplace(s):</w:t>
            </w:r>
          </w:p>
        </w:tc>
        <w:tc>
          <w:tcPr>
            <w:tcW w:w="1810" w:type="pct"/>
          </w:tcPr>
          <w:p w:rsidR="006A0F87" w:rsidRPr="007E2A52" w:rsidRDefault="006A0F87" w:rsidP="0047128D">
            <w:pPr>
              <w:pStyle w:val="WoVGtablecolhead"/>
            </w:pPr>
          </w:p>
        </w:tc>
      </w:tr>
      <w:tr w:rsidR="006A0F87" w:rsidTr="00240D8C">
        <w:tc>
          <w:tcPr>
            <w:tcW w:w="403" w:type="pct"/>
          </w:tcPr>
          <w:p w:rsidR="006A0F87" w:rsidRPr="007E2A52" w:rsidRDefault="006A0F87" w:rsidP="00F837CB">
            <w:pPr>
              <w:pStyle w:val="WoVGtablecolhead"/>
            </w:pPr>
            <w:r w:rsidRPr="007E2A52">
              <w:t>Owner:</w:t>
            </w:r>
          </w:p>
        </w:tc>
        <w:tc>
          <w:tcPr>
            <w:tcW w:w="2096" w:type="pct"/>
          </w:tcPr>
          <w:p w:rsidR="006A0F87" w:rsidRPr="007E2A52" w:rsidRDefault="00240D8C" w:rsidP="00F837CB">
            <w:pPr>
              <w:pStyle w:val="WoVGtablecolhead"/>
            </w:pPr>
            <w:r w:rsidRPr="007E2A52">
              <w:t>(e.g. OHS Committee)</w:t>
            </w:r>
          </w:p>
        </w:tc>
        <w:tc>
          <w:tcPr>
            <w:tcW w:w="690" w:type="pct"/>
          </w:tcPr>
          <w:p w:rsidR="006A0F87" w:rsidRPr="007E2A52" w:rsidRDefault="006A0F87" w:rsidP="0047128D">
            <w:pPr>
              <w:pStyle w:val="WoVGtablecolhead"/>
            </w:pPr>
            <w:r w:rsidRPr="007E2A52">
              <w:t>Date completed:</w:t>
            </w:r>
          </w:p>
        </w:tc>
        <w:tc>
          <w:tcPr>
            <w:tcW w:w="1810" w:type="pct"/>
          </w:tcPr>
          <w:p w:rsidR="006A0F87" w:rsidRPr="007E2A52" w:rsidRDefault="006A0F87" w:rsidP="0047128D">
            <w:pPr>
              <w:pStyle w:val="WoVGtablecolhead"/>
            </w:pPr>
          </w:p>
        </w:tc>
      </w:tr>
    </w:tbl>
    <w:p w:rsidR="006A0F87" w:rsidRDefault="00240D8C" w:rsidP="00240D8C">
      <w:pPr>
        <w:pStyle w:val="WoVGbodyaftertablefigure"/>
      </w:pPr>
      <w:r>
        <w:t>Note: The action plan presented in the following table is a sample only.</w:t>
      </w:r>
    </w:p>
    <w:tbl>
      <w:tblPr>
        <w:tblStyle w:val="TableGrid1"/>
        <w:tblW w:w="13991" w:type="dxa"/>
        <w:tblLayout w:type="fixed"/>
        <w:tblLook w:val="06A0" w:firstRow="1" w:lastRow="0" w:firstColumn="1" w:lastColumn="0" w:noHBand="1" w:noVBand="1"/>
      </w:tblPr>
      <w:tblGrid>
        <w:gridCol w:w="1809"/>
        <w:gridCol w:w="2694"/>
        <w:gridCol w:w="992"/>
        <w:gridCol w:w="1843"/>
        <w:gridCol w:w="1559"/>
        <w:gridCol w:w="1134"/>
        <w:gridCol w:w="1276"/>
        <w:gridCol w:w="2684"/>
      </w:tblGrid>
      <w:tr w:rsidR="00FD5172" w:rsidRPr="0066106F" w:rsidTr="00587005">
        <w:trPr>
          <w:cantSplit/>
          <w:tblHeader/>
        </w:trPr>
        <w:tc>
          <w:tcPr>
            <w:tcW w:w="1809" w:type="dxa"/>
            <w:tcBorders>
              <w:bottom w:val="single" w:sz="4" w:space="0" w:color="auto"/>
            </w:tcBorders>
            <w:shd w:val="clear" w:color="auto" w:fill="92CDDC"/>
          </w:tcPr>
          <w:p w:rsidR="00FD5172" w:rsidRPr="007E2A52" w:rsidRDefault="00FD5172" w:rsidP="00F837CB">
            <w:pPr>
              <w:pStyle w:val="WoVGtablecolhead"/>
            </w:pPr>
            <w:r w:rsidRPr="007E2A52">
              <w:t>Focus area criteria</w:t>
            </w:r>
          </w:p>
        </w:tc>
        <w:tc>
          <w:tcPr>
            <w:tcW w:w="2694" w:type="dxa"/>
            <w:tcBorders>
              <w:bottom w:val="single" w:sz="4" w:space="0" w:color="auto"/>
            </w:tcBorders>
            <w:shd w:val="clear" w:color="auto" w:fill="92CDDC"/>
          </w:tcPr>
          <w:p w:rsidR="00FD5172" w:rsidRPr="007E2A52" w:rsidRDefault="00FD5172" w:rsidP="00F837CB">
            <w:pPr>
              <w:pStyle w:val="WoVGtablecolhead"/>
            </w:pPr>
            <w:r w:rsidRPr="007E2A52">
              <w:t>Action(s)</w:t>
            </w:r>
          </w:p>
        </w:tc>
        <w:tc>
          <w:tcPr>
            <w:tcW w:w="992" w:type="dxa"/>
            <w:tcBorders>
              <w:bottom w:val="single" w:sz="4" w:space="0" w:color="auto"/>
            </w:tcBorders>
            <w:shd w:val="clear" w:color="auto" w:fill="92CDDC"/>
          </w:tcPr>
          <w:p w:rsidR="00FD5172" w:rsidRPr="007E2A52" w:rsidRDefault="00FD5172" w:rsidP="00F837CB">
            <w:pPr>
              <w:pStyle w:val="WoVGtablecolhead"/>
            </w:pPr>
            <w:r w:rsidRPr="007E2A52">
              <w:t>Priority</w:t>
            </w:r>
          </w:p>
        </w:tc>
        <w:tc>
          <w:tcPr>
            <w:tcW w:w="1843" w:type="dxa"/>
            <w:tcBorders>
              <w:bottom w:val="single" w:sz="4" w:space="0" w:color="auto"/>
            </w:tcBorders>
            <w:shd w:val="clear" w:color="auto" w:fill="92CDDC"/>
          </w:tcPr>
          <w:p w:rsidR="00FD5172" w:rsidRPr="007E2A52" w:rsidRDefault="00FD5172" w:rsidP="00F837CB">
            <w:pPr>
              <w:pStyle w:val="WoVGtablecolhead"/>
            </w:pPr>
            <w:r w:rsidRPr="007E2A52">
              <w:t>Responsibility</w:t>
            </w:r>
          </w:p>
        </w:tc>
        <w:tc>
          <w:tcPr>
            <w:tcW w:w="1559" w:type="dxa"/>
            <w:tcBorders>
              <w:bottom w:val="single" w:sz="4" w:space="0" w:color="auto"/>
            </w:tcBorders>
            <w:shd w:val="clear" w:color="auto" w:fill="92CDDC"/>
          </w:tcPr>
          <w:p w:rsidR="00FD5172" w:rsidRPr="007E2A52" w:rsidRDefault="00FD5172" w:rsidP="00F837CB">
            <w:pPr>
              <w:pStyle w:val="WoVGtablecolhead"/>
            </w:pPr>
            <w:r w:rsidRPr="007E2A52">
              <w:t>Timeline</w:t>
            </w:r>
          </w:p>
        </w:tc>
        <w:tc>
          <w:tcPr>
            <w:tcW w:w="1134" w:type="dxa"/>
            <w:tcBorders>
              <w:bottom w:val="single" w:sz="4" w:space="0" w:color="auto"/>
            </w:tcBorders>
            <w:shd w:val="clear" w:color="auto" w:fill="92CDDC"/>
          </w:tcPr>
          <w:p w:rsidR="00FD5172" w:rsidRPr="007E2A52" w:rsidRDefault="00FD5172" w:rsidP="00F837CB">
            <w:pPr>
              <w:pStyle w:val="WoVGtablecolhead"/>
            </w:pPr>
            <w:r w:rsidRPr="007E2A52">
              <w:t>Budget</w:t>
            </w:r>
          </w:p>
        </w:tc>
        <w:tc>
          <w:tcPr>
            <w:tcW w:w="1276" w:type="dxa"/>
            <w:tcBorders>
              <w:bottom w:val="single" w:sz="4" w:space="0" w:color="auto"/>
            </w:tcBorders>
            <w:shd w:val="clear" w:color="auto" w:fill="92CDDC"/>
          </w:tcPr>
          <w:p w:rsidR="00FD5172" w:rsidRPr="007E2A52" w:rsidRDefault="00FD5172" w:rsidP="00F837CB">
            <w:pPr>
              <w:pStyle w:val="WoVGtablecolhead"/>
            </w:pPr>
            <w:r w:rsidRPr="007E2A52">
              <w:t>Status</w:t>
            </w:r>
          </w:p>
        </w:tc>
        <w:tc>
          <w:tcPr>
            <w:tcW w:w="2684" w:type="dxa"/>
            <w:tcBorders>
              <w:bottom w:val="single" w:sz="4" w:space="0" w:color="auto"/>
            </w:tcBorders>
            <w:shd w:val="clear" w:color="auto" w:fill="92CDDC"/>
          </w:tcPr>
          <w:p w:rsidR="00FD5172" w:rsidRPr="007E2A52" w:rsidRDefault="00FD5172" w:rsidP="00F837CB">
            <w:pPr>
              <w:pStyle w:val="WoVGtablecolhead"/>
            </w:pPr>
            <w:r w:rsidRPr="007E2A52">
              <w:t>Evaluation</w:t>
            </w:r>
          </w:p>
        </w:tc>
      </w:tr>
      <w:tr w:rsidR="00FD5172" w:rsidRPr="0066106F" w:rsidTr="00587005">
        <w:trPr>
          <w:cantSplit/>
        </w:trPr>
        <w:tc>
          <w:tcPr>
            <w:tcW w:w="1809" w:type="dxa"/>
            <w:vMerge w:val="restart"/>
            <w:shd w:val="clear" w:color="auto" w:fill="F2F2F2" w:themeFill="background1" w:themeFillShade="F2"/>
          </w:tcPr>
          <w:p w:rsidR="00FD5172" w:rsidRPr="007E2A52" w:rsidRDefault="00FD5172" w:rsidP="00F837CB">
            <w:pPr>
              <w:pStyle w:val="WoVGtabletext"/>
              <w:rPr>
                <w:rFonts w:cs="Arial"/>
              </w:rPr>
            </w:pPr>
            <w:r w:rsidRPr="007E2A52">
              <w:rPr>
                <w:rFonts w:cs="Arial"/>
              </w:rPr>
              <w:t>(e.g.) Senior management commitment to OHS</w:t>
            </w:r>
          </w:p>
        </w:tc>
        <w:tc>
          <w:tcPr>
            <w:tcW w:w="2694" w:type="dxa"/>
            <w:shd w:val="clear" w:color="auto" w:fill="F2F2F2" w:themeFill="background1" w:themeFillShade="F2"/>
          </w:tcPr>
          <w:p w:rsidR="00FD5172" w:rsidRPr="007E2A52" w:rsidRDefault="00FD5172" w:rsidP="00F837CB">
            <w:pPr>
              <w:pStyle w:val="WoVGtabletext"/>
              <w:rPr>
                <w:rFonts w:cs="Arial"/>
              </w:rPr>
            </w:pPr>
            <w:r w:rsidRPr="007E2A52">
              <w:rPr>
                <w:rFonts w:cs="Arial"/>
              </w:rPr>
              <w:t>Senior management nominee to develop an OHS policy in consultation with workers</w:t>
            </w:r>
          </w:p>
        </w:tc>
        <w:tc>
          <w:tcPr>
            <w:tcW w:w="992" w:type="dxa"/>
            <w:shd w:val="clear" w:color="auto" w:fill="F2F2F2" w:themeFill="background1" w:themeFillShade="F2"/>
          </w:tcPr>
          <w:p w:rsidR="00FD5172" w:rsidRPr="007E2A52" w:rsidRDefault="00FD5172" w:rsidP="00F837CB">
            <w:pPr>
              <w:pStyle w:val="WoVGtabletext"/>
              <w:rPr>
                <w:rFonts w:cs="Arial"/>
              </w:rPr>
            </w:pPr>
            <w:r w:rsidRPr="007E2A52">
              <w:rPr>
                <w:rFonts w:cs="Arial"/>
              </w:rPr>
              <w:t>High</w:t>
            </w:r>
          </w:p>
        </w:tc>
        <w:tc>
          <w:tcPr>
            <w:tcW w:w="1843" w:type="dxa"/>
            <w:shd w:val="clear" w:color="auto" w:fill="F2F2F2" w:themeFill="background1" w:themeFillShade="F2"/>
          </w:tcPr>
          <w:p w:rsidR="00FD5172" w:rsidRPr="007E2A52" w:rsidRDefault="00FD5172" w:rsidP="00F837CB">
            <w:pPr>
              <w:pStyle w:val="WoVGtabletext"/>
              <w:rPr>
                <w:rFonts w:cs="Arial"/>
              </w:rPr>
            </w:pPr>
            <w:r w:rsidRPr="007E2A52">
              <w:rPr>
                <w:rFonts w:cs="Arial"/>
              </w:rPr>
              <w:t>Senior management nominee</w:t>
            </w:r>
          </w:p>
        </w:tc>
        <w:tc>
          <w:tcPr>
            <w:tcW w:w="1559" w:type="dxa"/>
            <w:shd w:val="clear" w:color="auto" w:fill="F2F2F2" w:themeFill="background1" w:themeFillShade="F2"/>
          </w:tcPr>
          <w:p w:rsidR="00FD5172" w:rsidRPr="007E2A52" w:rsidRDefault="00FD5172" w:rsidP="00F837CB">
            <w:pPr>
              <w:pStyle w:val="WoVGtabletext"/>
              <w:rPr>
                <w:rFonts w:cs="Arial"/>
              </w:rPr>
            </w:pPr>
            <w:r w:rsidRPr="007E2A52">
              <w:rPr>
                <w:rFonts w:cs="Arial"/>
              </w:rPr>
              <w:t>1 June 20XX</w:t>
            </w:r>
          </w:p>
        </w:tc>
        <w:tc>
          <w:tcPr>
            <w:tcW w:w="1134" w:type="dxa"/>
            <w:shd w:val="clear" w:color="auto" w:fill="F2F2F2" w:themeFill="background1" w:themeFillShade="F2"/>
          </w:tcPr>
          <w:p w:rsidR="00FD5172" w:rsidRPr="007E2A52" w:rsidRDefault="00FD5172" w:rsidP="00F837CB">
            <w:pPr>
              <w:pStyle w:val="WoVGtabletext"/>
              <w:rPr>
                <w:rFonts w:cs="Arial"/>
              </w:rPr>
            </w:pPr>
            <w:r w:rsidRPr="007E2A52">
              <w:rPr>
                <w:rFonts w:cs="Arial"/>
              </w:rPr>
              <w:t>$5000</w:t>
            </w:r>
          </w:p>
        </w:tc>
        <w:tc>
          <w:tcPr>
            <w:tcW w:w="1276" w:type="dxa"/>
            <w:shd w:val="clear" w:color="auto" w:fill="F2F2F2" w:themeFill="background1" w:themeFillShade="F2"/>
          </w:tcPr>
          <w:p w:rsidR="00FD5172" w:rsidRPr="007E2A52" w:rsidRDefault="00FD5172" w:rsidP="00F837CB">
            <w:pPr>
              <w:pStyle w:val="WoVGtabletext"/>
              <w:rPr>
                <w:rFonts w:cs="Arial"/>
              </w:rPr>
            </w:pPr>
            <w:r w:rsidRPr="007E2A52">
              <w:rPr>
                <w:rFonts w:cs="Arial"/>
              </w:rPr>
              <w:t>Action completed 31/05/20XX</w:t>
            </w:r>
          </w:p>
        </w:tc>
        <w:tc>
          <w:tcPr>
            <w:tcW w:w="2684" w:type="dxa"/>
            <w:shd w:val="clear" w:color="auto" w:fill="F2F2F2" w:themeFill="background1" w:themeFillShade="F2"/>
          </w:tcPr>
          <w:p w:rsidR="00FD5172" w:rsidRPr="007E2A52" w:rsidRDefault="00FD5172" w:rsidP="00F837CB">
            <w:pPr>
              <w:pStyle w:val="WoVGtabletext"/>
              <w:rPr>
                <w:rFonts w:cs="Arial"/>
              </w:rPr>
            </w:pPr>
            <w:r w:rsidRPr="007E2A52">
              <w:rPr>
                <w:rFonts w:cs="Arial"/>
              </w:rPr>
              <w:t>Management review of OHS management system</w:t>
            </w:r>
          </w:p>
        </w:tc>
      </w:tr>
      <w:tr w:rsidR="00FD5172" w:rsidRPr="0066106F" w:rsidTr="00587005">
        <w:trPr>
          <w:cantSplit/>
        </w:trPr>
        <w:tc>
          <w:tcPr>
            <w:tcW w:w="1809" w:type="dxa"/>
            <w:vMerge/>
            <w:shd w:val="clear" w:color="auto" w:fill="F2F2F2" w:themeFill="background1" w:themeFillShade="F2"/>
          </w:tcPr>
          <w:p w:rsidR="00FD5172" w:rsidRPr="007E2A52" w:rsidRDefault="00FD5172" w:rsidP="00F837CB">
            <w:pPr>
              <w:pStyle w:val="WoVGtabletext"/>
              <w:rPr>
                <w:rFonts w:cs="Arial"/>
              </w:rPr>
            </w:pPr>
          </w:p>
        </w:tc>
        <w:tc>
          <w:tcPr>
            <w:tcW w:w="2694" w:type="dxa"/>
            <w:shd w:val="clear" w:color="auto" w:fill="F2F2F2" w:themeFill="background1" w:themeFillShade="F2"/>
          </w:tcPr>
          <w:p w:rsidR="00FD5172" w:rsidRPr="007E2A52" w:rsidRDefault="00FD5172" w:rsidP="00F837CB">
            <w:pPr>
              <w:pStyle w:val="WoVGtabletext"/>
              <w:rPr>
                <w:rFonts w:cs="Arial"/>
              </w:rPr>
            </w:pPr>
            <w:r w:rsidRPr="007E2A52">
              <w:rPr>
                <w:rFonts w:cs="Arial"/>
              </w:rPr>
              <w:t>Chief Executive Officer endorses OHS policy and communicates expectation of effective implementation</w:t>
            </w:r>
          </w:p>
        </w:tc>
        <w:tc>
          <w:tcPr>
            <w:tcW w:w="992" w:type="dxa"/>
            <w:shd w:val="clear" w:color="auto" w:fill="F2F2F2" w:themeFill="background1" w:themeFillShade="F2"/>
          </w:tcPr>
          <w:p w:rsidR="00FD5172" w:rsidRPr="007E2A52" w:rsidRDefault="00FD5172" w:rsidP="00F837CB">
            <w:pPr>
              <w:pStyle w:val="WoVGtabletext"/>
              <w:rPr>
                <w:rFonts w:cs="Arial"/>
              </w:rPr>
            </w:pPr>
            <w:r w:rsidRPr="007E2A52">
              <w:rPr>
                <w:rFonts w:cs="Arial"/>
              </w:rPr>
              <w:t>High</w:t>
            </w:r>
          </w:p>
        </w:tc>
        <w:tc>
          <w:tcPr>
            <w:tcW w:w="1843" w:type="dxa"/>
            <w:shd w:val="clear" w:color="auto" w:fill="F2F2F2" w:themeFill="background1" w:themeFillShade="F2"/>
          </w:tcPr>
          <w:p w:rsidR="00FD5172" w:rsidRPr="007E2A52" w:rsidRDefault="00FD5172" w:rsidP="00F837CB">
            <w:pPr>
              <w:pStyle w:val="WoVGtabletext"/>
              <w:rPr>
                <w:rFonts w:cs="Arial"/>
              </w:rPr>
            </w:pPr>
            <w:r w:rsidRPr="007E2A52">
              <w:rPr>
                <w:rFonts w:cs="Arial"/>
              </w:rPr>
              <w:t>Chief Executive Officer</w:t>
            </w:r>
          </w:p>
        </w:tc>
        <w:tc>
          <w:tcPr>
            <w:tcW w:w="1559" w:type="dxa"/>
            <w:shd w:val="clear" w:color="auto" w:fill="F2F2F2" w:themeFill="background1" w:themeFillShade="F2"/>
          </w:tcPr>
          <w:p w:rsidR="00FD5172" w:rsidRPr="007E2A52" w:rsidRDefault="00FD5172" w:rsidP="00F837CB">
            <w:pPr>
              <w:pStyle w:val="WoVGtabletext"/>
              <w:rPr>
                <w:rFonts w:cs="Arial"/>
              </w:rPr>
            </w:pPr>
            <w:r w:rsidRPr="007E2A52">
              <w:rPr>
                <w:rFonts w:cs="Arial"/>
              </w:rPr>
              <w:t>30 June 20XX</w:t>
            </w:r>
          </w:p>
        </w:tc>
        <w:tc>
          <w:tcPr>
            <w:tcW w:w="1134" w:type="dxa"/>
            <w:shd w:val="clear" w:color="auto" w:fill="F2F2F2" w:themeFill="background1" w:themeFillShade="F2"/>
          </w:tcPr>
          <w:p w:rsidR="00FD5172" w:rsidRPr="007E2A52" w:rsidRDefault="00FD5172" w:rsidP="00F837CB">
            <w:pPr>
              <w:pStyle w:val="WoVGtabletext"/>
              <w:rPr>
                <w:rFonts w:cs="Arial"/>
              </w:rPr>
            </w:pPr>
            <w:r w:rsidRPr="007E2A52">
              <w:rPr>
                <w:rFonts w:cs="Arial"/>
              </w:rPr>
              <w:t>$1000</w:t>
            </w:r>
          </w:p>
        </w:tc>
        <w:tc>
          <w:tcPr>
            <w:tcW w:w="1276" w:type="dxa"/>
            <w:shd w:val="clear" w:color="auto" w:fill="F2F2F2" w:themeFill="background1" w:themeFillShade="F2"/>
          </w:tcPr>
          <w:p w:rsidR="00FD5172" w:rsidRPr="007E2A52" w:rsidRDefault="00FD5172" w:rsidP="00F837CB">
            <w:pPr>
              <w:pStyle w:val="WoVGtabletext"/>
              <w:rPr>
                <w:rFonts w:cs="Arial"/>
              </w:rPr>
            </w:pPr>
            <w:r w:rsidRPr="007E2A52">
              <w:rPr>
                <w:rFonts w:cs="Arial"/>
              </w:rPr>
              <w:t>In progress</w:t>
            </w:r>
          </w:p>
        </w:tc>
        <w:tc>
          <w:tcPr>
            <w:tcW w:w="2684" w:type="dxa"/>
            <w:shd w:val="clear" w:color="auto" w:fill="F2F2F2" w:themeFill="background1" w:themeFillShade="F2"/>
          </w:tcPr>
          <w:p w:rsidR="00FD5172" w:rsidRPr="007E2A52" w:rsidRDefault="00FD5172" w:rsidP="00F837CB">
            <w:pPr>
              <w:pStyle w:val="WoVGtabletext"/>
              <w:rPr>
                <w:rFonts w:cs="Arial"/>
              </w:rPr>
            </w:pPr>
            <w:r w:rsidRPr="007E2A52">
              <w:rPr>
                <w:rFonts w:cs="Arial"/>
              </w:rPr>
              <w:t>Audit detects:</w:t>
            </w:r>
          </w:p>
          <w:p w:rsidR="00FD5172" w:rsidRPr="007E2A52" w:rsidRDefault="00FD5172" w:rsidP="00F837CB">
            <w:pPr>
              <w:pStyle w:val="WoVGtablebullet1"/>
              <w:numPr>
                <w:ilvl w:val="0"/>
                <w:numId w:val="1"/>
              </w:numPr>
              <w:ind w:left="227" w:hanging="227"/>
            </w:pPr>
            <w:r w:rsidRPr="007E2A52">
              <w:t>OHS policy signed by CEO displayed in the workplace</w:t>
            </w:r>
          </w:p>
          <w:p w:rsidR="00FD5172" w:rsidRPr="007E2A52" w:rsidRDefault="00FD5172" w:rsidP="00F837CB">
            <w:pPr>
              <w:pStyle w:val="WoVGtablebullet1"/>
              <w:numPr>
                <w:ilvl w:val="0"/>
                <w:numId w:val="1"/>
              </w:numPr>
              <w:ind w:left="227" w:hanging="227"/>
              <w:rPr>
                <w:rFonts w:cs="Arial"/>
              </w:rPr>
            </w:pPr>
            <w:r w:rsidRPr="007E2A52">
              <w:t>Staff aware of OHS policy requirements</w:t>
            </w:r>
            <w:r w:rsidRPr="007E2A52">
              <w:rPr>
                <w:rFonts w:cs="Arial"/>
              </w:rPr>
              <w:t xml:space="preserve"> </w:t>
            </w:r>
          </w:p>
        </w:tc>
      </w:tr>
      <w:tr w:rsidR="00FD5172" w:rsidRPr="0066106F" w:rsidTr="00587005">
        <w:trPr>
          <w:cantSplit/>
        </w:trPr>
        <w:tc>
          <w:tcPr>
            <w:tcW w:w="1809" w:type="dxa"/>
            <w:vMerge w:val="restart"/>
            <w:shd w:val="clear" w:color="auto" w:fill="F2F2F2" w:themeFill="background1" w:themeFillShade="F2"/>
          </w:tcPr>
          <w:p w:rsidR="00FD5172" w:rsidRPr="007E2A52" w:rsidRDefault="00FD5172" w:rsidP="00F837CB">
            <w:pPr>
              <w:pStyle w:val="WoVGtabletext"/>
              <w:rPr>
                <w:rFonts w:cs="Arial"/>
              </w:rPr>
            </w:pPr>
            <w:r w:rsidRPr="007E2A52">
              <w:rPr>
                <w:rFonts w:cs="Arial"/>
              </w:rPr>
              <w:t>(e.g.) Workers and workers representatives feel empowered to raise OHS issues in the workplace</w:t>
            </w:r>
          </w:p>
        </w:tc>
        <w:tc>
          <w:tcPr>
            <w:tcW w:w="2694" w:type="dxa"/>
            <w:shd w:val="clear" w:color="auto" w:fill="F2F2F2" w:themeFill="background1" w:themeFillShade="F2"/>
          </w:tcPr>
          <w:p w:rsidR="00FD5172" w:rsidRPr="007E2A52" w:rsidRDefault="00FD5172" w:rsidP="00F837CB">
            <w:pPr>
              <w:pStyle w:val="WoVGtabletext"/>
              <w:rPr>
                <w:rFonts w:cs="Arial"/>
              </w:rPr>
            </w:pPr>
            <w:r w:rsidRPr="007E2A52">
              <w:rPr>
                <w:rFonts w:cs="Arial"/>
              </w:rPr>
              <w:t>OHS issues are included on all meeting agenda templates</w:t>
            </w:r>
          </w:p>
        </w:tc>
        <w:tc>
          <w:tcPr>
            <w:tcW w:w="992" w:type="dxa"/>
            <w:shd w:val="clear" w:color="auto" w:fill="F2F2F2" w:themeFill="background1" w:themeFillShade="F2"/>
          </w:tcPr>
          <w:p w:rsidR="00FD5172" w:rsidRPr="007E2A52" w:rsidRDefault="00FD5172" w:rsidP="00F837CB">
            <w:pPr>
              <w:pStyle w:val="WoVGtabletext"/>
              <w:rPr>
                <w:rFonts w:cs="Arial"/>
              </w:rPr>
            </w:pPr>
            <w:r w:rsidRPr="007E2A52">
              <w:rPr>
                <w:rFonts w:cs="Arial"/>
              </w:rPr>
              <w:t>Medium</w:t>
            </w:r>
          </w:p>
        </w:tc>
        <w:tc>
          <w:tcPr>
            <w:tcW w:w="1843" w:type="dxa"/>
            <w:shd w:val="clear" w:color="auto" w:fill="F2F2F2" w:themeFill="background1" w:themeFillShade="F2"/>
          </w:tcPr>
          <w:p w:rsidR="00FD5172" w:rsidRPr="007E2A52" w:rsidRDefault="00FD5172" w:rsidP="00F837CB">
            <w:pPr>
              <w:pStyle w:val="WoVGtabletext"/>
              <w:rPr>
                <w:rFonts w:cs="Arial"/>
              </w:rPr>
            </w:pPr>
            <w:r w:rsidRPr="007E2A52">
              <w:rPr>
                <w:rFonts w:cs="Arial"/>
              </w:rPr>
              <w:t>Executive assistant</w:t>
            </w:r>
          </w:p>
        </w:tc>
        <w:tc>
          <w:tcPr>
            <w:tcW w:w="1559" w:type="dxa"/>
            <w:shd w:val="clear" w:color="auto" w:fill="F2F2F2" w:themeFill="background1" w:themeFillShade="F2"/>
          </w:tcPr>
          <w:p w:rsidR="00FD5172" w:rsidRPr="007E2A52" w:rsidRDefault="00FD5172" w:rsidP="00F837CB">
            <w:pPr>
              <w:pStyle w:val="WoVGtabletext"/>
              <w:rPr>
                <w:rFonts w:cs="Arial"/>
              </w:rPr>
            </w:pPr>
            <w:r w:rsidRPr="007E2A52">
              <w:rPr>
                <w:rFonts w:cs="Arial"/>
              </w:rPr>
              <w:t>15 September 20XX</w:t>
            </w:r>
          </w:p>
        </w:tc>
        <w:tc>
          <w:tcPr>
            <w:tcW w:w="1134" w:type="dxa"/>
            <w:shd w:val="clear" w:color="auto" w:fill="F2F2F2" w:themeFill="background1" w:themeFillShade="F2"/>
          </w:tcPr>
          <w:p w:rsidR="00FD5172" w:rsidRPr="007E2A52" w:rsidRDefault="00FD5172" w:rsidP="00F837CB">
            <w:pPr>
              <w:pStyle w:val="WoVGtabletext"/>
              <w:rPr>
                <w:rFonts w:cs="Arial"/>
              </w:rPr>
            </w:pPr>
            <w:r w:rsidRPr="007E2A52">
              <w:rPr>
                <w:rFonts w:cs="Arial"/>
              </w:rPr>
              <w:t>$2000</w:t>
            </w:r>
          </w:p>
        </w:tc>
        <w:tc>
          <w:tcPr>
            <w:tcW w:w="1276" w:type="dxa"/>
            <w:shd w:val="clear" w:color="auto" w:fill="F2F2F2" w:themeFill="background1" w:themeFillShade="F2"/>
          </w:tcPr>
          <w:p w:rsidR="00FD5172" w:rsidRPr="007E2A52" w:rsidRDefault="00FD5172" w:rsidP="00F837CB">
            <w:pPr>
              <w:pStyle w:val="WoVGtabletext"/>
              <w:rPr>
                <w:rFonts w:cs="Arial"/>
              </w:rPr>
            </w:pPr>
            <w:r w:rsidRPr="007E2A52">
              <w:rPr>
                <w:rFonts w:cs="Arial"/>
              </w:rPr>
              <w:t>In progress</w:t>
            </w:r>
          </w:p>
        </w:tc>
        <w:tc>
          <w:tcPr>
            <w:tcW w:w="2684" w:type="dxa"/>
            <w:shd w:val="clear" w:color="auto" w:fill="F2F2F2" w:themeFill="background1" w:themeFillShade="F2"/>
          </w:tcPr>
          <w:p w:rsidR="00FD5172" w:rsidRPr="007E2A52" w:rsidRDefault="00FD5172" w:rsidP="00F837CB">
            <w:pPr>
              <w:pStyle w:val="WoVGtabletext"/>
              <w:rPr>
                <w:rFonts w:cs="Arial"/>
              </w:rPr>
            </w:pPr>
            <w:r w:rsidRPr="007E2A52">
              <w:rPr>
                <w:rFonts w:cs="Arial"/>
              </w:rPr>
              <w:t xml:space="preserve">Meeting minutes include details of OHS issues raised, include actions/responsibility and monitoring and close out of actions </w:t>
            </w:r>
          </w:p>
        </w:tc>
      </w:tr>
      <w:tr w:rsidR="00FD5172" w:rsidRPr="0066106F" w:rsidTr="00587005">
        <w:trPr>
          <w:cantSplit/>
        </w:trPr>
        <w:tc>
          <w:tcPr>
            <w:tcW w:w="1809" w:type="dxa"/>
            <w:vMerge/>
            <w:shd w:val="clear" w:color="auto" w:fill="F2F2F2" w:themeFill="background1" w:themeFillShade="F2"/>
          </w:tcPr>
          <w:p w:rsidR="00FD5172" w:rsidRPr="007E2A52" w:rsidRDefault="00FD5172" w:rsidP="00F837CB">
            <w:pPr>
              <w:pStyle w:val="WoVGtabletext"/>
              <w:rPr>
                <w:rFonts w:cs="Arial"/>
              </w:rPr>
            </w:pPr>
          </w:p>
        </w:tc>
        <w:tc>
          <w:tcPr>
            <w:tcW w:w="2694" w:type="dxa"/>
            <w:shd w:val="clear" w:color="auto" w:fill="F2F2F2" w:themeFill="background1" w:themeFillShade="F2"/>
          </w:tcPr>
          <w:p w:rsidR="00FD5172" w:rsidRPr="007E2A52" w:rsidRDefault="00FD5172" w:rsidP="00F837CB">
            <w:pPr>
              <w:pStyle w:val="WoVGtabletext"/>
              <w:rPr>
                <w:rFonts w:cs="Arial"/>
              </w:rPr>
            </w:pPr>
            <w:r w:rsidRPr="007E2A52">
              <w:rPr>
                <w:rFonts w:cs="Arial"/>
              </w:rPr>
              <w:t>Performance indicators include number of hazards/incidents raised</w:t>
            </w:r>
          </w:p>
        </w:tc>
        <w:tc>
          <w:tcPr>
            <w:tcW w:w="992" w:type="dxa"/>
            <w:shd w:val="clear" w:color="auto" w:fill="F2F2F2" w:themeFill="background1" w:themeFillShade="F2"/>
          </w:tcPr>
          <w:p w:rsidR="00FD5172" w:rsidRPr="007E2A52" w:rsidRDefault="00FD5172" w:rsidP="00F837CB">
            <w:pPr>
              <w:pStyle w:val="WoVGtabletext"/>
              <w:rPr>
                <w:rFonts w:cs="Arial"/>
              </w:rPr>
            </w:pPr>
            <w:r w:rsidRPr="007E2A52">
              <w:rPr>
                <w:rFonts w:cs="Arial"/>
              </w:rPr>
              <w:t>High</w:t>
            </w:r>
          </w:p>
        </w:tc>
        <w:tc>
          <w:tcPr>
            <w:tcW w:w="1843" w:type="dxa"/>
            <w:shd w:val="clear" w:color="auto" w:fill="F2F2F2" w:themeFill="background1" w:themeFillShade="F2"/>
          </w:tcPr>
          <w:p w:rsidR="00FD5172" w:rsidRPr="007E2A52" w:rsidRDefault="00FD5172" w:rsidP="00F837CB">
            <w:pPr>
              <w:pStyle w:val="WoVGtabletext"/>
              <w:rPr>
                <w:rFonts w:cs="Arial"/>
              </w:rPr>
            </w:pPr>
            <w:r w:rsidRPr="007E2A52">
              <w:rPr>
                <w:rFonts w:cs="Arial"/>
              </w:rPr>
              <w:t>Senior management nominee</w:t>
            </w:r>
          </w:p>
        </w:tc>
        <w:tc>
          <w:tcPr>
            <w:tcW w:w="1559" w:type="dxa"/>
            <w:shd w:val="clear" w:color="auto" w:fill="F2F2F2" w:themeFill="background1" w:themeFillShade="F2"/>
          </w:tcPr>
          <w:p w:rsidR="00FD5172" w:rsidRPr="007E2A52" w:rsidRDefault="00FD5172" w:rsidP="00F837CB">
            <w:pPr>
              <w:pStyle w:val="WoVGtabletext"/>
              <w:rPr>
                <w:rFonts w:cs="Arial"/>
              </w:rPr>
            </w:pPr>
            <w:r w:rsidRPr="007E2A52">
              <w:rPr>
                <w:rFonts w:cs="Arial"/>
              </w:rPr>
              <w:t>30 April 20XX</w:t>
            </w:r>
          </w:p>
        </w:tc>
        <w:tc>
          <w:tcPr>
            <w:tcW w:w="1134" w:type="dxa"/>
            <w:shd w:val="clear" w:color="auto" w:fill="F2F2F2" w:themeFill="background1" w:themeFillShade="F2"/>
          </w:tcPr>
          <w:p w:rsidR="00FD5172" w:rsidRPr="007E2A52" w:rsidRDefault="00FD5172" w:rsidP="00F837CB">
            <w:pPr>
              <w:pStyle w:val="WoVGtabletext"/>
              <w:rPr>
                <w:rFonts w:cs="Arial"/>
              </w:rPr>
            </w:pPr>
            <w:r w:rsidRPr="007E2A52">
              <w:rPr>
                <w:rFonts w:cs="Arial"/>
              </w:rPr>
              <w:t>$5000</w:t>
            </w:r>
          </w:p>
        </w:tc>
        <w:tc>
          <w:tcPr>
            <w:tcW w:w="1276" w:type="dxa"/>
            <w:shd w:val="clear" w:color="auto" w:fill="F2F2F2" w:themeFill="background1" w:themeFillShade="F2"/>
          </w:tcPr>
          <w:p w:rsidR="00FD5172" w:rsidRPr="007E2A52" w:rsidRDefault="00FD5172" w:rsidP="00F837CB">
            <w:pPr>
              <w:pStyle w:val="WoVGtabletext"/>
              <w:rPr>
                <w:rFonts w:cs="Arial"/>
              </w:rPr>
            </w:pPr>
            <w:r w:rsidRPr="007E2A52">
              <w:rPr>
                <w:rFonts w:cs="Arial"/>
              </w:rPr>
              <w:t>In progress</w:t>
            </w:r>
          </w:p>
        </w:tc>
        <w:tc>
          <w:tcPr>
            <w:tcW w:w="2684" w:type="dxa"/>
            <w:shd w:val="clear" w:color="auto" w:fill="F2F2F2" w:themeFill="background1" w:themeFillShade="F2"/>
          </w:tcPr>
          <w:p w:rsidR="00FD5172" w:rsidRPr="007E2A52" w:rsidRDefault="00FD5172" w:rsidP="00F837CB">
            <w:pPr>
              <w:pStyle w:val="WoVGtabletext"/>
              <w:rPr>
                <w:rFonts w:cs="Arial"/>
              </w:rPr>
            </w:pPr>
            <w:r w:rsidRPr="007E2A52">
              <w:rPr>
                <w:rFonts w:cs="Arial"/>
              </w:rPr>
              <w:t>Staff performance management plans.</w:t>
            </w:r>
          </w:p>
          <w:p w:rsidR="00562F6D" w:rsidRDefault="00FD5172" w:rsidP="00F837CB">
            <w:pPr>
              <w:pStyle w:val="WoVGtabletext"/>
              <w:rPr>
                <w:rFonts w:cs="Arial"/>
              </w:rPr>
            </w:pPr>
            <w:r w:rsidRPr="007E2A52">
              <w:rPr>
                <w:rFonts w:cs="Arial"/>
              </w:rPr>
              <w:t>Objectives &amp; targets for teams, divisions, organisation.</w:t>
            </w:r>
          </w:p>
          <w:p w:rsidR="00FD5172" w:rsidRPr="007E2A52" w:rsidRDefault="00FD5172" w:rsidP="00F837CB">
            <w:pPr>
              <w:pStyle w:val="WoVGtabletext"/>
              <w:rPr>
                <w:rFonts w:cs="Arial"/>
              </w:rPr>
            </w:pPr>
            <w:r w:rsidRPr="007E2A52">
              <w:rPr>
                <w:rFonts w:cs="Arial"/>
              </w:rPr>
              <w:t>Reporting. Incident reporting &amp; investigation. Hazard register</w:t>
            </w:r>
          </w:p>
        </w:tc>
      </w:tr>
      <w:tr w:rsidR="00FD5172" w:rsidRPr="0066106F" w:rsidTr="00587005">
        <w:trPr>
          <w:cantSplit/>
        </w:trPr>
        <w:tc>
          <w:tcPr>
            <w:tcW w:w="1809" w:type="dxa"/>
            <w:vMerge w:val="restart"/>
            <w:shd w:val="clear" w:color="auto" w:fill="F2F2F2" w:themeFill="background1" w:themeFillShade="F2"/>
          </w:tcPr>
          <w:p w:rsidR="00FD5172" w:rsidRPr="007E2A52" w:rsidRDefault="00FD5172" w:rsidP="00F837CB">
            <w:pPr>
              <w:pStyle w:val="WoVGtabletext"/>
              <w:rPr>
                <w:rFonts w:cs="Arial"/>
              </w:rPr>
            </w:pPr>
          </w:p>
        </w:tc>
        <w:tc>
          <w:tcPr>
            <w:tcW w:w="2694" w:type="dxa"/>
            <w:shd w:val="clear" w:color="auto" w:fill="F2F2F2" w:themeFill="background1" w:themeFillShade="F2"/>
          </w:tcPr>
          <w:p w:rsidR="00FD5172" w:rsidRPr="007E2A52" w:rsidRDefault="00FD5172" w:rsidP="00F837CB">
            <w:pPr>
              <w:pStyle w:val="WoVGtabletext"/>
              <w:rPr>
                <w:rFonts w:cs="Arial"/>
              </w:rPr>
            </w:pPr>
            <w:r>
              <w:rPr>
                <w:rFonts w:cs="Arial"/>
              </w:rPr>
              <w:t>Reward &amp; recognition category for individual/team raising and resolving OHS issues (improving health and safety)</w:t>
            </w:r>
          </w:p>
        </w:tc>
        <w:tc>
          <w:tcPr>
            <w:tcW w:w="992" w:type="dxa"/>
            <w:shd w:val="clear" w:color="auto" w:fill="F2F2F2" w:themeFill="background1" w:themeFillShade="F2"/>
          </w:tcPr>
          <w:p w:rsidR="00FD5172" w:rsidRPr="007E2A52" w:rsidRDefault="00FD5172" w:rsidP="00F837CB">
            <w:pPr>
              <w:pStyle w:val="WoVGtabletext"/>
              <w:rPr>
                <w:rFonts w:cs="Arial"/>
              </w:rPr>
            </w:pPr>
            <w:r>
              <w:rPr>
                <w:rFonts w:cs="Arial"/>
              </w:rPr>
              <w:t>Medium</w:t>
            </w:r>
          </w:p>
        </w:tc>
        <w:tc>
          <w:tcPr>
            <w:tcW w:w="1843" w:type="dxa"/>
            <w:shd w:val="clear" w:color="auto" w:fill="F2F2F2" w:themeFill="background1" w:themeFillShade="F2"/>
          </w:tcPr>
          <w:p w:rsidR="00FD5172" w:rsidRPr="007E2A52" w:rsidRDefault="00FD5172" w:rsidP="00F837CB">
            <w:pPr>
              <w:pStyle w:val="WoVGtabletext"/>
              <w:rPr>
                <w:rFonts w:cs="Arial"/>
              </w:rPr>
            </w:pPr>
            <w:r>
              <w:rPr>
                <w:rFonts w:cs="Arial"/>
              </w:rPr>
              <w:t>HR Manager</w:t>
            </w:r>
          </w:p>
        </w:tc>
        <w:tc>
          <w:tcPr>
            <w:tcW w:w="1559" w:type="dxa"/>
            <w:shd w:val="clear" w:color="auto" w:fill="F2F2F2" w:themeFill="background1" w:themeFillShade="F2"/>
          </w:tcPr>
          <w:p w:rsidR="00FD5172" w:rsidRPr="007E2A52" w:rsidRDefault="00FD5172" w:rsidP="00F837CB">
            <w:pPr>
              <w:pStyle w:val="WoVGtabletext"/>
              <w:rPr>
                <w:rFonts w:cs="Arial"/>
              </w:rPr>
            </w:pPr>
            <w:r>
              <w:rPr>
                <w:rFonts w:cs="Arial"/>
              </w:rPr>
              <w:t>1 July 20XX</w:t>
            </w:r>
          </w:p>
        </w:tc>
        <w:tc>
          <w:tcPr>
            <w:tcW w:w="1134" w:type="dxa"/>
            <w:shd w:val="clear" w:color="auto" w:fill="F2F2F2" w:themeFill="background1" w:themeFillShade="F2"/>
          </w:tcPr>
          <w:p w:rsidR="00FD5172" w:rsidRPr="007E2A52" w:rsidRDefault="00FD5172" w:rsidP="00F837CB">
            <w:pPr>
              <w:pStyle w:val="WoVGtabletext"/>
              <w:rPr>
                <w:rFonts w:cs="Arial"/>
              </w:rPr>
            </w:pPr>
            <w:r>
              <w:rPr>
                <w:rFonts w:cs="Arial"/>
              </w:rPr>
              <w:t>$3000</w:t>
            </w:r>
          </w:p>
        </w:tc>
        <w:tc>
          <w:tcPr>
            <w:tcW w:w="1276" w:type="dxa"/>
            <w:shd w:val="clear" w:color="auto" w:fill="F2F2F2" w:themeFill="background1" w:themeFillShade="F2"/>
          </w:tcPr>
          <w:p w:rsidR="00FD5172" w:rsidRPr="007E2A52" w:rsidRDefault="00FD5172" w:rsidP="00F837CB">
            <w:pPr>
              <w:pStyle w:val="WoVGtabletext"/>
              <w:rPr>
                <w:rFonts w:cs="Arial"/>
              </w:rPr>
            </w:pPr>
            <w:r>
              <w:rPr>
                <w:rFonts w:cs="Arial"/>
              </w:rPr>
              <w:t>Ongoing</w:t>
            </w:r>
          </w:p>
        </w:tc>
        <w:tc>
          <w:tcPr>
            <w:tcW w:w="2684" w:type="dxa"/>
            <w:shd w:val="clear" w:color="auto" w:fill="F2F2F2" w:themeFill="background1" w:themeFillShade="F2"/>
          </w:tcPr>
          <w:p w:rsidR="00FD5172" w:rsidRPr="007E2A52" w:rsidRDefault="00FD5172" w:rsidP="00F837CB">
            <w:pPr>
              <w:pStyle w:val="WoVGtabletext"/>
              <w:rPr>
                <w:rFonts w:cs="Arial"/>
              </w:rPr>
            </w:pPr>
            <w:r>
              <w:rPr>
                <w:rFonts w:cs="Arial"/>
              </w:rPr>
              <w:t>Number of reward &amp; recognition awards for category</w:t>
            </w:r>
          </w:p>
        </w:tc>
      </w:tr>
      <w:tr w:rsidR="00FD5172" w:rsidRPr="0066106F" w:rsidTr="00587005">
        <w:trPr>
          <w:cantSplit/>
        </w:trPr>
        <w:tc>
          <w:tcPr>
            <w:tcW w:w="1809" w:type="dxa"/>
            <w:vMerge/>
            <w:shd w:val="clear" w:color="auto" w:fill="F2F2F2" w:themeFill="background1" w:themeFillShade="F2"/>
          </w:tcPr>
          <w:p w:rsidR="00FD5172" w:rsidRDefault="00FD5172" w:rsidP="00F837CB">
            <w:pPr>
              <w:pStyle w:val="WoVGtabletext"/>
              <w:rPr>
                <w:rFonts w:cs="Arial"/>
              </w:rPr>
            </w:pPr>
          </w:p>
        </w:tc>
        <w:tc>
          <w:tcPr>
            <w:tcW w:w="2694" w:type="dxa"/>
            <w:shd w:val="clear" w:color="auto" w:fill="F2F2F2" w:themeFill="background1" w:themeFillShade="F2"/>
          </w:tcPr>
          <w:p w:rsidR="00FD5172" w:rsidRDefault="00FD5172" w:rsidP="00F837CB">
            <w:pPr>
              <w:pStyle w:val="WoVGtabletext"/>
              <w:rPr>
                <w:rFonts w:cs="Arial"/>
              </w:rPr>
            </w:pPr>
            <w:r w:rsidRPr="00F048F2">
              <w:rPr>
                <w:rFonts w:cs="Arial"/>
                <w:color w:val="404040" w:themeColor="background1" w:themeShade="40"/>
                <w:spacing w:val="-3"/>
                <w:lang w:val="en-GB"/>
              </w:rPr>
              <w:t>An agreed OHS issue resolution procedure is developed in consultation with workers and their representatives</w:t>
            </w:r>
          </w:p>
        </w:tc>
        <w:tc>
          <w:tcPr>
            <w:tcW w:w="992" w:type="dxa"/>
            <w:shd w:val="clear" w:color="auto" w:fill="F2F2F2" w:themeFill="background1" w:themeFillShade="F2"/>
          </w:tcPr>
          <w:p w:rsidR="00FD5172" w:rsidRDefault="00FD5172" w:rsidP="00F837CB">
            <w:pPr>
              <w:pStyle w:val="WoVGtabletext"/>
              <w:rPr>
                <w:rFonts w:cs="Arial"/>
              </w:rPr>
            </w:pPr>
            <w:r>
              <w:rPr>
                <w:rFonts w:cs="Arial"/>
              </w:rPr>
              <w:t>High</w:t>
            </w:r>
          </w:p>
        </w:tc>
        <w:tc>
          <w:tcPr>
            <w:tcW w:w="1843" w:type="dxa"/>
            <w:shd w:val="clear" w:color="auto" w:fill="F2F2F2" w:themeFill="background1" w:themeFillShade="F2"/>
          </w:tcPr>
          <w:p w:rsidR="00FD5172" w:rsidRDefault="00FD5172" w:rsidP="00F837CB">
            <w:pPr>
              <w:pStyle w:val="WoVGtabletext"/>
              <w:rPr>
                <w:rFonts w:cs="Arial"/>
              </w:rPr>
            </w:pPr>
            <w:r>
              <w:rPr>
                <w:rFonts w:cs="Arial"/>
              </w:rPr>
              <w:t>OHS Manager</w:t>
            </w:r>
          </w:p>
        </w:tc>
        <w:tc>
          <w:tcPr>
            <w:tcW w:w="1559" w:type="dxa"/>
            <w:shd w:val="clear" w:color="auto" w:fill="F2F2F2" w:themeFill="background1" w:themeFillShade="F2"/>
          </w:tcPr>
          <w:p w:rsidR="00FD5172" w:rsidRDefault="00FD5172" w:rsidP="00F837CB">
            <w:pPr>
              <w:pStyle w:val="WoVGtabletext"/>
              <w:rPr>
                <w:rFonts w:cs="Arial"/>
              </w:rPr>
            </w:pPr>
            <w:r>
              <w:rPr>
                <w:rFonts w:cs="Arial"/>
              </w:rPr>
              <w:t>30 April 20XX</w:t>
            </w:r>
          </w:p>
        </w:tc>
        <w:tc>
          <w:tcPr>
            <w:tcW w:w="1134" w:type="dxa"/>
            <w:shd w:val="clear" w:color="auto" w:fill="F2F2F2" w:themeFill="background1" w:themeFillShade="F2"/>
          </w:tcPr>
          <w:p w:rsidR="00FD5172" w:rsidRDefault="00FD5172" w:rsidP="00F837CB">
            <w:pPr>
              <w:pStyle w:val="WoVGtabletext"/>
              <w:rPr>
                <w:rFonts w:cs="Arial"/>
              </w:rPr>
            </w:pPr>
            <w:r>
              <w:rPr>
                <w:rFonts w:cs="Arial"/>
              </w:rPr>
              <w:t>$2500</w:t>
            </w:r>
          </w:p>
        </w:tc>
        <w:tc>
          <w:tcPr>
            <w:tcW w:w="1276" w:type="dxa"/>
            <w:shd w:val="clear" w:color="auto" w:fill="F2F2F2" w:themeFill="background1" w:themeFillShade="F2"/>
          </w:tcPr>
          <w:p w:rsidR="00FD5172" w:rsidRDefault="00FD5172" w:rsidP="00F837CB">
            <w:pPr>
              <w:pStyle w:val="WoVGtabletext"/>
              <w:rPr>
                <w:rFonts w:cs="Arial"/>
              </w:rPr>
            </w:pPr>
            <w:r>
              <w:rPr>
                <w:rFonts w:cs="Arial"/>
              </w:rPr>
              <w:t>Action completed 1 April 20XX</w:t>
            </w:r>
          </w:p>
        </w:tc>
        <w:tc>
          <w:tcPr>
            <w:tcW w:w="2684" w:type="dxa"/>
            <w:shd w:val="clear" w:color="auto" w:fill="F2F2F2" w:themeFill="background1" w:themeFillShade="F2"/>
          </w:tcPr>
          <w:p w:rsidR="00FD5172" w:rsidRDefault="00FD5172" w:rsidP="00F837CB">
            <w:pPr>
              <w:pStyle w:val="WoVGtabletext"/>
              <w:rPr>
                <w:rFonts w:cs="Arial"/>
              </w:rPr>
            </w:pPr>
            <w:r>
              <w:rPr>
                <w:rFonts w:cs="Arial"/>
              </w:rPr>
              <w:t>Management review of OHS management system</w:t>
            </w:r>
          </w:p>
        </w:tc>
      </w:tr>
      <w:tr w:rsidR="00FD5172" w:rsidRPr="0066106F" w:rsidTr="00587005">
        <w:trPr>
          <w:cantSplit/>
        </w:trPr>
        <w:tc>
          <w:tcPr>
            <w:tcW w:w="1809" w:type="dxa"/>
            <w:vMerge w:val="restart"/>
            <w:shd w:val="clear" w:color="auto" w:fill="F2F2F2" w:themeFill="background1" w:themeFillShade="F2"/>
          </w:tcPr>
          <w:p w:rsidR="00FD5172" w:rsidRDefault="00FD5172" w:rsidP="00F837CB">
            <w:pPr>
              <w:pStyle w:val="WoVGtabletext"/>
              <w:rPr>
                <w:rFonts w:cs="Arial"/>
              </w:rPr>
            </w:pPr>
            <w:r w:rsidRPr="00F048F2">
              <w:rPr>
                <w:rFonts w:cs="Arial"/>
                <w:color w:val="404040" w:themeColor="background1" w:themeShade="40"/>
                <w:lang w:val="en-GB"/>
              </w:rPr>
              <w:t>(e.g.) OHS training needs identified and training provided</w:t>
            </w:r>
          </w:p>
        </w:tc>
        <w:tc>
          <w:tcPr>
            <w:tcW w:w="2694" w:type="dxa"/>
            <w:shd w:val="clear" w:color="auto" w:fill="F2F2F2" w:themeFill="background1" w:themeFillShade="F2"/>
          </w:tcPr>
          <w:p w:rsidR="00FD5172" w:rsidRDefault="00FD5172" w:rsidP="00F837CB">
            <w:pPr>
              <w:pStyle w:val="WoVGtabletext"/>
              <w:rPr>
                <w:rFonts w:cs="Arial"/>
              </w:rPr>
            </w:pPr>
            <w:r w:rsidRPr="00F048F2">
              <w:rPr>
                <w:rFonts w:cs="Arial"/>
                <w:color w:val="404040" w:themeColor="background1" w:themeShade="40"/>
                <w:spacing w:val="-3"/>
                <w:lang w:val="en-GB"/>
              </w:rPr>
              <w:t>Review and update procedure detailing how to identify and define the OHS training needs of workers</w:t>
            </w:r>
          </w:p>
        </w:tc>
        <w:tc>
          <w:tcPr>
            <w:tcW w:w="992" w:type="dxa"/>
            <w:shd w:val="clear" w:color="auto" w:fill="F2F2F2" w:themeFill="background1" w:themeFillShade="F2"/>
          </w:tcPr>
          <w:p w:rsidR="00FD5172" w:rsidRDefault="00FD5172" w:rsidP="00F837CB">
            <w:pPr>
              <w:pStyle w:val="WoVGtabletext"/>
              <w:rPr>
                <w:rFonts w:cs="Arial"/>
              </w:rPr>
            </w:pPr>
            <w:r>
              <w:rPr>
                <w:rFonts w:cs="Arial"/>
              </w:rPr>
              <w:t>Medium</w:t>
            </w:r>
          </w:p>
        </w:tc>
        <w:tc>
          <w:tcPr>
            <w:tcW w:w="1843" w:type="dxa"/>
            <w:shd w:val="clear" w:color="auto" w:fill="F2F2F2" w:themeFill="background1" w:themeFillShade="F2"/>
          </w:tcPr>
          <w:p w:rsidR="00FD5172" w:rsidRDefault="00FD5172" w:rsidP="00F837CB">
            <w:pPr>
              <w:pStyle w:val="WoVGtabletext"/>
              <w:rPr>
                <w:rFonts w:cs="Arial"/>
              </w:rPr>
            </w:pPr>
            <w:r>
              <w:rPr>
                <w:rFonts w:cs="Arial"/>
              </w:rPr>
              <w:t>OHS Manager</w:t>
            </w:r>
          </w:p>
        </w:tc>
        <w:tc>
          <w:tcPr>
            <w:tcW w:w="1559" w:type="dxa"/>
            <w:shd w:val="clear" w:color="auto" w:fill="F2F2F2" w:themeFill="background1" w:themeFillShade="F2"/>
          </w:tcPr>
          <w:p w:rsidR="00FD5172" w:rsidRDefault="00FD5172" w:rsidP="00F837CB">
            <w:pPr>
              <w:pStyle w:val="WoVGtabletext"/>
              <w:rPr>
                <w:rFonts w:cs="Arial"/>
              </w:rPr>
            </w:pPr>
            <w:r>
              <w:rPr>
                <w:rFonts w:cs="Arial"/>
              </w:rPr>
              <w:t>15 August 20XX</w:t>
            </w:r>
          </w:p>
        </w:tc>
        <w:tc>
          <w:tcPr>
            <w:tcW w:w="1134" w:type="dxa"/>
            <w:shd w:val="clear" w:color="auto" w:fill="F2F2F2" w:themeFill="background1" w:themeFillShade="F2"/>
          </w:tcPr>
          <w:p w:rsidR="00FD5172" w:rsidRDefault="00FD5172" w:rsidP="00F837CB">
            <w:pPr>
              <w:pStyle w:val="WoVGtabletext"/>
              <w:rPr>
                <w:rFonts w:cs="Arial"/>
              </w:rPr>
            </w:pPr>
            <w:r>
              <w:rPr>
                <w:rFonts w:cs="Arial"/>
              </w:rPr>
              <w:t>$1000</w:t>
            </w:r>
          </w:p>
        </w:tc>
        <w:tc>
          <w:tcPr>
            <w:tcW w:w="1276" w:type="dxa"/>
            <w:shd w:val="clear" w:color="auto" w:fill="F2F2F2" w:themeFill="background1" w:themeFillShade="F2"/>
          </w:tcPr>
          <w:p w:rsidR="00FD5172" w:rsidRDefault="00FD5172" w:rsidP="00F837CB">
            <w:pPr>
              <w:pStyle w:val="WoVGtabletext"/>
              <w:rPr>
                <w:rFonts w:cs="Arial"/>
              </w:rPr>
            </w:pPr>
            <w:r>
              <w:rPr>
                <w:rFonts w:cs="Arial"/>
              </w:rPr>
              <w:t>Not started</w:t>
            </w:r>
          </w:p>
        </w:tc>
        <w:tc>
          <w:tcPr>
            <w:tcW w:w="2684" w:type="dxa"/>
            <w:shd w:val="clear" w:color="auto" w:fill="F2F2F2" w:themeFill="background1" w:themeFillShade="F2"/>
          </w:tcPr>
          <w:p w:rsidR="00FD5172" w:rsidRPr="00F048F2" w:rsidRDefault="00FD5172" w:rsidP="0047128D">
            <w:pPr>
              <w:pStyle w:val="WoVGtabletext"/>
              <w:rPr>
                <w:lang w:val="en-GB"/>
              </w:rPr>
            </w:pPr>
            <w:r w:rsidRPr="00F048F2">
              <w:rPr>
                <w:lang w:val="en-GB"/>
              </w:rPr>
              <w:t>Document management processes followed</w:t>
            </w:r>
          </w:p>
          <w:p w:rsidR="00FD5172" w:rsidRDefault="00FD5172" w:rsidP="0047128D">
            <w:pPr>
              <w:pStyle w:val="WoVGtabletext"/>
            </w:pPr>
            <w:r w:rsidRPr="00F048F2">
              <w:rPr>
                <w:lang w:val="en-GB"/>
              </w:rPr>
              <w:t>Audit results</w:t>
            </w:r>
          </w:p>
        </w:tc>
      </w:tr>
      <w:tr w:rsidR="00FD5172" w:rsidRPr="0066106F" w:rsidTr="00587005">
        <w:trPr>
          <w:cantSplit/>
        </w:trPr>
        <w:tc>
          <w:tcPr>
            <w:tcW w:w="1809" w:type="dxa"/>
            <w:vMerge/>
            <w:shd w:val="clear" w:color="auto" w:fill="F2F2F2" w:themeFill="background1" w:themeFillShade="F2"/>
          </w:tcPr>
          <w:p w:rsidR="00FD5172" w:rsidRPr="00F048F2" w:rsidRDefault="00FD5172" w:rsidP="00F837CB">
            <w:pPr>
              <w:pStyle w:val="WoVGtabletext"/>
              <w:rPr>
                <w:rFonts w:cs="Arial"/>
                <w:color w:val="404040" w:themeColor="background1" w:themeShade="40"/>
                <w:lang w:val="en-GB"/>
              </w:rPr>
            </w:pPr>
          </w:p>
        </w:tc>
        <w:tc>
          <w:tcPr>
            <w:tcW w:w="2694" w:type="dxa"/>
            <w:shd w:val="clear" w:color="auto" w:fill="F2F2F2" w:themeFill="background1" w:themeFillShade="F2"/>
          </w:tcPr>
          <w:p w:rsidR="00FD5172" w:rsidRPr="00F048F2" w:rsidRDefault="00FD5172" w:rsidP="00F837CB">
            <w:pPr>
              <w:pStyle w:val="WoVGtabletext"/>
              <w:rPr>
                <w:rFonts w:cs="Arial"/>
                <w:color w:val="404040" w:themeColor="background1" w:themeShade="40"/>
                <w:spacing w:val="-3"/>
                <w:lang w:val="en-GB"/>
              </w:rPr>
            </w:pPr>
            <w:r w:rsidRPr="00F048F2">
              <w:rPr>
                <w:rFonts w:cs="Arial"/>
                <w:color w:val="404040" w:themeColor="background1" w:themeShade="40"/>
                <w:spacing w:val="-3"/>
                <w:lang w:val="en-GB"/>
              </w:rPr>
              <w:t>Conduct consultation with workers to review their OHS training needs</w:t>
            </w:r>
          </w:p>
        </w:tc>
        <w:tc>
          <w:tcPr>
            <w:tcW w:w="992" w:type="dxa"/>
            <w:shd w:val="clear" w:color="auto" w:fill="F2F2F2" w:themeFill="background1" w:themeFillShade="F2"/>
          </w:tcPr>
          <w:p w:rsidR="00FD5172" w:rsidRDefault="00FD5172" w:rsidP="00F837CB">
            <w:pPr>
              <w:pStyle w:val="WoVGtabletext"/>
              <w:rPr>
                <w:rFonts w:cs="Arial"/>
              </w:rPr>
            </w:pPr>
            <w:r>
              <w:rPr>
                <w:rFonts w:cs="Arial"/>
              </w:rPr>
              <w:t>Medium</w:t>
            </w:r>
          </w:p>
        </w:tc>
        <w:tc>
          <w:tcPr>
            <w:tcW w:w="1843" w:type="dxa"/>
            <w:shd w:val="clear" w:color="auto" w:fill="F2F2F2" w:themeFill="background1" w:themeFillShade="F2"/>
          </w:tcPr>
          <w:p w:rsidR="00FD5172" w:rsidRDefault="00FD5172" w:rsidP="00F837CB">
            <w:pPr>
              <w:pStyle w:val="WoVGtabletext"/>
              <w:rPr>
                <w:rFonts w:cs="Arial"/>
              </w:rPr>
            </w:pPr>
            <w:r>
              <w:rPr>
                <w:rFonts w:cs="Arial"/>
              </w:rPr>
              <w:t>OHS Manager</w:t>
            </w:r>
          </w:p>
        </w:tc>
        <w:tc>
          <w:tcPr>
            <w:tcW w:w="1559" w:type="dxa"/>
            <w:shd w:val="clear" w:color="auto" w:fill="F2F2F2" w:themeFill="background1" w:themeFillShade="F2"/>
          </w:tcPr>
          <w:p w:rsidR="00FD5172" w:rsidRDefault="00FD5172" w:rsidP="00F837CB">
            <w:pPr>
              <w:pStyle w:val="WoVGtabletext"/>
              <w:rPr>
                <w:rFonts w:cs="Arial"/>
              </w:rPr>
            </w:pPr>
            <w:r>
              <w:rPr>
                <w:rFonts w:cs="Arial"/>
              </w:rPr>
              <w:t>15 September 20XX</w:t>
            </w:r>
          </w:p>
        </w:tc>
        <w:tc>
          <w:tcPr>
            <w:tcW w:w="1134" w:type="dxa"/>
            <w:shd w:val="clear" w:color="auto" w:fill="F2F2F2" w:themeFill="background1" w:themeFillShade="F2"/>
          </w:tcPr>
          <w:p w:rsidR="00FD5172" w:rsidRDefault="00FD5172" w:rsidP="00F837CB">
            <w:pPr>
              <w:pStyle w:val="WoVGtabletext"/>
              <w:rPr>
                <w:rFonts w:cs="Arial"/>
              </w:rPr>
            </w:pPr>
            <w:r>
              <w:rPr>
                <w:rFonts w:cs="Arial"/>
              </w:rPr>
              <w:t>$2500</w:t>
            </w:r>
          </w:p>
        </w:tc>
        <w:tc>
          <w:tcPr>
            <w:tcW w:w="1276" w:type="dxa"/>
            <w:shd w:val="clear" w:color="auto" w:fill="F2F2F2" w:themeFill="background1" w:themeFillShade="F2"/>
          </w:tcPr>
          <w:p w:rsidR="00FD5172" w:rsidRDefault="00FD5172" w:rsidP="00F837CB">
            <w:pPr>
              <w:pStyle w:val="WoVGtabletext"/>
              <w:rPr>
                <w:rFonts w:cs="Arial"/>
              </w:rPr>
            </w:pPr>
            <w:r>
              <w:rPr>
                <w:rFonts w:cs="Arial"/>
              </w:rPr>
              <w:t>Not started</w:t>
            </w:r>
          </w:p>
        </w:tc>
        <w:tc>
          <w:tcPr>
            <w:tcW w:w="2684" w:type="dxa"/>
            <w:shd w:val="clear" w:color="auto" w:fill="F2F2F2" w:themeFill="background1" w:themeFillShade="F2"/>
          </w:tcPr>
          <w:p w:rsidR="00FD5172" w:rsidRDefault="00FD5172" w:rsidP="0047128D">
            <w:pPr>
              <w:pStyle w:val="WoVGtabletext"/>
            </w:pPr>
            <w:r w:rsidRPr="00F048F2">
              <w:rPr>
                <w:lang w:val="en-GB"/>
              </w:rPr>
              <w:t>Worker feedback</w:t>
            </w:r>
          </w:p>
        </w:tc>
      </w:tr>
      <w:tr w:rsidR="00FD5172" w:rsidRPr="0066106F" w:rsidTr="00587005">
        <w:trPr>
          <w:cantSplit/>
        </w:trPr>
        <w:tc>
          <w:tcPr>
            <w:tcW w:w="1809" w:type="dxa"/>
            <w:vMerge/>
            <w:shd w:val="clear" w:color="auto" w:fill="F2F2F2" w:themeFill="background1" w:themeFillShade="F2"/>
          </w:tcPr>
          <w:p w:rsidR="00FD5172" w:rsidRPr="00F048F2" w:rsidRDefault="00FD5172" w:rsidP="00FD5172">
            <w:pPr>
              <w:pStyle w:val="WoVGtabletext"/>
              <w:rPr>
                <w:rFonts w:cs="Arial"/>
                <w:color w:val="404040" w:themeColor="background1" w:themeShade="40"/>
                <w:lang w:val="en-GB"/>
              </w:rPr>
            </w:pPr>
          </w:p>
        </w:tc>
        <w:tc>
          <w:tcPr>
            <w:tcW w:w="2694" w:type="dxa"/>
            <w:shd w:val="clear" w:color="auto" w:fill="F2F2F2" w:themeFill="background1" w:themeFillShade="F2"/>
          </w:tcPr>
          <w:p w:rsidR="00FD5172" w:rsidRPr="00F048F2" w:rsidRDefault="00FD5172" w:rsidP="0047128D">
            <w:pPr>
              <w:pStyle w:val="WoVGtabletext"/>
              <w:rPr>
                <w:lang w:val="en-GB"/>
              </w:rPr>
            </w:pPr>
            <w:r w:rsidRPr="00F048F2">
              <w:rPr>
                <w:lang w:val="en-GB"/>
              </w:rPr>
              <w:t>Update training needs analysis (TNA) for next year</w:t>
            </w:r>
          </w:p>
        </w:tc>
        <w:tc>
          <w:tcPr>
            <w:tcW w:w="992" w:type="dxa"/>
            <w:shd w:val="clear" w:color="auto" w:fill="F2F2F2" w:themeFill="background1" w:themeFillShade="F2"/>
          </w:tcPr>
          <w:p w:rsidR="00FD5172" w:rsidRDefault="00FD5172" w:rsidP="00FD5172">
            <w:pPr>
              <w:pStyle w:val="WoVGtabletext"/>
              <w:rPr>
                <w:rFonts w:cs="Arial"/>
              </w:rPr>
            </w:pPr>
            <w:r>
              <w:rPr>
                <w:rFonts w:cs="Arial"/>
              </w:rPr>
              <w:t>Low</w:t>
            </w:r>
          </w:p>
        </w:tc>
        <w:tc>
          <w:tcPr>
            <w:tcW w:w="1843" w:type="dxa"/>
            <w:shd w:val="clear" w:color="auto" w:fill="F2F2F2" w:themeFill="background1" w:themeFillShade="F2"/>
          </w:tcPr>
          <w:p w:rsidR="00FD5172" w:rsidRDefault="00FD5172" w:rsidP="00FD5172">
            <w:pPr>
              <w:pStyle w:val="WoVGtabletext"/>
              <w:rPr>
                <w:rFonts w:cs="Arial"/>
              </w:rPr>
            </w:pPr>
            <w:r>
              <w:rPr>
                <w:rFonts w:cs="Arial"/>
              </w:rPr>
              <w:t>OHS Manager</w:t>
            </w:r>
          </w:p>
        </w:tc>
        <w:tc>
          <w:tcPr>
            <w:tcW w:w="1559" w:type="dxa"/>
            <w:shd w:val="clear" w:color="auto" w:fill="F2F2F2" w:themeFill="background1" w:themeFillShade="F2"/>
          </w:tcPr>
          <w:p w:rsidR="00FD5172" w:rsidRDefault="00FD5172" w:rsidP="00FD5172">
            <w:pPr>
              <w:pStyle w:val="WoVGtabletext"/>
              <w:rPr>
                <w:rFonts w:cs="Arial"/>
              </w:rPr>
            </w:pPr>
            <w:r>
              <w:rPr>
                <w:rFonts w:cs="Arial"/>
              </w:rPr>
              <w:t>15 October 20XX</w:t>
            </w:r>
          </w:p>
        </w:tc>
        <w:tc>
          <w:tcPr>
            <w:tcW w:w="1134" w:type="dxa"/>
            <w:shd w:val="clear" w:color="auto" w:fill="F2F2F2" w:themeFill="background1" w:themeFillShade="F2"/>
          </w:tcPr>
          <w:p w:rsidR="00FD5172" w:rsidRDefault="00FD5172" w:rsidP="00FD5172">
            <w:pPr>
              <w:pStyle w:val="WoVGtabletext"/>
              <w:rPr>
                <w:rFonts w:cs="Arial"/>
              </w:rPr>
            </w:pPr>
            <w:r>
              <w:rPr>
                <w:rFonts w:cs="Arial"/>
              </w:rPr>
              <w:t>$1000</w:t>
            </w:r>
          </w:p>
        </w:tc>
        <w:tc>
          <w:tcPr>
            <w:tcW w:w="1276" w:type="dxa"/>
            <w:shd w:val="clear" w:color="auto" w:fill="F2F2F2" w:themeFill="background1" w:themeFillShade="F2"/>
          </w:tcPr>
          <w:p w:rsidR="00FD5172" w:rsidRDefault="00FD5172" w:rsidP="00FD5172">
            <w:pPr>
              <w:pStyle w:val="WoVGtabletext"/>
              <w:rPr>
                <w:rFonts w:cs="Arial"/>
              </w:rPr>
            </w:pPr>
            <w:r>
              <w:rPr>
                <w:rFonts w:cs="Arial"/>
              </w:rPr>
              <w:t>Not started</w:t>
            </w:r>
          </w:p>
        </w:tc>
        <w:tc>
          <w:tcPr>
            <w:tcW w:w="2684" w:type="dxa"/>
            <w:shd w:val="clear" w:color="auto" w:fill="F2F2F2" w:themeFill="background1" w:themeFillShade="F2"/>
          </w:tcPr>
          <w:p w:rsidR="00FD5172" w:rsidRDefault="00FD5172" w:rsidP="00FD5172">
            <w:pPr>
              <w:pStyle w:val="WoVGtabletext"/>
              <w:rPr>
                <w:rFonts w:cs="Arial"/>
              </w:rPr>
            </w:pPr>
            <w:r w:rsidRPr="00F048F2">
              <w:rPr>
                <w:rFonts w:cs="Arial"/>
                <w:color w:val="404040" w:themeColor="background1" w:themeShade="40"/>
                <w:spacing w:val="-3"/>
                <w:lang w:val="en-GB"/>
              </w:rPr>
              <w:t>Training &amp; Development Manager review conducted</w:t>
            </w:r>
          </w:p>
        </w:tc>
      </w:tr>
      <w:tr w:rsidR="00FD5172" w:rsidRPr="0066106F" w:rsidTr="00587005">
        <w:trPr>
          <w:cantSplit/>
        </w:trPr>
        <w:tc>
          <w:tcPr>
            <w:tcW w:w="1809" w:type="dxa"/>
            <w:vMerge/>
            <w:shd w:val="clear" w:color="auto" w:fill="F2F2F2" w:themeFill="background1" w:themeFillShade="F2"/>
          </w:tcPr>
          <w:p w:rsidR="00FD5172" w:rsidRPr="00F048F2" w:rsidRDefault="00FD5172" w:rsidP="00FD5172">
            <w:pPr>
              <w:pStyle w:val="WoVGtabletext"/>
              <w:rPr>
                <w:rFonts w:cs="Arial"/>
                <w:color w:val="404040" w:themeColor="background1" w:themeShade="40"/>
                <w:lang w:val="en-GB"/>
              </w:rPr>
            </w:pPr>
          </w:p>
        </w:tc>
        <w:tc>
          <w:tcPr>
            <w:tcW w:w="2694" w:type="dxa"/>
            <w:shd w:val="clear" w:color="auto" w:fill="F2F2F2" w:themeFill="background1" w:themeFillShade="F2"/>
          </w:tcPr>
          <w:p w:rsidR="00FD5172" w:rsidRPr="00F048F2" w:rsidRDefault="00FD5172" w:rsidP="0047128D">
            <w:pPr>
              <w:pStyle w:val="WoVGtabletext"/>
              <w:rPr>
                <w:lang w:val="en-GB"/>
              </w:rPr>
            </w:pPr>
            <w:r w:rsidRPr="00F048F2">
              <w:rPr>
                <w:lang w:val="en-GB"/>
              </w:rPr>
              <w:t>Develop a training plan for next year</w:t>
            </w:r>
          </w:p>
        </w:tc>
        <w:tc>
          <w:tcPr>
            <w:tcW w:w="992" w:type="dxa"/>
            <w:shd w:val="clear" w:color="auto" w:fill="F2F2F2" w:themeFill="background1" w:themeFillShade="F2"/>
          </w:tcPr>
          <w:p w:rsidR="00FD5172" w:rsidRDefault="00FD5172" w:rsidP="00FD5172">
            <w:pPr>
              <w:pStyle w:val="WoVGtabletext"/>
              <w:rPr>
                <w:rFonts w:cs="Arial"/>
              </w:rPr>
            </w:pPr>
            <w:r>
              <w:rPr>
                <w:rFonts w:cs="Arial"/>
              </w:rPr>
              <w:t>Medium</w:t>
            </w:r>
          </w:p>
        </w:tc>
        <w:tc>
          <w:tcPr>
            <w:tcW w:w="1843" w:type="dxa"/>
            <w:shd w:val="clear" w:color="auto" w:fill="F2F2F2" w:themeFill="background1" w:themeFillShade="F2"/>
          </w:tcPr>
          <w:p w:rsidR="00FD5172" w:rsidRDefault="00FD5172" w:rsidP="00FD5172">
            <w:pPr>
              <w:pStyle w:val="WoVGtabletext"/>
              <w:rPr>
                <w:rFonts w:cs="Arial"/>
              </w:rPr>
            </w:pPr>
            <w:r>
              <w:rPr>
                <w:rFonts w:cs="Arial"/>
              </w:rPr>
              <w:t>OHS Manager</w:t>
            </w:r>
          </w:p>
        </w:tc>
        <w:tc>
          <w:tcPr>
            <w:tcW w:w="1559" w:type="dxa"/>
            <w:shd w:val="clear" w:color="auto" w:fill="F2F2F2" w:themeFill="background1" w:themeFillShade="F2"/>
          </w:tcPr>
          <w:p w:rsidR="00FD5172" w:rsidRDefault="00FD5172" w:rsidP="00FD5172">
            <w:pPr>
              <w:pStyle w:val="WoVGtabletext"/>
              <w:rPr>
                <w:rFonts w:cs="Arial"/>
              </w:rPr>
            </w:pPr>
            <w:r>
              <w:rPr>
                <w:rFonts w:cs="Arial"/>
              </w:rPr>
              <w:t>30 November 20XX</w:t>
            </w:r>
          </w:p>
        </w:tc>
        <w:tc>
          <w:tcPr>
            <w:tcW w:w="1134" w:type="dxa"/>
            <w:shd w:val="clear" w:color="auto" w:fill="F2F2F2" w:themeFill="background1" w:themeFillShade="F2"/>
          </w:tcPr>
          <w:p w:rsidR="00FD5172" w:rsidRDefault="00FD5172" w:rsidP="00FD5172">
            <w:pPr>
              <w:pStyle w:val="WoVGtabletext"/>
              <w:rPr>
                <w:rFonts w:cs="Arial"/>
              </w:rPr>
            </w:pPr>
            <w:r>
              <w:rPr>
                <w:rFonts w:cs="Arial"/>
              </w:rPr>
              <w:t>$5000</w:t>
            </w:r>
          </w:p>
        </w:tc>
        <w:tc>
          <w:tcPr>
            <w:tcW w:w="1276" w:type="dxa"/>
            <w:shd w:val="clear" w:color="auto" w:fill="F2F2F2" w:themeFill="background1" w:themeFillShade="F2"/>
          </w:tcPr>
          <w:p w:rsidR="00FD5172" w:rsidRDefault="00FD5172" w:rsidP="00FD5172">
            <w:pPr>
              <w:pStyle w:val="WoVGtabletext"/>
              <w:rPr>
                <w:rFonts w:cs="Arial"/>
              </w:rPr>
            </w:pPr>
            <w:r>
              <w:rPr>
                <w:rFonts w:cs="Arial"/>
              </w:rPr>
              <w:t>Not started</w:t>
            </w:r>
          </w:p>
        </w:tc>
        <w:tc>
          <w:tcPr>
            <w:tcW w:w="2684" w:type="dxa"/>
            <w:shd w:val="clear" w:color="auto" w:fill="F2F2F2" w:themeFill="background1" w:themeFillShade="F2"/>
          </w:tcPr>
          <w:p w:rsidR="00562F6D" w:rsidRDefault="00FD5172" w:rsidP="0047128D">
            <w:pPr>
              <w:pStyle w:val="WoVGtabletext"/>
              <w:rPr>
                <w:lang w:val="en-GB"/>
              </w:rPr>
            </w:pPr>
            <w:r w:rsidRPr="00F048F2">
              <w:rPr>
                <w:lang w:val="en-GB"/>
              </w:rPr>
              <w:t>Competency assessments. Audit detects:</w:t>
            </w:r>
          </w:p>
          <w:p w:rsidR="00FD5172" w:rsidRPr="00F048F2" w:rsidRDefault="00FD5172" w:rsidP="00681A85">
            <w:pPr>
              <w:pStyle w:val="ListParagraph"/>
              <w:numPr>
                <w:ilvl w:val="0"/>
                <w:numId w:val="14"/>
              </w:numPr>
              <w:suppressAutoHyphens/>
              <w:spacing w:before="60" w:after="60"/>
              <w:ind w:left="175" w:hanging="175"/>
              <w:rPr>
                <w:rFonts w:ascii="Arial" w:hAnsi="Arial" w:cs="Arial"/>
                <w:color w:val="404040" w:themeColor="background1" w:themeShade="40"/>
                <w:spacing w:val="-3"/>
                <w:lang w:val="en-GB"/>
              </w:rPr>
            </w:pPr>
            <w:r w:rsidRPr="00F048F2">
              <w:rPr>
                <w:rFonts w:ascii="Arial" w:hAnsi="Arial" w:cs="Arial"/>
                <w:color w:val="404040" w:themeColor="background1" w:themeShade="40"/>
                <w:spacing w:val="-3"/>
                <w:lang w:val="en-GB"/>
              </w:rPr>
              <w:t>implementation of training plan</w:t>
            </w:r>
          </w:p>
          <w:p w:rsidR="00FD5172" w:rsidRPr="00F048F2" w:rsidRDefault="00FD5172" w:rsidP="00681A85">
            <w:pPr>
              <w:pStyle w:val="ListParagraph"/>
              <w:numPr>
                <w:ilvl w:val="0"/>
                <w:numId w:val="14"/>
              </w:numPr>
              <w:suppressAutoHyphens/>
              <w:spacing w:before="60" w:after="60"/>
              <w:ind w:left="175" w:hanging="175"/>
              <w:rPr>
                <w:rFonts w:ascii="Arial" w:hAnsi="Arial" w:cs="Arial"/>
                <w:color w:val="404040" w:themeColor="background1" w:themeShade="40"/>
                <w:spacing w:val="-3"/>
                <w:lang w:val="en-GB"/>
              </w:rPr>
            </w:pPr>
            <w:r w:rsidRPr="00F048F2">
              <w:rPr>
                <w:rFonts w:ascii="Arial" w:hAnsi="Arial" w:cs="Arial"/>
                <w:color w:val="404040" w:themeColor="background1" w:themeShade="40"/>
                <w:spacing w:val="-3"/>
                <w:lang w:val="en-GB"/>
              </w:rPr>
              <w:t>updating of TNA</w:t>
            </w:r>
          </w:p>
          <w:p w:rsidR="00FD5172" w:rsidRPr="00F048F2" w:rsidRDefault="00FD5172" w:rsidP="00681A85">
            <w:pPr>
              <w:pStyle w:val="ListParagraph"/>
              <w:numPr>
                <w:ilvl w:val="0"/>
                <w:numId w:val="14"/>
              </w:numPr>
              <w:suppressAutoHyphens/>
              <w:spacing w:before="60" w:after="60"/>
              <w:ind w:left="175" w:hanging="175"/>
              <w:rPr>
                <w:rFonts w:ascii="Arial" w:hAnsi="Arial" w:cs="Arial"/>
                <w:color w:val="404040" w:themeColor="background1" w:themeShade="40"/>
                <w:spacing w:val="-3"/>
                <w:lang w:val="en-GB"/>
              </w:rPr>
            </w:pPr>
            <w:r w:rsidRPr="00F048F2">
              <w:rPr>
                <w:rFonts w:ascii="Arial" w:hAnsi="Arial" w:cs="Arial"/>
                <w:color w:val="404040" w:themeColor="background1" w:themeShade="40"/>
                <w:spacing w:val="-3"/>
                <w:lang w:val="en-GB"/>
              </w:rPr>
              <w:t>worker participation in training</w:t>
            </w:r>
          </w:p>
          <w:p w:rsidR="00FD5172" w:rsidRDefault="00FD5172" w:rsidP="00FD5172">
            <w:pPr>
              <w:pStyle w:val="WoVGtabletext"/>
              <w:rPr>
                <w:rFonts w:cs="Arial"/>
              </w:rPr>
            </w:pPr>
            <w:r w:rsidRPr="00F048F2">
              <w:rPr>
                <w:rFonts w:cs="Arial"/>
                <w:color w:val="404040" w:themeColor="background1" w:themeShade="40"/>
                <w:spacing w:val="-3"/>
                <w:lang w:val="en-GB"/>
              </w:rPr>
              <w:t>Evaluation of training outcomes and training providers</w:t>
            </w:r>
          </w:p>
        </w:tc>
      </w:tr>
    </w:tbl>
    <w:p w:rsidR="00FD5172" w:rsidRPr="00FD5172" w:rsidRDefault="00FD5172" w:rsidP="00FD5172">
      <w:pPr>
        <w:rPr>
          <w:rFonts w:ascii="Arial" w:hAnsi="Arial" w:cs="Arial"/>
          <w:lang w:val="en-GB"/>
        </w:rPr>
        <w:sectPr w:rsidR="00FD5172" w:rsidRPr="00FD5172" w:rsidSect="00FD5172">
          <w:headerReference w:type="default" r:id="rId30"/>
          <w:pgSz w:w="16838" w:h="11906" w:orient="landscape"/>
          <w:pgMar w:top="1304" w:right="1701" w:bottom="1304" w:left="1134" w:header="454" w:footer="510" w:gutter="0"/>
          <w:cols w:space="720"/>
          <w:docGrid w:linePitch="360"/>
        </w:sectPr>
      </w:pPr>
    </w:p>
    <w:p w:rsidR="00562F6D" w:rsidRDefault="002E4235" w:rsidP="00ED6ED1">
      <w:pPr>
        <w:pStyle w:val="Heading1"/>
        <w:spacing w:before="0" w:after="360" w:line="240" w:lineRule="auto"/>
      </w:pPr>
      <w:bookmarkStart w:id="114" w:name="_Toc477934210"/>
      <w:bookmarkStart w:id="115" w:name="_Toc9246010"/>
      <w:r>
        <w:lastRenderedPageBreak/>
        <w:t xml:space="preserve">6. </w:t>
      </w:r>
      <w:r w:rsidR="0015731D" w:rsidRPr="00D82FD2">
        <w:t xml:space="preserve">Strategic </w:t>
      </w:r>
      <w:r w:rsidR="0015731D" w:rsidRPr="00415AA7">
        <w:t>priority</w:t>
      </w:r>
      <w:r w:rsidR="0015731D" w:rsidRPr="00D82FD2">
        <w:t xml:space="preserve"> 3 – Building and promoting ownership and accountability</w:t>
      </w:r>
      <w:bookmarkEnd w:id="114"/>
      <w:bookmarkEnd w:id="115"/>
    </w:p>
    <w:p w:rsidR="0015731D" w:rsidRPr="00806DF6" w:rsidRDefault="00792402" w:rsidP="0015731D">
      <w:pPr>
        <w:pStyle w:val="Heading2"/>
        <w:keepNext w:val="0"/>
        <w:keepLines w:val="0"/>
        <w:numPr>
          <w:ilvl w:val="1"/>
          <w:numId w:val="0"/>
        </w:numPr>
        <w:spacing w:before="120" w:after="0" w:line="276" w:lineRule="auto"/>
        <w:ind w:left="576" w:hanging="576"/>
      </w:pPr>
      <w:bookmarkStart w:id="116" w:name="_Toc477934211"/>
      <w:bookmarkStart w:id="117" w:name="_Toc9246011"/>
      <w:r>
        <w:t xml:space="preserve">6.1 </w:t>
      </w:r>
      <w:r w:rsidR="0015731D" w:rsidRPr="00806DF6">
        <w:t>Performance indicators</w:t>
      </w:r>
      <w:bookmarkEnd w:id="116"/>
      <w:bookmarkEnd w:id="117"/>
    </w:p>
    <w:p w:rsidR="0015731D" w:rsidRPr="0036685E" w:rsidRDefault="0015731D" w:rsidP="0047128D">
      <w:pPr>
        <w:pStyle w:val="WoVGbody"/>
        <w:rPr>
          <w:lang w:val="en-GB"/>
        </w:rPr>
      </w:pPr>
      <w:r w:rsidRPr="0036685E">
        <w:rPr>
          <w:lang w:val="en-GB"/>
        </w:rPr>
        <w:t>Establishing performance indicators enables a systematic approach to review OHS performance and is useful when an organisation is seeking to:</w:t>
      </w:r>
    </w:p>
    <w:p w:rsidR="0015731D" w:rsidRPr="0036685E" w:rsidRDefault="0015731D" w:rsidP="0047128D">
      <w:pPr>
        <w:pStyle w:val="WoVGbullet1"/>
        <w:rPr>
          <w:lang w:val="en-GB"/>
        </w:rPr>
      </w:pPr>
      <w:r w:rsidRPr="0036685E">
        <w:rPr>
          <w:lang w:val="en-GB"/>
        </w:rPr>
        <w:t>establish and measure improvement against its baseline</w:t>
      </w:r>
    </w:p>
    <w:p w:rsidR="0015731D" w:rsidRPr="0036685E" w:rsidRDefault="0015731D" w:rsidP="0047128D">
      <w:pPr>
        <w:pStyle w:val="WoVGbullet1"/>
        <w:rPr>
          <w:lang w:val="en-GB"/>
        </w:rPr>
      </w:pPr>
      <w:r w:rsidRPr="0036685E">
        <w:rPr>
          <w:lang w:val="en-GB"/>
        </w:rPr>
        <w:t>measure progress in meeting its objectives and targets</w:t>
      </w:r>
    </w:p>
    <w:p w:rsidR="0015731D" w:rsidRPr="0036685E" w:rsidRDefault="0015731D" w:rsidP="0047128D">
      <w:pPr>
        <w:pStyle w:val="WoVGbullet1"/>
        <w:rPr>
          <w:lang w:val="en-GB"/>
        </w:rPr>
      </w:pPr>
      <w:r w:rsidRPr="0036685E">
        <w:rPr>
          <w:lang w:val="en-GB"/>
        </w:rPr>
        <w:t>allow for evidence based planning for continual improvement, and</w:t>
      </w:r>
    </w:p>
    <w:p w:rsidR="0015731D" w:rsidRPr="0036685E" w:rsidRDefault="0015731D" w:rsidP="0047128D">
      <w:pPr>
        <w:pStyle w:val="WoVGbullet1"/>
        <w:rPr>
          <w:lang w:val="en-GB"/>
        </w:rPr>
      </w:pPr>
      <w:r w:rsidRPr="0036685E">
        <w:rPr>
          <w:lang w:val="en-GB"/>
        </w:rPr>
        <w:t>compare performance against other departments and learn from the experience of others.</w:t>
      </w:r>
    </w:p>
    <w:p w:rsidR="0015731D" w:rsidRPr="002E4235" w:rsidRDefault="0015731D" w:rsidP="0047128D">
      <w:pPr>
        <w:pStyle w:val="WoVGbodyafterbullets"/>
      </w:pPr>
      <w:r w:rsidRPr="002E4235">
        <w:t>Finding the appropriate performance indicators can be a difficult task. The aim is to measure both the bottom-line results of health and safety as well as how well a department is performing in preventing accidents and incidents. To achieve this, a combination of lag and lead safety perform</w:t>
      </w:r>
      <w:r w:rsidR="002E4235" w:rsidRPr="002E4235">
        <w:t>ance indicators should be used.</w:t>
      </w:r>
    </w:p>
    <w:p w:rsidR="0015731D" w:rsidRPr="002E4235" w:rsidRDefault="00792402" w:rsidP="00792402">
      <w:pPr>
        <w:pStyle w:val="Heading3"/>
      </w:pPr>
      <w:r>
        <w:t xml:space="preserve">6.1.1 </w:t>
      </w:r>
      <w:r w:rsidR="0015731D" w:rsidRPr="002E4235">
        <w:t>Lead indicators</w:t>
      </w:r>
    </w:p>
    <w:p w:rsidR="00562F6D" w:rsidRDefault="0015731D" w:rsidP="002E4235">
      <w:pPr>
        <w:pStyle w:val="WoVGbody"/>
      </w:pPr>
      <w:r w:rsidRPr="002E4235">
        <w:t>Lead indicators (sometimes referred to as ‘process indicators’) provide a means for departments to measure progress towards achieving their objectives and targets. They provide a measure of activities, interventions or initiatives designed to drive improvement and positively impact performance. Lead indicators are therefore predictors of future performance.</w:t>
      </w:r>
    </w:p>
    <w:tbl>
      <w:tblPr>
        <w:tblStyle w:val="TableGrid"/>
        <w:tblW w:w="0" w:type="auto"/>
        <w:tblInd w:w="0" w:type="dxa"/>
        <w:tblBorders>
          <w:top w:val="single" w:sz="12" w:space="0" w:color="009CA6"/>
          <w:left w:val="single" w:sz="12" w:space="0" w:color="009CA6"/>
          <w:bottom w:val="single" w:sz="12" w:space="0" w:color="009CA6"/>
          <w:right w:val="single" w:sz="12" w:space="0" w:color="009CA6"/>
          <w:insideH w:val="single" w:sz="12" w:space="0" w:color="009CA6"/>
          <w:insideV w:val="single" w:sz="12" w:space="0" w:color="009CA6"/>
        </w:tblBorders>
        <w:tblCellMar>
          <w:top w:w="113" w:type="dxa"/>
          <w:bottom w:w="113" w:type="dxa"/>
        </w:tblCellMar>
        <w:tblLook w:val="0600" w:firstRow="0" w:lastRow="0" w:firstColumn="0" w:lastColumn="0" w:noHBand="1" w:noVBand="1"/>
      </w:tblPr>
      <w:tblGrid>
        <w:gridCol w:w="9268"/>
      </w:tblGrid>
      <w:tr w:rsidR="0047128D" w:rsidTr="00515E48">
        <w:tc>
          <w:tcPr>
            <w:tcW w:w="9299" w:type="dxa"/>
          </w:tcPr>
          <w:p w:rsidR="0047128D" w:rsidRPr="00FC7817" w:rsidRDefault="0047128D" w:rsidP="00EE3B2D">
            <w:pPr>
              <w:pStyle w:val="WoVGbody"/>
              <w:rPr>
                <w:lang w:val="en-GB"/>
              </w:rPr>
            </w:pPr>
            <w:r w:rsidRPr="00FC7817">
              <w:rPr>
                <w:rFonts w:cs="Arial"/>
                <w:b/>
                <w:spacing w:val="-3"/>
                <w:lang w:val="en-GB"/>
              </w:rPr>
              <w:t>Example:</w:t>
            </w:r>
          </w:p>
          <w:p w:rsidR="0047128D" w:rsidRPr="00FC7817" w:rsidRDefault="0047128D" w:rsidP="0047128D">
            <w:pPr>
              <w:pStyle w:val="WoVGbullet1"/>
              <w:numPr>
                <w:ilvl w:val="0"/>
                <w:numId w:val="0"/>
              </w:numPr>
              <w:ind w:left="284" w:hanging="284"/>
            </w:pPr>
            <w:r w:rsidRPr="00FC7817">
              <w:t>Lead indicators may include:</w:t>
            </w:r>
          </w:p>
          <w:p w:rsidR="0047128D" w:rsidRPr="00FC7817" w:rsidRDefault="0047128D" w:rsidP="0047128D">
            <w:pPr>
              <w:pStyle w:val="WoVGbullet1"/>
            </w:pPr>
            <w:r w:rsidRPr="00FC7817">
              <w:t>hazards reported</w:t>
            </w:r>
          </w:p>
          <w:p w:rsidR="0047128D" w:rsidRPr="00FC7817" w:rsidRDefault="0047128D" w:rsidP="0047128D">
            <w:pPr>
              <w:pStyle w:val="WoVGbullet1"/>
            </w:pPr>
            <w:r w:rsidRPr="00FC7817">
              <w:t>% incident investigations completed</w:t>
            </w:r>
          </w:p>
          <w:p w:rsidR="0047128D" w:rsidRPr="00FC7817" w:rsidRDefault="0047128D" w:rsidP="0047128D">
            <w:pPr>
              <w:pStyle w:val="WoVGbullet1"/>
            </w:pPr>
            <w:r w:rsidRPr="00FC7817">
              <w:t>% workers trained</w:t>
            </w:r>
          </w:p>
          <w:p w:rsidR="0047128D" w:rsidRPr="00FC7817" w:rsidRDefault="0047128D" w:rsidP="0047128D">
            <w:pPr>
              <w:pStyle w:val="WoVGbullet1"/>
            </w:pPr>
            <w:r w:rsidRPr="00FC7817">
              <w:t>survey results</w:t>
            </w:r>
          </w:p>
          <w:p w:rsidR="0047128D" w:rsidRPr="00FC7817" w:rsidRDefault="0047128D" w:rsidP="0047128D">
            <w:pPr>
              <w:pStyle w:val="WoVGbullet1"/>
            </w:pPr>
            <w:r w:rsidRPr="00FC7817">
              <w:t>OHS management system development and improvement</w:t>
            </w:r>
          </w:p>
          <w:p w:rsidR="0047128D" w:rsidRPr="00FC7817" w:rsidRDefault="0047128D" w:rsidP="0047128D">
            <w:pPr>
              <w:pStyle w:val="WoVGbullet1"/>
            </w:pPr>
            <w:r w:rsidRPr="00FC7817">
              <w:t>OHS management system implementation (e.g. average OHSMS audit result)</w:t>
            </w:r>
          </w:p>
          <w:p w:rsidR="0047128D" w:rsidRPr="00FC7817" w:rsidRDefault="0047128D" w:rsidP="0047128D">
            <w:pPr>
              <w:pStyle w:val="WoVGbullet1"/>
            </w:pPr>
            <w:r w:rsidRPr="00FC7817">
              <w:t>number of audits conducted</w:t>
            </w:r>
          </w:p>
          <w:p w:rsidR="0047128D" w:rsidRPr="00FC7817" w:rsidRDefault="0047128D" w:rsidP="0047128D">
            <w:pPr>
              <w:pStyle w:val="WoVGbullet1"/>
            </w:pPr>
            <w:r w:rsidRPr="00FC7817">
              <w:t>% of corrective actions completed (audits/ investigations)</w:t>
            </w:r>
          </w:p>
          <w:p w:rsidR="0047128D" w:rsidRPr="00FC7817" w:rsidRDefault="0047128D" w:rsidP="0047128D">
            <w:pPr>
              <w:pStyle w:val="WoVGbullet1"/>
            </w:pPr>
            <w:r w:rsidRPr="00FC7817">
              <w:t>% of management participating in OHS audits</w:t>
            </w:r>
          </w:p>
          <w:p w:rsidR="0047128D" w:rsidRPr="00FC7817" w:rsidRDefault="0047128D" w:rsidP="0047128D">
            <w:pPr>
              <w:pStyle w:val="WoVGbullet1"/>
            </w:pPr>
            <w:r w:rsidRPr="00FC7817">
              <w:t>worker representation (Health and Safety representatives and OHS committees)</w:t>
            </w:r>
          </w:p>
          <w:p w:rsidR="0047128D" w:rsidRPr="00FC7817" w:rsidRDefault="0047128D" w:rsidP="0047128D">
            <w:pPr>
              <w:pStyle w:val="WoVGbullet1"/>
            </w:pPr>
            <w:r w:rsidRPr="00FC7817">
              <w:t>number senior management participating in OHS management systems review</w:t>
            </w:r>
          </w:p>
          <w:p w:rsidR="0047128D" w:rsidRPr="0047128D" w:rsidRDefault="0047128D" w:rsidP="0047128D">
            <w:pPr>
              <w:pStyle w:val="WoVGbullet1"/>
            </w:pPr>
            <w:r w:rsidRPr="00D05E0B">
              <w:t>senior management participation in OHS consultative forums (numbers and % attendance</w:t>
            </w:r>
          </w:p>
        </w:tc>
      </w:tr>
    </w:tbl>
    <w:p w:rsidR="0015731D" w:rsidRPr="0036685E" w:rsidRDefault="0015731D" w:rsidP="00EE3B2D">
      <w:pPr>
        <w:pStyle w:val="WoVGbody"/>
        <w:rPr>
          <w:lang w:val="en-GB"/>
        </w:rPr>
      </w:pPr>
      <w:r w:rsidRPr="0036685E">
        <w:rPr>
          <w:rFonts w:cs="Arial"/>
          <w:b/>
          <w:spacing w:val="-3"/>
          <w:lang w:val="en-GB"/>
        </w:rPr>
        <w:br w:type="page"/>
      </w:r>
    </w:p>
    <w:p w:rsidR="0015731D" w:rsidRPr="002E4235" w:rsidRDefault="00792402" w:rsidP="00792402">
      <w:pPr>
        <w:pStyle w:val="Heading3"/>
      </w:pPr>
      <w:r>
        <w:lastRenderedPageBreak/>
        <w:t xml:space="preserve">6.1.2 </w:t>
      </w:r>
      <w:r w:rsidR="0015731D" w:rsidRPr="002E4235">
        <w:t>Lag indicators</w:t>
      </w:r>
    </w:p>
    <w:p w:rsidR="00562F6D" w:rsidRDefault="0015731D" w:rsidP="002E4235">
      <w:pPr>
        <w:pStyle w:val="WoVGbody"/>
      </w:pPr>
      <w:r w:rsidRPr="002E4235">
        <w:t>Lag indicators (sometimes referred to as ‘outcome indicators’) reflect system or operational performance. However, they generally reflect results of past actions. This is because there is often a delay period between implementation of an improvement initiative and achieving measurable changes in outcome results (frequency and severity of injuries/claims).</w:t>
      </w:r>
    </w:p>
    <w:p w:rsidR="00562F6D" w:rsidRDefault="0015731D" w:rsidP="002E4235">
      <w:pPr>
        <w:pStyle w:val="WoVGbody"/>
      </w:pPr>
      <w:r w:rsidRPr="002E4235">
        <w:t>Outcome performance results are generally the product of a range of interventions rather than being directly attributable to a single initiative. Lag indicators often measure failure in performance (e.g. number of injuries).</w:t>
      </w:r>
    </w:p>
    <w:p w:rsidR="00562F6D" w:rsidRDefault="0015731D" w:rsidP="002E4235">
      <w:pPr>
        <w:pStyle w:val="WoVGbody"/>
      </w:pPr>
      <w:r w:rsidRPr="002E4235">
        <w:t>Lag indicators may hide potential risks, for example, a low number of injuries is not necessarily indicative that risk controls have been effectively implemented. Similarly, rare but catastrophic risks are often not identified from lag data alone.</w:t>
      </w:r>
    </w:p>
    <w:tbl>
      <w:tblPr>
        <w:tblStyle w:val="TableGrid"/>
        <w:tblW w:w="0" w:type="auto"/>
        <w:tblInd w:w="0" w:type="dxa"/>
        <w:tblBorders>
          <w:top w:val="single" w:sz="12" w:space="0" w:color="009CA6"/>
          <w:left w:val="single" w:sz="12" w:space="0" w:color="009CA6"/>
          <w:bottom w:val="single" w:sz="12" w:space="0" w:color="009CA6"/>
          <w:right w:val="single" w:sz="12" w:space="0" w:color="009CA6"/>
          <w:insideH w:val="single" w:sz="12" w:space="0" w:color="009CA6"/>
          <w:insideV w:val="single" w:sz="12" w:space="0" w:color="009CA6"/>
        </w:tblBorders>
        <w:tblCellMar>
          <w:top w:w="113" w:type="dxa"/>
          <w:bottom w:w="113" w:type="dxa"/>
        </w:tblCellMar>
        <w:tblLook w:val="0600" w:firstRow="0" w:lastRow="0" w:firstColumn="0" w:lastColumn="0" w:noHBand="1" w:noVBand="1"/>
      </w:tblPr>
      <w:tblGrid>
        <w:gridCol w:w="9268"/>
      </w:tblGrid>
      <w:tr w:rsidR="0047128D" w:rsidTr="00515E48">
        <w:tc>
          <w:tcPr>
            <w:tcW w:w="9514" w:type="dxa"/>
          </w:tcPr>
          <w:p w:rsidR="0047128D" w:rsidRPr="00FC7817" w:rsidRDefault="0047128D" w:rsidP="00EE3B2D">
            <w:pPr>
              <w:pStyle w:val="WoVGbody"/>
              <w:rPr>
                <w:lang w:val="en-GB"/>
              </w:rPr>
            </w:pPr>
            <w:r w:rsidRPr="00FC7817">
              <w:rPr>
                <w:rFonts w:cs="Arial"/>
                <w:b/>
                <w:spacing w:val="-3"/>
                <w:lang w:val="en-GB"/>
              </w:rPr>
              <w:t>Example:</w:t>
            </w:r>
          </w:p>
          <w:p w:rsidR="0047128D" w:rsidRPr="00FC7817" w:rsidRDefault="0047128D" w:rsidP="00EE3B2D">
            <w:pPr>
              <w:pStyle w:val="WoVGbody"/>
              <w:rPr>
                <w:lang w:val="en-GB"/>
              </w:rPr>
            </w:pPr>
            <w:r w:rsidRPr="00FC7817">
              <w:rPr>
                <w:rFonts w:cs="Arial"/>
                <w:spacing w:val="-3"/>
                <w:lang w:val="en-GB"/>
              </w:rPr>
              <w:t>Lag indicators include:</w:t>
            </w:r>
          </w:p>
          <w:p w:rsidR="0047128D" w:rsidRPr="00FC7817" w:rsidRDefault="0047128D" w:rsidP="0047128D">
            <w:pPr>
              <w:pStyle w:val="WoVGbullet1"/>
            </w:pPr>
            <w:r w:rsidRPr="00FC7817">
              <w:t>total claims</w:t>
            </w:r>
          </w:p>
          <w:p w:rsidR="0047128D" w:rsidRPr="00FC7817" w:rsidRDefault="0047128D" w:rsidP="0047128D">
            <w:pPr>
              <w:pStyle w:val="WoVGbullet1"/>
            </w:pPr>
            <w:r w:rsidRPr="00FC7817">
              <w:t>fatality</w:t>
            </w:r>
          </w:p>
          <w:p w:rsidR="0047128D" w:rsidRPr="00FC7817" w:rsidRDefault="0047128D" w:rsidP="0047128D">
            <w:pPr>
              <w:pStyle w:val="WoVGbullet1"/>
            </w:pPr>
            <w:r w:rsidRPr="00FC7817">
              <w:t>13 and 26 week claims</w:t>
            </w:r>
          </w:p>
          <w:p w:rsidR="0047128D" w:rsidRPr="00FC7817" w:rsidRDefault="0047128D" w:rsidP="0047128D">
            <w:pPr>
              <w:pStyle w:val="WoVGbullet1"/>
            </w:pPr>
            <w:r w:rsidRPr="00FC7817">
              <w:t>claim costs</w:t>
            </w:r>
          </w:p>
          <w:p w:rsidR="0047128D" w:rsidRPr="00FC7817" w:rsidRDefault="0047128D" w:rsidP="0047128D">
            <w:pPr>
              <w:pStyle w:val="WoVGbullet1"/>
            </w:pPr>
            <w:r w:rsidRPr="00FC7817">
              <w:t>time lost – days/ shifts</w:t>
            </w:r>
          </w:p>
          <w:p w:rsidR="0047128D" w:rsidRPr="00FC7817" w:rsidRDefault="0047128D" w:rsidP="0047128D">
            <w:pPr>
              <w:pStyle w:val="WoVGbullet1"/>
            </w:pPr>
            <w:r w:rsidRPr="00FC7817">
              <w:t>claims by targeted affliction e.g. mental injury, occupational violence (reported under Minimum Data Set)</w:t>
            </w:r>
          </w:p>
          <w:p w:rsidR="0047128D" w:rsidRPr="0047128D" w:rsidRDefault="0047128D" w:rsidP="0047128D">
            <w:pPr>
              <w:pStyle w:val="WoVGbullet1"/>
            </w:pPr>
            <w:r w:rsidRPr="00D05E0B">
              <w:t>legislative compliance e.g. total number of notices issued/ total inspector visits, prosecutions</w:t>
            </w:r>
          </w:p>
        </w:tc>
      </w:tr>
    </w:tbl>
    <w:p w:rsidR="0015731D" w:rsidRPr="00D05E0B" w:rsidRDefault="0015731D" w:rsidP="00D05E0B">
      <w:pPr>
        <w:pStyle w:val="WoVGbodyaftertablefigure"/>
      </w:pPr>
      <w:r w:rsidRPr="00D05E0B">
        <w:t>Advantages of using lag indicators include that they:</w:t>
      </w:r>
    </w:p>
    <w:p w:rsidR="0015731D" w:rsidRPr="00D05E0B" w:rsidRDefault="0015731D" w:rsidP="00D05E0B">
      <w:pPr>
        <w:pStyle w:val="WoVGbullet1"/>
      </w:pPr>
      <w:r w:rsidRPr="00D05E0B">
        <w:t>are relatively easy to collect</w:t>
      </w:r>
    </w:p>
    <w:p w:rsidR="0015731D" w:rsidRPr="00D05E0B" w:rsidRDefault="0015731D" w:rsidP="00D05E0B">
      <w:pPr>
        <w:pStyle w:val="WoVGbullet1"/>
      </w:pPr>
      <w:r w:rsidRPr="00D05E0B">
        <w:t>are generally well understood, and</w:t>
      </w:r>
    </w:p>
    <w:p w:rsidR="0015731D" w:rsidRPr="00965FA8" w:rsidRDefault="0015731D" w:rsidP="00965FA8">
      <w:pPr>
        <w:pStyle w:val="WoVGbullet1"/>
      </w:pPr>
      <w:r w:rsidRPr="00D05E0B">
        <w:t>may be used for comparing performance when a common definition and collection process is adopted.</w:t>
      </w:r>
    </w:p>
    <w:p w:rsidR="0015731D" w:rsidRPr="00806DF6" w:rsidRDefault="00965FA8" w:rsidP="00965FA8">
      <w:pPr>
        <w:pStyle w:val="Heading2"/>
        <w:numPr>
          <w:ilvl w:val="1"/>
          <w:numId w:val="0"/>
        </w:numPr>
      </w:pPr>
      <w:bookmarkStart w:id="118" w:name="_Toc477934212"/>
      <w:bookmarkStart w:id="119" w:name="_Toc9246012"/>
      <w:r>
        <w:t xml:space="preserve">6.2 </w:t>
      </w:r>
      <w:r w:rsidR="0015731D" w:rsidRPr="00965FA8">
        <w:t>Leading the Way</w:t>
      </w:r>
      <w:r w:rsidR="0015731D" w:rsidRPr="00806DF6">
        <w:t xml:space="preserve"> reporting</w:t>
      </w:r>
      <w:bookmarkEnd w:id="118"/>
      <w:bookmarkEnd w:id="119"/>
    </w:p>
    <w:p w:rsidR="0015731D" w:rsidRPr="00D05E0B" w:rsidRDefault="0015731D" w:rsidP="00D05E0B">
      <w:pPr>
        <w:pStyle w:val="WoVGbody"/>
      </w:pPr>
      <w:r w:rsidRPr="00D05E0B">
        <w:t>Reporting performance is an important component in building accountability, promoting ownership and forms the basis for continuous improvement.</w:t>
      </w:r>
    </w:p>
    <w:p w:rsidR="00562F6D" w:rsidRDefault="0015731D" w:rsidP="00D05E0B">
      <w:pPr>
        <w:pStyle w:val="WoVGbody"/>
      </w:pPr>
      <w:r w:rsidRPr="00D05E0B">
        <w:t>Under Leading the Way, OHS performance will be reported in two ways:</w:t>
      </w:r>
    </w:p>
    <w:p w:rsidR="00562F6D" w:rsidRDefault="0015731D" w:rsidP="00D05E0B">
      <w:pPr>
        <w:pStyle w:val="WoVGbullet1"/>
      </w:pPr>
      <w:r w:rsidRPr="00D05E0B">
        <w:t>reporting of lead or process indicators</w:t>
      </w:r>
    </w:p>
    <w:p w:rsidR="0015731D" w:rsidRPr="00D05E0B" w:rsidRDefault="0015731D" w:rsidP="00D05E0B">
      <w:pPr>
        <w:pStyle w:val="WoVGbullet1"/>
      </w:pPr>
      <w:r w:rsidRPr="00D05E0B">
        <w:t>reporting of lag or outcome indicators.</w:t>
      </w:r>
    </w:p>
    <w:p w:rsidR="0015731D" w:rsidRPr="00D05E0B" w:rsidRDefault="0015731D" w:rsidP="00965FA8">
      <w:pPr>
        <w:pStyle w:val="WoVGbodyafterbullets"/>
      </w:pPr>
      <w:r w:rsidRPr="00D05E0B">
        <w:t>Appendix 1 illustrates the categorisation of selected lead (process) and lag (outcome) measures across the four Leading the Way focus areas.</w:t>
      </w:r>
    </w:p>
    <w:p w:rsidR="0015731D" w:rsidRPr="00D05E0B" w:rsidRDefault="0015731D" w:rsidP="00D05E0B">
      <w:pPr>
        <w:pStyle w:val="WoVGbody"/>
      </w:pPr>
      <w:r w:rsidRPr="003A076F">
        <w:rPr>
          <w:b/>
        </w:rPr>
        <w:t>Process reporting</w:t>
      </w:r>
      <w:r w:rsidRPr="00D05E0B">
        <w:t xml:space="preserve"> supports the Leading the Way need for flexibility, with measures and methodologies tailored to the priorities of departments. Departments will be collecting and reporting their own process indicators.</w:t>
      </w:r>
    </w:p>
    <w:p w:rsidR="00562F6D" w:rsidRDefault="0015731D" w:rsidP="00D05E0B">
      <w:pPr>
        <w:pStyle w:val="WoVGbody"/>
      </w:pPr>
      <w:r w:rsidRPr="003A076F">
        <w:rPr>
          <w:b/>
        </w:rPr>
        <w:t>Outcomes reporting</w:t>
      </w:r>
      <w:r w:rsidRPr="00D05E0B">
        <w:t xml:space="preserve"> supports the Leading the Way need state-wide consistency, with an agreed set of measures and associated data collection methodology used to compare across all departments. Outcomes indictors will be collected for each department by WorkSafe Victoria.</w:t>
      </w:r>
    </w:p>
    <w:p w:rsidR="00562F6D" w:rsidRDefault="00792402" w:rsidP="00792402">
      <w:pPr>
        <w:pStyle w:val="Heading3"/>
      </w:pPr>
      <w:r>
        <w:lastRenderedPageBreak/>
        <w:t xml:space="preserve">6.2.1 </w:t>
      </w:r>
      <w:r w:rsidR="0015731D" w:rsidRPr="003A076F">
        <w:t>Data collection and analysis – process reporting</w:t>
      </w:r>
    </w:p>
    <w:p w:rsidR="0015731D" w:rsidRPr="00D05E0B" w:rsidRDefault="0015731D" w:rsidP="00D05E0B">
      <w:pPr>
        <w:pStyle w:val="WoVGbody"/>
      </w:pPr>
      <w:r w:rsidRPr="00D05E0B">
        <w:t>Departments will need to establish a data collection procedure(s) using qualitative, quantitative or mixed methods. The data collection process will need to include documentation of the data collected, as well as the data collection methods used.</w:t>
      </w:r>
    </w:p>
    <w:p w:rsidR="0015731D" w:rsidRPr="00D05E0B" w:rsidRDefault="0015731D" w:rsidP="00D05E0B">
      <w:pPr>
        <w:pStyle w:val="WoVGbody"/>
      </w:pPr>
      <w:r w:rsidRPr="00D05E0B">
        <w:t>Collated data should be reviewed and analysed to understand the ‘story’ the data is reflecting; including where the department is performing well, and whether there are opportunities for improvement. Analysis should include discussing the results with relevant stakeholders.</w:t>
      </w:r>
    </w:p>
    <w:p w:rsidR="00562F6D" w:rsidRDefault="0015731D" w:rsidP="003A076F">
      <w:pPr>
        <w:pStyle w:val="WoVGbody"/>
      </w:pPr>
      <w:r w:rsidRPr="003A076F">
        <w:t>Staff at all levels within the organisation have responsibility and accountability to contribute to data collection to support OHS improvement. Table 2 provides an example of how a department may allocate responsibility and accountability for data collection, analysis and reporting for a nominated performance indicator. Departments may elect to include a similar table within their data collection procedure(s). These accountabilities can be readily integrated into position descriptions and performance plans.</w:t>
      </w:r>
    </w:p>
    <w:p w:rsidR="00562F6D" w:rsidRDefault="0015731D" w:rsidP="003A076F">
      <w:pPr>
        <w:pStyle w:val="WoVGbody"/>
      </w:pPr>
      <w:r w:rsidRPr="003A076F">
        <w:t xml:space="preserve">The quality and consistency of reported data can be an indicator of the degree of capability, participation and ownership of health and safety across the organisation (i.e. an </w:t>
      </w:r>
      <w:r w:rsidR="003A076F">
        <w:t>indicator of safety maturity).</w:t>
      </w:r>
    </w:p>
    <w:p w:rsidR="0015731D" w:rsidRPr="003A076F" w:rsidRDefault="0015731D" w:rsidP="003A076F">
      <w:pPr>
        <w:pStyle w:val="WoVGtablecaption"/>
      </w:pPr>
      <w:r w:rsidRPr="003A076F">
        <w:t>Table 2: Sample approach to data collection</w:t>
      </w:r>
    </w:p>
    <w:tbl>
      <w:tblPr>
        <w:tblStyle w:val="TableGrid"/>
        <w:tblW w:w="9299" w:type="dxa"/>
        <w:tblInd w:w="-5" w:type="dxa"/>
        <w:tblLook w:val="06A0" w:firstRow="1" w:lastRow="0" w:firstColumn="1" w:lastColumn="0" w:noHBand="1" w:noVBand="1"/>
      </w:tblPr>
      <w:tblGrid>
        <w:gridCol w:w="1693"/>
        <w:gridCol w:w="2826"/>
        <w:gridCol w:w="2584"/>
        <w:gridCol w:w="2196"/>
      </w:tblGrid>
      <w:tr w:rsidR="0015731D" w:rsidRPr="001B77F4" w:rsidTr="00587005">
        <w:trPr>
          <w:trHeight w:val="368"/>
          <w:tblHeader/>
        </w:trPr>
        <w:tc>
          <w:tcPr>
            <w:tcW w:w="1673" w:type="dxa"/>
            <w:shd w:val="clear" w:color="auto" w:fill="92CDDC" w:themeFill="accent5" w:themeFillTint="99"/>
          </w:tcPr>
          <w:p w:rsidR="0015731D" w:rsidRPr="00375EA5" w:rsidRDefault="0015731D" w:rsidP="00375EA5">
            <w:pPr>
              <w:pStyle w:val="WoVGtablecolhead"/>
            </w:pPr>
            <w:r w:rsidRPr="00375EA5">
              <w:t>Data</w:t>
            </w:r>
          </w:p>
        </w:tc>
        <w:tc>
          <w:tcPr>
            <w:tcW w:w="2791" w:type="dxa"/>
            <w:shd w:val="clear" w:color="auto" w:fill="92CDDC" w:themeFill="accent5" w:themeFillTint="99"/>
          </w:tcPr>
          <w:p w:rsidR="0015731D" w:rsidRPr="00375EA5" w:rsidRDefault="0015731D" w:rsidP="00375EA5">
            <w:pPr>
              <w:pStyle w:val="WoVGtablecolhead"/>
            </w:pPr>
            <w:r w:rsidRPr="00375EA5">
              <w:t>Senior management</w:t>
            </w:r>
          </w:p>
        </w:tc>
        <w:tc>
          <w:tcPr>
            <w:tcW w:w="2552" w:type="dxa"/>
            <w:shd w:val="clear" w:color="auto" w:fill="92CDDC" w:themeFill="accent5" w:themeFillTint="99"/>
          </w:tcPr>
          <w:p w:rsidR="0015731D" w:rsidRPr="00375EA5" w:rsidRDefault="0015731D" w:rsidP="00375EA5">
            <w:pPr>
              <w:pStyle w:val="WoVGtablecolhead"/>
            </w:pPr>
            <w:r w:rsidRPr="00375EA5">
              <w:t>Managers</w:t>
            </w:r>
          </w:p>
        </w:tc>
        <w:tc>
          <w:tcPr>
            <w:tcW w:w="2169" w:type="dxa"/>
            <w:shd w:val="clear" w:color="auto" w:fill="92CDDC" w:themeFill="accent5" w:themeFillTint="99"/>
          </w:tcPr>
          <w:p w:rsidR="0015731D" w:rsidRPr="00375EA5" w:rsidRDefault="0015731D" w:rsidP="00375EA5">
            <w:pPr>
              <w:pStyle w:val="WoVGtablecolhead"/>
            </w:pPr>
            <w:r w:rsidRPr="00375EA5">
              <w:t>Employees</w:t>
            </w:r>
          </w:p>
        </w:tc>
      </w:tr>
      <w:tr w:rsidR="0015731D" w:rsidRPr="009A3916" w:rsidTr="00587005">
        <w:trPr>
          <w:trHeight w:val="559"/>
        </w:trPr>
        <w:tc>
          <w:tcPr>
            <w:tcW w:w="1673" w:type="dxa"/>
            <w:shd w:val="clear" w:color="auto" w:fill="DAEEF3" w:themeFill="accent5" w:themeFillTint="33"/>
          </w:tcPr>
          <w:p w:rsidR="0015731D" w:rsidRPr="00203506" w:rsidRDefault="0015731D" w:rsidP="00375EA5">
            <w:pPr>
              <w:pStyle w:val="WoVGtabletext"/>
              <w:rPr>
                <w:rFonts w:cs="Arial"/>
                <w:color w:val="404040" w:themeColor="background1" w:themeShade="40"/>
                <w:lang w:val="en-GB"/>
              </w:rPr>
            </w:pPr>
            <w:r w:rsidRPr="00375EA5">
              <w:rPr>
                <w:rFonts w:cs="Arial"/>
              </w:rPr>
              <w:t>Performance indicator</w:t>
            </w:r>
          </w:p>
        </w:tc>
        <w:tc>
          <w:tcPr>
            <w:tcW w:w="2791" w:type="dxa"/>
            <w:shd w:val="clear" w:color="auto" w:fill="F2F2F2" w:themeFill="background1" w:themeFillShade="F2"/>
          </w:tcPr>
          <w:p w:rsidR="0015731D" w:rsidRPr="00375EA5" w:rsidRDefault="0015731D" w:rsidP="00375EA5">
            <w:pPr>
              <w:pStyle w:val="WoVGtablebullet1"/>
              <w:numPr>
                <w:ilvl w:val="0"/>
                <w:numId w:val="1"/>
              </w:numPr>
              <w:ind w:left="227" w:hanging="227"/>
            </w:pPr>
            <w:r w:rsidRPr="00375EA5">
              <w:t>Monitor and analyses performance data against vision, policy, objectives and targets</w:t>
            </w:r>
          </w:p>
          <w:p w:rsidR="0015731D" w:rsidRPr="00375EA5" w:rsidRDefault="0015731D" w:rsidP="00375EA5">
            <w:pPr>
              <w:pStyle w:val="WoVGtablebullet1"/>
              <w:numPr>
                <w:ilvl w:val="0"/>
                <w:numId w:val="1"/>
              </w:numPr>
              <w:ind w:left="227" w:hanging="227"/>
            </w:pPr>
            <w:r w:rsidRPr="00375EA5">
              <w:t>Participate in management reviews</w:t>
            </w:r>
          </w:p>
          <w:p w:rsidR="00562F6D" w:rsidRDefault="0015731D" w:rsidP="00375EA5">
            <w:pPr>
              <w:pStyle w:val="WoVGtablebullet1"/>
              <w:numPr>
                <w:ilvl w:val="0"/>
                <w:numId w:val="1"/>
              </w:numPr>
              <w:ind w:left="227" w:hanging="227"/>
            </w:pPr>
            <w:r w:rsidRPr="00375EA5">
              <w:t>Model participation in programs, report incidents or hazards, consultation</w:t>
            </w:r>
          </w:p>
          <w:p w:rsidR="0015731D" w:rsidRPr="00375EA5" w:rsidRDefault="0015731D" w:rsidP="00375EA5">
            <w:pPr>
              <w:pStyle w:val="WoVGtablebullet1"/>
              <w:numPr>
                <w:ilvl w:val="0"/>
                <w:numId w:val="1"/>
              </w:numPr>
              <w:ind w:left="227" w:hanging="227"/>
            </w:pPr>
            <w:r w:rsidRPr="00375EA5">
              <w:t>Revises strategy and direction if required</w:t>
            </w:r>
          </w:p>
          <w:p w:rsidR="0015731D" w:rsidRPr="00375EA5" w:rsidRDefault="0015731D" w:rsidP="00375EA5">
            <w:pPr>
              <w:pStyle w:val="WoVGtablebullet1"/>
              <w:numPr>
                <w:ilvl w:val="0"/>
                <w:numId w:val="1"/>
              </w:numPr>
              <w:ind w:left="227" w:hanging="227"/>
            </w:pPr>
            <w:r w:rsidRPr="00375EA5">
              <w:t>Lead organisation level OHS consultation</w:t>
            </w:r>
          </w:p>
          <w:p w:rsidR="0015731D" w:rsidRPr="00375EA5" w:rsidRDefault="0015731D" w:rsidP="00375EA5">
            <w:pPr>
              <w:pStyle w:val="WoVGtablebullet1"/>
              <w:numPr>
                <w:ilvl w:val="0"/>
                <w:numId w:val="1"/>
              </w:numPr>
              <w:ind w:left="227" w:hanging="227"/>
            </w:pPr>
            <w:r w:rsidRPr="00375EA5">
              <w:t xml:space="preserve">Sponsor and resource improvement initiatives </w:t>
            </w:r>
          </w:p>
        </w:tc>
        <w:tc>
          <w:tcPr>
            <w:tcW w:w="2552" w:type="dxa"/>
            <w:shd w:val="clear" w:color="auto" w:fill="F2F2F2" w:themeFill="background1" w:themeFillShade="F2"/>
          </w:tcPr>
          <w:p w:rsidR="0015731D" w:rsidRPr="00375EA5" w:rsidRDefault="0015731D" w:rsidP="00375EA5">
            <w:pPr>
              <w:pStyle w:val="WoVGtablebullet1"/>
              <w:numPr>
                <w:ilvl w:val="0"/>
                <w:numId w:val="1"/>
              </w:numPr>
              <w:ind w:left="227" w:hanging="227"/>
            </w:pPr>
            <w:r w:rsidRPr="00375EA5">
              <w:t>Participate in audits, training, investigations</w:t>
            </w:r>
          </w:p>
          <w:p w:rsidR="0015731D" w:rsidRPr="00375EA5" w:rsidRDefault="0015731D" w:rsidP="00375EA5">
            <w:pPr>
              <w:pStyle w:val="WoVGtablebullet1"/>
              <w:numPr>
                <w:ilvl w:val="0"/>
                <w:numId w:val="1"/>
              </w:numPr>
              <w:ind w:left="227" w:hanging="227"/>
            </w:pPr>
            <w:r w:rsidRPr="00375EA5">
              <w:t>Allocate responsibility for corrective actions</w:t>
            </w:r>
          </w:p>
          <w:p w:rsidR="0015731D" w:rsidRPr="00375EA5" w:rsidRDefault="0015731D" w:rsidP="00375EA5">
            <w:pPr>
              <w:pStyle w:val="WoVGtablebullet1"/>
              <w:numPr>
                <w:ilvl w:val="0"/>
                <w:numId w:val="1"/>
              </w:numPr>
              <w:ind w:left="227" w:hanging="227"/>
            </w:pPr>
            <w:r w:rsidRPr="00375EA5">
              <w:t>Ensure completion of corrective actions</w:t>
            </w:r>
          </w:p>
          <w:p w:rsidR="0015731D" w:rsidRPr="00375EA5" w:rsidRDefault="0015731D" w:rsidP="00375EA5">
            <w:pPr>
              <w:pStyle w:val="WoVGtablebullet1"/>
              <w:numPr>
                <w:ilvl w:val="0"/>
                <w:numId w:val="1"/>
              </w:numPr>
              <w:ind w:left="227" w:hanging="227"/>
            </w:pPr>
            <w:r w:rsidRPr="00375EA5">
              <w:t>Design and/or implement policy and procedures</w:t>
            </w:r>
          </w:p>
          <w:p w:rsidR="0015731D" w:rsidRPr="00375EA5" w:rsidRDefault="0015731D" w:rsidP="00375EA5">
            <w:pPr>
              <w:pStyle w:val="WoVGtablebullet1"/>
              <w:numPr>
                <w:ilvl w:val="0"/>
                <w:numId w:val="1"/>
              </w:numPr>
              <w:ind w:left="227" w:hanging="227"/>
            </w:pPr>
            <w:r w:rsidRPr="00375EA5">
              <w:t>Collects and analyses data</w:t>
            </w:r>
          </w:p>
          <w:p w:rsidR="0015731D" w:rsidRPr="00375EA5" w:rsidRDefault="0015731D" w:rsidP="00375EA5">
            <w:pPr>
              <w:pStyle w:val="WoVGtablebullet1"/>
              <w:numPr>
                <w:ilvl w:val="0"/>
                <w:numId w:val="1"/>
              </w:numPr>
              <w:ind w:left="227" w:hanging="227"/>
            </w:pPr>
            <w:r w:rsidRPr="00375EA5">
              <w:t>Reports data across organisation (as relevant)</w:t>
            </w:r>
          </w:p>
          <w:p w:rsidR="0015731D" w:rsidRPr="00375EA5" w:rsidRDefault="0015731D" w:rsidP="00375EA5">
            <w:pPr>
              <w:pStyle w:val="WoVGtablebullet1"/>
              <w:numPr>
                <w:ilvl w:val="0"/>
                <w:numId w:val="1"/>
              </w:numPr>
              <w:ind w:left="227" w:hanging="227"/>
            </w:pPr>
            <w:r w:rsidRPr="00375EA5">
              <w:t>Contribute to reviews of processes and procedures</w:t>
            </w:r>
          </w:p>
          <w:p w:rsidR="0015731D" w:rsidRPr="00375EA5" w:rsidRDefault="0015731D" w:rsidP="00375EA5">
            <w:pPr>
              <w:pStyle w:val="WoVGtablebullet1"/>
              <w:numPr>
                <w:ilvl w:val="0"/>
                <w:numId w:val="1"/>
              </w:numPr>
              <w:ind w:left="227" w:hanging="227"/>
            </w:pPr>
            <w:r w:rsidRPr="00375EA5">
              <w:t xml:space="preserve">Use consultative processes </w:t>
            </w:r>
          </w:p>
        </w:tc>
        <w:tc>
          <w:tcPr>
            <w:tcW w:w="2169" w:type="dxa"/>
            <w:shd w:val="clear" w:color="auto" w:fill="F2F2F2" w:themeFill="background1" w:themeFillShade="F2"/>
          </w:tcPr>
          <w:p w:rsidR="0015731D" w:rsidRPr="00375EA5" w:rsidRDefault="0015731D" w:rsidP="00375EA5">
            <w:pPr>
              <w:pStyle w:val="WoVGtablebullet1"/>
              <w:numPr>
                <w:ilvl w:val="0"/>
                <w:numId w:val="1"/>
              </w:numPr>
              <w:ind w:left="227" w:hanging="227"/>
            </w:pPr>
            <w:r w:rsidRPr="00375EA5">
              <w:t>Participate in program (e.g. training, audit)</w:t>
            </w:r>
          </w:p>
          <w:p w:rsidR="0015731D" w:rsidRPr="00375EA5" w:rsidRDefault="0015731D" w:rsidP="00375EA5">
            <w:pPr>
              <w:pStyle w:val="WoVGtablebullet1"/>
              <w:numPr>
                <w:ilvl w:val="0"/>
                <w:numId w:val="1"/>
              </w:numPr>
              <w:ind w:left="227" w:hanging="227"/>
            </w:pPr>
            <w:r w:rsidRPr="00375EA5">
              <w:t>Report incidents and hazards</w:t>
            </w:r>
          </w:p>
          <w:p w:rsidR="0015731D" w:rsidRPr="00375EA5" w:rsidRDefault="0015731D" w:rsidP="00375EA5">
            <w:pPr>
              <w:pStyle w:val="WoVGtablebullet1"/>
              <w:numPr>
                <w:ilvl w:val="0"/>
                <w:numId w:val="1"/>
              </w:numPr>
              <w:ind w:left="227" w:hanging="227"/>
            </w:pPr>
            <w:r w:rsidRPr="00375EA5">
              <w:t>Comply with and use policies and procedures</w:t>
            </w:r>
          </w:p>
          <w:p w:rsidR="0015731D" w:rsidRPr="00375EA5" w:rsidRDefault="0015731D" w:rsidP="00375EA5">
            <w:pPr>
              <w:pStyle w:val="WoVGtablebullet1"/>
              <w:numPr>
                <w:ilvl w:val="0"/>
                <w:numId w:val="1"/>
              </w:numPr>
              <w:ind w:left="227" w:hanging="227"/>
            </w:pPr>
            <w:r w:rsidRPr="00375EA5">
              <w:t>Engage in consultation processes</w:t>
            </w:r>
          </w:p>
          <w:p w:rsidR="0015731D" w:rsidRPr="00375EA5" w:rsidRDefault="0015731D" w:rsidP="00375EA5">
            <w:pPr>
              <w:pStyle w:val="WoVGtablebullet1"/>
              <w:numPr>
                <w:ilvl w:val="0"/>
                <w:numId w:val="1"/>
              </w:numPr>
              <w:ind w:left="227" w:hanging="227"/>
            </w:pPr>
            <w:r w:rsidRPr="00375EA5">
              <w:t>Contribute to positive solutions to identified issues</w:t>
            </w:r>
          </w:p>
          <w:p w:rsidR="0015731D" w:rsidRPr="00375EA5" w:rsidRDefault="0015731D" w:rsidP="00375EA5">
            <w:pPr>
              <w:pStyle w:val="WoVGtablebullet1"/>
              <w:numPr>
                <w:ilvl w:val="0"/>
                <w:numId w:val="1"/>
              </w:numPr>
              <w:ind w:left="227" w:hanging="227"/>
            </w:pPr>
            <w:r w:rsidRPr="00375EA5">
              <w:t>Contribute to maintaining a safe and healthy working environment</w:t>
            </w:r>
          </w:p>
        </w:tc>
      </w:tr>
    </w:tbl>
    <w:p w:rsidR="00562F6D" w:rsidRDefault="0015731D" w:rsidP="00CE49DD">
      <w:pPr>
        <w:pStyle w:val="WoVGbodyaftertablefigure"/>
      </w:pPr>
      <w:r w:rsidRPr="00965FA8">
        <w:t xml:space="preserve">Analysis of results for each performance indicator should be used to identify strengths in performance and the underlying reasons. Departments are encouraged to consider documenting case studies on their successes as part of </w:t>
      </w:r>
      <w:r w:rsidRPr="008D04AE">
        <w:rPr>
          <w:rStyle w:val="Emphasis"/>
        </w:rPr>
        <w:t>Leading the Way</w:t>
      </w:r>
      <w:r w:rsidRPr="00965FA8">
        <w:t xml:space="preserve"> reporting. Case studies provide an opportunity to showcase areas of strong performance and highlight capability to provide assistance to other departments and agencies. Success stories are also relevant to all stages of organisational maturity. Learnings from initiatives that did not have the expected outcomes are also worth sharing.</w:t>
      </w:r>
    </w:p>
    <w:p w:rsidR="0015731D" w:rsidRPr="00806DF6" w:rsidRDefault="00965FA8" w:rsidP="00965FA8">
      <w:pPr>
        <w:pStyle w:val="Heading2"/>
        <w:numPr>
          <w:ilvl w:val="1"/>
          <w:numId w:val="0"/>
        </w:numPr>
      </w:pPr>
      <w:bookmarkStart w:id="120" w:name="_Toc477934213"/>
      <w:bookmarkStart w:id="121" w:name="_Toc9246013"/>
      <w:r>
        <w:t xml:space="preserve">6.3 </w:t>
      </w:r>
      <w:r w:rsidR="0015731D" w:rsidRPr="00806DF6">
        <w:t>Process reporting</w:t>
      </w:r>
      <w:bookmarkEnd w:id="120"/>
      <w:bookmarkEnd w:id="121"/>
    </w:p>
    <w:p w:rsidR="00562F6D" w:rsidRDefault="0015731D" w:rsidP="00965FA8">
      <w:pPr>
        <w:pStyle w:val="WoVGbody"/>
      </w:pPr>
      <w:r w:rsidRPr="00965FA8">
        <w:t xml:space="preserve">There is value in publicly (or semi-publicly) reporting selected performance indicator results of OHS processes, for both accountability and to share leading practices. Where practicable, Leading the Way will establish common definitions for process (lead) indicator measures. However, differences in OHS </w:t>
      </w:r>
      <w:r w:rsidRPr="00965FA8">
        <w:lastRenderedPageBreak/>
        <w:t>systems maturity and organisational capability may mean there will be some variation in interpretation and application.</w:t>
      </w:r>
    </w:p>
    <w:p w:rsidR="00562F6D" w:rsidRDefault="0015731D" w:rsidP="00965FA8">
      <w:pPr>
        <w:pStyle w:val="WoVGbody"/>
      </w:pPr>
      <w:r w:rsidRPr="00965FA8">
        <w:t>Process reporting affords the Victorian public sector rich opportunities to showcase specific areas of strength and potentially establish benchmarking partnerships with other organisations seeking to improve their performance.</w:t>
      </w:r>
    </w:p>
    <w:p w:rsidR="00562F6D" w:rsidRDefault="0015731D" w:rsidP="00965FA8">
      <w:pPr>
        <w:pStyle w:val="WoVGbody"/>
      </w:pPr>
      <w:r w:rsidRPr="00965FA8">
        <w:t>Process reporting also holds senior management accountable for continual improvement in safety management and ensures they are acting as enablers for the development of a positive safety culture.</w:t>
      </w:r>
    </w:p>
    <w:p w:rsidR="0015731D" w:rsidRPr="00965FA8" w:rsidRDefault="0015731D" w:rsidP="00965FA8">
      <w:pPr>
        <w:pStyle w:val="WoVGbody"/>
      </w:pPr>
      <w:r w:rsidRPr="00965FA8">
        <w:t>The agreed indicators for Leading the Way process reporting are provided in Table 3. The range of process (lead) indicators includes minimum measures based on legislative requirements, together with additional measures for departments that have moved to Foundation level maturity and beyond. The set of process measures provides both consistency and a degree of flexibility in performance reporting.</w:t>
      </w:r>
    </w:p>
    <w:p w:rsidR="00562F6D" w:rsidRDefault="0015731D" w:rsidP="00965FA8">
      <w:pPr>
        <w:pStyle w:val="WoVGbody"/>
      </w:pPr>
      <w:r w:rsidRPr="00965FA8">
        <w:t>A more comprehensive (but not exhaustive) list is included in Appendix 1, with a categorisation to the Leading the Way focus areas.</w:t>
      </w:r>
    </w:p>
    <w:p w:rsidR="00562F6D" w:rsidRDefault="0015731D" w:rsidP="00965FA8">
      <w:pPr>
        <w:pStyle w:val="WoVGbody"/>
      </w:pPr>
      <w:r w:rsidRPr="00965FA8">
        <w:t>The indicators illustrate performance across the four focus areas and should relate directly to the department’s improvement priorities and action plan.</w:t>
      </w:r>
    </w:p>
    <w:p w:rsidR="00562F6D" w:rsidRDefault="0015731D" w:rsidP="00965FA8">
      <w:pPr>
        <w:pStyle w:val="WoVGbody"/>
      </w:pPr>
      <w:r w:rsidRPr="00965FA8">
        <w:t>The department may elect to report the results of their self-assessments in these focus areas, but if so, the department will need to indicate that these results are subjective.</w:t>
      </w:r>
    </w:p>
    <w:p w:rsidR="00562F6D" w:rsidRDefault="0015731D" w:rsidP="00965FA8">
      <w:pPr>
        <w:pStyle w:val="WoVGbody"/>
      </w:pPr>
      <w:r w:rsidRPr="00965FA8">
        <w:t>The process indicators listed also provide levers for individual accountability and engagement at all levels. For example:</w:t>
      </w:r>
    </w:p>
    <w:p w:rsidR="0015731D" w:rsidRPr="00965FA8" w:rsidRDefault="0015731D" w:rsidP="00965FA8">
      <w:pPr>
        <w:pStyle w:val="WoVGbullet1"/>
      </w:pPr>
      <w:r w:rsidRPr="00965FA8">
        <w:t>senior management commitment to consultation and review</w:t>
      </w:r>
    </w:p>
    <w:p w:rsidR="0015731D" w:rsidRPr="00965FA8" w:rsidRDefault="0015731D" w:rsidP="00965FA8">
      <w:pPr>
        <w:pStyle w:val="WoVGbullet1"/>
      </w:pPr>
      <w:r w:rsidRPr="00965FA8">
        <w:t>management responsibility for implementation of OHS management systems (audit results), conducting incident investigations and completing corrective actions</w:t>
      </w:r>
    </w:p>
    <w:p w:rsidR="0015731D" w:rsidRPr="00965FA8" w:rsidRDefault="0015731D" w:rsidP="00965FA8">
      <w:pPr>
        <w:pStyle w:val="WoVGbullet1"/>
      </w:pPr>
      <w:r w:rsidRPr="00965FA8">
        <w:t>Individual responsibility for hazard and incident reporting, using OHS procedures and maintaining a safe workplace (audit results).</w:t>
      </w:r>
    </w:p>
    <w:p w:rsidR="0015731D" w:rsidRPr="00965FA8" w:rsidRDefault="0015731D" w:rsidP="00965FA8">
      <w:pPr>
        <w:pStyle w:val="WoVGbodyafterbullets"/>
      </w:pPr>
      <w:r w:rsidRPr="00965FA8">
        <w:t>Departments that do not have mature information systems in place for OHS reporting and data analysis should make note of this in their reporting and identify it as a key action for improvement.</w:t>
      </w:r>
    </w:p>
    <w:p w:rsidR="0015731D" w:rsidRPr="00965FA8" w:rsidRDefault="0015731D" w:rsidP="00965FA8">
      <w:pPr>
        <w:pStyle w:val="WoVGtablecaption"/>
      </w:pPr>
      <w:r w:rsidRPr="00965FA8">
        <w:t>Table 3</w:t>
      </w:r>
      <w:r w:rsidR="00B61D94">
        <w:t>A</w:t>
      </w:r>
      <w:r w:rsidR="00965FA8">
        <w:t>:</w:t>
      </w:r>
      <w:r w:rsidRPr="00965FA8">
        <w:t xml:space="preserve"> Leading the Way </w:t>
      </w:r>
      <w:r w:rsidR="00B61D94">
        <w:t>b</w:t>
      </w:r>
      <w:r w:rsidR="00B61D94" w:rsidRPr="00965FA8">
        <w:t>ase process measures for all departments*</w:t>
      </w:r>
    </w:p>
    <w:tbl>
      <w:tblPr>
        <w:tblStyle w:val="TableGrid"/>
        <w:tblW w:w="9044" w:type="dxa"/>
        <w:tblInd w:w="-5" w:type="dxa"/>
        <w:tblLook w:val="06A0" w:firstRow="1" w:lastRow="0" w:firstColumn="1" w:lastColumn="0" w:noHBand="1" w:noVBand="1"/>
      </w:tblPr>
      <w:tblGrid>
        <w:gridCol w:w="1985"/>
        <w:gridCol w:w="7059"/>
      </w:tblGrid>
      <w:tr w:rsidR="0015731D" w:rsidRPr="0036685E" w:rsidTr="00B61D94">
        <w:trPr>
          <w:cantSplit/>
          <w:trHeight w:val="387"/>
          <w:tblHeader/>
        </w:trPr>
        <w:tc>
          <w:tcPr>
            <w:tcW w:w="1985" w:type="dxa"/>
            <w:shd w:val="clear" w:color="auto" w:fill="92CDDC" w:themeFill="accent5" w:themeFillTint="99"/>
          </w:tcPr>
          <w:p w:rsidR="0015731D" w:rsidRPr="00965FA8" w:rsidRDefault="0015731D" w:rsidP="00965FA8">
            <w:pPr>
              <w:pStyle w:val="WoVGtablecolhead"/>
            </w:pPr>
            <w:r w:rsidRPr="00965FA8">
              <w:t>Data*</w:t>
            </w:r>
          </w:p>
        </w:tc>
        <w:tc>
          <w:tcPr>
            <w:tcW w:w="7059" w:type="dxa"/>
            <w:shd w:val="clear" w:color="auto" w:fill="92CDDC" w:themeFill="accent5" w:themeFillTint="99"/>
          </w:tcPr>
          <w:p w:rsidR="0015731D" w:rsidRPr="00965FA8" w:rsidRDefault="0015731D" w:rsidP="00965FA8">
            <w:pPr>
              <w:pStyle w:val="WoVGtablecolhead"/>
            </w:pPr>
            <w:r w:rsidRPr="00965FA8">
              <w:t>Example definitions</w:t>
            </w:r>
          </w:p>
        </w:tc>
      </w:tr>
      <w:tr w:rsidR="0015731D" w:rsidRPr="0036685E" w:rsidTr="00B61D94">
        <w:trPr>
          <w:cantSplit/>
          <w:trHeight w:val="587"/>
        </w:trPr>
        <w:tc>
          <w:tcPr>
            <w:tcW w:w="1985" w:type="dxa"/>
            <w:shd w:val="clear" w:color="auto" w:fill="DAEEF3" w:themeFill="accent5" w:themeFillTint="33"/>
          </w:tcPr>
          <w:p w:rsidR="0015731D" w:rsidRPr="00965FA8" w:rsidRDefault="0015731D" w:rsidP="00965FA8">
            <w:pPr>
              <w:pStyle w:val="WoVGtabletext"/>
              <w:rPr>
                <w:rFonts w:cs="Arial"/>
              </w:rPr>
            </w:pPr>
            <w:r w:rsidRPr="00965FA8">
              <w:rPr>
                <w:rFonts w:cs="Arial"/>
              </w:rPr>
              <w:t>Hazards</w:t>
            </w:r>
          </w:p>
        </w:tc>
        <w:tc>
          <w:tcPr>
            <w:tcW w:w="7059" w:type="dxa"/>
            <w:shd w:val="clear" w:color="auto" w:fill="F2F2F2" w:themeFill="background1" w:themeFillShade="F2"/>
          </w:tcPr>
          <w:p w:rsidR="00562F6D" w:rsidRDefault="0015731D" w:rsidP="00965FA8">
            <w:pPr>
              <w:pStyle w:val="WoVGtabletext"/>
              <w:rPr>
                <w:rFonts w:cs="Arial"/>
              </w:rPr>
            </w:pPr>
            <w:r w:rsidRPr="00965FA8">
              <w:rPr>
                <w:rFonts w:cs="Arial"/>
              </w:rPr>
              <w:t>The number of hazards reported in the 12-month period to 30 June each year using the department’s hazard reporting system. Hazard reporting should be viewed as a positive indicator of worker OHS engagement and ownership</w:t>
            </w:r>
          </w:p>
          <w:p w:rsidR="0015731D" w:rsidRPr="008D04AE" w:rsidRDefault="0015731D" w:rsidP="00965FA8">
            <w:pPr>
              <w:pStyle w:val="WoVGtabletext"/>
              <w:rPr>
                <w:rStyle w:val="Emphasis"/>
              </w:rPr>
            </w:pPr>
            <w:r w:rsidRPr="008D04AE">
              <w:rPr>
                <w:rStyle w:val="Emphasis"/>
              </w:rPr>
              <w:t>This may be expressed as a rate to allow comparison year-on-year or across departments with a common approach to hazard reporting, common definition and process for data collection. Example if practicable:</w:t>
            </w:r>
          </w:p>
          <w:p w:rsidR="0015731D" w:rsidRPr="00965FA8" w:rsidRDefault="0015731D" w:rsidP="00965FA8">
            <w:pPr>
              <w:pStyle w:val="WoVGtablebullet1"/>
              <w:numPr>
                <w:ilvl w:val="0"/>
                <w:numId w:val="1"/>
              </w:numPr>
              <w:ind w:left="227" w:hanging="227"/>
              <w:rPr>
                <w:rFonts w:cs="Arial"/>
                <w:i/>
                <w:lang w:val="en-GB"/>
              </w:rPr>
            </w:pPr>
            <w:r w:rsidRPr="008D04AE">
              <w:rPr>
                <w:rStyle w:val="Emphasis"/>
              </w:rPr>
              <w:t>Number of hazards reported per 100 full time equivalent workers (FTE)</w:t>
            </w:r>
          </w:p>
        </w:tc>
      </w:tr>
      <w:tr w:rsidR="0015731D" w:rsidRPr="0036685E" w:rsidTr="00B61D94">
        <w:trPr>
          <w:cantSplit/>
          <w:trHeight w:val="819"/>
        </w:trPr>
        <w:tc>
          <w:tcPr>
            <w:tcW w:w="1985" w:type="dxa"/>
            <w:shd w:val="clear" w:color="auto" w:fill="DAEEF3" w:themeFill="accent5" w:themeFillTint="33"/>
          </w:tcPr>
          <w:p w:rsidR="0015731D" w:rsidRPr="00965FA8" w:rsidRDefault="0015731D" w:rsidP="00965FA8">
            <w:pPr>
              <w:pStyle w:val="WoVGtabletext"/>
              <w:rPr>
                <w:rFonts w:cs="Arial"/>
              </w:rPr>
            </w:pPr>
            <w:r w:rsidRPr="00965FA8">
              <w:rPr>
                <w:rFonts w:cs="Arial"/>
              </w:rPr>
              <w:t>Incidents &amp;</w:t>
            </w:r>
            <w:r w:rsidR="00587005">
              <w:rPr>
                <w:rFonts w:cs="Arial"/>
              </w:rPr>
              <w:t xml:space="preserve"> </w:t>
            </w:r>
            <w:r w:rsidRPr="00965FA8">
              <w:rPr>
                <w:rFonts w:cs="Arial"/>
              </w:rPr>
              <w:t>incident investigations</w:t>
            </w:r>
          </w:p>
        </w:tc>
        <w:tc>
          <w:tcPr>
            <w:tcW w:w="7059" w:type="dxa"/>
            <w:shd w:val="clear" w:color="auto" w:fill="F2F2F2" w:themeFill="background1" w:themeFillShade="F2"/>
          </w:tcPr>
          <w:p w:rsidR="00562F6D" w:rsidRDefault="0015731D" w:rsidP="00F7630A">
            <w:pPr>
              <w:pStyle w:val="WoVGtabletext"/>
              <w:rPr>
                <w:rFonts w:cs="Arial"/>
              </w:rPr>
            </w:pPr>
            <w:r w:rsidRPr="00F7630A">
              <w:rPr>
                <w:rFonts w:cs="Arial"/>
              </w:rPr>
              <w:t>The number of incidents reported in the 12-month period to 30 June each year using the department’s incident reporting system</w:t>
            </w:r>
          </w:p>
          <w:p w:rsidR="00562F6D" w:rsidRPr="008D04AE" w:rsidRDefault="0015731D" w:rsidP="00F7630A">
            <w:pPr>
              <w:pStyle w:val="WoVGtabletext"/>
              <w:rPr>
                <w:rStyle w:val="Emphasis"/>
              </w:rPr>
            </w:pPr>
            <w:r w:rsidRPr="008D04AE">
              <w:rPr>
                <w:rStyle w:val="Emphasis"/>
              </w:rPr>
              <w:t>This may be expressed as a rate per 100 FTE.</w:t>
            </w:r>
          </w:p>
          <w:p w:rsidR="0015731D" w:rsidRPr="00F7630A" w:rsidRDefault="0015731D" w:rsidP="00F7630A">
            <w:pPr>
              <w:pStyle w:val="WoVGtabletext"/>
              <w:rPr>
                <w:rFonts w:cs="Arial"/>
              </w:rPr>
            </w:pPr>
            <w:r w:rsidRPr="00F7630A">
              <w:rPr>
                <w:rFonts w:cs="Arial"/>
              </w:rPr>
              <w:t>Of the total number of incidents reported in the 12-month period to 30 June each year using the department’s incident reporting system, the percentage of these for which investigations have been completed in the 12month period to 30 June.</w:t>
            </w:r>
          </w:p>
          <w:p w:rsidR="0015731D" w:rsidRPr="0036685E" w:rsidRDefault="0015731D" w:rsidP="00F7630A">
            <w:pPr>
              <w:pStyle w:val="WoVGtabletext"/>
              <w:rPr>
                <w:rFonts w:cs="Arial"/>
                <w:lang w:val="en-GB"/>
              </w:rPr>
            </w:pPr>
            <w:r w:rsidRPr="00F7630A">
              <w:rPr>
                <w:rFonts w:cs="Arial"/>
              </w:rPr>
              <w:t>% incident investigations completed = (total number of investigations completed/ total number of incidents) x 100</w:t>
            </w:r>
          </w:p>
        </w:tc>
      </w:tr>
      <w:tr w:rsidR="0015731D" w:rsidRPr="0036685E" w:rsidTr="00B61D94">
        <w:trPr>
          <w:cantSplit/>
          <w:trHeight w:val="587"/>
        </w:trPr>
        <w:tc>
          <w:tcPr>
            <w:tcW w:w="1985" w:type="dxa"/>
            <w:shd w:val="clear" w:color="auto" w:fill="DAEEF3" w:themeFill="accent5" w:themeFillTint="33"/>
          </w:tcPr>
          <w:p w:rsidR="0015731D" w:rsidRPr="00F7630A" w:rsidRDefault="0015731D" w:rsidP="00F7630A">
            <w:pPr>
              <w:pStyle w:val="WoVGtabletext"/>
              <w:rPr>
                <w:rFonts w:cs="Arial"/>
              </w:rPr>
            </w:pPr>
            <w:r w:rsidRPr="00F7630A">
              <w:rPr>
                <w:rFonts w:cs="Arial"/>
              </w:rPr>
              <w:lastRenderedPageBreak/>
              <w:t>Corrective actions and completed actions</w:t>
            </w:r>
          </w:p>
        </w:tc>
        <w:tc>
          <w:tcPr>
            <w:tcW w:w="7059" w:type="dxa"/>
            <w:shd w:val="clear" w:color="auto" w:fill="F2F2F2" w:themeFill="background1" w:themeFillShade="F2"/>
          </w:tcPr>
          <w:p w:rsidR="0015731D" w:rsidRPr="00F7630A" w:rsidRDefault="0015731D" w:rsidP="00F7630A">
            <w:pPr>
              <w:pStyle w:val="WoVGtabletext"/>
              <w:rPr>
                <w:rFonts w:cs="Arial"/>
              </w:rPr>
            </w:pPr>
            <w:r w:rsidRPr="00F7630A">
              <w:rPr>
                <w:rFonts w:cs="Arial"/>
              </w:rPr>
              <w:t>The number of corrective actions included within the corrective actions register in the 12-month period to 30 June each year. Of the total number of corrective actions included in the corrective actions register in the 12-month period to 30 June each year, the percentage of these that have been completed</w:t>
            </w:r>
          </w:p>
          <w:p w:rsidR="0015731D" w:rsidRPr="00F7630A" w:rsidRDefault="0015731D" w:rsidP="00F7630A">
            <w:pPr>
              <w:pStyle w:val="WoVGtabletext"/>
              <w:rPr>
                <w:rFonts w:cs="Arial"/>
              </w:rPr>
            </w:pPr>
            <w:r w:rsidRPr="00F7630A">
              <w:rPr>
                <w:rFonts w:cs="Arial"/>
              </w:rPr>
              <w:t>% corrective actions completed = (number of corrective actions completed/total number of corrective actions) x 100</w:t>
            </w:r>
          </w:p>
          <w:p w:rsidR="0015731D" w:rsidRPr="00F7630A" w:rsidRDefault="0015731D" w:rsidP="00F7630A">
            <w:pPr>
              <w:pStyle w:val="WoVGtabletext"/>
              <w:rPr>
                <w:rFonts w:cs="Arial"/>
                <w:i/>
              </w:rPr>
            </w:pPr>
            <w:r w:rsidRPr="008D04AE">
              <w:rPr>
                <w:rStyle w:val="Emphasis"/>
              </w:rPr>
              <w:t>This may be further categorised as % of high priority corrective actions completed, % of low priority corrective actions completed (etc.)</w:t>
            </w:r>
          </w:p>
        </w:tc>
      </w:tr>
      <w:tr w:rsidR="0015731D" w:rsidRPr="0036685E" w:rsidTr="00B61D94">
        <w:trPr>
          <w:cantSplit/>
          <w:trHeight w:val="578"/>
        </w:trPr>
        <w:tc>
          <w:tcPr>
            <w:tcW w:w="1985" w:type="dxa"/>
            <w:shd w:val="clear" w:color="auto" w:fill="DAEEF3" w:themeFill="accent5" w:themeFillTint="33"/>
          </w:tcPr>
          <w:p w:rsidR="0015731D" w:rsidRPr="00F7630A" w:rsidRDefault="0015731D" w:rsidP="00F7630A">
            <w:pPr>
              <w:pStyle w:val="WoVGtabletext"/>
              <w:rPr>
                <w:rFonts w:cs="Arial"/>
              </w:rPr>
            </w:pPr>
            <w:r w:rsidRPr="00F7630A">
              <w:rPr>
                <w:rFonts w:cs="Arial"/>
              </w:rPr>
              <w:t xml:space="preserve">OHSMS development and improvement </w:t>
            </w:r>
          </w:p>
        </w:tc>
        <w:tc>
          <w:tcPr>
            <w:tcW w:w="7059" w:type="dxa"/>
            <w:shd w:val="clear" w:color="auto" w:fill="F2F2F2" w:themeFill="background1" w:themeFillShade="F2"/>
          </w:tcPr>
          <w:p w:rsidR="00562F6D" w:rsidRDefault="0015731D" w:rsidP="00F7630A">
            <w:pPr>
              <w:pStyle w:val="WoVGtabletext"/>
              <w:rPr>
                <w:rFonts w:cs="Arial"/>
              </w:rPr>
            </w:pPr>
            <w:r w:rsidRPr="00F7630A">
              <w:rPr>
                <w:rFonts w:cs="Arial"/>
              </w:rPr>
              <w:t xml:space="preserve">Number of procedures developed and approved </w:t>
            </w:r>
            <w:r w:rsidRPr="00F7630A">
              <w:rPr>
                <w:rFonts w:cs="Arial"/>
                <w:u w:val="single"/>
              </w:rPr>
              <w:t>and/or</w:t>
            </w:r>
          </w:p>
          <w:p w:rsidR="0015731D" w:rsidRPr="00F7630A" w:rsidRDefault="0015731D" w:rsidP="00F7630A">
            <w:pPr>
              <w:pStyle w:val="WoVGtabletext"/>
              <w:rPr>
                <w:rFonts w:cs="Arial"/>
              </w:rPr>
            </w:pPr>
            <w:r w:rsidRPr="00F7630A">
              <w:rPr>
                <w:rFonts w:cs="Arial"/>
              </w:rPr>
              <w:t>Number of procedures reviewed and refined</w:t>
            </w:r>
          </w:p>
        </w:tc>
      </w:tr>
      <w:tr w:rsidR="0015731D" w:rsidRPr="0036685E" w:rsidTr="00B61D94">
        <w:trPr>
          <w:cantSplit/>
          <w:trHeight w:val="587"/>
        </w:trPr>
        <w:tc>
          <w:tcPr>
            <w:tcW w:w="1985" w:type="dxa"/>
            <w:shd w:val="clear" w:color="auto" w:fill="DAEEF3" w:themeFill="accent5" w:themeFillTint="33"/>
          </w:tcPr>
          <w:p w:rsidR="0015731D" w:rsidRPr="00F7630A" w:rsidRDefault="0015731D" w:rsidP="00F7630A">
            <w:pPr>
              <w:pStyle w:val="WoVGtabletext"/>
              <w:rPr>
                <w:rFonts w:cs="Arial"/>
              </w:rPr>
            </w:pPr>
            <w:r w:rsidRPr="00F7630A">
              <w:rPr>
                <w:rFonts w:cs="Arial"/>
              </w:rPr>
              <w:t>Training completed</w:t>
            </w:r>
          </w:p>
        </w:tc>
        <w:tc>
          <w:tcPr>
            <w:tcW w:w="7059" w:type="dxa"/>
            <w:shd w:val="clear" w:color="auto" w:fill="F2F2F2" w:themeFill="background1" w:themeFillShade="F2"/>
          </w:tcPr>
          <w:p w:rsidR="0015731D" w:rsidRPr="00F7630A" w:rsidRDefault="0015731D" w:rsidP="00F7630A">
            <w:pPr>
              <w:pStyle w:val="WoVGtabletext"/>
              <w:rPr>
                <w:rFonts w:cs="Arial"/>
              </w:rPr>
            </w:pPr>
            <w:r w:rsidRPr="00F7630A">
              <w:rPr>
                <w:rFonts w:cs="Arial"/>
              </w:rPr>
              <w:t>Of the total number of staff employed at the departments, in the 12-month period to 30 June each year the percentage of those that have completed a specified training programs (e.g. OHS induction, OHS management)</w:t>
            </w:r>
          </w:p>
          <w:p w:rsidR="0015731D" w:rsidRPr="00F7630A" w:rsidRDefault="0015731D" w:rsidP="00F7630A">
            <w:pPr>
              <w:pStyle w:val="WoVGtabletext"/>
              <w:rPr>
                <w:rFonts w:cs="Arial"/>
              </w:rPr>
            </w:pPr>
            <w:r w:rsidRPr="00F7630A">
              <w:rPr>
                <w:rFonts w:cs="Arial"/>
              </w:rPr>
              <w:t>General OHS induction and training</w:t>
            </w:r>
          </w:p>
          <w:p w:rsidR="0015731D" w:rsidRPr="00F7630A" w:rsidRDefault="0015731D" w:rsidP="00F7630A">
            <w:pPr>
              <w:pStyle w:val="WoVGtablebullet1"/>
              <w:numPr>
                <w:ilvl w:val="0"/>
                <w:numId w:val="1"/>
              </w:numPr>
              <w:ind w:left="227" w:hanging="227"/>
            </w:pPr>
            <w:r w:rsidRPr="00F7630A">
              <w:t>Worker induction</w:t>
            </w:r>
          </w:p>
          <w:p w:rsidR="00562F6D" w:rsidRDefault="0015731D" w:rsidP="00F7630A">
            <w:pPr>
              <w:pStyle w:val="WoVGtablebullet1"/>
              <w:numPr>
                <w:ilvl w:val="0"/>
                <w:numId w:val="1"/>
              </w:numPr>
              <w:ind w:left="227" w:hanging="227"/>
            </w:pPr>
            <w:r w:rsidRPr="00F7630A">
              <w:t>Management training</w:t>
            </w:r>
          </w:p>
          <w:p w:rsidR="0015731D" w:rsidRPr="00F7630A" w:rsidRDefault="0015731D" w:rsidP="00F7630A">
            <w:pPr>
              <w:pStyle w:val="WoVGtablebullet1"/>
              <w:numPr>
                <w:ilvl w:val="0"/>
                <w:numId w:val="1"/>
              </w:numPr>
              <w:ind w:left="227" w:hanging="227"/>
            </w:pPr>
            <w:r w:rsidRPr="00F7630A">
              <w:t>Senior management training</w:t>
            </w:r>
          </w:p>
          <w:p w:rsidR="0015731D" w:rsidRPr="00F7630A" w:rsidRDefault="0015731D" w:rsidP="00F7630A">
            <w:pPr>
              <w:pStyle w:val="WoVGtabletext"/>
              <w:rPr>
                <w:rFonts w:cs="Arial"/>
              </w:rPr>
            </w:pPr>
            <w:r w:rsidRPr="00F7630A">
              <w:rPr>
                <w:rFonts w:cs="Arial"/>
              </w:rPr>
              <w:t>% of staff completed training = (number of targeted group completed training / total number of staff in targeted group) x 100</w:t>
            </w:r>
          </w:p>
          <w:p w:rsidR="0015731D" w:rsidRPr="00F7630A" w:rsidRDefault="0015731D" w:rsidP="00F7630A">
            <w:pPr>
              <w:pStyle w:val="WoVGtabletext"/>
              <w:rPr>
                <w:rFonts w:cs="Arial"/>
                <w:i/>
                <w:lang w:val="en-GB"/>
              </w:rPr>
            </w:pPr>
            <w:r w:rsidRPr="008D04AE">
              <w:rPr>
                <w:rStyle w:val="Emphasis"/>
              </w:rPr>
              <w:t>This may be further categorised as % of senior managers that completed training, % of staff completed training (etc.).</w:t>
            </w:r>
          </w:p>
        </w:tc>
      </w:tr>
      <w:tr w:rsidR="0015731D" w:rsidRPr="0036685E" w:rsidTr="00B61D94">
        <w:trPr>
          <w:cantSplit/>
          <w:trHeight w:val="294"/>
        </w:trPr>
        <w:tc>
          <w:tcPr>
            <w:tcW w:w="1985" w:type="dxa"/>
            <w:shd w:val="clear" w:color="auto" w:fill="DAEEF3" w:themeFill="accent5" w:themeFillTint="33"/>
          </w:tcPr>
          <w:p w:rsidR="0015731D" w:rsidRPr="00F7630A" w:rsidRDefault="0015731D" w:rsidP="00F7630A">
            <w:pPr>
              <w:pStyle w:val="WoVGtabletext"/>
              <w:rPr>
                <w:rFonts w:cs="Arial"/>
              </w:rPr>
            </w:pPr>
            <w:r w:rsidRPr="00F7630A">
              <w:rPr>
                <w:rFonts w:cs="Arial"/>
              </w:rPr>
              <w:t xml:space="preserve">Worker consultation and representation </w:t>
            </w:r>
          </w:p>
        </w:tc>
        <w:tc>
          <w:tcPr>
            <w:tcW w:w="7059" w:type="dxa"/>
            <w:shd w:val="clear" w:color="auto" w:fill="F2F2F2" w:themeFill="background1" w:themeFillShade="F2"/>
          </w:tcPr>
          <w:p w:rsidR="00562F6D" w:rsidRDefault="0015731D" w:rsidP="00F7630A">
            <w:pPr>
              <w:pStyle w:val="WoVGtabletext"/>
              <w:rPr>
                <w:rFonts w:cs="Arial"/>
              </w:rPr>
            </w:pPr>
            <w:r w:rsidRPr="00F7630A">
              <w:rPr>
                <w:rFonts w:cs="Arial"/>
              </w:rPr>
              <w:t>Number of elected Health and Safety representatives (HSRs) and Deputy Health and Safety representatives (DHSRs)</w:t>
            </w:r>
          </w:p>
          <w:p w:rsidR="0015731D" w:rsidRPr="0036685E" w:rsidRDefault="0015731D" w:rsidP="00F7630A">
            <w:pPr>
              <w:pStyle w:val="WoVGtabletext"/>
              <w:rPr>
                <w:rFonts w:cs="Arial"/>
                <w:lang w:val="en-GB"/>
              </w:rPr>
            </w:pPr>
            <w:r w:rsidRPr="00F7630A">
              <w:rPr>
                <w:rFonts w:cs="Arial"/>
              </w:rPr>
              <w:t>Number of OHS Committees</w:t>
            </w:r>
            <w:r>
              <w:rPr>
                <w:rFonts w:cs="Arial"/>
                <w:sz w:val="18"/>
                <w:szCs w:val="18"/>
              </w:rPr>
              <w:t xml:space="preserve"> </w:t>
            </w:r>
          </w:p>
        </w:tc>
      </w:tr>
      <w:tr w:rsidR="0015731D" w:rsidRPr="0036685E" w:rsidTr="00B61D94">
        <w:trPr>
          <w:cantSplit/>
          <w:trHeight w:val="294"/>
        </w:trPr>
        <w:tc>
          <w:tcPr>
            <w:tcW w:w="1985" w:type="dxa"/>
            <w:shd w:val="clear" w:color="auto" w:fill="DAEEF3" w:themeFill="accent5" w:themeFillTint="33"/>
          </w:tcPr>
          <w:p w:rsidR="0015731D" w:rsidRPr="00F7630A" w:rsidRDefault="0015731D" w:rsidP="00F7630A">
            <w:pPr>
              <w:pStyle w:val="WoVGtabletext"/>
              <w:rPr>
                <w:rFonts w:cs="Arial"/>
              </w:rPr>
            </w:pPr>
            <w:r w:rsidRPr="00F7630A">
              <w:rPr>
                <w:rFonts w:cs="Arial"/>
              </w:rPr>
              <w:t xml:space="preserve">Senior management commitment – consultation </w:t>
            </w:r>
          </w:p>
        </w:tc>
        <w:tc>
          <w:tcPr>
            <w:tcW w:w="7059" w:type="dxa"/>
            <w:shd w:val="clear" w:color="auto" w:fill="F2F2F2" w:themeFill="background1" w:themeFillShade="F2"/>
          </w:tcPr>
          <w:p w:rsidR="0015731D" w:rsidRPr="00F7630A" w:rsidRDefault="0015731D" w:rsidP="00F7630A">
            <w:pPr>
              <w:pStyle w:val="WoVGtabletext"/>
              <w:rPr>
                <w:rFonts w:cs="Arial"/>
              </w:rPr>
            </w:pPr>
            <w:r w:rsidRPr="00F7630A">
              <w:rPr>
                <w:rFonts w:cs="Arial"/>
              </w:rPr>
              <w:t>Number of senior managers as members of OHS consultative forums</w:t>
            </w:r>
          </w:p>
          <w:p w:rsidR="0015731D" w:rsidRPr="0036685E" w:rsidRDefault="0015731D" w:rsidP="00F7630A">
            <w:pPr>
              <w:pStyle w:val="WoVGtabletext"/>
              <w:rPr>
                <w:rFonts w:cs="Arial"/>
                <w:lang w:val="en-GB"/>
              </w:rPr>
            </w:pPr>
            <w:r w:rsidRPr="00F7630A">
              <w:rPr>
                <w:rFonts w:cs="Arial"/>
              </w:rPr>
              <w:t>% of participation in forums (% senior management attendance at allocated forum, as per minutes)</w:t>
            </w:r>
          </w:p>
        </w:tc>
      </w:tr>
    </w:tbl>
    <w:p w:rsidR="00B61D94" w:rsidRPr="00F7630A" w:rsidRDefault="00B61D94" w:rsidP="00B61D94">
      <w:pPr>
        <w:pStyle w:val="WoVGtablefigurenote"/>
      </w:pPr>
      <w:r w:rsidRPr="00F7630A">
        <w:t>*</w:t>
      </w:r>
      <w:r>
        <w:t xml:space="preserve"> </w:t>
      </w:r>
      <w:r w:rsidRPr="00F7630A">
        <w:t>Data collected by the department.</w:t>
      </w:r>
    </w:p>
    <w:p w:rsidR="00B61D94" w:rsidRPr="00965FA8" w:rsidRDefault="00B61D94" w:rsidP="00B61D94">
      <w:pPr>
        <w:pStyle w:val="WoVGtablecaption"/>
      </w:pPr>
      <w:r w:rsidRPr="00965FA8">
        <w:t>Table 3</w:t>
      </w:r>
      <w:r>
        <w:t>B:</w:t>
      </w:r>
      <w:r w:rsidRPr="00965FA8">
        <w:t xml:space="preserve"> Leading the Way </w:t>
      </w:r>
      <w:r w:rsidRPr="00F7630A">
        <w:t>ature process measures for departments with safety maturity level of Foundation or higher</w:t>
      </w:r>
      <w:r w:rsidRPr="00965FA8">
        <w:t>*</w:t>
      </w:r>
    </w:p>
    <w:tbl>
      <w:tblPr>
        <w:tblStyle w:val="TableGrid"/>
        <w:tblW w:w="9044" w:type="dxa"/>
        <w:tblInd w:w="-5" w:type="dxa"/>
        <w:tblLook w:val="06A0" w:firstRow="1" w:lastRow="0" w:firstColumn="1" w:lastColumn="0" w:noHBand="1" w:noVBand="1"/>
      </w:tblPr>
      <w:tblGrid>
        <w:gridCol w:w="1985"/>
        <w:gridCol w:w="7059"/>
      </w:tblGrid>
      <w:tr w:rsidR="00B61D94" w:rsidRPr="00965FA8" w:rsidTr="00B61D94">
        <w:trPr>
          <w:cantSplit/>
          <w:trHeight w:val="387"/>
          <w:tblHeader/>
        </w:trPr>
        <w:tc>
          <w:tcPr>
            <w:tcW w:w="1985" w:type="dxa"/>
            <w:shd w:val="clear" w:color="auto" w:fill="92CDDC" w:themeFill="accent5" w:themeFillTint="99"/>
          </w:tcPr>
          <w:p w:rsidR="00B61D94" w:rsidRPr="00965FA8" w:rsidRDefault="00B61D94" w:rsidP="00772D6B">
            <w:pPr>
              <w:pStyle w:val="WoVGtablecolhead"/>
            </w:pPr>
            <w:r w:rsidRPr="00965FA8">
              <w:t>Data*</w:t>
            </w:r>
          </w:p>
        </w:tc>
        <w:tc>
          <w:tcPr>
            <w:tcW w:w="7059" w:type="dxa"/>
            <w:shd w:val="clear" w:color="auto" w:fill="92CDDC" w:themeFill="accent5" w:themeFillTint="99"/>
          </w:tcPr>
          <w:p w:rsidR="00B61D94" w:rsidRPr="00965FA8" w:rsidRDefault="00B61D94" w:rsidP="00772D6B">
            <w:pPr>
              <w:pStyle w:val="WoVGtablecolhead"/>
            </w:pPr>
            <w:r w:rsidRPr="00965FA8">
              <w:t>Example definitions</w:t>
            </w:r>
          </w:p>
        </w:tc>
      </w:tr>
      <w:tr w:rsidR="0015731D" w:rsidRPr="0036685E" w:rsidTr="00B61D94">
        <w:tblPrEx>
          <w:tblLook w:val="04A0" w:firstRow="1" w:lastRow="0" w:firstColumn="1" w:lastColumn="0" w:noHBand="0" w:noVBand="1"/>
        </w:tblPrEx>
        <w:trPr>
          <w:cantSplit/>
          <w:trHeight w:val="1243"/>
        </w:trPr>
        <w:tc>
          <w:tcPr>
            <w:tcW w:w="1985" w:type="dxa"/>
            <w:shd w:val="clear" w:color="auto" w:fill="DAEEF3" w:themeFill="accent5" w:themeFillTint="33"/>
          </w:tcPr>
          <w:p w:rsidR="0015731D" w:rsidRPr="00F7630A" w:rsidRDefault="0015731D" w:rsidP="00F7630A">
            <w:pPr>
              <w:pStyle w:val="WoVGtabletext"/>
              <w:rPr>
                <w:rFonts w:cs="Arial"/>
              </w:rPr>
            </w:pPr>
            <w:r w:rsidRPr="00F7630A">
              <w:rPr>
                <w:rFonts w:cs="Arial"/>
              </w:rPr>
              <w:t>Audits^ &amp; audit schedule</w:t>
            </w:r>
          </w:p>
          <w:p w:rsidR="0015731D" w:rsidRPr="00F7630A" w:rsidRDefault="0015731D" w:rsidP="00F7630A">
            <w:pPr>
              <w:pStyle w:val="WoVGtabletext"/>
              <w:rPr>
                <w:rFonts w:cs="Arial"/>
                <w:i/>
              </w:rPr>
            </w:pPr>
            <w:r w:rsidRPr="008D04AE">
              <w:rPr>
                <w:rStyle w:val="Emphasis"/>
              </w:rPr>
              <w:t>^ audit as defined in glossary</w:t>
            </w:r>
          </w:p>
        </w:tc>
        <w:tc>
          <w:tcPr>
            <w:tcW w:w="7059" w:type="dxa"/>
            <w:shd w:val="clear" w:color="auto" w:fill="F2F2F2" w:themeFill="background1" w:themeFillShade="F2"/>
          </w:tcPr>
          <w:p w:rsidR="0015731D" w:rsidRPr="00F7630A" w:rsidRDefault="0015731D" w:rsidP="00F7630A">
            <w:pPr>
              <w:pStyle w:val="WoVGtabletext"/>
              <w:rPr>
                <w:rFonts w:cs="Arial"/>
              </w:rPr>
            </w:pPr>
            <w:r w:rsidRPr="00F7630A">
              <w:rPr>
                <w:rFonts w:cs="Arial"/>
              </w:rPr>
              <w:t>The number of audits conducted in the 12-month period to 30 June each year as part of the organisation’s audit program (e.g. OHSMS, PHMS audits)</w:t>
            </w:r>
          </w:p>
          <w:p w:rsidR="0015731D" w:rsidRPr="00F7630A" w:rsidRDefault="0015731D" w:rsidP="00F7630A">
            <w:pPr>
              <w:pStyle w:val="WoVGtabletext"/>
              <w:rPr>
                <w:rFonts w:cs="Arial"/>
              </w:rPr>
            </w:pPr>
            <w:r w:rsidRPr="00F7630A">
              <w:rPr>
                <w:rFonts w:cs="Arial"/>
              </w:rPr>
              <w:t>This may be expressed as a rate: % of workplaces audited / year</w:t>
            </w:r>
          </w:p>
          <w:p w:rsidR="0015731D" w:rsidRPr="00F7630A" w:rsidRDefault="0015731D" w:rsidP="00F7630A">
            <w:pPr>
              <w:pStyle w:val="WoVGtabletext"/>
              <w:rPr>
                <w:rFonts w:cs="Arial"/>
              </w:rPr>
            </w:pPr>
            <w:r w:rsidRPr="00F7630A">
              <w:rPr>
                <w:rFonts w:cs="Arial"/>
                <w:b/>
              </w:rPr>
              <w:t>Note:</w:t>
            </w:r>
            <w:r w:rsidRPr="00F7630A">
              <w:rPr>
                <w:rFonts w:cs="Arial"/>
              </w:rPr>
              <w:t xml:space="preserve"> Departments that do not conduct formal OHSMS audits should report on their processes for review of OHSMS implementation and effectiveness and plans for improvement.</w:t>
            </w:r>
          </w:p>
        </w:tc>
      </w:tr>
      <w:tr w:rsidR="0015731D" w:rsidRPr="0036685E" w:rsidTr="00B61D94">
        <w:tblPrEx>
          <w:tblLook w:val="04A0" w:firstRow="1" w:lastRow="0" w:firstColumn="1" w:lastColumn="0" w:noHBand="0" w:noVBand="1"/>
        </w:tblPrEx>
        <w:trPr>
          <w:cantSplit/>
          <w:trHeight w:val="661"/>
        </w:trPr>
        <w:tc>
          <w:tcPr>
            <w:tcW w:w="1985" w:type="dxa"/>
            <w:shd w:val="clear" w:color="auto" w:fill="DAEEF3" w:themeFill="accent5" w:themeFillTint="33"/>
          </w:tcPr>
          <w:p w:rsidR="0015731D" w:rsidRPr="00F7630A" w:rsidRDefault="0015731D" w:rsidP="00F7630A">
            <w:pPr>
              <w:pStyle w:val="WoVGtabletext"/>
              <w:rPr>
                <w:rFonts w:cs="Arial"/>
              </w:rPr>
            </w:pPr>
            <w:r w:rsidRPr="00F7630A">
              <w:rPr>
                <w:rFonts w:cs="Arial"/>
              </w:rPr>
              <w:t xml:space="preserve">OHSMS implementation </w:t>
            </w:r>
          </w:p>
        </w:tc>
        <w:tc>
          <w:tcPr>
            <w:tcW w:w="7059" w:type="dxa"/>
            <w:shd w:val="clear" w:color="auto" w:fill="F2F2F2" w:themeFill="background1" w:themeFillShade="F2"/>
          </w:tcPr>
          <w:p w:rsidR="0015731D" w:rsidRPr="00F7630A" w:rsidRDefault="0015731D" w:rsidP="00F7630A">
            <w:pPr>
              <w:pStyle w:val="WoVGtabletext"/>
              <w:rPr>
                <w:rFonts w:cs="Arial"/>
              </w:rPr>
            </w:pPr>
            <w:r w:rsidRPr="00F7630A">
              <w:rPr>
                <w:rFonts w:cs="Arial"/>
              </w:rPr>
              <w:t>OHSMS implementation as average OHSMS audit score (%)</w:t>
            </w:r>
          </w:p>
        </w:tc>
      </w:tr>
      <w:tr w:rsidR="0015731D" w:rsidRPr="0036685E" w:rsidTr="00B61D94">
        <w:tblPrEx>
          <w:tblLook w:val="04A0" w:firstRow="1" w:lastRow="0" w:firstColumn="1" w:lastColumn="0" w:noHBand="0" w:noVBand="1"/>
        </w:tblPrEx>
        <w:trPr>
          <w:cantSplit/>
          <w:trHeight w:val="1128"/>
        </w:trPr>
        <w:tc>
          <w:tcPr>
            <w:tcW w:w="1985" w:type="dxa"/>
            <w:shd w:val="clear" w:color="auto" w:fill="DAEEF3" w:themeFill="accent5" w:themeFillTint="33"/>
          </w:tcPr>
          <w:p w:rsidR="0015731D" w:rsidRPr="00F7630A" w:rsidRDefault="0015731D" w:rsidP="00F7630A">
            <w:pPr>
              <w:pStyle w:val="WoVGtabletext"/>
              <w:rPr>
                <w:rFonts w:cs="Arial"/>
              </w:rPr>
            </w:pPr>
            <w:r w:rsidRPr="00F7630A">
              <w:rPr>
                <w:rFonts w:cs="Arial"/>
              </w:rPr>
              <w:lastRenderedPageBreak/>
              <w:t>Management engagement and commitment – workplace audits</w:t>
            </w:r>
          </w:p>
        </w:tc>
        <w:tc>
          <w:tcPr>
            <w:tcW w:w="7059" w:type="dxa"/>
            <w:shd w:val="clear" w:color="auto" w:fill="F2F2F2" w:themeFill="background1" w:themeFillShade="F2"/>
          </w:tcPr>
          <w:p w:rsidR="0015731D" w:rsidRPr="00F7630A" w:rsidRDefault="0015731D" w:rsidP="00F7630A">
            <w:pPr>
              <w:pStyle w:val="WoVGtabletext"/>
              <w:rPr>
                <w:rFonts w:cs="Arial"/>
              </w:rPr>
            </w:pPr>
            <w:r w:rsidRPr="00F7630A">
              <w:rPr>
                <w:rFonts w:cs="Arial"/>
              </w:rPr>
              <w:t>The number of audits conducted in the 12-month period to 30 June each year as part of the department’s audit program, the percentage of these that have included workplace management involvement</w:t>
            </w:r>
          </w:p>
          <w:p w:rsidR="0015731D" w:rsidRPr="00F7630A" w:rsidRDefault="0015731D" w:rsidP="00F7630A">
            <w:pPr>
              <w:pStyle w:val="WoVGtabletext"/>
              <w:rPr>
                <w:rFonts w:cs="Arial"/>
              </w:rPr>
            </w:pPr>
            <w:r w:rsidRPr="00F7630A">
              <w:rPr>
                <w:rFonts w:cs="Arial"/>
              </w:rPr>
              <w:t>% of audits involving workplace management = (number of audits involving management / total number of audits conducted) x 100</w:t>
            </w:r>
          </w:p>
        </w:tc>
      </w:tr>
      <w:tr w:rsidR="0015731D" w:rsidRPr="0036685E" w:rsidTr="00B61D94">
        <w:tblPrEx>
          <w:tblLook w:val="04A0" w:firstRow="1" w:lastRow="0" w:firstColumn="1" w:lastColumn="0" w:noHBand="0" w:noVBand="1"/>
        </w:tblPrEx>
        <w:trPr>
          <w:cantSplit/>
          <w:trHeight w:val="1128"/>
        </w:trPr>
        <w:tc>
          <w:tcPr>
            <w:tcW w:w="1985" w:type="dxa"/>
            <w:shd w:val="clear" w:color="auto" w:fill="DAEEF3" w:themeFill="accent5" w:themeFillTint="33"/>
          </w:tcPr>
          <w:p w:rsidR="0015731D" w:rsidRPr="00F7630A" w:rsidRDefault="0015731D" w:rsidP="00F7630A">
            <w:pPr>
              <w:pStyle w:val="WoVGtabletext"/>
              <w:rPr>
                <w:rFonts w:cs="Arial"/>
              </w:rPr>
            </w:pPr>
            <w:r w:rsidRPr="00F7630A">
              <w:rPr>
                <w:rFonts w:cs="Arial"/>
              </w:rPr>
              <w:t xml:space="preserve">Senior management commitment – OHSMS review </w:t>
            </w:r>
          </w:p>
        </w:tc>
        <w:tc>
          <w:tcPr>
            <w:tcW w:w="7059" w:type="dxa"/>
            <w:shd w:val="clear" w:color="auto" w:fill="F2F2F2" w:themeFill="background1" w:themeFillShade="F2"/>
          </w:tcPr>
          <w:p w:rsidR="0015731D" w:rsidRPr="0036685E" w:rsidRDefault="0015731D" w:rsidP="00F7630A">
            <w:pPr>
              <w:pStyle w:val="WoVGtabletext"/>
              <w:rPr>
                <w:rFonts w:cs="Arial"/>
                <w:lang w:val="en-GB"/>
              </w:rPr>
            </w:pPr>
            <w:r w:rsidRPr="00F7630A">
              <w:rPr>
                <w:rFonts w:cs="Arial"/>
              </w:rPr>
              <w:t>Number of senior management participating in departmental OHSMS review and evaluation at least once per two-year cycle</w:t>
            </w:r>
          </w:p>
        </w:tc>
      </w:tr>
    </w:tbl>
    <w:p w:rsidR="0015731D" w:rsidRPr="00F7630A" w:rsidRDefault="0015731D" w:rsidP="00F7630A">
      <w:pPr>
        <w:pStyle w:val="WoVGtablefigurenote"/>
      </w:pPr>
      <w:r w:rsidRPr="00F7630A">
        <w:t>*</w:t>
      </w:r>
      <w:r w:rsidR="00587005">
        <w:t xml:space="preserve"> </w:t>
      </w:r>
      <w:r w:rsidRPr="00F7630A">
        <w:t>Data collected by the department.</w:t>
      </w:r>
    </w:p>
    <w:p w:rsidR="0015731D" w:rsidRPr="008D04AE" w:rsidRDefault="0015731D" w:rsidP="00EE3B2D">
      <w:pPr>
        <w:pStyle w:val="WoVGbody"/>
      </w:pPr>
      <w:r w:rsidRPr="008D04AE">
        <w:br w:type="page"/>
      </w:r>
    </w:p>
    <w:p w:rsidR="0015731D" w:rsidRPr="00806DF6" w:rsidRDefault="00F201BC" w:rsidP="0015731D">
      <w:pPr>
        <w:pStyle w:val="Heading2"/>
        <w:keepNext w:val="0"/>
        <w:keepLines w:val="0"/>
        <w:numPr>
          <w:ilvl w:val="1"/>
          <w:numId w:val="0"/>
        </w:numPr>
        <w:spacing w:before="120" w:after="0" w:line="276" w:lineRule="auto"/>
        <w:ind w:left="576" w:hanging="576"/>
      </w:pPr>
      <w:bookmarkStart w:id="122" w:name="_Toc477934214"/>
      <w:bookmarkStart w:id="123" w:name="_Toc9246014"/>
      <w:r>
        <w:lastRenderedPageBreak/>
        <w:t xml:space="preserve">6.4 </w:t>
      </w:r>
      <w:r w:rsidR="0015731D" w:rsidRPr="00806DF6">
        <w:t>Outcomes reporting</w:t>
      </w:r>
      <w:bookmarkEnd w:id="122"/>
      <w:bookmarkEnd w:id="123"/>
    </w:p>
    <w:p w:rsidR="0015731D" w:rsidRPr="00F201BC" w:rsidRDefault="0015731D" w:rsidP="00F201BC">
      <w:pPr>
        <w:pStyle w:val="WoVGbody"/>
      </w:pPr>
      <w:r w:rsidRPr="00F201BC">
        <w:t>The performance indicators defined in Table 4 below should be reported by departments for the purpose of benchmarking or comparing performance. To ensure the benchmarking provides an equivalent comparison, it is important that indicators selected:</w:t>
      </w:r>
    </w:p>
    <w:p w:rsidR="00562F6D" w:rsidRDefault="0015731D" w:rsidP="00F201BC">
      <w:pPr>
        <w:pStyle w:val="WoVGbullet1"/>
      </w:pPr>
      <w:r w:rsidRPr="00F201BC">
        <w:t>are defined and that this definition is commonly applied across the benchmark departments, and</w:t>
      </w:r>
    </w:p>
    <w:p w:rsidR="0015731D" w:rsidRPr="00F201BC" w:rsidRDefault="0015731D" w:rsidP="00F201BC">
      <w:pPr>
        <w:pStyle w:val="WoVGbullet1"/>
      </w:pPr>
      <w:r w:rsidRPr="00F201BC">
        <w:t>provide data can be measured and quantified.</w:t>
      </w:r>
    </w:p>
    <w:p w:rsidR="0015731D" w:rsidRPr="00F201BC" w:rsidRDefault="0015731D" w:rsidP="00F201BC">
      <w:pPr>
        <w:pStyle w:val="WoVGbodyafterbullets"/>
      </w:pPr>
      <w:r w:rsidRPr="00F201BC">
        <w:t>When benchmarking, opportunities may exist for those departments and agencies that are performing well in a particular area to showcase the strategies that have been implemented to achieve these results.</w:t>
      </w:r>
    </w:p>
    <w:p w:rsidR="00562F6D" w:rsidRDefault="0015731D" w:rsidP="0047128D">
      <w:pPr>
        <w:pStyle w:val="WoVGbody"/>
        <w:rPr>
          <w:lang w:val="en-GB"/>
        </w:rPr>
      </w:pPr>
      <w:r w:rsidRPr="008D04AE">
        <w:rPr>
          <w:rStyle w:val="Emphasis"/>
        </w:rPr>
        <w:t>Leading the Way</w:t>
      </w:r>
      <w:r w:rsidRPr="0036685E">
        <w:rPr>
          <w:lang w:val="en-GB"/>
        </w:rPr>
        <w:t xml:space="preserve"> outcome data is collected by, and sourced from, WorkSafe Victoria.</w:t>
      </w:r>
    </w:p>
    <w:p w:rsidR="0015731D" w:rsidRPr="00F201BC" w:rsidRDefault="0015731D" w:rsidP="00F201BC">
      <w:pPr>
        <w:pStyle w:val="WoVGtablecaption"/>
      </w:pPr>
      <w:r w:rsidRPr="00F201BC">
        <w:t>Table 4</w:t>
      </w:r>
      <w:r w:rsidR="00F201BC">
        <w:t>:</w:t>
      </w:r>
      <w:r w:rsidRPr="00F201BC">
        <w:t xml:space="preserve"> Leading the Way outcome measures</w:t>
      </w:r>
      <w:r w:rsidR="00CE49DD">
        <w:t xml:space="preserve"> for all departments#</w:t>
      </w:r>
    </w:p>
    <w:tbl>
      <w:tblPr>
        <w:tblStyle w:val="TableGrid"/>
        <w:tblW w:w="9185" w:type="dxa"/>
        <w:tblInd w:w="-5" w:type="dxa"/>
        <w:tblLook w:val="04A0" w:firstRow="1" w:lastRow="0" w:firstColumn="1" w:lastColumn="0" w:noHBand="0" w:noVBand="1"/>
      </w:tblPr>
      <w:tblGrid>
        <w:gridCol w:w="1985"/>
        <w:gridCol w:w="7200"/>
      </w:tblGrid>
      <w:tr w:rsidR="0015731D" w:rsidTr="0052429F">
        <w:trPr>
          <w:trHeight w:val="368"/>
          <w:tblHeader/>
        </w:trPr>
        <w:tc>
          <w:tcPr>
            <w:tcW w:w="1985" w:type="dxa"/>
            <w:shd w:val="clear" w:color="auto" w:fill="92CDDC" w:themeFill="accent5" w:themeFillTint="99"/>
          </w:tcPr>
          <w:p w:rsidR="0015731D" w:rsidRPr="007730E2" w:rsidRDefault="0015731D" w:rsidP="00EE3B2D">
            <w:pPr>
              <w:pStyle w:val="WoVGtablecolhead"/>
              <w:rPr>
                <w:lang w:val="en-GB"/>
              </w:rPr>
            </w:pPr>
            <w:r w:rsidRPr="007730E2">
              <w:rPr>
                <w:lang w:val="en-GB"/>
              </w:rPr>
              <w:t>Data*</w:t>
            </w:r>
          </w:p>
        </w:tc>
        <w:tc>
          <w:tcPr>
            <w:tcW w:w="7200" w:type="dxa"/>
            <w:shd w:val="clear" w:color="auto" w:fill="92CDDC" w:themeFill="accent5" w:themeFillTint="99"/>
          </w:tcPr>
          <w:p w:rsidR="0015731D" w:rsidRPr="007730E2" w:rsidRDefault="0015731D" w:rsidP="00EE3B2D">
            <w:pPr>
              <w:pStyle w:val="WoVGtablecolhead"/>
              <w:rPr>
                <w:lang w:val="en-GB"/>
              </w:rPr>
            </w:pPr>
            <w:r w:rsidRPr="007730E2">
              <w:rPr>
                <w:lang w:val="en-GB"/>
              </w:rPr>
              <w:t>Definitions</w:t>
            </w:r>
          </w:p>
        </w:tc>
      </w:tr>
      <w:tr w:rsidR="0015731D" w:rsidRPr="00B5534F" w:rsidTr="0052429F">
        <w:trPr>
          <w:trHeight w:val="559"/>
        </w:trPr>
        <w:tc>
          <w:tcPr>
            <w:tcW w:w="1985" w:type="dxa"/>
            <w:shd w:val="clear" w:color="auto" w:fill="DAEEF3" w:themeFill="accent5" w:themeFillTint="33"/>
          </w:tcPr>
          <w:p w:rsidR="0015731D" w:rsidRPr="00F201BC" w:rsidRDefault="0015731D" w:rsidP="00F201BC">
            <w:pPr>
              <w:pStyle w:val="WoVGtabletext"/>
              <w:rPr>
                <w:rFonts w:cs="Arial"/>
              </w:rPr>
            </w:pPr>
            <w:r w:rsidRPr="00F201BC">
              <w:rPr>
                <w:rFonts w:cs="Arial"/>
              </w:rPr>
              <w:t>Claims per 100 FTE</w:t>
            </w:r>
          </w:p>
        </w:tc>
        <w:tc>
          <w:tcPr>
            <w:tcW w:w="7200" w:type="dxa"/>
            <w:shd w:val="clear" w:color="auto" w:fill="F2F2F2" w:themeFill="background1" w:themeFillShade="F2"/>
          </w:tcPr>
          <w:p w:rsidR="0015731D" w:rsidRPr="00F201BC" w:rsidRDefault="0015731D" w:rsidP="00F201BC">
            <w:pPr>
              <w:pStyle w:val="WoVGtabletext"/>
              <w:rPr>
                <w:rFonts w:cs="Arial"/>
              </w:rPr>
            </w:pPr>
            <w:r w:rsidRPr="00F201BC">
              <w:rPr>
                <w:rFonts w:cs="Arial"/>
              </w:rPr>
              <w:t>The number of standardised claims* reported to agents in the 12-month period to 30 June each year, divided by the per 100 full time equivalent employees (FTE)</w:t>
            </w:r>
          </w:p>
        </w:tc>
      </w:tr>
      <w:tr w:rsidR="0015731D" w:rsidTr="0052429F">
        <w:trPr>
          <w:trHeight w:val="780"/>
        </w:trPr>
        <w:tc>
          <w:tcPr>
            <w:tcW w:w="1985" w:type="dxa"/>
            <w:shd w:val="clear" w:color="auto" w:fill="DAEEF3" w:themeFill="accent5" w:themeFillTint="33"/>
          </w:tcPr>
          <w:p w:rsidR="0015731D" w:rsidRPr="00F201BC" w:rsidRDefault="0015731D" w:rsidP="00F201BC">
            <w:pPr>
              <w:pStyle w:val="WoVGtabletext"/>
              <w:rPr>
                <w:rFonts w:cs="Arial"/>
              </w:rPr>
            </w:pPr>
            <w:r w:rsidRPr="00F201BC">
              <w:rPr>
                <w:rFonts w:cs="Arial"/>
              </w:rPr>
              <w:t>Claims exceeding 13-weeks (expressed as a percentage of all claims for that organisation)</w:t>
            </w:r>
          </w:p>
        </w:tc>
        <w:tc>
          <w:tcPr>
            <w:tcW w:w="7200" w:type="dxa"/>
            <w:shd w:val="clear" w:color="auto" w:fill="F2F2F2" w:themeFill="background1" w:themeFillShade="F2"/>
          </w:tcPr>
          <w:p w:rsidR="00562F6D" w:rsidRDefault="0015731D" w:rsidP="00F201BC">
            <w:pPr>
              <w:pStyle w:val="WoVGtabletext"/>
              <w:rPr>
                <w:rFonts w:cs="Arial"/>
              </w:rPr>
            </w:pPr>
            <w:r w:rsidRPr="00F201BC">
              <w:rPr>
                <w:rFonts w:cs="Arial"/>
              </w:rPr>
              <w:t>The number of standardised claims* to agents in the 12-month period to 31 March each year, that exceed 13 weeks of weekly payments divided by the total number of claims.</w:t>
            </w:r>
          </w:p>
          <w:p w:rsidR="0015731D" w:rsidRPr="00F201BC" w:rsidRDefault="0015731D" w:rsidP="00F201BC">
            <w:pPr>
              <w:pStyle w:val="WoVGtabletext"/>
              <w:rPr>
                <w:rFonts w:cs="Arial"/>
              </w:rPr>
            </w:pPr>
            <w:r w:rsidRPr="00F201BC">
              <w:rPr>
                <w:rFonts w:cs="Arial"/>
              </w:rPr>
              <w:t xml:space="preserve">Claims are included if the employer has paid the time loss excess (10 days of earnings) and the injured worker has been reimbursed for at least 10 additional days of work or on reduced hours. </w:t>
            </w:r>
          </w:p>
        </w:tc>
      </w:tr>
      <w:tr w:rsidR="0015731D" w:rsidTr="0052429F">
        <w:trPr>
          <w:trHeight w:val="667"/>
        </w:trPr>
        <w:tc>
          <w:tcPr>
            <w:tcW w:w="1985" w:type="dxa"/>
            <w:shd w:val="clear" w:color="auto" w:fill="DAEEF3" w:themeFill="accent5" w:themeFillTint="33"/>
          </w:tcPr>
          <w:p w:rsidR="0015731D" w:rsidRPr="00F201BC" w:rsidRDefault="0015731D" w:rsidP="00F201BC">
            <w:pPr>
              <w:pStyle w:val="WoVGtabletext"/>
              <w:rPr>
                <w:rFonts w:cs="Arial"/>
              </w:rPr>
            </w:pPr>
            <w:r w:rsidRPr="00F201BC">
              <w:rPr>
                <w:rFonts w:cs="Arial"/>
              </w:rPr>
              <w:t>Claims exceeding 26 weeks (expressed as per of all claims for that organisation)</w:t>
            </w:r>
          </w:p>
        </w:tc>
        <w:tc>
          <w:tcPr>
            <w:tcW w:w="7200" w:type="dxa"/>
            <w:shd w:val="clear" w:color="auto" w:fill="F2F2F2" w:themeFill="background1" w:themeFillShade="F2"/>
          </w:tcPr>
          <w:p w:rsidR="0015731D" w:rsidRPr="00F201BC" w:rsidRDefault="0015731D" w:rsidP="00F201BC">
            <w:pPr>
              <w:pStyle w:val="WoVGtabletext"/>
              <w:rPr>
                <w:rFonts w:cs="Arial"/>
              </w:rPr>
            </w:pPr>
            <w:r w:rsidRPr="00F201BC">
              <w:rPr>
                <w:rFonts w:cs="Arial"/>
              </w:rPr>
              <w:t>The number of standardised claims* to agents in the 12-month period to 31 March each year that exceed 26 weeks of weekly payments divided by the total number of claims. Claims are included if the employer has paid the time loss excess (10 days of earnings) and the injured worker has been reimbursed for at least 10 additional days of work or on reduced hours</w:t>
            </w:r>
          </w:p>
        </w:tc>
      </w:tr>
      <w:tr w:rsidR="0015731D" w:rsidTr="0052429F">
        <w:trPr>
          <w:trHeight w:val="608"/>
        </w:trPr>
        <w:tc>
          <w:tcPr>
            <w:tcW w:w="1985" w:type="dxa"/>
            <w:shd w:val="clear" w:color="auto" w:fill="DAEEF3" w:themeFill="accent5" w:themeFillTint="33"/>
          </w:tcPr>
          <w:p w:rsidR="0015731D" w:rsidRPr="00F201BC" w:rsidRDefault="0015731D" w:rsidP="00F201BC">
            <w:pPr>
              <w:pStyle w:val="WoVGtabletext"/>
              <w:rPr>
                <w:rFonts w:cs="Arial"/>
              </w:rPr>
            </w:pPr>
            <w:r w:rsidRPr="00F201BC">
              <w:rPr>
                <w:rFonts w:cs="Arial"/>
              </w:rPr>
              <w:t>Fatality</w:t>
            </w:r>
          </w:p>
        </w:tc>
        <w:tc>
          <w:tcPr>
            <w:tcW w:w="7200" w:type="dxa"/>
            <w:shd w:val="clear" w:color="auto" w:fill="F2F2F2" w:themeFill="background1" w:themeFillShade="F2"/>
          </w:tcPr>
          <w:p w:rsidR="0015731D" w:rsidRPr="00F201BC" w:rsidRDefault="0015731D" w:rsidP="00F201BC">
            <w:pPr>
              <w:pStyle w:val="WoVGtabletext"/>
              <w:rPr>
                <w:rFonts w:cs="Arial"/>
              </w:rPr>
            </w:pPr>
            <w:r w:rsidRPr="00F201BC">
              <w:rPr>
                <w:rFonts w:cs="Arial"/>
              </w:rPr>
              <w:t>The number of compensable fatalities occurring at the workplace in the 12-month period to 30 June each year.</w:t>
            </w:r>
          </w:p>
        </w:tc>
      </w:tr>
      <w:tr w:rsidR="0015731D" w:rsidTr="0052429F">
        <w:trPr>
          <w:trHeight w:val="1074"/>
        </w:trPr>
        <w:tc>
          <w:tcPr>
            <w:tcW w:w="1985" w:type="dxa"/>
            <w:shd w:val="clear" w:color="auto" w:fill="DAEEF3" w:themeFill="accent5" w:themeFillTint="33"/>
          </w:tcPr>
          <w:p w:rsidR="0015731D" w:rsidRPr="00F201BC" w:rsidRDefault="0015731D" w:rsidP="00F201BC">
            <w:pPr>
              <w:pStyle w:val="WoVGtabletext"/>
              <w:rPr>
                <w:rFonts w:cs="Arial"/>
              </w:rPr>
            </w:pPr>
            <w:r w:rsidRPr="00F201BC">
              <w:rPr>
                <w:rFonts w:cs="Arial"/>
              </w:rPr>
              <w:t>Average fully developed costs - claims</w:t>
            </w:r>
          </w:p>
        </w:tc>
        <w:tc>
          <w:tcPr>
            <w:tcW w:w="7200" w:type="dxa"/>
            <w:shd w:val="clear" w:color="auto" w:fill="F2F2F2" w:themeFill="background1" w:themeFillShade="F2"/>
          </w:tcPr>
          <w:p w:rsidR="0015731D" w:rsidRPr="00F201BC" w:rsidRDefault="0015731D" w:rsidP="00F201BC">
            <w:pPr>
              <w:pStyle w:val="WoVGtabletext"/>
              <w:rPr>
                <w:rFonts w:cs="Arial"/>
              </w:rPr>
            </w:pPr>
            <w:r w:rsidRPr="00F201BC">
              <w:rPr>
                <w:rFonts w:cs="Arial"/>
              </w:rPr>
              <w:t>For a group of claims, it is the sum of all payments to date plus the sum of the estimates of the future costs for those claims divided by the number of claims in the group.</w:t>
            </w:r>
          </w:p>
          <w:p w:rsidR="0015731D" w:rsidRPr="00F201BC" w:rsidRDefault="0015731D" w:rsidP="00F201BC">
            <w:pPr>
              <w:pStyle w:val="WoVGtabletext"/>
              <w:rPr>
                <w:rFonts w:cs="Arial"/>
              </w:rPr>
            </w:pPr>
            <w:r w:rsidRPr="00F201BC">
              <w:rPr>
                <w:rFonts w:cs="Arial"/>
              </w:rPr>
              <w:t>Group = number of standardised claims* reported to agents in the 12-month period to 30 June each year. Claims are only included if the employer has paid the time loss excess (10 days of earnings).</w:t>
            </w:r>
          </w:p>
        </w:tc>
      </w:tr>
      <w:tr w:rsidR="0015731D" w:rsidRPr="00B5534F" w:rsidTr="0052429F">
        <w:trPr>
          <w:trHeight w:val="559"/>
        </w:trPr>
        <w:tc>
          <w:tcPr>
            <w:tcW w:w="1985" w:type="dxa"/>
            <w:shd w:val="clear" w:color="auto" w:fill="DAEEF3" w:themeFill="accent5" w:themeFillTint="33"/>
          </w:tcPr>
          <w:p w:rsidR="0015731D" w:rsidRPr="00F201BC" w:rsidRDefault="0015731D" w:rsidP="00F201BC">
            <w:pPr>
              <w:pStyle w:val="WoVGtabletext"/>
              <w:rPr>
                <w:rFonts w:cs="Arial"/>
              </w:rPr>
            </w:pPr>
            <w:r w:rsidRPr="00F201BC">
              <w:rPr>
                <w:rFonts w:cs="Arial"/>
              </w:rPr>
              <w:t>Average number of days/shifts lost per workers compensation claim</w:t>
            </w:r>
          </w:p>
        </w:tc>
        <w:tc>
          <w:tcPr>
            <w:tcW w:w="7200" w:type="dxa"/>
            <w:shd w:val="clear" w:color="auto" w:fill="F2F2F2" w:themeFill="background1" w:themeFillShade="F2"/>
          </w:tcPr>
          <w:p w:rsidR="0015731D" w:rsidRPr="00F201BC" w:rsidRDefault="0015731D" w:rsidP="00F201BC">
            <w:pPr>
              <w:pStyle w:val="WoVGtabletext"/>
              <w:rPr>
                <w:rFonts w:cs="Arial"/>
              </w:rPr>
            </w:pPr>
            <w:r w:rsidRPr="00F201BC">
              <w:rPr>
                <w:rFonts w:cs="Arial"/>
              </w:rPr>
              <w:t>The number of days/shifts lost on average on standardised claims* reported to agents in the 12-month period to 31 March each year</w:t>
            </w:r>
          </w:p>
        </w:tc>
      </w:tr>
      <w:tr w:rsidR="0015731D" w:rsidRPr="00B5534F" w:rsidTr="0052429F">
        <w:trPr>
          <w:trHeight w:val="559"/>
        </w:trPr>
        <w:tc>
          <w:tcPr>
            <w:tcW w:w="1985" w:type="dxa"/>
            <w:shd w:val="clear" w:color="auto" w:fill="DAEEF3" w:themeFill="accent5" w:themeFillTint="33"/>
          </w:tcPr>
          <w:p w:rsidR="0015731D" w:rsidRPr="00F201BC" w:rsidRDefault="0015731D" w:rsidP="00F201BC">
            <w:pPr>
              <w:pStyle w:val="WoVGtabletext"/>
              <w:rPr>
                <w:rFonts w:cs="Arial"/>
              </w:rPr>
            </w:pPr>
            <w:r w:rsidRPr="00F201BC">
              <w:rPr>
                <w:rFonts w:cs="Arial"/>
              </w:rPr>
              <w:t>Legislative compliance**</w:t>
            </w:r>
          </w:p>
        </w:tc>
        <w:tc>
          <w:tcPr>
            <w:tcW w:w="7200" w:type="dxa"/>
            <w:shd w:val="clear" w:color="auto" w:fill="F2F2F2" w:themeFill="background1" w:themeFillShade="F2"/>
          </w:tcPr>
          <w:p w:rsidR="0015731D" w:rsidRPr="00F201BC" w:rsidRDefault="0015731D" w:rsidP="00F201BC">
            <w:pPr>
              <w:pStyle w:val="WoVGtabletext"/>
              <w:rPr>
                <w:rFonts w:cs="Arial"/>
              </w:rPr>
            </w:pPr>
            <w:r w:rsidRPr="00F201BC">
              <w:rPr>
                <w:rFonts w:cs="Arial"/>
              </w:rPr>
              <w:t>Total number of WorkSafe Victoria Notices issued in 12 months to 30 June.</w:t>
            </w:r>
          </w:p>
          <w:p w:rsidR="00562F6D" w:rsidRDefault="0015731D" w:rsidP="00F201BC">
            <w:pPr>
              <w:pStyle w:val="WoVGtabletext"/>
              <w:rPr>
                <w:rFonts w:cs="Arial"/>
              </w:rPr>
            </w:pPr>
            <w:r w:rsidRPr="003556E0">
              <w:rPr>
                <w:rFonts w:cs="Arial"/>
              </w:rPr>
              <w:t>Can be expressed as a rate of notices issued / inspector visit.</w:t>
            </w:r>
          </w:p>
          <w:p w:rsidR="0015731D" w:rsidRPr="00F201BC" w:rsidRDefault="0015731D" w:rsidP="00F201BC">
            <w:pPr>
              <w:pStyle w:val="WoVGtabletext"/>
              <w:rPr>
                <w:rFonts w:cs="Arial"/>
              </w:rPr>
            </w:pPr>
            <w:r w:rsidRPr="00F201BC">
              <w:rPr>
                <w:rFonts w:cs="Arial"/>
              </w:rPr>
              <w:t xml:space="preserve">Total prosecutions </w:t>
            </w:r>
          </w:p>
        </w:tc>
      </w:tr>
    </w:tbl>
    <w:p w:rsidR="0015731D" w:rsidRPr="003556E0" w:rsidRDefault="0015731D" w:rsidP="003556E0">
      <w:pPr>
        <w:pStyle w:val="WoVGtablefigurenote"/>
      </w:pPr>
      <w:r w:rsidRPr="003556E0">
        <w:t># Data collected by WorkSafe Victoria.</w:t>
      </w:r>
    </w:p>
    <w:p w:rsidR="0015731D" w:rsidRPr="003556E0" w:rsidRDefault="0015731D" w:rsidP="003556E0">
      <w:pPr>
        <w:pStyle w:val="WoVGtablefigurenote"/>
      </w:pPr>
      <w:r w:rsidRPr="003556E0">
        <w:t>** For governance committee reporting</w:t>
      </w:r>
    </w:p>
    <w:p w:rsidR="00562F6D" w:rsidRDefault="003059F4" w:rsidP="0015731D">
      <w:pPr>
        <w:pStyle w:val="Heading1"/>
        <w:spacing w:before="0" w:after="360" w:line="240" w:lineRule="auto"/>
        <w:ind w:left="432" w:hanging="432"/>
      </w:pPr>
      <w:bookmarkStart w:id="124" w:name="_Toc477934215"/>
      <w:bookmarkStart w:id="125" w:name="_Toc9246015"/>
      <w:r>
        <w:lastRenderedPageBreak/>
        <w:t>7</w:t>
      </w:r>
      <w:r w:rsidR="00C37BAB">
        <w:t>.</w:t>
      </w:r>
      <w:r>
        <w:t xml:space="preserve"> </w:t>
      </w:r>
      <w:r w:rsidR="0015731D" w:rsidRPr="00D82FD2">
        <w:t>Strategic priority 4 – Defining and promoting the shared levers for change</w:t>
      </w:r>
      <w:bookmarkEnd w:id="124"/>
      <w:bookmarkEnd w:id="125"/>
    </w:p>
    <w:p w:rsidR="00562F6D" w:rsidRDefault="0015731D" w:rsidP="00C37BAB">
      <w:pPr>
        <w:pStyle w:val="WoVGbody"/>
      </w:pPr>
      <w:r w:rsidRPr="00C37BAB">
        <w:t>The Leading the Way maturity model identifies key levers for change at each maturity level and the recommended process indicators provide key measures for those levers.</w:t>
      </w:r>
    </w:p>
    <w:p w:rsidR="0015731D" w:rsidRPr="00C37BAB" w:rsidRDefault="0015731D" w:rsidP="0047128D">
      <w:pPr>
        <w:pStyle w:val="WoVGbody"/>
      </w:pPr>
      <w:r w:rsidRPr="00C37BAB">
        <w:t>Reporting and benchmarking performance on both process and outcomes measures through the Leading the Way governance structure provides the opportunity for departments to collaborate on resolving common issues, share expertise, learnings and solutions and collectively demonstrate government as leader and exemplar in health and safety.</w:t>
      </w:r>
    </w:p>
    <w:p w:rsidR="0015731D" w:rsidRPr="00806DF6" w:rsidRDefault="00792402" w:rsidP="0047128D">
      <w:pPr>
        <w:pStyle w:val="Heading2"/>
      </w:pPr>
      <w:bookmarkStart w:id="126" w:name="_Toc477934216"/>
      <w:bookmarkStart w:id="127" w:name="_Toc9246016"/>
      <w:r>
        <w:t xml:space="preserve">7.1 </w:t>
      </w:r>
      <w:r w:rsidR="0015731D" w:rsidRPr="00806DF6">
        <w:t>Performance reporting and benchmarking</w:t>
      </w:r>
      <w:bookmarkEnd w:id="126"/>
      <w:bookmarkEnd w:id="127"/>
    </w:p>
    <w:p w:rsidR="00562F6D" w:rsidRDefault="00792402" w:rsidP="00792402">
      <w:pPr>
        <w:pStyle w:val="Heading3"/>
      </w:pPr>
      <w:r>
        <w:t xml:space="preserve">7.1.1 </w:t>
      </w:r>
      <w:r w:rsidR="0015731D" w:rsidRPr="003556E0">
        <w:t>Benchmarking</w:t>
      </w:r>
    </w:p>
    <w:p w:rsidR="00562F6D" w:rsidRDefault="0015731D" w:rsidP="003556E0">
      <w:pPr>
        <w:pStyle w:val="WoVGbody"/>
      </w:pPr>
      <w:r w:rsidRPr="003556E0">
        <w:t>Benchmarking performance supports sound decision making, organisational learning and continuous improvement. This is the primary objective of performance reporting and benchmarking under Leading the Way.</w:t>
      </w:r>
    </w:p>
    <w:p w:rsidR="00562F6D" w:rsidRDefault="0015731D" w:rsidP="003556E0">
      <w:pPr>
        <w:pStyle w:val="WoVGbody"/>
      </w:pPr>
      <w:r w:rsidRPr="003556E0">
        <w:t>There are many forms of benchmarking.</w:t>
      </w:r>
    </w:p>
    <w:p w:rsidR="00562F6D" w:rsidRDefault="0015731D" w:rsidP="003556E0">
      <w:pPr>
        <w:pStyle w:val="WoVGbody"/>
      </w:pPr>
      <w:r w:rsidRPr="003556E0">
        <w:t xml:space="preserve">Departments should benchmark their </w:t>
      </w:r>
      <w:r w:rsidR="003556E0" w:rsidRPr="003556E0">
        <w:t>performance against themselves,</w:t>
      </w:r>
      <w:r w:rsidR="00AA786D" w:rsidRPr="003556E0">
        <w:t xml:space="preserve"> </w:t>
      </w:r>
      <w:r w:rsidRPr="003556E0">
        <w:t>that is performance trends against a defined baseline (baseline benchmarking). This supports departments to evaluate the impact of initiatives on OHS performance.</w:t>
      </w:r>
    </w:p>
    <w:p w:rsidR="00562F6D" w:rsidRDefault="0015731D" w:rsidP="003556E0">
      <w:pPr>
        <w:pStyle w:val="WoVGbody"/>
      </w:pPr>
      <w:r w:rsidRPr="003556E0">
        <w:t>Departments may also benchmark performance against one another (comparison benchmarking) both through the outcome reporting and show casing areas of improvement identified through the process reporting.</w:t>
      </w:r>
    </w:p>
    <w:p w:rsidR="0015731D" w:rsidRPr="003556E0" w:rsidRDefault="00792402" w:rsidP="00792402">
      <w:pPr>
        <w:pStyle w:val="Heading3"/>
      </w:pPr>
      <w:r>
        <w:t xml:space="preserve">7.1.2 </w:t>
      </w:r>
      <w:r w:rsidR="0015731D" w:rsidRPr="003556E0">
        <w:t>Reporting timeframes and methodology</w:t>
      </w:r>
    </w:p>
    <w:p w:rsidR="00562F6D" w:rsidRDefault="0015731D" w:rsidP="003556E0">
      <w:pPr>
        <w:pStyle w:val="WoVGbody"/>
      </w:pPr>
      <w:r w:rsidRPr="003556E0">
        <w:t>Departments will prepare OHS annual performance reports for senior Whole-of-Victorian-Government forum using the templates in 7.2 and 7.3 or an alternative agreed template.</w:t>
      </w:r>
    </w:p>
    <w:p w:rsidR="00562F6D" w:rsidRDefault="0015731D" w:rsidP="003556E0">
      <w:pPr>
        <w:pStyle w:val="WoVGbody"/>
      </w:pPr>
      <w:r w:rsidRPr="003556E0">
        <w:t>These performance reports will be presented to OHS Leadership Group in October of each year.</w:t>
      </w:r>
    </w:p>
    <w:p w:rsidR="00562F6D" w:rsidRDefault="0015731D" w:rsidP="003556E0">
      <w:pPr>
        <w:pStyle w:val="WoVGbody"/>
      </w:pPr>
      <w:r w:rsidRPr="003556E0">
        <w:t>The OHS performance report template below is designed to measure performance across similar departments and progress against baseline data.</w:t>
      </w:r>
    </w:p>
    <w:p w:rsidR="0015731D" w:rsidRPr="003556E0" w:rsidRDefault="0015731D" w:rsidP="003556E0">
      <w:pPr>
        <w:pStyle w:val="WoVGtablecaption"/>
      </w:pPr>
      <w:r w:rsidRPr="003556E0">
        <w:t>Key to trend indicators</w:t>
      </w:r>
    </w:p>
    <w:tbl>
      <w:tblPr>
        <w:tblStyle w:val="TableGrid"/>
        <w:tblW w:w="6634" w:type="dxa"/>
        <w:tblInd w:w="-5" w:type="dxa"/>
        <w:tblLook w:val="0680" w:firstRow="0" w:lastRow="0" w:firstColumn="1" w:lastColumn="0" w:noHBand="1" w:noVBand="1"/>
      </w:tblPr>
      <w:tblGrid>
        <w:gridCol w:w="709"/>
        <w:gridCol w:w="5925"/>
      </w:tblGrid>
      <w:tr w:rsidR="0015731D" w:rsidRPr="00464667" w:rsidTr="00CE49DD">
        <w:tc>
          <w:tcPr>
            <w:tcW w:w="709" w:type="dxa"/>
            <w:shd w:val="clear" w:color="auto" w:fill="92D050"/>
          </w:tcPr>
          <w:p w:rsidR="0015731D" w:rsidRPr="00F048F2" w:rsidRDefault="0015731D" w:rsidP="00EE3B2D">
            <w:pPr>
              <w:pStyle w:val="WoVGtabletext"/>
              <w:rPr>
                <w:lang w:val="en-GB"/>
              </w:rPr>
            </w:pPr>
            <w:r w:rsidRPr="00F048F2">
              <w:rPr>
                <w:lang w:val="en-GB"/>
              </w:rPr>
              <w:t>↑ x%</w:t>
            </w:r>
          </w:p>
        </w:tc>
        <w:tc>
          <w:tcPr>
            <w:tcW w:w="5925" w:type="dxa"/>
            <w:shd w:val="clear" w:color="auto" w:fill="F2F2F2" w:themeFill="background1" w:themeFillShade="F2"/>
          </w:tcPr>
          <w:p w:rsidR="0015731D" w:rsidRPr="00F048F2" w:rsidRDefault="0015731D" w:rsidP="00EE3B2D">
            <w:pPr>
              <w:pStyle w:val="WoVGtabletext"/>
              <w:rPr>
                <w:lang w:val="en-GB"/>
              </w:rPr>
            </w:pPr>
            <w:r w:rsidRPr="00F048F2">
              <w:rPr>
                <w:lang w:val="en-GB"/>
              </w:rPr>
              <w:t>Green is an improvement of 5% or more on the base period</w:t>
            </w:r>
          </w:p>
        </w:tc>
      </w:tr>
      <w:tr w:rsidR="0015731D" w:rsidRPr="00464667" w:rsidTr="00CE49DD">
        <w:tc>
          <w:tcPr>
            <w:tcW w:w="709" w:type="dxa"/>
            <w:shd w:val="clear" w:color="auto" w:fill="FFFF00"/>
          </w:tcPr>
          <w:p w:rsidR="0015731D" w:rsidRPr="00F048F2" w:rsidRDefault="0015731D" w:rsidP="00EE3B2D">
            <w:pPr>
              <w:pStyle w:val="WoVGtabletext"/>
              <w:rPr>
                <w:lang w:val="en-GB"/>
              </w:rPr>
            </w:pPr>
            <w:r w:rsidRPr="00F048F2">
              <w:rPr>
                <w:lang w:val="en-GB"/>
              </w:rPr>
              <w:t>--</w:t>
            </w:r>
          </w:p>
        </w:tc>
        <w:tc>
          <w:tcPr>
            <w:tcW w:w="5925" w:type="dxa"/>
            <w:shd w:val="clear" w:color="auto" w:fill="F2F2F2" w:themeFill="background1" w:themeFillShade="F2"/>
          </w:tcPr>
          <w:p w:rsidR="0015731D" w:rsidRPr="00F048F2" w:rsidRDefault="0015731D" w:rsidP="00EE3B2D">
            <w:pPr>
              <w:pStyle w:val="WoVGtabletext"/>
              <w:rPr>
                <w:lang w:val="en-GB"/>
              </w:rPr>
            </w:pPr>
            <w:r w:rsidRPr="00F048F2">
              <w:rPr>
                <w:lang w:val="en-GB"/>
              </w:rPr>
              <w:t>Yellow is within 5%.</w:t>
            </w:r>
          </w:p>
        </w:tc>
      </w:tr>
      <w:tr w:rsidR="0015731D" w:rsidRPr="00464667" w:rsidTr="00CE49DD">
        <w:tc>
          <w:tcPr>
            <w:tcW w:w="709" w:type="dxa"/>
            <w:shd w:val="clear" w:color="auto" w:fill="FF0000"/>
          </w:tcPr>
          <w:p w:rsidR="0015731D" w:rsidRPr="00F048F2" w:rsidRDefault="0015731D" w:rsidP="00EE3B2D">
            <w:pPr>
              <w:pStyle w:val="WoVGtabletext"/>
              <w:rPr>
                <w:lang w:val="en-GB"/>
              </w:rPr>
            </w:pPr>
            <w:r w:rsidRPr="00F048F2">
              <w:rPr>
                <w:lang w:val="en-GB"/>
              </w:rPr>
              <w:t>↓ x%</w:t>
            </w:r>
          </w:p>
        </w:tc>
        <w:tc>
          <w:tcPr>
            <w:tcW w:w="5925" w:type="dxa"/>
            <w:shd w:val="clear" w:color="auto" w:fill="F2F2F2" w:themeFill="background1" w:themeFillShade="F2"/>
          </w:tcPr>
          <w:p w:rsidR="0015731D" w:rsidRPr="00F048F2" w:rsidRDefault="0015731D" w:rsidP="00EE3B2D">
            <w:pPr>
              <w:pStyle w:val="WoVGtabletext"/>
              <w:rPr>
                <w:lang w:val="en-GB"/>
              </w:rPr>
            </w:pPr>
            <w:r w:rsidRPr="00F048F2">
              <w:rPr>
                <w:lang w:val="en-GB"/>
              </w:rPr>
              <w:t>Red is a deterioration of 5% or more</w:t>
            </w:r>
          </w:p>
        </w:tc>
      </w:tr>
    </w:tbl>
    <w:p w:rsidR="0015731D" w:rsidRDefault="0015731D" w:rsidP="00EE3B2D">
      <w:pPr>
        <w:pStyle w:val="WoVGbody"/>
        <w:rPr>
          <w:lang w:val="en-GB"/>
        </w:rPr>
      </w:pPr>
    </w:p>
    <w:p w:rsidR="0015731D" w:rsidRDefault="0015731D" w:rsidP="00EE3B2D">
      <w:pPr>
        <w:pStyle w:val="WoVGbody"/>
        <w:rPr>
          <w:lang w:val="en-GB"/>
        </w:rPr>
        <w:sectPr w:rsidR="0015731D" w:rsidSect="0015731D">
          <w:headerReference w:type="even" r:id="rId31"/>
          <w:headerReference w:type="default" r:id="rId32"/>
          <w:headerReference w:type="first" r:id="rId33"/>
          <w:footerReference w:type="first" r:id="rId34"/>
          <w:pgSz w:w="11906" w:h="16838"/>
          <w:pgMar w:top="1701" w:right="1304" w:bottom="1134" w:left="1304" w:header="454" w:footer="510" w:gutter="0"/>
          <w:cols w:space="720"/>
          <w:docGrid w:linePitch="360"/>
        </w:sectPr>
      </w:pPr>
    </w:p>
    <w:p w:rsidR="003556E0" w:rsidRDefault="003A13A2" w:rsidP="003556E0">
      <w:pPr>
        <w:pStyle w:val="Heading2"/>
        <w:keepNext w:val="0"/>
        <w:keepLines w:val="0"/>
        <w:numPr>
          <w:ilvl w:val="1"/>
          <w:numId w:val="0"/>
        </w:numPr>
        <w:spacing w:before="120" w:after="0" w:line="276" w:lineRule="auto"/>
        <w:ind w:left="576" w:hanging="576"/>
      </w:pPr>
      <w:bookmarkStart w:id="128" w:name="_Toc477934217"/>
      <w:bookmarkStart w:id="129" w:name="_Toc9246017"/>
      <w:r>
        <w:lastRenderedPageBreak/>
        <w:t xml:space="preserve">7.2 </w:t>
      </w:r>
      <w:r w:rsidR="0015731D" w:rsidRPr="00806DF6">
        <w:t>Process report template</w:t>
      </w:r>
      <w:bookmarkEnd w:id="128"/>
      <w:bookmarkEnd w:id="129"/>
    </w:p>
    <w:p w:rsidR="0015731D" w:rsidRPr="003556E0" w:rsidRDefault="0015731D" w:rsidP="009C6181">
      <w:pPr>
        <w:pStyle w:val="WoVGtablecaption"/>
        <w:spacing w:before="120"/>
      </w:pPr>
      <w:r w:rsidRPr="003556E0">
        <w:t>Annual report (October)</w:t>
      </w:r>
    </w:p>
    <w:tbl>
      <w:tblPr>
        <w:tblStyle w:val="TableGrid"/>
        <w:tblW w:w="15276" w:type="dxa"/>
        <w:tblInd w:w="-5" w:type="dxa"/>
        <w:tblLayout w:type="fixed"/>
        <w:tblLook w:val="04A0" w:firstRow="1" w:lastRow="0" w:firstColumn="1" w:lastColumn="0" w:noHBand="0" w:noVBand="1"/>
      </w:tblPr>
      <w:tblGrid>
        <w:gridCol w:w="2977"/>
        <w:gridCol w:w="1134"/>
        <w:gridCol w:w="1134"/>
        <w:gridCol w:w="1276"/>
        <w:gridCol w:w="1134"/>
        <w:gridCol w:w="1134"/>
        <w:gridCol w:w="1701"/>
        <w:gridCol w:w="1045"/>
        <w:gridCol w:w="1189"/>
        <w:gridCol w:w="1559"/>
        <w:gridCol w:w="993"/>
      </w:tblGrid>
      <w:tr w:rsidR="00CE49DD" w:rsidRPr="002F1E6E" w:rsidTr="0052429F">
        <w:trPr>
          <w:trHeight w:val="362"/>
          <w:tblHeader/>
        </w:trPr>
        <w:tc>
          <w:tcPr>
            <w:tcW w:w="2977" w:type="dxa"/>
            <w:vMerge w:val="restart"/>
            <w:shd w:val="clear" w:color="auto" w:fill="B6DDE8" w:themeFill="accent5" w:themeFillTint="66"/>
          </w:tcPr>
          <w:p w:rsidR="00CE49DD" w:rsidRPr="003556E0" w:rsidRDefault="00CE49DD" w:rsidP="00EE3B2D">
            <w:pPr>
              <w:pStyle w:val="WoVGtablecolhead"/>
              <w:rPr>
                <w:lang w:val="en-GB"/>
              </w:rPr>
            </w:pPr>
            <w:r w:rsidRPr="003556E0">
              <w:rPr>
                <w:rFonts w:cs="Arial"/>
                <w:color w:val="404040" w:themeColor="background1" w:themeShade="40"/>
                <w:lang w:val="en-GB"/>
              </w:rPr>
              <w:t>Year:</w:t>
            </w:r>
            <w:r>
              <w:rPr>
                <w:rFonts w:cs="Arial"/>
                <w:color w:val="404040" w:themeColor="background1" w:themeShade="40"/>
                <w:lang w:val="en-GB"/>
              </w:rPr>
              <w:t xml:space="preserve"> </w:t>
            </w:r>
            <w:r w:rsidRPr="003556E0">
              <w:rPr>
                <w:rFonts w:cs="Arial"/>
                <w:color w:val="404040" w:themeColor="background1" w:themeShade="40"/>
                <w:lang w:val="en-GB"/>
              </w:rPr>
              <w:t>20XX</w:t>
            </w:r>
          </w:p>
        </w:tc>
        <w:tc>
          <w:tcPr>
            <w:tcW w:w="7513" w:type="dxa"/>
            <w:gridSpan w:val="6"/>
            <w:shd w:val="clear" w:color="auto" w:fill="B6DDE8" w:themeFill="accent5" w:themeFillTint="66"/>
          </w:tcPr>
          <w:p w:rsidR="00CE49DD" w:rsidRPr="003556E0" w:rsidRDefault="00CE49DD" w:rsidP="00EE3B2D">
            <w:pPr>
              <w:pStyle w:val="WoVGtablecolhead"/>
              <w:jc w:val="center"/>
              <w:rPr>
                <w:rFonts w:cs="Arial"/>
                <w:color w:val="404040" w:themeColor="background1" w:themeShade="40"/>
                <w:lang w:val="en-GB"/>
              </w:rPr>
            </w:pPr>
            <w:r w:rsidRPr="003556E0">
              <w:rPr>
                <w:rFonts w:cs="Arial"/>
                <w:color w:val="404040" w:themeColor="background1" w:themeShade="40"/>
                <w:lang w:val="en-GB"/>
              </w:rPr>
              <w:t>Basic processes</w:t>
            </w:r>
          </w:p>
        </w:tc>
        <w:tc>
          <w:tcPr>
            <w:tcW w:w="4786" w:type="dxa"/>
            <w:gridSpan w:val="4"/>
            <w:shd w:val="clear" w:color="auto" w:fill="92CDDC" w:themeFill="accent5" w:themeFillTint="99"/>
          </w:tcPr>
          <w:p w:rsidR="00CE49DD" w:rsidRPr="003556E0" w:rsidRDefault="00CE49DD" w:rsidP="00EE3B2D">
            <w:pPr>
              <w:pStyle w:val="WoVGtablecolhead"/>
              <w:jc w:val="center"/>
              <w:rPr>
                <w:rFonts w:cs="Arial"/>
                <w:color w:val="404040" w:themeColor="background1" w:themeShade="40"/>
                <w:lang w:val="en-GB"/>
              </w:rPr>
            </w:pPr>
            <w:r w:rsidRPr="003556E0">
              <w:rPr>
                <w:rFonts w:cs="Arial"/>
                <w:color w:val="404040" w:themeColor="background1" w:themeShade="40"/>
                <w:lang w:val="en-GB"/>
              </w:rPr>
              <w:t>Mature processes</w:t>
            </w:r>
          </w:p>
        </w:tc>
      </w:tr>
      <w:tr w:rsidR="00CE49DD" w:rsidRPr="002F1E6E" w:rsidTr="0052429F">
        <w:trPr>
          <w:trHeight w:val="800"/>
          <w:tblHeader/>
        </w:trPr>
        <w:tc>
          <w:tcPr>
            <w:tcW w:w="2977" w:type="dxa"/>
            <w:vMerge/>
            <w:shd w:val="clear" w:color="auto" w:fill="B6DDE8" w:themeFill="accent5" w:themeFillTint="66"/>
          </w:tcPr>
          <w:p w:rsidR="00CE49DD" w:rsidRPr="003556E0" w:rsidRDefault="00CE49DD" w:rsidP="00EE3B2D">
            <w:pPr>
              <w:pStyle w:val="WoVGtablecolhead"/>
              <w:rPr>
                <w:rFonts w:cs="Arial"/>
                <w:color w:val="404040" w:themeColor="background1" w:themeShade="40"/>
                <w:lang w:val="en-GB"/>
              </w:rPr>
            </w:pPr>
          </w:p>
        </w:tc>
        <w:tc>
          <w:tcPr>
            <w:tcW w:w="1134" w:type="dxa"/>
            <w:shd w:val="clear" w:color="auto" w:fill="B6DDE8" w:themeFill="accent5" w:themeFillTint="66"/>
          </w:tcPr>
          <w:p w:rsidR="00CE49DD" w:rsidRPr="003556E0" w:rsidRDefault="00CE49DD" w:rsidP="00EE3B2D">
            <w:pPr>
              <w:pStyle w:val="WoVGtablecolhead"/>
              <w:rPr>
                <w:rFonts w:cs="Arial"/>
                <w:color w:val="404040" w:themeColor="background1" w:themeShade="40"/>
                <w:lang w:val="en-GB"/>
              </w:rPr>
            </w:pPr>
            <w:r w:rsidRPr="003556E0">
              <w:rPr>
                <w:rFonts w:cs="Arial"/>
                <w:color w:val="404040" w:themeColor="background1" w:themeShade="40"/>
                <w:lang w:val="en-GB"/>
              </w:rPr>
              <w:t>Hazards*</w:t>
            </w:r>
          </w:p>
        </w:tc>
        <w:tc>
          <w:tcPr>
            <w:tcW w:w="1134" w:type="dxa"/>
            <w:shd w:val="clear" w:color="auto" w:fill="B6DDE8" w:themeFill="accent5" w:themeFillTint="66"/>
          </w:tcPr>
          <w:p w:rsidR="00CE49DD" w:rsidRPr="003556E0" w:rsidRDefault="00CE49DD" w:rsidP="00EE3B2D">
            <w:pPr>
              <w:pStyle w:val="WoVGtablecolhead"/>
              <w:jc w:val="center"/>
              <w:rPr>
                <w:rFonts w:cs="Arial"/>
                <w:color w:val="404040" w:themeColor="background1" w:themeShade="40"/>
                <w:lang w:val="en-GB"/>
              </w:rPr>
            </w:pPr>
            <w:r w:rsidRPr="003556E0">
              <w:rPr>
                <w:rFonts w:cs="Arial"/>
                <w:color w:val="404040" w:themeColor="background1" w:themeShade="40"/>
                <w:lang w:val="en-GB"/>
              </w:rPr>
              <w:t>Incidents*</w:t>
            </w:r>
          </w:p>
        </w:tc>
        <w:tc>
          <w:tcPr>
            <w:tcW w:w="1276" w:type="dxa"/>
            <w:shd w:val="clear" w:color="auto" w:fill="B6DDE8" w:themeFill="accent5" w:themeFillTint="66"/>
          </w:tcPr>
          <w:p w:rsidR="00CE49DD" w:rsidRPr="003556E0" w:rsidRDefault="00CE49DD" w:rsidP="00EE3B2D">
            <w:pPr>
              <w:pStyle w:val="WoVGtablecolhead"/>
              <w:jc w:val="center"/>
              <w:rPr>
                <w:rFonts w:cs="Arial"/>
                <w:color w:val="404040" w:themeColor="background1" w:themeShade="40"/>
                <w:lang w:val="en-GB"/>
              </w:rPr>
            </w:pPr>
            <w:r w:rsidRPr="003556E0">
              <w:rPr>
                <w:rFonts w:cs="Arial"/>
                <w:color w:val="404040" w:themeColor="background1" w:themeShade="40"/>
                <w:lang w:val="en-GB"/>
              </w:rPr>
              <w:t>Corrective actions*</w:t>
            </w:r>
          </w:p>
        </w:tc>
        <w:tc>
          <w:tcPr>
            <w:tcW w:w="1134" w:type="dxa"/>
            <w:shd w:val="clear" w:color="auto" w:fill="B6DDE8" w:themeFill="accent5" w:themeFillTint="66"/>
          </w:tcPr>
          <w:p w:rsidR="00CE49DD" w:rsidRPr="003556E0" w:rsidRDefault="00CE49DD" w:rsidP="00EE3B2D">
            <w:pPr>
              <w:pStyle w:val="WoVGtablecolhead"/>
              <w:jc w:val="center"/>
              <w:rPr>
                <w:rFonts w:cs="Arial"/>
                <w:color w:val="404040" w:themeColor="background1" w:themeShade="40"/>
                <w:lang w:val="en-GB"/>
              </w:rPr>
            </w:pPr>
            <w:r w:rsidRPr="003556E0">
              <w:rPr>
                <w:rFonts w:cs="Arial"/>
                <w:color w:val="404040" w:themeColor="background1" w:themeShade="40"/>
                <w:lang w:val="en-GB"/>
              </w:rPr>
              <w:t>OHSMS*</w:t>
            </w:r>
          </w:p>
        </w:tc>
        <w:tc>
          <w:tcPr>
            <w:tcW w:w="1134" w:type="dxa"/>
            <w:shd w:val="clear" w:color="auto" w:fill="B6DDE8" w:themeFill="accent5" w:themeFillTint="66"/>
          </w:tcPr>
          <w:p w:rsidR="00CE49DD" w:rsidRPr="003556E0" w:rsidRDefault="00CE49DD" w:rsidP="00EE3B2D">
            <w:pPr>
              <w:pStyle w:val="WoVGtablecolhead"/>
              <w:jc w:val="center"/>
              <w:rPr>
                <w:rFonts w:cs="Arial"/>
                <w:color w:val="404040" w:themeColor="background1" w:themeShade="40"/>
                <w:lang w:val="en-GB"/>
              </w:rPr>
            </w:pPr>
            <w:r w:rsidRPr="003556E0">
              <w:rPr>
                <w:rFonts w:cs="Arial"/>
                <w:color w:val="404040" w:themeColor="background1" w:themeShade="40"/>
                <w:lang w:val="en-GB"/>
              </w:rPr>
              <w:t>Training*</w:t>
            </w:r>
          </w:p>
        </w:tc>
        <w:tc>
          <w:tcPr>
            <w:tcW w:w="1701" w:type="dxa"/>
            <w:shd w:val="clear" w:color="auto" w:fill="B6DDE8" w:themeFill="accent5" w:themeFillTint="66"/>
          </w:tcPr>
          <w:p w:rsidR="00CE49DD" w:rsidRPr="003556E0" w:rsidRDefault="00CE49DD" w:rsidP="00EE3B2D">
            <w:pPr>
              <w:pStyle w:val="WoVGtablecolhead"/>
              <w:jc w:val="center"/>
              <w:rPr>
                <w:rFonts w:cs="Arial"/>
                <w:color w:val="404040" w:themeColor="background1" w:themeShade="40"/>
                <w:lang w:val="en-GB"/>
              </w:rPr>
            </w:pPr>
            <w:r w:rsidRPr="003556E0">
              <w:rPr>
                <w:rFonts w:cs="Arial"/>
                <w:color w:val="404040" w:themeColor="background1" w:themeShade="40"/>
                <w:lang w:val="en-GB"/>
              </w:rPr>
              <w:t>Worker representation*</w:t>
            </w:r>
          </w:p>
        </w:tc>
        <w:tc>
          <w:tcPr>
            <w:tcW w:w="1045" w:type="dxa"/>
            <w:shd w:val="clear" w:color="auto" w:fill="92CDDC" w:themeFill="accent5" w:themeFillTint="99"/>
          </w:tcPr>
          <w:p w:rsidR="00CE49DD" w:rsidRPr="003556E0" w:rsidRDefault="00CE49DD" w:rsidP="00EE3B2D">
            <w:pPr>
              <w:pStyle w:val="WoVGtablecolhead"/>
              <w:jc w:val="center"/>
              <w:rPr>
                <w:rFonts w:cs="Arial"/>
                <w:color w:val="404040" w:themeColor="background1" w:themeShade="40"/>
                <w:lang w:val="en-GB"/>
              </w:rPr>
            </w:pPr>
            <w:r w:rsidRPr="003556E0">
              <w:rPr>
                <w:rFonts w:cs="Arial"/>
                <w:color w:val="404040" w:themeColor="background1" w:themeShade="40"/>
                <w:lang w:val="en-GB"/>
              </w:rPr>
              <w:t>OHSMS Audit*</w:t>
            </w:r>
          </w:p>
        </w:tc>
        <w:tc>
          <w:tcPr>
            <w:tcW w:w="1189" w:type="dxa"/>
            <w:shd w:val="clear" w:color="auto" w:fill="92CDDC" w:themeFill="accent5" w:themeFillTint="99"/>
          </w:tcPr>
          <w:p w:rsidR="00CE49DD" w:rsidRPr="003556E0" w:rsidRDefault="00CE49DD" w:rsidP="00EE3B2D">
            <w:pPr>
              <w:pStyle w:val="WoVGtablecolhead"/>
              <w:jc w:val="center"/>
              <w:rPr>
                <w:rFonts w:cs="Arial"/>
                <w:color w:val="404040" w:themeColor="background1" w:themeShade="40"/>
                <w:lang w:val="en-GB"/>
              </w:rPr>
            </w:pPr>
            <w:r w:rsidRPr="003556E0">
              <w:rPr>
                <w:rFonts w:cs="Arial"/>
                <w:color w:val="404040" w:themeColor="background1" w:themeShade="40"/>
                <w:lang w:val="en-GB"/>
              </w:rPr>
              <w:t>Manager engage</w:t>
            </w:r>
            <w:r>
              <w:rPr>
                <w:rFonts w:cs="Arial"/>
                <w:color w:val="404040" w:themeColor="background1" w:themeShade="40"/>
                <w:lang w:val="en-GB"/>
              </w:rPr>
              <w:t>-</w:t>
            </w:r>
            <w:r w:rsidRPr="003556E0">
              <w:rPr>
                <w:rFonts w:cs="Arial"/>
                <w:color w:val="404040" w:themeColor="background1" w:themeShade="40"/>
                <w:lang w:val="en-GB"/>
              </w:rPr>
              <w:t>ment – work</w:t>
            </w:r>
            <w:r>
              <w:rPr>
                <w:rFonts w:cs="Arial"/>
                <w:color w:val="404040" w:themeColor="background1" w:themeShade="40"/>
                <w:lang w:val="en-GB"/>
              </w:rPr>
              <w:t>-</w:t>
            </w:r>
            <w:r w:rsidRPr="003556E0">
              <w:rPr>
                <w:rFonts w:cs="Arial"/>
                <w:color w:val="404040" w:themeColor="background1" w:themeShade="40"/>
                <w:lang w:val="en-GB"/>
              </w:rPr>
              <w:t>place audit*</w:t>
            </w:r>
          </w:p>
        </w:tc>
        <w:tc>
          <w:tcPr>
            <w:tcW w:w="1559" w:type="dxa"/>
            <w:shd w:val="clear" w:color="auto" w:fill="92CDDC" w:themeFill="accent5" w:themeFillTint="99"/>
          </w:tcPr>
          <w:p w:rsidR="00CE49DD" w:rsidRPr="003556E0" w:rsidRDefault="00CE49DD" w:rsidP="00EE3B2D">
            <w:pPr>
              <w:pStyle w:val="WoVGtablecolhead"/>
              <w:jc w:val="center"/>
              <w:rPr>
                <w:rFonts w:cs="Arial"/>
                <w:color w:val="404040" w:themeColor="background1" w:themeShade="40"/>
                <w:lang w:val="en-GB"/>
              </w:rPr>
            </w:pPr>
            <w:r w:rsidRPr="003556E0">
              <w:rPr>
                <w:rFonts w:cs="Arial"/>
                <w:color w:val="404040" w:themeColor="background1" w:themeShade="40"/>
                <w:lang w:val="en-GB"/>
              </w:rPr>
              <w:t>Senior* management commitment - OHSMS review</w:t>
            </w:r>
          </w:p>
        </w:tc>
        <w:tc>
          <w:tcPr>
            <w:tcW w:w="993" w:type="dxa"/>
            <w:shd w:val="clear" w:color="auto" w:fill="92CDDC" w:themeFill="accent5" w:themeFillTint="99"/>
          </w:tcPr>
          <w:p w:rsidR="00CE49DD" w:rsidRPr="003556E0" w:rsidDel="00A74F27" w:rsidRDefault="00CE49DD" w:rsidP="00EE3B2D">
            <w:pPr>
              <w:pStyle w:val="WoVGtablecolhead"/>
              <w:jc w:val="center"/>
              <w:rPr>
                <w:rFonts w:cs="Arial"/>
                <w:color w:val="404040" w:themeColor="background1" w:themeShade="40"/>
                <w:lang w:val="en-GB"/>
              </w:rPr>
            </w:pPr>
            <w:r w:rsidRPr="003556E0">
              <w:rPr>
                <w:rFonts w:cs="Arial"/>
                <w:color w:val="404040" w:themeColor="background1" w:themeShade="40"/>
                <w:lang w:val="en-GB"/>
              </w:rPr>
              <w:t>OHSMS review*</w:t>
            </w:r>
          </w:p>
        </w:tc>
      </w:tr>
      <w:tr w:rsidR="0015731D" w:rsidRPr="002F1E6E" w:rsidTr="0052429F">
        <w:trPr>
          <w:trHeight w:val="662"/>
        </w:trPr>
        <w:tc>
          <w:tcPr>
            <w:tcW w:w="2977" w:type="dxa"/>
            <w:shd w:val="clear" w:color="auto" w:fill="DAEEF3" w:themeFill="accent5" w:themeFillTint="33"/>
          </w:tcPr>
          <w:p w:rsidR="0015731D" w:rsidRPr="003556E0" w:rsidRDefault="0015731D" w:rsidP="003556E0">
            <w:pPr>
              <w:pStyle w:val="WoVGtabletext"/>
              <w:rPr>
                <w:rFonts w:cs="Arial"/>
              </w:rPr>
            </w:pPr>
            <w:r w:rsidRPr="003556E0">
              <w:rPr>
                <w:rFonts w:cs="Arial"/>
              </w:rPr>
              <w:t>Department of Economic Development, Jobs, Transport and Resources</w:t>
            </w: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276"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701" w:type="dxa"/>
            <w:shd w:val="clear" w:color="auto" w:fill="F2F2F2" w:themeFill="background1" w:themeFillShade="F2"/>
          </w:tcPr>
          <w:p w:rsidR="0015731D" w:rsidRPr="002F1E6E" w:rsidRDefault="0015731D" w:rsidP="008D04AE">
            <w:pPr>
              <w:pStyle w:val="WoVGtabletext"/>
              <w:rPr>
                <w:lang w:val="en-GB"/>
              </w:rPr>
            </w:pPr>
          </w:p>
        </w:tc>
        <w:tc>
          <w:tcPr>
            <w:tcW w:w="1045" w:type="dxa"/>
            <w:shd w:val="clear" w:color="auto" w:fill="F2F2F2" w:themeFill="background1" w:themeFillShade="F2"/>
          </w:tcPr>
          <w:p w:rsidR="0015731D" w:rsidRPr="002F1E6E" w:rsidRDefault="0015731D" w:rsidP="008D04AE">
            <w:pPr>
              <w:pStyle w:val="WoVGtabletext"/>
              <w:rPr>
                <w:lang w:val="en-GB"/>
              </w:rPr>
            </w:pPr>
          </w:p>
        </w:tc>
        <w:tc>
          <w:tcPr>
            <w:tcW w:w="1189" w:type="dxa"/>
            <w:shd w:val="clear" w:color="auto" w:fill="F2F2F2" w:themeFill="background1" w:themeFillShade="F2"/>
          </w:tcPr>
          <w:p w:rsidR="0015731D" w:rsidRPr="002F1E6E" w:rsidRDefault="0015731D" w:rsidP="008D04AE">
            <w:pPr>
              <w:pStyle w:val="WoVGtabletext"/>
              <w:rPr>
                <w:lang w:val="en-GB"/>
              </w:rPr>
            </w:pPr>
          </w:p>
        </w:tc>
        <w:tc>
          <w:tcPr>
            <w:tcW w:w="1559" w:type="dxa"/>
            <w:shd w:val="clear" w:color="auto" w:fill="F2F2F2" w:themeFill="background1" w:themeFillShade="F2"/>
          </w:tcPr>
          <w:p w:rsidR="0015731D" w:rsidRPr="002F1E6E" w:rsidRDefault="0015731D" w:rsidP="008D04AE">
            <w:pPr>
              <w:pStyle w:val="WoVGtabletext"/>
              <w:rPr>
                <w:lang w:val="en-GB"/>
              </w:rPr>
            </w:pPr>
          </w:p>
        </w:tc>
        <w:tc>
          <w:tcPr>
            <w:tcW w:w="993"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236"/>
        </w:trPr>
        <w:tc>
          <w:tcPr>
            <w:tcW w:w="2977" w:type="dxa"/>
            <w:shd w:val="clear" w:color="auto" w:fill="DAEEF3" w:themeFill="accent5" w:themeFillTint="33"/>
          </w:tcPr>
          <w:p w:rsidR="0015731D" w:rsidRPr="003556E0" w:rsidRDefault="0015731D" w:rsidP="003556E0">
            <w:pPr>
              <w:pStyle w:val="WoVGtabletext"/>
              <w:rPr>
                <w:rFonts w:cs="Arial"/>
              </w:rPr>
            </w:pPr>
            <w:r w:rsidRPr="003556E0">
              <w:rPr>
                <w:rFonts w:cs="Arial"/>
              </w:rPr>
              <w:t>Department of Education and Training</w:t>
            </w: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276"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701" w:type="dxa"/>
            <w:shd w:val="clear" w:color="auto" w:fill="F2F2F2" w:themeFill="background1" w:themeFillShade="F2"/>
          </w:tcPr>
          <w:p w:rsidR="0015731D" w:rsidRPr="002F1E6E" w:rsidRDefault="0015731D" w:rsidP="008D04AE">
            <w:pPr>
              <w:pStyle w:val="WoVGtabletext"/>
              <w:rPr>
                <w:lang w:val="en-GB"/>
              </w:rPr>
            </w:pPr>
          </w:p>
        </w:tc>
        <w:tc>
          <w:tcPr>
            <w:tcW w:w="1045" w:type="dxa"/>
            <w:shd w:val="clear" w:color="auto" w:fill="F2F2F2" w:themeFill="background1" w:themeFillShade="F2"/>
          </w:tcPr>
          <w:p w:rsidR="0015731D" w:rsidRPr="002F1E6E" w:rsidRDefault="0015731D" w:rsidP="008D04AE">
            <w:pPr>
              <w:pStyle w:val="WoVGtabletext"/>
              <w:rPr>
                <w:lang w:val="en-GB"/>
              </w:rPr>
            </w:pPr>
          </w:p>
        </w:tc>
        <w:tc>
          <w:tcPr>
            <w:tcW w:w="1189" w:type="dxa"/>
            <w:shd w:val="clear" w:color="auto" w:fill="F2F2F2" w:themeFill="background1" w:themeFillShade="F2"/>
          </w:tcPr>
          <w:p w:rsidR="0015731D" w:rsidRPr="002F1E6E" w:rsidRDefault="0015731D" w:rsidP="008D04AE">
            <w:pPr>
              <w:pStyle w:val="WoVGtabletext"/>
              <w:rPr>
                <w:lang w:val="en-GB"/>
              </w:rPr>
            </w:pPr>
          </w:p>
        </w:tc>
        <w:tc>
          <w:tcPr>
            <w:tcW w:w="1559" w:type="dxa"/>
            <w:shd w:val="clear" w:color="auto" w:fill="F2F2F2" w:themeFill="background1" w:themeFillShade="F2"/>
          </w:tcPr>
          <w:p w:rsidR="0015731D" w:rsidRPr="002F1E6E" w:rsidRDefault="0015731D" w:rsidP="008D04AE">
            <w:pPr>
              <w:pStyle w:val="WoVGtabletext"/>
              <w:rPr>
                <w:lang w:val="en-GB"/>
              </w:rPr>
            </w:pPr>
          </w:p>
        </w:tc>
        <w:tc>
          <w:tcPr>
            <w:tcW w:w="993"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613"/>
        </w:trPr>
        <w:tc>
          <w:tcPr>
            <w:tcW w:w="2977" w:type="dxa"/>
            <w:shd w:val="clear" w:color="auto" w:fill="DAEEF3" w:themeFill="accent5" w:themeFillTint="33"/>
          </w:tcPr>
          <w:p w:rsidR="0015731D" w:rsidRPr="003556E0" w:rsidRDefault="0015731D" w:rsidP="003556E0">
            <w:pPr>
              <w:pStyle w:val="WoVGtabletext"/>
              <w:rPr>
                <w:rFonts w:cs="Arial"/>
              </w:rPr>
            </w:pPr>
            <w:r w:rsidRPr="003556E0">
              <w:rPr>
                <w:rFonts w:cs="Arial"/>
              </w:rPr>
              <w:t>Department of Environment, Land, Water and Planning</w:t>
            </w: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276"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701" w:type="dxa"/>
            <w:shd w:val="clear" w:color="auto" w:fill="F2F2F2" w:themeFill="background1" w:themeFillShade="F2"/>
          </w:tcPr>
          <w:p w:rsidR="0015731D" w:rsidRPr="002F1E6E" w:rsidRDefault="0015731D" w:rsidP="008D04AE">
            <w:pPr>
              <w:pStyle w:val="WoVGtabletext"/>
              <w:rPr>
                <w:lang w:val="en-GB"/>
              </w:rPr>
            </w:pPr>
          </w:p>
        </w:tc>
        <w:tc>
          <w:tcPr>
            <w:tcW w:w="1045" w:type="dxa"/>
            <w:shd w:val="clear" w:color="auto" w:fill="F2F2F2" w:themeFill="background1" w:themeFillShade="F2"/>
          </w:tcPr>
          <w:p w:rsidR="0015731D" w:rsidRPr="002F1E6E" w:rsidRDefault="0015731D" w:rsidP="008D04AE">
            <w:pPr>
              <w:pStyle w:val="WoVGtabletext"/>
              <w:rPr>
                <w:lang w:val="en-GB"/>
              </w:rPr>
            </w:pPr>
          </w:p>
        </w:tc>
        <w:tc>
          <w:tcPr>
            <w:tcW w:w="1189" w:type="dxa"/>
            <w:shd w:val="clear" w:color="auto" w:fill="F2F2F2" w:themeFill="background1" w:themeFillShade="F2"/>
          </w:tcPr>
          <w:p w:rsidR="0015731D" w:rsidRPr="002F1E6E" w:rsidRDefault="0015731D" w:rsidP="008D04AE">
            <w:pPr>
              <w:pStyle w:val="WoVGtabletext"/>
              <w:rPr>
                <w:lang w:val="en-GB"/>
              </w:rPr>
            </w:pPr>
          </w:p>
        </w:tc>
        <w:tc>
          <w:tcPr>
            <w:tcW w:w="1559" w:type="dxa"/>
            <w:shd w:val="clear" w:color="auto" w:fill="F2F2F2" w:themeFill="background1" w:themeFillShade="F2"/>
          </w:tcPr>
          <w:p w:rsidR="0015731D" w:rsidRPr="002F1E6E" w:rsidRDefault="0015731D" w:rsidP="008D04AE">
            <w:pPr>
              <w:pStyle w:val="WoVGtabletext"/>
              <w:rPr>
                <w:lang w:val="en-GB"/>
              </w:rPr>
            </w:pPr>
          </w:p>
        </w:tc>
        <w:tc>
          <w:tcPr>
            <w:tcW w:w="993"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355"/>
        </w:trPr>
        <w:tc>
          <w:tcPr>
            <w:tcW w:w="2977" w:type="dxa"/>
            <w:shd w:val="clear" w:color="auto" w:fill="DAEEF3" w:themeFill="accent5" w:themeFillTint="33"/>
          </w:tcPr>
          <w:p w:rsidR="0015731D" w:rsidRPr="003556E0" w:rsidRDefault="0015731D" w:rsidP="003556E0">
            <w:pPr>
              <w:pStyle w:val="WoVGtabletext"/>
              <w:rPr>
                <w:rFonts w:cs="Arial"/>
              </w:rPr>
            </w:pPr>
            <w:r w:rsidRPr="003556E0">
              <w:rPr>
                <w:rFonts w:cs="Arial"/>
              </w:rPr>
              <w:t>Department of Justice and Regulation</w:t>
            </w: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276"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701" w:type="dxa"/>
            <w:shd w:val="clear" w:color="auto" w:fill="F2F2F2" w:themeFill="background1" w:themeFillShade="F2"/>
          </w:tcPr>
          <w:p w:rsidR="0015731D" w:rsidRPr="002F1E6E" w:rsidRDefault="0015731D" w:rsidP="008D04AE">
            <w:pPr>
              <w:pStyle w:val="WoVGtabletext"/>
              <w:rPr>
                <w:lang w:val="en-GB"/>
              </w:rPr>
            </w:pPr>
          </w:p>
        </w:tc>
        <w:tc>
          <w:tcPr>
            <w:tcW w:w="1045" w:type="dxa"/>
            <w:shd w:val="clear" w:color="auto" w:fill="F2F2F2" w:themeFill="background1" w:themeFillShade="F2"/>
          </w:tcPr>
          <w:p w:rsidR="0015731D" w:rsidRPr="002F1E6E" w:rsidRDefault="0015731D" w:rsidP="008D04AE">
            <w:pPr>
              <w:pStyle w:val="WoVGtabletext"/>
              <w:rPr>
                <w:lang w:val="en-GB"/>
              </w:rPr>
            </w:pPr>
          </w:p>
        </w:tc>
        <w:tc>
          <w:tcPr>
            <w:tcW w:w="1189" w:type="dxa"/>
            <w:shd w:val="clear" w:color="auto" w:fill="F2F2F2" w:themeFill="background1" w:themeFillShade="F2"/>
          </w:tcPr>
          <w:p w:rsidR="0015731D" w:rsidRPr="002F1E6E" w:rsidRDefault="0015731D" w:rsidP="008D04AE">
            <w:pPr>
              <w:pStyle w:val="WoVGtabletext"/>
              <w:rPr>
                <w:lang w:val="en-GB"/>
              </w:rPr>
            </w:pPr>
          </w:p>
        </w:tc>
        <w:tc>
          <w:tcPr>
            <w:tcW w:w="1559" w:type="dxa"/>
            <w:shd w:val="clear" w:color="auto" w:fill="F2F2F2" w:themeFill="background1" w:themeFillShade="F2"/>
          </w:tcPr>
          <w:p w:rsidR="0015731D" w:rsidRPr="002F1E6E" w:rsidRDefault="0015731D" w:rsidP="008D04AE">
            <w:pPr>
              <w:pStyle w:val="WoVGtabletext"/>
              <w:rPr>
                <w:lang w:val="en-GB"/>
              </w:rPr>
            </w:pPr>
          </w:p>
        </w:tc>
        <w:tc>
          <w:tcPr>
            <w:tcW w:w="993"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449"/>
        </w:trPr>
        <w:tc>
          <w:tcPr>
            <w:tcW w:w="2977" w:type="dxa"/>
            <w:shd w:val="clear" w:color="auto" w:fill="DAEEF3" w:themeFill="accent5" w:themeFillTint="33"/>
          </w:tcPr>
          <w:p w:rsidR="0015731D" w:rsidRPr="003556E0" w:rsidRDefault="0015731D" w:rsidP="003556E0">
            <w:pPr>
              <w:pStyle w:val="WoVGtabletext"/>
              <w:rPr>
                <w:rFonts w:cs="Arial"/>
              </w:rPr>
            </w:pPr>
            <w:r w:rsidRPr="003556E0">
              <w:rPr>
                <w:rFonts w:cs="Arial"/>
              </w:rPr>
              <w:t>Department of Premier and Cabinet</w:t>
            </w: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276"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701" w:type="dxa"/>
            <w:shd w:val="clear" w:color="auto" w:fill="F2F2F2" w:themeFill="background1" w:themeFillShade="F2"/>
          </w:tcPr>
          <w:p w:rsidR="0015731D" w:rsidRPr="002F1E6E" w:rsidRDefault="0015731D" w:rsidP="008D04AE">
            <w:pPr>
              <w:pStyle w:val="WoVGtabletext"/>
              <w:rPr>
                <w:lang w:val="en-GB"/>
              </w:rPr>
            </w:pPr>
          </w:p>
        </w:tc>
        <w:tc>
          <w:tcPr>
            <w:tcW w:w="1045" w:type="dxa"/>
            <w:shd w:val="clear" w:color="auto" w:fill="F2F2F2" w:themeFill="background1" w:themeFillShade="F2"/>
          </w:tcPr>
          <w:p w:rsidR="0015731D" w:rsidRPr="002F1E6E" w:rsidRDefault="0015731D" w:rsidP="008D04AE">
            <w:pPr>
              <w:pStyle w:val="WoVGtabletext"/>
              <w:rPr>
                <w:lang w:val="en-GB"/>
              </w:rPr>
            </w:pPr>
          </w:p>
        </w:tc>
        <w:tc>
          <w:tcPr>
            <w:tcW w:w="1189" w:type="dxa"/>
            <w:shd w:val="clear" w:color="auto" w:fill="F2F2F2" w:themeFill="background1" w:themeFillShade="F2"/>
          </w:tcPr>
          <w:p w:rsidR="0015731D" w:rsidRPr="002F1E6E" w:rsidRDefault="0015731D" w:rsidP="008D04AE">
            <w:pPr>
              <w:pStyle w:val="WoVGtabletext"/>
              <w:rPr>
                <w:lang w:val="en-GB"/>
              </w:rPr>
            </w:pPr>
          </w:p>
        </w:tc>
        <w:tc>
          <w:tcPr>
            <w:tcW w:w="1559" w:type="dxa"/>
            <w:shd w:val="clear" w:color="auto" w:fill="F2F2F2" w:themeFill="background1" w:themeFillShade="F2"/>
          </w:tcPr>
          <w:p w:rsidR="0015731D" w:rsidRPr="002F1E6E" w:rsidRDefault="0015731D" w:rsidP="008D04AE">
            <w:pPr>
              <w:pStyle w:val="WoVGtabletext"/>
              <w:rPr>
                <w:lang w:val="en-GB"/>
              </w:rPr>
            </w:pPr>
          </w:p>
        </w:tc>
        <w:tc>
          <w:tcPr>
            <w:tcW w:w="993"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543"/>
        </w:trPr>
        <w:tc>
          <w:tcPr>
            <w:tcW w:w="2977" w:type="dxa"/>
            <w:shd w:val="clear" w:color="auto" w:fill="DAEEF3" w:themeFill="accent5" w:themeFillTint="33"/>
          </w:tcPr>
          <w:p w:rsidR="0015731D" w:rsidRPr="003556E0" w:rsidRDefault="0015731D" w:rsidP="003556E0">
            <w:pPr>
              <w:pStyle w:val="WoVGtabletext"/>
              <w:rPr>
                <w:rFonts w:cs="Arial"/>
              </w:rPr>
            </w:pPr>
            <w:r w:rsidRPr="003556E0">
              <w:rPr>
                <w:rFonts w:cs="Arial"/>
              </w:rPr>
              <w:t>Department of State Development, Business and Innovation</w:t>
            </w: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276"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701" w:type="dxa"/>
            <w:shd w:val="clear" w:color="auto" w:fill="F2F2F2" w:themeFill="background1" w:themeFillShade="F2"/>
          </w:tcPr>
          <w:p w:rsidR="0015731D" w:rsidRPr="002F1E6E" w:rsidRDefault="0015731D" w:rsidP="008D04AE">
            <w:pPr>
              <w:pStyle w:val="WoVGtabletext"/>
              <w:rPr>
                <w:lang w:val="en-GB"/>
              </w:rPr>
            </w:pPr>
          </w:p>
        </w:tc>
        <w:tc>
          <w:tcPr>
            <w:tcW w:w="1045" w:type="dxa"/>
            <w:shd w:val="clear" w:color="auto" w:fill="F2F2F2" w:themeFill="background1" w:themeFillShade="F2"/>
          </w:tcPr>
          <w:p w:rsidR="0015731D" w:rsidRPr="002F1E6E" w:rsidRDefault="0015731D" w:rsidP="008D04AE">
            <w:pPr>
              <w:pStyle w:val="WoVGtabletext"/>
              <w:rPr>
                <w:lang w:val="en-GB"/>
              </w:rPr>
            </w:pPr>
          </w:p>
        </w:tc>
        <w:tc>
          <w:tcPr>
            <w:tcW w:w="1189" w:type="dxa"/>
            <w:shd w:val="clear" w:color="auto" w:fill="F2F2F2" w:themeFill="background1" w:themeFillShade="F2"/>
          </w:tcPr>
          <w:p w:rsidR="0015731D" w:rsidRPr="002F1E6E" w:rsidRDefault="0015731D" w:rsidP="008D04AE">
            <w:pPr>
              <w:pStyle w:val="WoVGtabletext"/>
              <w:rPr>
                <w:lang w:val="en-GB"/>
              </w:rPr>
            </w:pPr>
          </w:p>
        </w:tc>
        <w:tc>
          <w:tcPr>
            <w:tcW w:w="1559" w:type="dxa"/>
            <w:shd w:val="clear" w:color="auto" w:fill="F2F2F2" w:themeFill="background1" w:themeFillShade="F2"/>
          </w:tcPr>
          <w:p w:rsidR="0015731D" w:rsidRPr="002F1E6E" w:rsidRDefault="0015731D" w:rsidP="008D04AE">
            <w:pPr>
              <w:pStyle w:val="WoVGtabletext"/>
              <w:rPr>
                <w:lang w:val="en-GB"/>
              </w:rPr>
            </w:pPr>
          </w:p>
        </w:tc>
        <w:tc>
          <w:tcPr>
            <w:tcW w:w="993"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550"/>
        </w:trPr>
        <w:tc>
          <w:tcPr>
            <w:tcW w:w="2977" w:type="dxa"/>
            <w:shd w:val="clear" w:color="auto" w:fill="DAEEF3" w:themeFill="accent5" w:themeFillTint="33"/>
          </w:tcPr>
          <w:p w:rsidR="0015731D" w:rsidRPr="003556E0" w:rsidRDefault="0015731D" w:rsidP="003556E0">
            <w:pPr>
              <w:pStyle w:val="WoVGtabletext"/>
              <w:rPr>
                <w:rFonts w:cs="Arial"/>
              </w:rPr>
            </w:pPr>
            <w:r w:rsidRPr="003556E0">
              <w:rPr>
                <w:rFonts w:cs="Arial"/>
              </w:rPr>
              <w:t>Department of Treasury and Finance</w:t>
            </w: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276"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701" w:type="dxa"/>
            <w:shd w:val="clear" w:color="auto" w:fill="F2F2F2" w:themeFill="background1" w:themeFillShade="F2"/>
          </w:tcPr>
          <w:p w:rsidR="0015731D" w:rsidRPr="002F1E6E" w:rsidRDefault="0015731D" w:rsidP="008D04AE">
            <w:pPr>
              <w:pStyle w:val="WoVGtabletext"/>
              <w:rPr>
                <w:lang w:val="en-GB"/>
              </w:rPr>
            </w:pPr>
          </w:p>
        </w:tc>
        <w:tc>
          <w:tcPr>
            <w:tcW w:w="1045" w:type="dxa"/>
            <w:shd w:val="clear" w:color="auto" w:fill="F2F2F2" w:themeFill="background1" w:themeFillShade="F2"/>
          </w:tcPr>
          <w:p w:rsidR="0015731D" w:rsidRPr="002F1E6E" w:rsidRDefault="0015731D" w:rsidP="008D04AE">
            <w:pPr>
              <w:pStyle w:val="WoVGtabletext"/>
              <w:rPr>
                <w:lang w:val="en-GB"/>
              </w:rPr>
            </w:pPr>
          </w:p>
        </w:tc>
        <w:tc>
          <w:tcPr>
            <w:tcW w:w="1189" w:type="dxa"/>
            <w:shd w:val="clear" w:color="auto" w:fill="F2F2F2" w:themeFill="background1" w:themeFillShade="F2"/>
          </w:tcPr>
          <w:p w:rsidR="0015731D" w:rsidRPr="002F1E6E" w:rsidRDefault="0015731D" w:rsidP="008D04AE">
            <w:pPr>
              <w:pStyle w:val="WoVGtabletext"/>
              <w:rPr>
                <w:lang w:val="en-GB"/>
              </w:rPr>
            </w:pPr>
          </w:p>
        </w:tc>
        <w:tc>
          <w:tcPr>
            <w:tcW w:w="1559" w:type="dxa"/>
            <w:shd w:val="clear" w:color="auto" w:fill="F2F2F2" w:themeFill="background1" w:themeFillShade="F2"/>
          </w:tcPr>
          <w:p w:rsidR="0015731D" w:rsidRPr="002F1E6E" w:rsidRDefault="0015731D" w:rsidP="008D04AE">
            <w:pPr>
              <w:pStyle w:val="WoVGtabletext"/>
              <w:rPr>
                <w:lang w:val="en-GB"/>
              </w:rPr>
            </w:pPr>
          </w:p>
        </w:tc>
        <w:tc>
          <w:tcPr>
            <w:tcW w:w="993"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550"/>
        </w:trPr>
        <w:tc>
          <w:tcPr>
            <w:tcW w:w="2977" w:type="dxa"/>
            <w:shd w:val="clear" w:color="auto" w:fill="DAEEF3" w:themeFill="accent5" w:themeFillTint="33"/>
          </w:tcPr>
          <w:p w:rsidR="0015731D" w:rsidRPr="003556E0" w:rsidRDefault="0015731D" w:rsidP="003556E0">
            <w:pPr>
              <w:pStyle w:val="WoVGtabletext"/>
              <w:rPr>
                <w:rFonts w:cs="Arial"/>
              </w:rPr>
            </w:pPr>
            <w:r w:rsidRPr="003556E0">
              <w:rPr>
                <w:rFonts w:cs="Arial"/>
              </w:rPr>
              <w:t>Department of Health and Human Services</w:t>
            </w: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276"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701" w:type="dxa"/>
            <w:shd w:val="clear" w:color="auto" w:fill="F2F2F2" w:themeFill="background1" w:themeFillShade="F2"/>
          </w:tcPr>
          <w:p w:rsidR="0015731D" w:rsidRPr="002F1E6E" w:rsidRDefault="0015731D" w:rsidP="008D04AE">
            <w:pPr>
              <w:pStyle w:val="WoVGtabletext"/>
              <w:rPr>
                <w:lang w:val="en-GB"/>
              </w:rPr>
            </w:pPr>
          </w:p>
        </w:tc>
        <w:tc>
          <w:tcPr>
            <w:tcW w:w="1045" w:type="dxa"/>
            <w:shd w:val="clear" w:color="auto" w:fill="F2F2F2" w:themeFill="background1" w:themeFillShade="F2"/>
          </w:tcPr>
          <w:p w:rsidR="0015731D" w:rsidRPr="002F1E6E" w:rsidRDefault="0015731D" w:rsidP="008D04AE">
            <w:pPr>
              <w:pStyle w:val="WoVGtabletext"/>
              <w:rPr>
                <w:lang w:val="en-GB"/>
              </w:rPr>
            </w:pPr>
          </w:p>
        </w:tc>
        <w:tc>
          <w:tcPr>
            <w:tcW w:w="1189" w:type="dxa"/>
            <w:shd w:val="clear" w:color="auto" w:fill="F2F2F2" w:themeFill="background1" w:themeFillShade="F2"/>
          </w:tcPr>
          <w:p w:rsidR="0015731D" w:rsidRPr="002F1E6E" w:rsidRDefault="0015731D" w:rsidP="008D04AE">
            <w:pPr>
              <w:pStyle w:val="WoVGtabletext"/>
              <w:rPr>
                <w:lang w:val="en-GB"/>
              </w:rPr>
            </w:pPr>
          </w:p>
        </w:tc>
        <w:tc>
          <w:tcPr>
            <w:tcW w:w="1559" w:type="dxa"/>
            <w:shd w:val="clear" w:color="auto" w:fill="F2F2F2" w:themeFill="background1" w:themeFillShade="F2"/>
          </w:tcPr>
          <w:p w:rsidR="0015731D" w:rsidRPr="002F1E6E" w:rsidRDefault="0015731D" w:rsidP="008D04AE">
            <w:pPr>
              <w:pStyle w:val="WoVGtabletext"/>
              <w:rPr>
                <w:lang w:val="en-GB"/>
              </w:rPr>
            </w:pPr>
          </w:p>
        </w:tc>
        <w:tc>
          <w:tcPr>
            <w:tcW w:w="993"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357"/>
        </w:trPr>
        <w:tc>
          <w:tcPr>
            <w:tcW w:w="2977" w:type="dxa"/>
            <w:shd w:val="clear" w:color="auto" w:fill="DAEEF3" w:themeFill="accent5" w:themeFillTint="33"/>
          </w:tcPr>
          <w:p w:rsidR="0015731D" w:rsidRPr="003556E0" w:rsidRDefault="0015731D" w:rsidP="003556E0">
            <w:pPr>
              <w:pStyle w:val="WoVGtabletext"/>
              <w:rPr>
                <w:rFonts w:cs="Arial"/>
              </w:rPr>
            </w:pPr>
            <w:r w:rsidRPr="003556E0">
              <w:rPr>
                <w:rFonts w:cs="Arial"/>
              </w:rPr>
              <w:t>Victoria Police</w:t>
            </w: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276"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701" w:type="dxa"/>
            <w:shd w:val="clear" w:color="auto" w:fill="F2F2F2" w:themeFill="background1" w:themeFillShade="F2"/>
          </w:tcPr>
          <w:p w:rsidR="0015731D" w:rsidRPr="002F1E6E" w:rsidRDefault="0015731D" w:rsidP="008D04AE">
            <w:pPr>
              <w:pStyle w:val="WoVGtabletext"/>
              <w:rPr>
                <w:lang w:val="en-GB"/>
              </w:rPr>
            </w:pPr>
          </w:p>
        </w:tc>
        <w:tc>
          <w:tcPr>
            <w:tcW w:w="1045" w:type="dxa"/>
            <w:shd w:val="clear" w:color="auto" w:fill="F2F2F2" w:themeFill="background1" w:themeFillShade="F2"/>
          </w:tcPr>
          <w:p w:rsidR="0015731D" w:rsidRPr="002F1E6E" w:rsidRDefault="0015731D" w:rsidP="008D04AE">
            <w:pPr>
              <w:pStyle w:val="WoVGtabletext"/>
              <w:rPr>
                <w:lang w:val="en-GB"/>
              </w:rPr>
            </w:pPr>
          </w:p>
        </w:tc>
        <w:tc>
          <w:tcPr>
            <w:tcW w:w="1189" w:type="dxa"/>
            <w:shd w:val="clear" w:color="auto" w:fill="F2F2F2" w:themeFill="background1" w:themeFillShade="F2"/>
          </w:tcPr>
          <w:p w:rsidR="0015731D" w:rsidRPr="002F1E6E" w:rsidRDefault="0015731D" w:rsidP="008D04AE">
            <w:pPr>
              <w:pStyle w:val="WoVGtabletext"/>
              <w:rPr>
                <w:lang w:val="en-GB"/>
              </w:rPr>
            </w:pPr>
          </w:p>
        </w:tc>
        <w:tc>
          <w:tcPr>
            <w:tcW w:w="1559" w:type="dxa"/>
            <w:shd w:val="clear" w:color="auto" w:fill="F2F2F2" w:themeFill="background1" w:themeFillShade="F2"/>
          </w:tcPr>
          <w:p w:rsidR="0015731D" w:rsidRPr="002F1E6E" w:rsidRDefault="0015731D" w:rsidP="008D04AE">
            <w:pPr>
              <w:pStyle w:val="WoVGtabletext"/>
              <w:rPr>
                <w:lang w:val="en-GB"/>
              </w:rPr>
            </w:pPr>
          </w:p>
        </w:tc>
        <w:tc>
          <w:tcPr>
            <w:tcW w:w="993"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400"/>
        </w:trPr>
        <w:tc>
          <w:tcPr>
            <w:tcW w:w="2977" w:type="dxa"/>
            <w:shd w:val="clear" w:color="auto" w:fill="DAEEF3" w:themeFill="accent5" w:themeFillTint="33"/>
          </w:tcPr>
          <w:p w:rsidR="0015731D" w:rsidRPr="003556E0" w:rsidRDefault="0015731D" w:rsidP="003556E0">
            <w:pPr>
              <w:pStyle w:val="WoVGtabletext"/>
              <w:rPr>
                <w:rFonts w:cs="Arial"/>
              </w:rPr>
            </w:pPr>
            <w:r w:rsidRPr="003556E0">
              <w:rPr>
                <w:rFonts w:cs="Arial"/>
              </w:rPr>
              <w:t>WorkSafe Victoria</w:t>
            </w: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276"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134" w:type="dxa"/>
            <w:shd w:val="clear" w:color="auto" w:fill="F2F2F2" w:themeFill="background1" w:themeFillShade="F2"/>
          </w:tcPr>
          <w:p w:rsidR="0015731D" w:rsidRPr="002F1E6E" w:rsidRDefault="0015731D" w:rsidP="008D04AE">
            <w:pPr>
              <w:pStyle w:val="WoVGtabletext"/>
              <w:rPr>
                <w:lang w:val="en-GB"/>
              </w:rPr>
            </w:pPr>
          </w:p>
        </w:tc>
        <w:tc>
          <w:tcPr>
            <w:tcW w:w="1701" w:type="dxa"/>
            <w:shd w:val="clear" w:color="auto" w:fill="F2F2F2" w:themeFill="background1" w:themeFillShade="F2"/>
          </w:tcPr>
          <w:p w:rsidR="0015731D" w:rsidRPr="002F1E6E" w:rsidRDefault="0015731D" w:rsidP="008D04AE">
            <w:pPr>
              <w:pStyle w:val="WoVGtabletext"/>
              <w:rPr>
                <w:lang w:val="en-GB"/>
              </w:rPr>
            </w:pPr>
          </w:p>
        </w:tc>
        <w:tc>
          <w:tcPr>
            <w:tcW w:w="1045" w:type="dxa"/>
            <w:shd w:val="clear" w:color="auto" w:fill="F2F2F2" w:themeFill="background1" w:themeFillShade="F2"/>
          </w:tcPr>
          <w:p w:rsidR="0015731D" w:rsidRPr="002F1E6E" w:rsidRDefault="0015731D" w:rsidP="008D04AE">
            <w:pPr>
              <w:pStyle w:val="WoVGtabletext"/>
              <w:rPr>
                <w:lang w:val="en-GB"/>
              </w:rPr>
            </w:pPr>
          </w:p>
        </w:tc>
        <w:tc>
          <w:tcPr>
            <w:tcW w:w="1189" w:type="dxa"/>
            <w:shd w:val="clear" w:color="auto" w:fill="F2F2F2" w:themeFill="background1" w:themeFillShade="F2"/>
          </w:tcPr>
          <w:p w:rsidR="0015731D" w:rsidRPr="002F1E6E" w:rsidRDefault="0015731D" w:rsidP="008D04AE">
            <w:pPr>
              <w:pStyle w:val="WoVGtabletext"/>
              <w:rPr>
                <w:lang w:val="en-GB"/>
              </w:rPr>
            </w:pPr>
          </w:p>
        </w:tc>
        <w:tc>
          <w:tcPr>
            <w:tcW w:w="1559" w:type="dxa"/>
            <w:shd w:val="clear" w:color="auto" w:fill="F2F2F2" w:themeFill="background1" w:themeFillShade="F2"/>
          </w:tcPr>
          <w:p w:rsidR="0015731D" w:rsidRPr="002F1E6E" w:rsidRDefault="0015731D" w:rsidP="008D04AE">
            <w:pPr>
              <w:pStyle w:val="WoVGtabletext"/>
              <w:rPr>
                <w:lang w:val="en-GB"/>
              </w:rPr>
            </w:pPr>
          </w:p>
        </w:tc>
        <w:tc>
          <w:tcPr>
            <w:tcW w:w="993" w:type="dxa"/>
            <w:shd w:val="clear" w:color="auto" w:fill="F2F2F2" w:themeFill="background1" w:themeFillShade="F2"/>
          </w:tcPr>
          <w:p w:rsidR="0015731D" w:rsidRPr="002F1E6E" w:rsidRDefault="0015731D" w:rsidP="008D04AE">
            <w:pPr>
              <w:pStyle w:val="WoVGtabletext"/>
              <w:rPr>
                <w:lang w:val="en-GB"/>
              </w:rPr>
            </w:pPr>
          </w:p>
        </w:tc>
      </w:tr>
    </w:tbl>
    <w:p w:rsidR="0015731D" w:rsidRPr="00067B25" w:rsidRDefault="0015731D" w:rsidP="00067B25">
      <w:pPr>
        <w:pStyle w:val="WoVGtablefigurenote"/>
      </w:pPr>
      <w:r w:rsidRPr="003556E0">
        <w:t>Equivalent report for relevant metrics would be presented for process performance for targeted mental health improvement area under the Minimum Data Set (MDS).</w:t>
      </w:r>
    </w:p>
    <w:p w:rsidR="0015731D" w:rsidRPr="00806DF6" w:rsidRDefault="003A13A2" w:rsidP="0015731D">
      <w:pPr>
        <w:pStyle w:val="Heading2"/>
        <w:keepNext w:val="0"/>
        <w:keepLines w:val="0"/>
        <w:numPr>
          <w:ilvl w:val="1"/>
          <w:numId w:val="0"/>
        </w:numPr>
        <w:spacing w:before="120" w:after="0" w:line="276" w:lineRule="auto"/>
        <w:ind w:left="576" w:hanging="576"/>
      </w:pPr>
      <w:bookmarkStart w:id="130" w:name="_Toc477934218"/>
      <w:bookmarkStart w:id="131" w:name="_Toc9246018"/>
      <w:r>
        <w:lastRenderedPageBreak/>
        <w:t xml:space="preserve">7.3 </w:t>
      </w:r>
      <w:r w:rsidR="0015731D" w:rsidRPr="00806DF6">
        <w:t>Outcomes report template</w:t>
      </w:r>
      <w:bookmarkEnd w:id="130"/>
      <w:bookmarkEnd w:id="131"/>
    </w:p>
    <w:p w:rsidR="0015731D" w:rsidRPr="00276C88" w:rsidRDefault="0015731D" w:rsidP="009C6181">
      <w:pPr>
        <w:pStyle w:val="WoVGtablecaption"/>
        <w:spacing w:before="120"/>
      </w:pPr>
      <w:r w:rsidRPr="00276C88">
        <w:t xml:space="preserve">Annual report (October) </w:t>
      </w:r>
    </w:p>
    <w:tbl>
      <w:tblPr>
        <w:tblStyle w:val="TableGrid"/>
        <w:tblW w:w="14000" w:type="dxa"/>
        <w:tblInd w:w="-5" w:type="dxa"/>
        <w:tblLayout w:type="fixed"/>
        <w:tblLook w:val="04A0" w:firstRow="1" w:lastRow="0" w:firstColumn="1" w:lastColumn="0" w:noHBand="0" w:noVBand="1"/>
      </w:tblPr>
      <w:tblGrid>
        <w:gridCol w:w="2773"/>
        <w:gridCol w:w="1603"/>
        <w:gridCol w:w="1604"/>
        <w:gridCol w:w="1604"/>
        <w:gridCol w:w="1604"/>
        <w:gridCol w:w="1604"/>
        <w:gridCol w:w="1604"/>
        <w:gridCol w:w="1604"/>
      </w:tblGrid>
      <w:tr w:rsidR="0015731D" w:rsidRPr="002F1E6E" w:rsidTr="0052429F">
        <w:trPr>
          <w:trHeight w:val="799"/>
          <w:tblHeader/>
        </w:trPr>
        <w:tc>
          <w:tcPr>
            <w:tcW w:w="2773" w:type="dxa"/>
            <w:shd w:val="clear" w:color="auto" w:fill="B6DDE8" w:themeFill="accent5" w:themeFillTint="66"/>
          </w:tcPr>
          <w:p w:rsidR="0015731D" w:rsidRPr="00276C88" w:rsidRDefault="0015731D" w:rsidP="00EE3B2D">
            <w:pPr>
              <w:pStyle w:val="WoVGtablecolhead"/>
              <w:rPr>
                <w:lang w:val="en-GB"/>
              </w:rPr>
            </w:pPr>
            <w:r w:rsidRPr="00276C88">
              <w:rPr>
                <w:lang w:val="en-GB"/>
              </w:rPr>
              <w:t>Year:</w:t>
            </w:r>
            <w:r w:rsidR="00562F6D">
              <w:rPr>
                <w:lang w:val="en-GB"/>
              </w:rPr>
              <w:t xml:space="preserve"> </w:t>
            </w:r>
            <w:r w:rsidRPr="00276C88">
              <w:rPr>
                <w:lang w:val="en-GB"/>
              </w:rPr>
              <w:t>20XX</w:t>
            </w:r>
          </w:p>
        </w:tc>
        <w:tc>
          <w:tcPr>
            <w:tcW w:w="1603" w:type="dxa"/>
            <w:shd w:val="clear" w:color="auto" w:fill="B6DDE8" w:themeFill="accent5" w:themeFillTint="66"/>
          </w:tcPr>
          <w:p w:rsidR="0015731D" w:rsidRPr="00276C88" w:rsidRDefault="0015731D" w:rsidP="00EE3B2D">
            <w:pPr>
              <w:pStyle w:val="WoVGtablecolhead"/>
              <w:jc w:val="center"/>
              <w:rPr>
                <w:lang w:val="en-GB"/>
              </w:rPr>
            </w:pPr>
            <w:r w:rsidRPr="00276C88">
              <w:rPr>
                <w:lang w:val="en-GB"/>
              </w:rPr>
              <w:t>Claims</w:t>
            </w:r>
          </w:p>
        </w:tc>
        <w:tc>
          <w:tcPr>
            <w:tcW w:w="1604" w:type="dxa"/>
            <w:shd w:val="clear" w:color="auto" w:fill="B6DDE8" w:themeFill="accent5" w:themeFillTint="66"/>
          </w:tcPr>
          <w:p w:rsidR="0015731D" w:rsidRPr="00276C88" w:rsidRDefault="0015731D" w:rsidP="00EE3B2D">
            <w:pPr>
              <w:pStyle w:val="WoVGtablecolhead"/>
              <w:jc w:val="center"/>
              <w:rPr>
                <w:lang w:val="en-GB"/>
              </w:rPr>
            </w:pPr>
            <w:r w:rsidRPr="00276C88">
              <w:rPr>
                <w:lang w:val="en-GB"/>
              </w:rPr>
              <w:t>13-week claims</w:t>
            </w:r>
          </w:p>
        </w:tc>
        <w:tc>
          <w:tcPr>
            <w:tcW w:w="1604" w:type="dxa"/>
            <w:shd w:val="clear" w:color="auto" w:fill="B6DDE8" w:themeFill="accent5" w:themeFillTint="66"/>
          </w:tcPr>
          <w:p w:rsidR="0015731D" w:rsidRPr="00276C88" w:rsidRDefault="0015731D" w:rsidP="00EE3B2D">
            <w:pPr>
              <w:pStyle w:val="WoVGtablecolhead"/>
              <w:jc w:val="center"/>
              <w:rPr>
                <w:lang w:val="en-GB"/>
              </w:rPr>
            </w:pPr>
            <w:r w:rsidRPr="00276C88">
              <w:rPr>
                <w:lang w:val="en-GB"/>
              </w:rPr>
              <w:t>26-week claims</w:t>
            </w:r>
          </w:p>
        </w:tc>
        <w:tc>
          <w:tcPr>
            <w:tcW w:w="1604" w:type="dxa"/>
            <w:shd w:val="clear" w:color="auto" w:fill="B6DDE8" w:themeFill="accent5" w:themeFillTint="66"/>
          </w:tcPr>
          <w:p w:rsidR="0015731D" w:rsidRPr="00276C88" w:rsidRDefault="0015731D" w:rsidP="00EE3B2D">
            <w:pPr>
              <w:pStyle w:val="WoVGtablecolhead"/>
              <w:jc w:val="center"/>
              <w:rPr>
                <w:lang w:val="en-GB"/>
              </w:rPr>
            </w:pPr>
            <w:r w:rsidRPr="00276C88">
              <w:rPr>
                <w:lang w:val="en-GB"/>
              </w:rPr>
              <w:t>Fatalities</w:t>
            </w:r>
          </w:p>
        </w:tc>
        <w:tc>
          <w:tcPr>
            <w:tcW w:w="1604" w:type="dxa"/>
            <w:shd w:val="clear" w:color="auto" w:fill="B6DDE8" w:themeFill="accent5" w:themeFillTint="66"/>
          </w:tcPr>
          <w:p w:rsidR="0015731D" w:rsidRPr="00276C88" w:rsidRDefault="0015731D" w:rsidP="00EE3B2D">
            <w:pPr>
              <w:pStyle w:val="WoVGtablecolhead"/>
              <w:jc w:val="center"/>
              <w:rPr>
                <w:lang w:val="en-GB"/>
              </w:rPr>
            </w:pPr>
            <w:r w:rsidRPr="00276C88">
              <w:rPr>
                <w:lang w:val="en-GB"/>
              </w:rPr>
              <w:t>Average claim cost</w:t>
            </w:r>
          </w:p>
        </w:tc>
        <w:tc>
          <w:tcPr>
            <w:tcW w:w="1604" w:type="dxa"/>
            <w:shd w:val="clear" w:color="auto" w:fill="B6DDE8" w:themeFill="accent5" w:themeFillTint="66"/>
          </w:tcPr>
          <w:p w:rsidR="0015731D" w:rsidRPr="00276C88" w:rsidRDefault="0015731D" w:rsidP="00EE3B2D">
            <w:pPr>
              <w:pStyle w:val="WoVGtablecolhead"/>
              <w:jc w:val="center"/>
              <w:rPr>
                <w:lang w:val="en-GB"/>
              </w:rPr>
            </w:pPr>
            <w:r w:rsidRPr="00276C88">
              <w:rPr>
                <w:lang w:val="en-GB"/>
              </w:rPr>
              <w:t>Average days/shifts lost</w:t>
            </w:r>
          </w:p>
        </w:tc>
        <w:tc>
          <w:tcPr>
            <w:tcW w:w="1604" w:type="dxa"/>
            <w:shd w:val="clear" w:color="auto" w:fill="B6DDE8" w:themeFill="accent5" w:themeFillTint="66"/>
          </w:tcPr>
          <w:p w:rsidR="0015731D" w:rsidRPr="00276C88" w:rsidRDefault="0015731D" w:rsidP="00EE3B2D">
            <w:pPr>
              <w:pStyle w:val="WoVGtablecolhead"/>
              <w:jc w:val="center"/>
              <w:rPr>
                <w:lang w:val="en-GB"/>
              </w:rPr>
            </w:pPr>
            <w:r w:rsidRPr="00276C88">
              <w:rPr>
                <w:lang w:val="en-GB"/>
              </w:rPr>
              <w:t>Legislative compliance</w:t>
            </w:r>
          </w:p>
        </w:tc>
      </w:tr>
      <w:tr w:rsidR="0015731D" w:rsidRPr="002F1E6E" w:rsidTr="0052429F">
        <w:trPr>
          <w:trHeight w:val="559"/>
        </w:trPr>
        <w:tc>
          <w:tcPr>
            <w:tcW w:w="2773" w:type="dxa"/>
            <w:shd w:val="clear" w:color="auto" w:fill="DAEEF3" w:themeFill="accent5" w:themeFillTint="33"/>
          </w:tcPr>
          <w:p w:rsidR="0015731D" w:rsidRPr="00276C88" w:rsidRDefault="0015731D" w:rsidP="00276C88">
            <w:pPr>
              <w:pStyle w:val="WoVGtabletext"/>
              <w:rPr>
                <w:rFonts w:cs="Arial"/>
              </w:rPr>
            </w:pPr>
            <w:r w:rsidRPr="00276C88">
              <w:rPr>
                <w:rFonts w:cs="Arial"/>
              </w:rPr>
              <w:t>Department of Economic Development, Jobs, Transport and Resources</w:t>
            </w:r>
          </w:p>
        </w:tc>
        <w:tc>
          <w:tcPr>
            <w:tcW w:w="1603"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559"/>
        </w:trPr>
        <w:tc>
          <w:tcPr>
            <w:tcW w:w="2773" w:type="dxa"/>
            <w:shd w:val="clear" w:color="auto" w:fill="DAEEF3" w:themeFill="accent5" w:themeFillTint="33"/>
          </w:tcPr>
          <w:p w:rsidR="0015731D" w:rsidRPr="00276C88" w:rsidRDefault="0015731D" w:rsidP="00276C88">
            <w:pPr>
              <w:pStyle w:val="WoVGtabletext"/>
              <w:rPr>
                <w:rFonts w:cs="Arial"/>
              </w:rPr>
            </w:pPr>
            <w:r w:rsidRPr="00276C88">
              <w:rPr>
                <w:rFonts w:cs="Arial"/>
              </w:rPr>
              <w:t>Department of Education and Training</w:t>
            </w:r>
          </w:p>
        </w:tc>
        <w:tc>
          <w:tcPr>
            <w:tcW w:w="1603"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559"/>
        </w:trPr>
        <w:tc>
          <w:tcPr>
            <w:tcW w:w="2773" w:type="dxa"/>
            <w:shd w:val="clear" w:color="auto" w:fill="DAEEF3" w:themeFill="accent5" w:themeFillTint="33"/>
          </w:tcPr>
          <w:p w:rsidR="0015731D" w:rsidRPr="00276C88" w:rsidRDefault="0015731D" w:rsidP="00276C88">
            <w:pPr>
              <w:pStyle w:val="WoVGtabletext"/>
              <w:rPr>
                <w:rFonts w:cs="Arial"/>
              </w:rPr>
            </w:pPr>
            <w:r w:rsidRPr="00276C88">
              <w:rPr>
                <w:rFonts w:cs="Arial"/>
              </w:rPr>
              <w:t>Department of Environment, Land, Water and Planning</w:t>
            </w:r>
          </w:p>
        </w:tc>
        <w:tc>
          <w:tcPr>
            <w:tcW w:w="1603"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559"/>
        </w:trPr>
        <w:tc>
          <w:tcPr>
            <w:tcW w:w="2773" w:type="dxa"/>
            <w:shd w:val="clear" w:color="auto" w:fill="DAEEF3" w:themeFill="accent5" w:themeFillTint="33"/>
          </w:tcPr>
          <w:p w:rsidR="0015731D" w:rsidRPr="00276C88" w:rsidRDefault="0015731D" w:rsidP="00276C88">
            <w:pPr>
              <w:pStyle w:val="WoVGtabletext"/>
              <w:rPr>
                <w:rFonts w:cs="Arial"/>
              </w:rPr>
            </w:pPr>
            <w:r w:rsidRPr="00276C88">
              <w:rPr>
                <w:rFonts w:cs="Arial"/>
              </w:rPr>
              <w:t>Department of Justice and Regulation</w:t>
            </w:r>
          </w:p>
        </w:tc>
        <w:tc>
          <w:tcPr>
            <w:tcW w:w="1603"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559"/>
        </w:trPr>
        <w:tc>
          <w:tcPr>
            <w:tcW w:w="2773" w:type="dxa"/>
            <w:shd w:val="clear" w:color="auto" w:fill="DAEEF3" w:themeFill="accent5" w:themeFillTint="33"/>
          </w:tcPr>
          <w:p w:rsidR="0015731D" w:rsidRPr="00276C88" w:rsidRDefault="0015731D" w:rsidP="00276C88">
            <w:pPr>
              <w:pStyle w:val="WoVGtabletext"/>
              <w:rPr>
                <w:rFonts w:cs="Arial"/>
              </w:rPr>
            </w:pPr>
            <w:r w:rsidRPr="00276C88">
              <w:rPr>
                <w:rFonts w:cs="Arial"/>
              </w:rPr>
              <w:t>Department of Premier and Cabinet</w:t>
            </w:r>
          </w:p>
        </w:tc>
        <w:tc>
          <w:tcPr>
            <w:tcW w:w="1603"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559"/>
        </w:trPr>
        <w:tc>
          <w:tcPr>
            <w:tcW w:w="2773" w:type="dxa"/>
            <w:shd w:val="clear" w:color="auto" w:fill="DAEEF3" w:themeFill="accent5" w:themeFillTint="33"/>
          </w:tcPr>
          <w:p w:rsidR="0015731D" w:rsidRPr="00276C88" w:rsidRDefault="0015731D" w:rsidP="00276C88">
            <w:pPr>
              <w:pStyle w:val="WoVGtabletext"/>
              <w:rPr>
                <w:rFonts w:cs="Arial"/>
              </w:rPr>
            </w:pPr>
            <w:r w:rsidRPr="00276C88">
              <w:rPr>
                <w:rFonts w:cs="Arial"/>
              </w:rPr>
              <w:t>Department of State Development, Business and Innovation</w:t>
            </w:r>
          </w:p>
        </w:tc>
        <w:tc>
          <w:tcPr>
            <w:tcW w:w="1603"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559"/>
        </w:trPr>
        <w:tc>
          <w:tcPr>
            <w:tcW w:w="2773" w:type="dxa"/>
            <w:shd w:val="clear" w:color="auto" w:fill="DAEEF3" w:themeFill="accent5" w:themeFillTint="33"/>
          </w:tcPr>
          <w:p w:rsidR="0015731D" w:rsidRPr="00276C88" w:rsidRDefault="0015731D" w:rsidP="00276C88">
            <w:pPr>
              <w:pStyle w:val="WoVGtabletext"/>
              <w:rPr>
                <w:rFonts w:cs="Arial"/>
              </w:rPr>
            </w:pPr>
            <w:r w:rsidRPr="00276C88">
              <w:rPr>
                <w:rFonts w:cs="Arial"/>
              </w:rPr>
              <w:t>Department of Treasury and Finance</w:t>
            </w:r>
          </w:p>
        </w:tc>
        <w:tc>
          <w:tcPr>
            <w:tcW w:w="1603"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559"/>
        </w:trPr>
        <w:tc>
          <w:tcPr>
            <w:tcW w:w="2773" w:type="dxa"/>
            <w:shd w:val="clear" w:color="auto" w:fill="DAEEF3" w:themeFill="accent5" w:themeFillTint="33"/>
          </w:tcPr>
          <w:p w:rsidR="0015731D" w:rsidRPr="00276C88" w:rsidRDefault="0015731D" w:rsidP="00276C88">
            <w:pPr>
              <w:pStyle w:val="WoVGtabletext"/>
              <w:rPr>
                <w:rFonts w:cs="Arial"/>
              </w:rPr>
            </w:pPr>
            <w:r w:rsidRPr="00276C88">
              <w:rPr>
                <w:rFonts w:cs="Arial"/>
              </w:rPr>
              <w:t>Department of Health and Human Services</w:t>
            </w:r>
          </w:p>
        </w:tc>
        <w:tc>
          <w:tcPr>
            <w:tcW w:w="1603"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309"/>
        </w:trPr>
        <w:tc>
          <w:tcPr>
            <w:tcW w:w="2773" w:type="dxa"/>
            <w:shd w:val="clear" w:color="auto" w:fill="DAEEF3" w:themeFill="accent5" w:themeFillTint="33"/>
          </w:tcPr>
          <w:p w:rsidR="0015731D" w:rsidRPr="00276C88" w:rsidRDefault="0015731D" w:rsidP="00276C88">
            <w:pPr>
              <w:pStyle w:val="WoVGtabletext"/>
              <w:rPr>
                <w:rFonts w:cs="Arial"/>
              </w:rPr>
            </w:pPr>
            <w:r w:rsidRPr="00276C88">
              <w:rPr>
                <w:rFonts w:cs="Arial"/>
              </w:rPr>
              <w:t>Victoria Police</w:t>
            </w:r>
          </w:p>
        </w:tc>
        <w:tc>
          <w:tcPr>
            <w:tcW w:w="1603"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r>
      <w:tr w:rsidR="0015731D" w:rsidRPr="002F1E6E" w:rsidTr="0052429F">
        <w:trPr>
          <w:trHeight w:val="369"/>
        </w:trPr>
        <w:tc>
          <w:tcPr>
            <w:tcW w:w="2773" w:type="dxa"/>
            <w:shd w:val="clear" w:color="auto" w:fill="DAEEF3" w:themeFill="accent5" w:themeFillTint="33"/>
          </w:tcPr>
          <w:p w:rsidR="0015731D" w:rsidRPr="00276C88" w:rsidRDefault="0015731D" w:rsidP="00276C88">
            <w:pPr>
              <w:pStyle w:val="WoVGtabletext"/>
              <w:rPr>
                <w:rFonts w:cs="Arial"/>
              </w:rPr>
            </w:pPr>
            <w:r w:rsidRPr="00276C88">
              <w:rPr>
                <w:rFonts w:cs="Arial"/>
              </w:rPr>
              <w:t>WorkSafe Victoria</w:t>
            </w:r>
          </w:p>
        </w:tc>
        <w:tc>
          <w:tcPr>
            <w:tcW w:w="1603"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c>
          <w:tcPr>
            <w:tcW w:w="1604" w:type="dxa"/>
            <w:shd w:val="clear" w:color="auto" w:fill="F2F2F2" w:themeFill="background1" w:themeFillShade="F2"/>
          </w:tcPr>
          <w:p w:rsidR="0015731D" w:rsidRPr="002F1E6E" w:rsidRDefault="0015731D" w:rsidP="008D04AE">
            <w:pPr>
              <w:pStyle w:val="WoVGtabletext"/>
              <w:rPr>
                <w:lang w:val="en-GB"/>
              </w:rPr>
            </w:pPr>
          </w:p>
        </w:tc>
      </w:tr>
    </w:tbl>
    <w:p w:rsidR="0015731D" w:rsidRPr="00276C88" w:rsidRDefault="0015731D" w:rsidP="00276C88">
      <w:pPr>
        <w:pStyle w:val="WoVGtablefigurenote"/>
      </w:pPr>
      <w:r w:rsidRPr="00276C88">
        <w:t>Equivalent report for relevant metrics would be presented for outcome performance for targeted mental health improvement area under the Minimum Data Set (MDS) e.g.</w:t>
      </w:r>
    </w:p>
    <w:p w:rsidR="00562F6D" w:rsidRDefault="0015731D" w:rsidP="00276C88">
      <w:pPr>
        <w:pStyle w:val="WoVGbullet1"/>
        <w:rPr>
          <w:sz w:val="18"/>
          <w:szCs w:val="18"/>
        </w:rPr>
      </w:pPr>
      <w:r w:rsidRPr="00276C88">
        <w:rPr>
          <w:sz w:val="18"/>
          <w:szCs w:val="18"/>
        </w:rPr>
        <w:t>Mental injury</w:t>
      </w:r>
    </w:p>
    <w:p w:rsidR="0015731D" w:rsidRPr="00276C88" w:rsidRDefault="0015731D" w:rsidP="00276C88">
      <w:pPr>
        <w:pStyle w:val="WoVGbullet1"/>
      </w:pPr>
      <w:r w:rsidRPr="00276C88">
        <w:rPr>
          <w:sz w:val="18"/>
          <w:szCs w:val="18"/>
        </w:rPr>
        <w:t>Occupational</w:t>
      </w:r>
      <w:r w:rsidRPr="00276C88">
        <w:rPr>
          <w:sz w:val="18"/>
        </w:rPr>
        <w:t xml:space="preserve"> </w:t>
      </w:r>
      <w:r w:rsidRPr="00276C88">
        <w:rPr>
          <w:rFonts w:eastAsia="Times New Roman"/>
          <w:sz w:val="18"/>
        </w:rPr>
        <w:t>Violence</w:t>
      </w:r>
      <w:r w:rsidRPr="00276C88">
        <w:t xml:space="preserve"> </w:t>
      </w:r>
      <w:r w:rsidRPr="00276C88">
        <w:tab/>
      </w:r>
    </w:p>
    <w:p w:rsidR="0015731D" w:rsidRDefault="0015731D" w:rsidP="00EE3B2D">
      <w:pPr>
        <w:pStyle w:val="WoVGbody"/>
        <w:rPr>
          <w:lang w:val="en-GB"/>
        </w:rPr>
        <w:sectPr w:rsidR="0015731D" w:rsidSect="0015731D">
          <w:headerReference w:type="default" r:id="rId35"/>
          <w:pgSz w:w="16838" w:h="11906" w:orient="landscape"/>
          <w:pgMar w:top="1304" w:right="1701" w:bottom="1304" w:left="1134" w:header="454" w:footer="510" w:gutter="0"/>
          <w:cols w:space="720"/>
          <w:docGrid w:linePitch="360"/>
        </w:sectPr>
      </w:pPr>
    </w:p>
    <w:p w:rsidR="0015731D" w:rsidRPr="00D82FD2" w:rsidRDefault="003A13A2" w:rsidP="0015731D">
      <w:pPr>
        <w:pStyle w:val="Heading1"/>
        <w:spacing w:before="0" w:after="360" w:line="240" w:lineRule="auto"/>
        <w:ind w:left="432" w:hanging="432"/>
      </w:pPr>
      <w:bookmarkStart w:id="132" w:name="_Toc477934219"/>
      <w:bookmarkStart w:id="133" w:name="_Toc9246019"/>
      <w:r>
        <w:lastRenderedPageBreak/>
        <w:t xml:space="preserve">8. </w:t>
      </w:r>
      <w:r w:rsidR="0015731D" w:rsidRPr="0075655E">
        <w:t>References</w:t>
      </w:r>
      <w:bookmarkEnd w:id="132"/>
      <w:bookmarkEnd w:id="133"/>
    </w:p>
    <w:p w:rsidR="0015731D" w:rsidRPr="008D04AE" w:rsidRDefault="0015731D" w:rsidP="0047128D">
      <w:pPr>
        <w:pStyle w:val="WoVGnumberdigit"/>
      </w:pPr>
      <w:r w:rsidRPr="002F1E6E">
        <w:rPr>
          <w:lang w:val="en-GB"/>
        </w:rPr>
        <w:t>Cole, M. J. (2011)</w:t>
      </w:r>
      <w:r w:rsidRPr="008D04AE">
        <w:rPr>
          <w:rStyle w:val="Emphasis"/>
        </w:rPr>
        <w:t xml:space="preserve"> Benchmarking: contemporary modalities and applications </w:t>
      </w:r>
      <w:r w:rsidRPr="002F1E6E">
        <w:rPr>
          <w:lang w:val="en-GB"/>
        </w:rPr>
        <w:t>Evaluation Journal of Australasia 11 (2) pp 42-48</w:t>
      </w:r>
    </w:p>
    <w:p w:rsidR="0015731D" w:rsidRPr="008D04AE" w:rsidRDefault="0015731D" w:rsidP="0047128D">
      <w:pPr>
        <w:pStyle w:val="WoVGnumberdigit"/>
        <w:rPr>
          <w:rStyle w:val="Emphasis"/>
        </w:rPr>
      </w:pPr>
      <w:r w:rsidRPr="002F1E6E">
        <w:rPr>
          <w:lang w:val="en-GB"/>
        </w:rPr>
        <w:t xml:space="preserve">De Cieri H et al. (2012) </w:t>
      </w:r>
      <w:r w:rsidRPr="008D04AE">
        <w:rPr>
          <w:rStyle w:val="Emphasis"/>
        </w:rPr>
        <w:t>Measuring the leading indicators of occupational health and safety: A snapshot review</w:t>
      </w:r>
    </w:p>
    <w:p w:rsidR="0015731D" w:rsidRPr="008D04AE" w:rsidRDefault="0015731D" w:rsidP="0047128D">
      <w:pPr>
        <w:pStyle w:val="WoVGnumberdigit"/>
        <w:rPr>
          <w:rStyle w:val="Emphasis"/>
        </w:rPr>
      </w:pPr>
      <w:r w:rsidRPr="002F1E6E">
        <w:rPr>
          <w:lang w:val="en-GB"/>
        </w:rPr>
        <w:t xml:space="preserve">European Agency for Safety and Health at Work (2011) </w:t>
      </w:r>
      <w:r w:rsidRPr="008D04AE">
        <w:rPr>
          <w:rStyle w:val="Emphasis"/>
        </w:rPr>
        <w:t>Occupational safety and Health culture assessment – A review of main approaches and selected tools</w:t>
      </w:r>
    </w:p>
    <w:p w:rsidR="0015731D" w:rsidRPr="008D04AE" w:rsidRDefault="0015731D" w:rsidP="0047128D">
      <w:pPr>
        <w:pStyle w:val="WoVGnumberdigit"/>
      </w:pPr>
      <w:r w:rsidRPr="002F1E6E">
        <w:rPr>
          <w:lang w:val="en-GB"/>
        </w:rPr>
        <w:t>Gallagher, C, Underhill, E and Rimmer, M (2001) Occupational Health and Safety Management Systems: A review of their effectiveness in securing health and safe workplaces NOHSC Sydney</w:t>
      </w:r>
    </w:p>
    <w:p w:rsidR="0015731D" w:rsidRPr="002F1E6E" w:rsidRDefault="0015731D" w:rsidP="0047128D">
      <w:pPr>
        <w:pStyle w:val="WoVGnumberdigit"/>
        <w:rPr>
          <w:i/>
          <w:lang w:val="en-GB"/>
        </w:rPr>
      </w:pPr>
      <w:r w:rsidRPr="002F1E6E">
        <w:rPr>
          <w:lang w:val="en-GB"/>
        </w:rPr>
        <w:t xml:space="preserve">Gallagher, C and Underhill, E (2012) </w:t>
      </w:r>
      <w:r w:rsidRPr="008D04AE">
        <w:rPr>
          <w:rStyle w:val="Emphasis"/>
        </w:rPr>
        <w:t xml:space="preserve">Managing work health and safety: recent developments and future directions </w:t>
      </w:r>
      <w:r w:rsidRPr="002F1E6E">
        <w:rPr>
          <w:lang w:val="en-GB"/>
        </w:rPr>
        <w:t xml:space="preserve">Asia Pacific Journal of Human Resources </w:t>
      </w:r>
      <w:r w:rsidRPr="002F1E6E">
        <w:rPr>
          <w:u w:val="single"/>
          <w:lang w:val="en-GB"/>
        </w:rPr>
        <w:t>50</w:t>
      </w:r>
      <w:r w:rsidRPr="002F1E6E">
        <w:rPr>
          <w:lang w:val="en-GB"/>
        </w:rPr>
        <w:t xml:space="preserve"> pp 227-244</w:t>
      </w:r>
    </w:p>
    <w:p w:rsidR="0015731D" w:rsidRPr="002F1E6E" w:rsidRDefault="0015731D" w:rsidP="0047128D">
      <w:pPr>
        <w:pStyle w:val="WoVGnumberdigit"/>
        <w:rPr>
          <w:i/>
          <w:lang w:val="en-GB"/>
        </w:rPr>
      </w:pPr>
      <w:r w:rsidRPr="002F1E6E">
        <w:rPr>
          <w:lang w:val="en-GB"/>
        </w:rPr>
        <w:t xml:space="preserve">Hasle, P and Jensen P. L (2006) </w:t>
      </w:r>
      <w:r w:rsidRPr="008D04AE">
        <w:rPr>
          <w:rStyle w:val="Emphasis"/>
        </w:rPr>
        <w:t xml:space="preserve">Changing the Internal Health and Safety Organization through Organizational Leaning and Change Management </w:t>
      </w:r>
      <w:r w:rsidRPr="002F1E6E">
        <w:rPr>
          <w:lang w:val="en-GB"/>
        </w:rPr>
        <w:t xml:space="preserve">Human Factors and Ergonomics in Manufacturing </w:t>
      </w:r>
      <w:r w:rsidRPr="002F1E6E">
        <w:rPr>
          <w:u w:val="single"/>
          <w:lang w:val="en-GB"/>
        </w:rPr>
        <w:t>16</w:t>
      </w:r>
      <w:r w:rsidRPr="002F1E6E">
        <w:rPr>
          <w:lang w:val="en-GB"/>
        </w:rPr>
        <w:t xml:space="preserve"> (3) pp 269-284</w:t>
      </w:r>
    </w:p>
    <w:p w:rsidR="0015731D" w:rsidRPr="008D04AE" w:rsidRDefault="0015731D" w:rsidP="0047128D">
      <w:pPr>
        <w:pStyle w:val="WoVGnumberdigit"/>
        <w:rPr>
          <w:rStyle w:val="Emphasis"/>
        </w:rPr>
      </w:pPr>
      <w:r w:rsidRPr="002F1E6E">
        <w:rPr>
          <w:lang w:val="en-GB"/>
        </w:rPr>
        <w:t xml:space="preserve">Heads of Workers Compensation Authorities (2014) </w:t>
      </w:r>
      <w:r w:rsidRPr="008D04AE">
        <w:rPr>
          <w:rStyle w:val="Emphasis"/>
        </w:rPr>
        <w:t>National self-insurer OHS management system audit tool (version 3)</w:t>
      </w:r>
    </w:p>
    <w:p w:rsidR="0015731D" w:rsidRPr="002F1E6E" w:rsidRDefault="0015731D" w:rsidP="0047128D">
      <w:pPr>
        <w:pStyle w:val="WoVGnumberdigit"/>
        <w:rPr>
          <w:i/>
          <w:lang w:val="en-GB"/>
        </w:rPr>
      </w:pPr>
      <w:r w:rsidRPr="002F1E6E">
        <w:rPr>
          <w:lang w:val="en-GB"/>
        </w:rPr>
        <w:t>Health and Safety Executive (2001)</w:t>
      </w:r>
      <w:r w:rsidRPr="002F1E6E">
        <w:rPr>
          <w:i/>
          <w:lang w:val="en-GB"/>
        </w:rPr>
        <w:t xml:space="preserve"> Safety Culture Maturity Model Offshore Technology Report 2000/049</w:t>
      </w:r>
    </w:p>
    <w:p w:rsidR="0015731D" w:rsidRPr="008D04AE" w:rsidRDefault="0015731D" w:rsidP="0047128D">
      <w:pPr>
        <w:pStyle w:val="WoVGnumberdigit"/>
        <w:rPr>
          <w:rStyle w:val="Emphasis"/>
        </w:rPr>
      </w:pPr>
      <w:r w:rsidRPr="002F1E6E">
        <w:rPr>
          <w:lang w:val="en-GB"/>
        </w:rPr>
        <w:t xml:space="preserve">Health and Safety Executive (2005) </w:t>
      </w:r>
      <w:r w:rsidRPr="008D04AE">
        <w:rPr>
          <w:rStyle w:val="Emphasis"/>
        </w:rPr>
        <w:t>A review of safety culture and safety climate literature for the development of the safety culture inspection toolkit</w:t>
      </w:r>
    </w:p>
    <w:p w:rsidR="0015731D" w:rsidRPr="002F1E6E" w:rsidRDefault="0015731D" w:rsidP="0047128D">
      <w:pPr>
        <w:pStyle w:val="WoVGnumberdigit"/>
        <w:rPr>
          <w:i/>
          <w:lang w:val="en-GB"/>
        </w:rPr>
      </w:pPr>
      <w:r w:rsidRPr="002F1E6E">
        <w:rPr>
          <w:lang w:val="en-GB"/>
        </w:rPr>
        <w:t>Hudson, P.</w:t>
      </w:r>
      <w:r w:rsidRPr="002F1E6E">
        <w:rPr>
          <w:i/>
          <w:lang w:val="en-GB"/>
        </w:rPr>
        <w:t xml:space="preserve"> </w:t>
      </w:r>
      <w:r w:rsidRPr="002F1E6E">
        <w:rPr>
          <w:lang w:val="en-GB"/>
        </w:rPr>
        <w:t xml:space="preserve">(1999) </w:t>
      </w:r>
      <w:r w:rsidRPr="008D04AE">
        <w:rPr>
          <w:rStyle w:val="Emphasis"/>
        </w:rPr>
        <w:t xml:space="preserve">Safety Culture – Theory and Practice </w:t>
      </w:r>
      <w:r w:rsidRPr="002F1E6E">
        <w:rPr>
          <w:lang w:val="en-GB"/>
        </w:rPr>
        <w:t>paper presented at the RTO HFM Workshop on ‘The Human Factor in System Reliability – Is Human Performance Predictable?’ Siena Italy 1-2 December 1999</w:t>
      </w:r>
    </w:p>
    <w:p w:rsidR="0015731D" w:rsidRPr="002F1E6E" w:rsidRDefault="0015731D" w:rsidP="0047128D">
      <w:pPr>
        <w:pStyle w:val="WoVGnumberdigit"/>
        <w:rPr>
          <w:lang w:val="en-GB"/>
        </w:rPr>
      </w:pPr>
      <w:r w:rsidRPr="002F1E6E">
        <w:rPr>
          <w:lang w:val="en-GB"/>
        </w:rPr>
        <w:t xml:space="preserve">Hudson, P (2001) </w:t>
      </w:r>
      <w:r w:rsidRPr="008D04AE">
        <w:rPr>
          <w:rStyle w:val="Emphasis"/>
        </w:rPr>
        <w:t>Safety Culture: The ultimate goal</w:t>
      </w:r>
      <w:r w:rsidRPr="002F1E6E">
        <w:rPr>
          <w:lang w:val="en-GB"/>
        </w:rPr>
        <w:t xml:space="preserve"> Flight Safety Australia</w:t>
      </w:r>
      <w:r w:rsidRPr="002F1E6E">
        <w:rPr>
          <w:i/>
          <w:lang w:val="en-GB"/>
        </w:rPr>
        <w:t xml:space="preserve"> </w:t>
      </w:r>
      <w:r w:rsidRPr="002F1E6E">
        <w:rPr>
          <w:lang w:val="en-GB"/>
        </w:rPr>
        <w:t>Sept-Oct 2001</w:t>
      </w:r>
    </w:p>
    <w:p w:rsidR="0015731D" w:rsidRPr="002F1E6E" w:rsidRDefault="0015731D" w:rsidP="0047128D">
      <w:pPr>
        <w:pStyle w:val="WoVGnumberdigit"/>
        <w:rPr>
          <w:lang w:val="en-GB"/>
        </w:rPr>
      </w:pPr>
      <w:r w:rsidRPr="002F1E6E">
        <w:rPr>
          <w:lang w:val="en-GB"/>
        </w:rPr>
        <w:t xml:space="preserve">Mental Health Commission of Canada (2014) </w:t>
      </w:r>
      <w:r w:rsidRPr="008D04AE">
        <w:rPr>
          <w:rStyle w:val="Emphasis"/>
        </w:rPr>
        <w:t>Assembling the Pieces, An Implementation Guide to the National Standard for Psychological Health and Safety in the Workplace.</w:t>
      </w:r>
    </w:p>
    <w:p w:rsidR="0015731D" w:rsidRPr="008D04AE" w:rsidRDefault="0015731D" w:rsidP="0047128D">
      <w:pPr>
        <w:pStyle w:val="WoVGnumberdigit"/>
        <w:rPr>
          <w:rStyle w:val="Emphasis"/>
        </w:rPr>
      </w:pPr>
      <w:r w:rsidRPr="002F1E6E">
        <w:rPr>
          <w:lang w:val="en-GB"/>
        </w:rPr>
        <w:t>Mental Health Commission of Canada (2013)</w:t>
      </w:r>
      <w:r w:rsidRPr="008D04AE">
        <w:rPr>
          <w:rStyle w:val="Emphasis"/>
        </w:rPr>
        <w:t xml:space="preserve"> CAN/CSA-Z1003-13 BNQ 9700-803/2013 National Standard of Canada, Psychological health and safety in the workplace – Prevention, promotion and guidance to staged implementation.</w:t>
      </w:r>
    </w:p>
    <w:p w:rsidR="00562F6D" w:rsidRDefault="0015731D" w:rsidP="0047128D">
      <w:pPr>
        <w:pStyle w:val="WoVGnumberdigit"/>
        <w:rPr>
          <w:lang w:val="en-GB"/>
        </w:rPr>
      </w:pPr>
      <w:r w:rsidRPr="002F1E6E">
        <w:rPr>
          <w:lang w:val="en-GB"/>
        </w:rPr>
        <w:t xml:space="preserve">Owen, J.M. (2006) </w:t>
      </w:r>
      <w:r w:rsidRPr="008D04AE">
        <w:rPr>
          <w:rStyle w:val="Emphasis"/>
        </w:rPr>
        <w:t xml:space="preserve">Program Evaluation Forms and Approaches 3rd edn </w:t>
      </w:r>
      <w:r w:rsidRPr="002F1E6E">
        <w:rPr>
          <w:lang w:val="en-GB"/>
        </w:rPr>
        <w:t>Allen and Unwin Crows Nest NSW</w:t>
      </w:r>
    </w:p>
    <w:p w:rsidR="0015731D" w:rsidRPr="002F1E6E" w:rsidRDefault="0015731D" w:rsidP="0047128D">
      <w:pPr>
        <w:pStyle w:val="WoVGnumberdigit"/>
        <w:rPr>
          <w:i/>
          <w:lang w:val="en-GB"/>
        </w:rPr>
      </w:pPr>
      <w:r w:rsidRPr="002F1E6E">
        <w:rPr>
          <w:lang w:val="en-GB"/>
        </w:rPr>
        <w:t xml:space="preserve">Parker, D, Lawrie, M and Hudson </w:t>
      </w:r>
      <w:r w:rsidRPr="008D04AE">
        <w:t>P (20</w:t>
      </w:r>
      <w:r w:rsidRPr="002F1E6E">
        <w:rPr>
          <w:lang w:val="en-GB"/>
        </w:rPr>
        <w:t>06) A</w:t>
      </w:r>
      <w:r w:rsidRPr="008D04AE">
        <w:rPr>
          <w:rStyle w:val="Emphasis"/>
        </w:rPr>
        <w:t xml:space="preserve"> framework for understanding the development of organisational safety culture </w:t>
      </w:r>
      <w:r w:rsidRPr="002F1E6E">
        <w:rPr>
          <w:lang w:val="en-GB"/>
        </w:rPr>
        <w:t>Safety Science</w:t>
      </w:r>
      <w:r w:rsidRPr="002F1E6E">
        <w:rPr>
          <w:i/>
          <w:lang w:val="en-GB"/>
        </w:rPr>
        <w:t xml:space="preserve"> </w:t>
      </w:r>
      <w:r w:rsidRPr="002F1E6E">
        <w:rPr>
          <w:u w:val="single"/>
          <w:lang w:val="en-GB"/>
        </w:rPr>
        <w:t>44</w:t>
      </w:r>
      <w:r w:rsidRPr="002F1E6E">
        <w:rPr>
          <w:i/>
          <w:lang w:val="en-GB"/>
        </w:rPr>
        <w:t xml:space="preserve"> </w:t>
      </w:r>
      <w:r w:rsidRPr="002F1E6E">
        <w:rPr>
          <w:lang w:val="en-GB"/>
        </w:rPr>
        <w:t>pp 551-562</w:t>
      </w:r>
    </w:p>
    <w:p w:rsidR="00562F6D" w:rsidRDefault="0015731D" w:rsidP="0047128D">
      <w:pPr>
        <w:pStyle w:val="WoVGnumberdigit"/>
        <w:rPr>
          <w:lang w:val="en-GB"/>
        </w:rPr>
      </w:pPr>
      <w:r w:rsidRPr="002F1E6E">
        <w:rPr>
          <w:lang w:val="en-GB"/>
        </w:rPr>
        <w:t xml:space="preserve">Queensland Government Work Health and Safety Queensland (2016) </w:t>
      </w:r>
      <w:r w:rsidRPr="008D04AE">
        <w:rPr>
          <w:rStyle w:val="Emphasis"/>
        </w:rPr>
        <w:t>Safety Leadership at Work Program: Tools and Resources</w:t>
      </w:r>
      <w:r w:rsidRPr="002F1E6E">
        <w:rPr>
          <w:lang w:val="en-GB"/>
        </w:rPr>
        <w:t xml:space="preserve"> </w:t>
      </w:r>
      <w:hyperlink r:id="rId36" w:history="1">
        <w:r w:rsidRPr="004F050C">
          <w:rPr>
            <w:rStyle w:val="Hyperlink"/>
            <w:rFonts w:cs="Arial"/>
            <w:lang w:val="en-GB"/>
          </w:rPr>
          <w:t>https://www.worksafe.qld.gov.au/safety-leadership-at-work/tools-and-resources</w:t>
        </w:r>
      </w:hyperlink>
    </w:p>
    <w:p w:rsidR="0015731D" w:rsidRPr="00683931" w:rsidRDefault="0015731D" w:rsidP="0047128D">
      <w:pPr>
        <w:pStyle w:val="WoVGnumberdigit"/>
        <w:rPr>
          <w:lang w:val="en-GB"/>
        </w:rPr>
      </w:pPr>
      <w:r w:rsidRPr="00683931">
        <w:rPr>
          <w:lang w:val="en-GB"/>
        </w:rPr>
        <w:t xml:space="preserve">Safe Work Australia (2004) </w:t>
      </w:r>
      <w:r w:rsidRPr="008D04AE">
        <w:rPr>
          <w:rStyle w:val="Emphasis"/>
        </w:rPr>
        <w:t>Safe and Sound, A discussion paper on safety leadership in government workplaces.</w:t>
      </w:r>
    </w:p>
    <w:p w:rsidR="0015731D" w:rsidRPr="00683931" w:rsidRDefault="0015731D" w:rsidP="0047128D">
      <w:pPr>
        <w:pStyle w:val="WoVGnumberdigit"/>
        <w:rPr>
          <w:lang w:val="en-GB"/>
        </w:rPr>
      </w:pPr>
      <w:r w:rsidRPr="00683931">
        <w:rPr>
          <w:lang w:val="en-GB"/>
        </w:rPr>
        <w:t xml:space="preserve">Safe Work Australia (2012) </w:t>
      </w:r>
      <w:r w:rsidRPr="008D04AE">
        <w:rPr>
          <w:rStyle w:val="Emphasis"/>
        </w:rPr>
        <w:t>Australian Work Health and Safety Strategy 2012-2022</w:t>
      </w:r>
    </w:p>
    <w:p w:rsidR="00562F6D" w:rsidRPr="00CE49DD" w:rsidRDefault="0015731D" w:rsidP="0047128D">
      <w:pPr>
        <w:pStyle w:val="WoVGnumberdigit"/>
        <w:rPr>
          <w:rStyle w:val="Emphasis"/>
          <w:i w:val="0"/>
        </w:rPr>
      </w:pPr>
      <w:r w:rsidRPr="00683931">
        <w:rPr>
          <w:lang w:val="en-GB"/>
        </w:rPr>
        <w:t>Safety Institute of Australia (2012)</w:t>
      </w:r>
      <w:r w:rsidRPr="008D04AE">
        <w:rPr>
          <w:rStyle w:val="Emphasis"/>
        </w:rPr>
        <w:t xml:space="preserve"> The Organisation, in OHS Book of Knowledge Core Body of for the Generalist OHS Professional</w:t>
      </w:r>
    </w:p>
    <w:p w:rsidR="0015731D" w:rsidRPr="00683931" w:rsidRDefault="0015731D" w:rsidP="0047128D">
      <w:pPr>
        <w:pStyle w:val="WoVGnumberdigit"/>
        <w:rPr>
          <w:lang w:val="en-GB"/>
        </w:rPr>
      </w:pPr>
      <w:r w:rsidRPr="00683931">
        <w:rPr>
          <w:lang w:val="en-GB"/>
        </w:rPr>
        <w:lastRenderedPageBreak/>
        <w:t xml:space="preserve">Standards Australia (2001) </w:t>
      </w:r>
      <w:r w:rsidRPr="008D04AE">
        <w:rPr>
          <w:rStyle w:val="Emphasis"/>
        </w:rPr>
        <w:t>AS/NZS 4801:2001 Occupational health and safety management systems - Specification with guidance for use.</w:t>
      </w:r>
    </w:p>
    <w:p w:rsidR="0015731D" w:rsidRPr="00683931" w:rsidRDefault="0015731D" w:rsidP="0047128D">
      <w:pPr>
        <w:pStyle w:val="WoVGnumberdigit"/>
        <w:rPr>
          <w:lang w:val="en-GB"/>
        </w:rPr>
      </w:pPr>
      <w:r w:rsidRPr="00683931">
        <w:rPr>
          <w:lang w:val="en-GB"/>
        </w:rPr>
        <w:t>Standards Australia (2006)</w:t>
      </w:r>
      <w:r w:rsidRPr="008D04AE">
        <w:rPr>
          <w:rStyle w:val="Emphasis"/>
        </w:rPr>
        <w:t xml:space="preserve"> AS 3806:2006 Compliance programs</w:t>
      </w:r>
    </w:p>
    <w:p w:rsidR="00562F6D" w:rsidRDefault="0015731D" w:rsidP="0047128D">
      <w:pPr>
        <w:pStyle w:val="WoVGnumberdigit"/>
        <w:rPr>
          <w:lang w:val="en-GB"/>
        </w:rPr>
      </w:pPr>
      <w:r w:rsidRPr="00683931">
        <w:rPr>
          <w:lang w:val="en-GB"/>
        </w:rPr>
        <w:t>Victoria (2004) Occupational Health and Safety Act 2004</w:t>
      </w:r>
    </w:p>
    <w:p w:rsidR="0015731D" w:rsidRPr="00683931" w:rsidRDefault="0015731D" w:rsidP="0047128D">
      <w:pPr>
        <w:pStyle w:val="WoVGnumberdigit"/>
        <w:rPr>
          <w:lang w:val="en-GB"/>
        </w:rPr>
      </w:pPr>
      <w:r w:rsidRPr="00683931">
        <w:rPr>
          <w:lang w:val="en-GB"/>
        </w:rPr>
        <w:t xml:space="preserve">Vu T and De Cieri (2014) </w:t>
      </w:r>
      <w:r w:rsidRPr="008D04AE">
        <w:rPr>
          <w:rStyle w:val="Emphasis"/>
        </w:rPr>
        <w:t>Safety culture and safety climate definitions suitable for a regulator, A systematic literature review</w:t>
      </w:r>
    </w:p>
    <w:p w:rsidR="0015731D" w:rsidRPr="00683931" w:rsidRDefault="0015731D" w:rsidP="0047128D">
      <w:pPr>
        <w:pStyle w:val="WoVGnumberdigit"/>
        <w:rPr>
          <w:lang w:val="en-GB"/>
        </w:rPr>
      </w:pPr>
      <w:r w:rsidRPr="00683931">
        <w:rPr>
          <w:lang w:val="en-GB"/>
        </w:rPr>
        <w:t xml:space="preserve">Wachter, J.K and Yorio, P.L (2014) </w:t>
      </w:r>
      <w:r w:rsidRPr="008D04AE">
        <w:rPr>
          <w:rStyle w:val="Emphasis"/>
        </w:rPr>
        <w:t>A system of safety management practices and worker engagement for reducing and preventing accidents: An empirical and theoretical investigation</w:t>
      </w:r>
      <w:r w:rsidRPr="00683931">
        <w:rPr>
          <w:lang w:val="en-GB"/>
        </w:rPr>
        <w:t xml:space="preserve"> Accident Analysis and Prevention </w:t>
      </w:r>
      <w:r w:rsidRPr="00683931">
        <w:rPr>
          <w:u w:val="single"/>
          <w:lang w:val="en-GB"/>
        </w:rPr>
        <w:t>68</w:t>
      </w:r>
      <w:r w:rsidRPr="00683931">
        <w:rPr>
          <w:lang w:val="en-GB"/>
        </w:rPr>
        <w:t xml:space="preserve"> pp117-130</w:t>
      </w:r>
    </w:p>
    <w:p w:rsidR="0015731D" w:rsidRPr="00BC48D6" w:rsidRDefault="0015731D" w:rsidP="0047128D">
      <w:pPr>
        <w:pStyle w:val="WoVGnumberdigit"/>
        <w:rPr>
          <w:lang w:val="en-GB"/>
        </w:rPr>
      </w:pPr>
      <w:r w:rsidRPr="00683931">
        <w:rPr>
          <w:lang w:val="en-GB"/>
        </w:rPr>
        <w:t xml:space="preserve">WorkSafe Australia (1996) </w:t>
      </w:r>
      <w:hyperlink r:id="rId37" w:history="1">
        <w:r w:rsidRPr="00D02EF4">
          <w:rPr>
            <w:rStyle w:val="Hyperlink"/>
            <w:i/>
          </w:rPr>
          <w:t>Benchmarking Occupational Health and Safety</w:t>
        </w:r>
      </w:hyperlink>
      <w:r w:rsidRPr="00683931">
        <w:rPr>
          <w:lang w:val="en-GB"/>
        </w:rPr>
        <w:t xml:space="preserve"> </w:t>
      </w:r>
      <w:r w:rsidR="00D02EF4">
        <w:rPr>
          <w:lang w:val="en-GB"/>
        </w:rPr>
        <w:t>&lt;</w:t>
      </w:r>
      <w:r w:rsidRPr="00D02EF4">
        <w:rPr>
          <w:rFonts w:cs="Arial"/>
          <w:lang w:val="en-GB"/>
        </w:rPr>
        <w:t>http://www.safeworkaustralia.gov.au/sites/SWA/about/Publications/Documents/23/BenchmarkingOHS_1996_PDF.pdf</w:t>
      </w:r>
      <w:r w:rsidR="00D02EF4">
        <w:rPr>
          <w:rFonts w:cs="Arial"/>
          <w:lang w:val="en-GB"/>
        </w:rPr>
        <w:t>&gt;</w:t>
      </w:r>
      <w:r w:rsidRPr="008D04AE">
        <w:t>.</w:t>
      </w:r>
    </w:p>
    <w:p w:rsidR="0015731D" w:rsidRPr="008D04AE" w:rsidRDefault="0015731D" w:rsidP="008D04AE">
      <w:pPr>
        <w:pStyle w:val="WoVGbody"/>
      </w:pPr>
      <w:bookmarkStart w:id="134" w:name="_Toc388356494"/>
      <w:r w:rsidRPr="008D04AE">
        <w:br w:type="page"/>
      </w:r>
      <w:bookmarkEnd w:id="134"/>
    </w:p>
    <w:p w:rsidR="0015731D" w:rsidRPr="008D04AE" w:rsidRDefault="0015731D" w:rsidP="008D04AE">
      <w:pPr>
        <w:pStyle w:val="WoVGbody"/>
        <w:sectPr w:rsidR="0015731D" w:rsidRPr="008D04AE" w:rsidSect="0015731D">
          <w:headerReference w:type="default" r:id="rId38"/>
          <w:pgSz w:w="11906" w:h="16838"/>
          <w:pgMar w:top="1701" w:right="1304" w:bottom="1134" w:left="1304" w:header="454" w:footer="510" w:gutter="0"/>
          <w:cols w:space="720"/>
          <w:docGrid w:linePitch="360"/>
        </w:sectPr>
      </w:pPr>
    </w:p>
    <w:p w:rsidR="0015731D" w:rsidRPr="00067B25" w:rsidRDefault="0015731D" w:rsidP="00140F14">
      <w:pPr>
        <w:pStyle w:val="Heading1"/>
        <w:spacing w:before="0"/>
      </w:pPr>
      <w:bookmarkStart w:id="135" w:name="_Toc388356495"/>
      <w:bookmarkStart w:id="136" w:name="_Toc477934221"/>
      <w:bookmarkStart w:id="137" w:name="_Toc9246020"/>
      <w:r w:rsidRPr="00F3284D">
        <w:lastRenderedPageBreak/>
        <w:t>Appendix 1</w:t>
      </w:r>
      <w:r w:rsidR="00391092">
        <w:t>:</w:t>
      </w:r>
      <w:r w:rsidRPr="00F3284D">
        <w:t xml:space="preserve"> </w:t>
      </w:r>
      <w:bookmarkEnd w:id="135"/>
      <w:r w:rsidRPr="00F3284D">
        <w:t>Process (</w:t>
      </w:r>
      <w:r w:rsidRPr="0075655E">
        <w:t>lead</w:t>
      </w:r>
      <w:r w:rsidRPr="00F3284D">
        <w:t>) and outcome (lag) performance indicators</w:t>
      </w:r>
      <w:bookmarkEnd w:id="136"/>
      <w:bookmarkEnd w:id="137"/>
    </w:p>
    <w:p w:rsidR="0015731D" w:rsidRPr="00067B25" w:rsidRDefault="0015731D" w:rsidP="00067B25">
      <w:pPr>
        <w:pStyle w:val="WoVGtablecaption"/>
      </w:pPr>
      <w:r w:rsidRPr="00D02EF4">
        <w:t>Examples of outcome (lag) performance indicators</w:t>
      </w:r>
    </w:p>
    <w:tbl>
      <w:tblPr>
        <w:tblStyle w:val="TableGrid"/>
        <w:tblW w:w="14005" w:type="dxa"/>
        <w:tblInd w:w="-5" w:type="dxa"/>
        <w:tblLook w:val="06A0" w:firstRow="1" w:lastRow="0" w:firstColumn="1" w:lastColumn="0" w:noHBand="1" w:noVBand="1"/>
      </w:tblPr>
      <w:tblGrid>
        <w:gridCol w:w="3657"/>
        <w:gridCol w:w="2069"/>
        <w:gridCol w:w="2070"/>
        <w:gridCol w:w="2069"/>
        <w:gridCol w:w="2070"/>
        <w:gridCol w:w="2070"/>
      </w:tblGrid>
      <w:tr w:rsidR="0015731D" w:rsidRPr="002F1E6E" w:rsidTr="00D02EF4">
        <w:trPr>
          <w:tblHeader/>
        </w:trPr>
        <w:tc>
          <w:tcPr>
            <w:tcW w:w="3657" w:type="dxa"/>
            <w:shd w:val="clear" w:color="auto" w:fill="92CDDC" w:themeFill="accent5" w:themeFillTint="99"/>
          </w:tcPr>
          <w:p w:rsidR="0015731D" w:rsidRPr="00067B25" w:rsidRDefault="0015731D" w:rsidP="00EE3B2D">
            <w:pPr>
              <w:pStyle w:val="WoVGtablecolhead"/>
              <w:rPr>
                <w:lang w:val="en-GB"/>
              </w:rPr>
            </w:pPr>
            <w:r w:rsidRPr="00067B25">
              <w:rPr>
                <w:lang w:val="en-GB"/>
              </w:rPr>
              <w:t>Performance indicator</w:t>
            </w:r>
          </w:p>
        </w:tc>
        <w:tc>
          <w:tcPr>
            <w:tcW w:w="2069" w:type="dxa"/>
            <w:shd w:val="clear" w:color="auto" w:fill="92CDDC" w:themeFill="accent5" w:themeFillTint="99"/>
          </w:tcPr>
          <w:p w:rsidR="0015731D" w:rsidRPr="00067B25" w:rsidRDefault="0015731D" w:rsidP="00EE3B2D">
            <w:pPr>
              <w:pStyle w:val="WoVGtablecolhead"/>
              <w:jc w:val="center"/>
              <w:rPr>
                <w:lang w:val="en-GB"/>
              </w:rPr>
            </w:pPr>
            <w:r w:rsidRPr="00067B25">
              <w:rPr>
                <w:lang w:val="en-GB"/>
              </w:rPr>
              <w:t>Senior management commitment</w:t>
            </w:r>
          </w:p>
        </w:tc>
        <w:tc>
          <w:tcPr>
            <w:tcW w:w="2070" w:type="dxa"/>
            <w:shd w:val="clear" w:color="auto" w:fill="92CDDC" w:themeFill="accent5" w:themeFillTint="99"/>
          </w:tcPr>
          <w:p w:rsidR="0015731D" w:rsidRPr="00067B25" w:rsidRDefault="0015731D" w:rsidP="00EE3B2D">
            <w:pPr>
              <w:pStyle w:val="WoVGtablecolhead"/>
              <w:jc w:val="center"/>
              <w:rPr>
                <w:lang w:val="en-GB"/>
              </w:rPr>
            </w:pPr>
            <w:r w:rsidRPr="00067B25">
              <w:rPr>
                <w:lang w:val="en-GB"/>
              </w:rPr>
              <w:t>Safety culture</w:t>
            </w:r>
          </w:p>
        </w:tc>
        <w:tc>
          <w:tcPr>
            <w:tcW w:w="2069" w:type="dxa"/>
            <w:shd w:val="clear" w:color="auto" w:fill="92CDDC" w:themeFill="accent5" w:themeFillTint="99"/>
          </w:tcPr>
          <w:p w:rsidR="0015731D" w:rsidRPr="00067B25" w:rsidRDefault="0015731D" w:rsidP="00EE3B2D">
            <w:pPr>
              <w:pStyle w:val="WoVGtablecolhead"/>
              <w:jc w:val="center"/>
              <w:rPr>
                <w:lang w:val="en-GB"/>
              </w:rPr>
            </w:pPr>
            <w:r w:rsidRPr="00067B25">
              <w:rPr>
                <w:lang w:val="en-GB"/>
              </w:rPr>
              <w:t>OHS systems</w:t>
            </w:r>
          </w:p>
        </w:tc>
        <w:tc>
          <w:tcPr>
            <w:tcW w:w="2070" w:type="dxa"/>
            <w:shd w:val="clear" w:color="auto" w:fill="92CDDC" w:themeFill="accent5" w:themeFillTint="99"/>
          </w:tcPr>
          <w:p w:rsidR="0015731D" w:rsidRPr="00067B25" w:rsidRDefault="0015731D" w:rsidP="00EE3B2D">
            <w:pPr>
              <w:pStyle w:val="WoVGtablecolhead"/>
              <w:jc w:val="center"/>
              <w:rPr>
                <w:lang w:val="en-GB"/>
              </w:rPr>
            </w:pPr>
            <w:r w:rsidRPr="00067B25">
              <w:rPr>
                <w:lang w:val="en-GB"/>
              </w:rPr>
              <w:t>Accountability</w:t>
            </w:r>
          </w:p>
        </w:tc>
        <w:tc>
          <w:tcPr>
            <w:tcW w:w="2070" w:type="dxa"/>
            <w:shd w:val="clear" w:color="auto" w:fill="92CDDC" w:themeFill="accent5" w:themeFillTint="99"/>
          </w:tcPr>
          <w:p w:rsidR="0015731D" w:rsidRPr="00067B25" w:rsidRDefault="0015731D" w:rsidP="00EE3B2D">
            <w:pPr>
              <w:pStyle w:val="WoVGtablecolhead"/>
              <w:jc w:val="center"/>
              <w:rPr>
                <w:lang w:val="en-GB"/>
              </w:rPr>
            </w:pPr>
            <w:r w:rsidRPr="00067B25">
              <w:rPr>
                <w:lang w:val="en-GB"/>
              </w:rPr>
              <w:t>Return to work</w:t>
            </w:r>
          </w:p>
        </w:tc>
      </w:tr>
      <w:tr w:rsidR="00396A51" w:rsidRPr="002F1E6E" w:rsidTr="00D02EF4">
        <w:tc>
          <w:tcPr>
            <w:tcW w:w="3657" w:type="dxa"/>
            <w:shd w:val="clear" w:color="auto" w:fill="DAEEF3" w:themeFill="accent5" w:themeFillTint="33"/>
          </w:tcPr>
          <w:p w:rsidR="00396A51" w:rsidRPr="002F1E6E" w:rsidRDefault="00396A51" w:rsidP="00396A51">
            <w:pPr>
              <w:pStyle w:val="WoVGtabletext"/>
              <w:rPr>
                <w:rFonts w:cs="Arial"/>
              </w:rPr>
            </w:pPr>
            <w:r w:rsidRPr="002F1E6E">
              <w:rPr>
                <w:rFonts w:cs="Arial"/>
              </w:rPr>
              <w:t>Fatalities</w:t>
            </w:r>
          </w:p>
        </w:tc>
        <w:tc>
          <w:tcPr>
            <w:tcW w:w="2069" w:type="dxa"/>
            <w:shd w:val="clear" w:color="auto" w:fill="F2F2F2" w:themeFill="background1" w:themeFillShade="F2"/>
          </w:tcPr>
          <w:p w:rsidR="00396A51" w:rsidRPr="00396A51" w:rsidRDefault="00396A51" w:rsidP="00727466">
            <w:pPr>
              <w:pStyle w:val="WoVGtabletick"/>
            </w:pPr>
          </w:p>
        </w:tc>
        <w:tc>
          <w:tcPr>
            <w:tcW w:w="2070" w:type="dxa"/>
            <w:shd w:val="clear" w:color="auto" w:fill="F2F2F2" w:themeFill="background1" w:themeFillShade="F2"/>
          </w:tcPr>
          <w:p w:rsidR="00396A51" w:rsidRPr="00396A51" w:rsidRDefault="00396A51" w:rsidP="00727466">
            <w:pPr>
              <w:pStyle w:val="WoVGtabletick"/>
            </w:pPr>
          </w:p>
        </w:tc>
        <w:tc>
          <w:tcPr>
            <w:tcW w:w="2069" w:type="dxa"/>
            <w:shd w:val="clear" w:color="auto" w:fill="F2F2F2" w:themeFill="background1" w:themeFillShade="F2"/>
          </w:tcPr>
          <w:p w:rsidR="00396A51" w:rsidRPr="00396A51" w:rsidRDefault="00396A51" w:rsidP="00727466">
            <w:pPr>
              <w:pStyle w:val="WoVGtabletick"/>
            </w:pPr>
          </w:p>
        </w:tc>
        <w:tc>
          <w:tcPr>
            <w:tcW w:w="2070" w:type="dxa"/>
            <w:shd w:val="clear" w:color="auto" w:fill="F2F2F2" w:themeFill="background1" w:themeFillShade="F2"/>
          </w:tcPr>
          <w:p w:rsidR="00396A51" w:rsidRDefault="00396A51" w:rsidP="00727466">
            <w:pPr>
              <w:pStyle w:val="WoVGtabletick"/>
            </w:pPr>
            <w:r w:rsidRPr="0064042B">
              <w:rPr>
                <w:noProof/>
              </w:rPr>
              <w:drawing>
                <wp:inline distT="0" distB="0" distL="0" distR="0" wp14:anchorId="45B2581C" wp14:editId="65EAF180">
                  <wp:extent cx="149400" cy="144000"/>
                  <wp:effectExtent l="0" t="0" r="3175" b="8890"/>
                  <wp:docPr id="125" name="Picture 12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Pr="00396A51" w:rsidRDefault="00396A51" w:rsidP="00727466">
            <w:pPr>
              <w:pStyle w:val="WoVGtabletick"/>
            </w:pPr>
          </w:p>
        </w:tc>
      </w:tr>
      <w:tr w:rsidR="00396A51" w:rsidRPr="002F1E6E" w:rsidTr="00D02EF4">
        <w:tc>
          <w:tcPr>
            <w:tcW w:w="3657" w:type="dxa"/>
            <w:shd w:val="clear" w:color="auto" w:fill="DAEEF3" w:themeFill="accent5" w:themeFillTint="33"/>
          </w:tcPr>
          <w:p w:rsidR="00396A51" w:rsidRPr="002F1E6E" w:rsidRDefault="00396A51" w:rsidP="00396A51">
            <w:pPr>
              <w:pStyle w:val="WoVGtabletext"/>
              <w:rPr>
                <w:rFonts w:cs="Arial"/>
              </w:rPr>
            </w:pPr>
            <w:r w:rsidRPr="002F1E6E">
              <w:rPr>
                <w:rFonts w:cs="Arial"/>
              </w:rPr>
              <w:t>Injuries</w:t>
            </w:r>
          </w:p>
        </w:tc>
        <w:tc>
          <w:tcPr>
            <w:tcW w:w="2069" w:type="dxa"/>
            <w:shd w:val="clear" w:color="auto" w:fill="F2F2F2" w:themeFill="background1" w:themeFillShade="F2"/>
          </w:tcPr>
          <w:p w:rsidR="00396A51" w:rsidRPr="00396A51" w:rsidRDefault="00396A51" w:rsidP="00727466">
            <w:pPr>
              <w:pStyle w:val="WoVGtabletick"/>
            </w:pPr>
          </w:p>
        </w:tc>
        <w:tc>
          <w:tcPr>
            <w:tcW w:w="2070" w:type="dxa"/>
            <w:shd w:val="clear" w:color="auto" w:fill="F2F2F2" w:themeFill="background1" w:themeFillShade="F2"/>
          </w:tcPr>
          <w:p w:rsidR="00396A51" w:rsidRPr="00396A51" w:rsidRDefault="00396A51" w:rsidP="00727466">
            <w:pPr>
              <w:pStyle w:val="WoVGtabletick"/>
            </w:pPr>
          </w:p>
        </w:tc>
        <w:tc>
          <w:tcPr>
            <w:tcW w:w="2069" w:type="dxa"/>
            <w:shd w:val="clear" w:color="auto" w:fill="F2F2F2" w:themeFill="background1" w:themeFillShade="F2"/>
          </w:tcPr>
          <w:p w:rsidR="00396A51" w:rsidRPr="00396A51" w:rsidRDefault="00396A51" w:rsidP="00727466">
            <w:pPr>
              <w:pStyle w:val="WoVGtabletick"/>
            </w:pPr>
          </w:p>
        </w:tc>
        <w:tc>
          <w:tcPr>
            <w:tcW w:w="2070" w:type="dxa"/>
            <w:shd w:val="clear" w:color="auto" w:fill="F2F2F2" w:themeFill="background1" w:themeFillShade="F2"/>
          </w:tcPr>
          <w:p w:rsidR="00396A51" w:rsidRDefault="00396A51" w:rsidP="00727466">
            <w:pPr>
              <w:pStyle w:val="WoVGtabletick"/>
            </w:pPr>
            <w:r w:rsidRPr="0064042B">
              <w:rPr>
                <w:noProof/>
              </w:rPr>
              <w:drawing>
                <wp:inline distT="0" distB="0" distL="0" distR="0" wp14:anchorId="049DBF3D" wp14:editId="32BE4594">
                  <wp:extent cx="149400" cy="144000"/>
                  <wp:effectExtent l="0" t="0" r="3175" b="8890"/>
                  <wp:docPr id="126" name="Picture 12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Pr="00396A51" w:rsidRDefault="00396A51" w:rsidP="00727466">
            <w:pPr>
              <w:pStyle w:val="WoVGtabletick"/>
            </w:pPr>
            <w:r w:rsidRPr="00396A51">
              <w:rPr>
                <w:noProof/>
              </w:rPr>
              <w:drawing>
                <wp:inline distT="0" distB="0" distL="0" distR="0" wp14:anchorId="1CEFDAEB" wp14:editId="38AE1BF3">
                  <wp:extent cx="149400" cy="144000"/>
                  <wp:effectExtent l="0" t="0" r="3175" b="8890"/>
                  <wp:docPr id="553" name="Picture 55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r>
      <w:tr w:rsidR="00396A51" w:rsidRPr="002F1E6E" w:rsidTr="00D02EF4">
        <w:tc>
          <w:tcPr>
            <w:tcW w:w="3657" w:type="dxa"/>
            <w:shd w:val="clear" w:color="auto" w:fill="DAEEF3" w:themeFill="accent5" w:themeFillTint="33"/>
          </w:tcPr>
          <w:p w:rsidR="00396A51" w:rsidRPr="002F1E6E" w:rsidRDefault="00396A51" w:rsidP="00396A51">
            <w:pPr>
              <w:pStyle w:val="WoVGtabletext"/>
              <w:rPr>
                <w:rFonts w:cs="Arial"/>
              </w:rPr>
            </w:pPr>
            <w:r w:rsidRPr="002F1E6E">
              <w:rPr>
                <w:rFonts w:cs="Arial"/>
              </w:rPr>
              <w:t>Incidents</w:t>
            </w:r>
          </w:p>
        </w:tc>
        <w:tc>
          <w:tcPr>
            <w:tcW w:w="2069" w:type="dxa"/>
            <w:shd w:val="clear" w:color="auto" w:fill="F2F2F2" w:themeFill="background1" w:themeFillShade="F2"/>
          </w:tcPr>
          <w:p w:rsidR="00396A51" w:rsidRPr="00396A51" w:rsidRDefault="00396A51" w:rsidP="00727466">
            <w:pPr>
              <w:pStyle w:val="WoVGtabletick"/>
            </w:pPr>
          </w:p>
        </w:tc>
        <w:tc>
          <w:tcPr>
            <w:tcW w:w="2070" w:type="dxa"/>
            <w:shd w:val="clear" w:color="auto" w:fill="F2F2F2" w:themeFill="background1" w:themeFillShade="F2"/>
          </w:tcPr>
          <w:p w:rsidR="00396A51" w:rsidRPr="00396A51" w:rsidRDefault="00396A51" w:rsidP="00727466">
            <w:pPr>
              <w:pStyle w:val="WoVGtabletick"/>
            </w:pPr>
          </w:p>
        </w:tc>
        <w:tc>
          <w:tcPr>
            <w:tcW w:w="2069" w:type="dxa"/>
            <w:shd w:val="clear" w:color="auto" w:fill="F2F2F2" w:themeFill="background1" w:themeFillShade="F2"/>
          </w:tcPr>
          <w:p w:rsidR="00396A51" w:rsidRPr="00396A51" w:rsidRDefault="00396A51" w:rsidP="00727466">
            <w:pPr>
              <w:pStyle w:val="WoVGtabletick"/>
            </w:pPr>
          </w:p>
        </w:tc>
        <w:tc>
          <w:tcPr>
            <w:tcW w:w="2070" w:type="dxa"/>
            <w:shd w:val="clear" w:color="auto" w:fill="F2F2F2" w:themeFill="background1" w:themeFillShade="F2"/>
          </w:tcPr>
          <w:p w:rsidR="00396A51" w:rsidRDefault="00396A51" w:rsidP="00727466">
            <w:pPr>
              <w:pStyle w:val="WoVGtabletick"/>
            </w:pPr>
            <w:r w:rsidRPr="0064042B">
              <w:rPr>
                <w:noProof/>
              </w:rPr>
              <w:drawing>
                <wp:inline distT="0" distB="0" distL="0" distR="0" wp14:anchorId="72F96008" wp14:editId="63E6040C">
                  <wp:extent cx="149400" cy="144000"/>
                  <wp:effectExtent l="0" t="0" r="3175" b="8890"/>
                  <wp:docPr id="127" name="Picture 12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Pr="00396A51" w:rsidRDefault="00396A51" w:rsidP="00727466">
            <w:pPr>
              <w:pStyle w:val="WoVGtabletick"/>
            </w:pPr>
          </w:p>
        </w:tc>
      </w:tr>
      <w:tr w:rsidR="00396A51" w:rsidRPr="002F1E6E" w:rsidTr="00D02EF4">
        <w:tc>
          <w:tcPr>
            <w:tcW w:w="3657" w:type="dxa"/>
            <w:shd w:val="clear" w:color="auto" w:fill="DAEEF3" w:themeFill="accent5" w:themeFillTint="33"/>
          </w:tcPr>
          <w:p w:rsidR="00396A51" w:rsidRPr="002F1E6E" w:rsidRDefault="00396A51" w:rsidP="00396A51">
            <w:pPr>
              <w:pStyle w:val="WoVGtabletext"/>
              <w:rPr>
                <w:rFonts w:cs="Arial"/>
              </w:rPr>
            </w:pPr>
            <w:r w:rsidRPr="002F1E6E">
              <w:rPr>
                <w:rFonts w:cs="Arial"/>
              </w:rPr>
              <w:t>Claims</w:t>
            </w:r>
          </w:p>
        </w:tc>
        <w:tc>
          <w:tcPr>
            <w:tcW w:w="2069" w:type="dxa"/>
            <w:shd w:val="clear" w:color="auto" w:fill="F2F2F2" w:themeFill="background1" w:themeFillShade="F2"/>
          </w:tcPr>
          <w:p w:rsidR="00396A51" w:rsidRPr="00396A51" w:rsidRDefault="00396A51" w:rsidP="00727466">
            <w:pPr>
              <w:pStyle w:val="WoVGtabletick"/>
            </w:pPr>
          </w:p>
        </w:tc>
        <w:tc>
          <w:tcPr>
            <w:tcW w:w="2070" w:type="dxa"/>
            <w:shd w:val="clear" w:color="auto" w:fill="F2F2F2" w:themeFill="background1" w:themeFillShade="F2"/>
          </w:tcPr>
          <w:p w:rsidR="00396A51" w:rsidRPr="00396A51" w:rsidRDefault="00396A51" w:rsidP="00727466">
            <w:pPr>
              <w:pStyle w:val="WoVGtabletick"/>
            </w:pPr>
          </w:p>
        </w:tc>
        <w:tc>
          <w:tcPr>
            <w:tcW w:w="2069" w:type="dxa"/>
            <w:shd w:val="clear" w:color="auto" w:fill="F2F2F2" w:themeFill="background1" w:themeFillShade="F2"/>
          </w:tcPr>
          <w:p w:rsidR="00396A51" w:rsidRPr="00396A51" w:rsidRDefault="00396A51" w:rsidP="00727466">
            <w:pPr>
              <w:pStyle w:val="WoVGtabletick"/>
            </w:pPr>
          </w:p>
        </w:tc>
        <w:tc>
          <w:tcPr>
            <w:tcW w:w="2070" w:type="dxa"/>
            <w:shd w:val="clear" w:color="auto" w:fill="F2F2F2" w:themeFill="background1" w:themeFillShade="F2"/>
          </w:tcPr>
          <w:p w:rsidR="00396A51" w:rsidRDefault="00396A51" w:rsidP="00727466">
            <w:pPr>
              <w:pStyle w:val="WoVGtabletick"/>
            </w:pPr>
            <w:r w:rsidRPr="0064042B">
              <w:rPr>
                <w:noProof/>
              </w:rPr>
              <w:drawing>
                <wp:inline distT="0" distB="0" distL="0" distR="0" wp14:anchorId="2F5148A7" wp14:editId="5C5CF387">
                  <wp:extent cx="149400" cy="144000"/>
                  <wp:effectExtent l="0" t="0" r="3175" b="8890"/>
                  <wp:docPr id="544" name="Picture 54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Default="00396A51" w:rsidP="00727466">
            <w:pPr>
              <w:pStyle w:val="WoVGtabletick"/>
            </w:pPr>
            <w:r w:rsidRPr="001C1B2B">
              <w:rPr>
                <w:noProof/>
              </w:rPr>
              <w:drawing>
                <wp:inline distT="0" distB="0" distL="0" distR="0" wp14:anchorId="7097C6DD" wp14:editId="09B4F75D">
                  <wp:extent cx="149400" cy="144000"/>
                  <wp:effectExtent l="0" t="0" r="3175" b="8890"/>
                  <wp:docPr id="554" name="Picture 55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r>
      <w:tr w:rsidR="00396A51" w:rsidRPr="002F1E6E" w:rsidTr="00D02EF4">
        <w:tc>
          <w:tcPr>
            <w:tcW w:w="3657" w:type="dxa"/>
            <w:shd w:val="clear" w:color="auto" w:fill="DAEEF3" w:themeFill="accent5" w:themeFillTint="33"/>
          </w:tcPr>
          <w:p w:rsidR="00396A51" w:rsidRPr="002F1E6E" w:rsidRDefault="00396A51" w:rsidP="00396A51">
            <w:pPr>
              <w:pStyle w:val="WoVGtabletext"/>
              <w:rPr>
                <w:rFonts w:cs="Arial"/>
              </w:rPr>
            </w:pPr>
            <w:r w:rsidRPr="002F1E6E">
              <w:rPr>
                <w:rFonts w:cs="Arial"/>
              </w:rPr>
              <w:t>Claim costs</w:t>
            </w:r>
          </w:p>
        </w:tc>
        <w:tc>
          <w:tcPr>
            <w:tcW w:w="2069" w:type="dxa"/>
            <w:shd w:val="clear" w:color="auto" w:fill="F2F2F2" w:themeFill="background1" w:themeFillShade="F2"/>
          </w:tcPr>
          <w:p w:rsidR="00396A51" w:rsidRPr="00396A51" w:rsidRDefault="00396A51" w:rsidP="00727466">
            <w:pPr>
              <w:pStyle w:val="WoVGtabletick"/>
            </w:pPr>
          </w:p>
        </w:tc>
        <w:tc>
          <w:tcPr>
            <w:tcW w:w="2070" w:type="dxa"/>
            <w:shd w:val="clear" w:color="auto" w:fill="F2F2F2" w:themeFill="background1" w:themeFillShade="F2"/>
          </w:tcPr>
          <w:p w:rsidR="00396A51" w:rsidRPr="00396A51" w:rsidRDefault="00396A51" w:rsidP="00727466">
            <w:pPr>
              <w:pStyle w:val="WoVGtabletick"/>
            </w:pPr>
          </w:p>
        </w:tc>
        <w:tc>
          <w:tcPr>
            <w:tcW w:w="2069" w:type="dxa"/>
            <w:shd w:val="clear" w:color="auto" w:fill="F2F2F2" w:themeFill="background1" w:themeFillShade="F2"/>
          </w:tcPr>
          <w:p w:rsidR="00396A51" w:rsidRPr="00396A51" w:rsidRDefault="00396A51" w:rsidP="00727466">
            <w:pPr>
              <w:pStyle w:val="WoVGtabletick"/>
            </w:pPr>
          </w:p>
        </w:tc>
        <w:tc>
          <w:tcPr>
            <w:tcW w:w="2070" w:type="dxa"/>
            <w:shd w:val="clear" w:color="auto" w:fill="F2F2F2" w:themeFill="background1" w:themeFillShade="F2"/>
          </w:tcPr>
          <w:p w:rsidR="00396A51" w:rsidRDefault="00396A51" w:rsidP="00727466">
            <w:pPr>
              <w:pStyle w:val="WoVGtabletick"/>
            </w:pPr>
            <w:r w:rsidRPr="0064042B">
              <w:rPr>
                <w:noProof/>
              </w:rPr>
              <w:drawing>
                <wp:inline distT="0" distB="0" distL="0" distR="0" wp14:anchorId="52523D70" wp14:editId="380BDF62">
                  <wp:extent cx="149400" cy="144000"/>
                  <wp:effectExtent l="0" t="0" r="3175" b="8890"/>
                  <wp:docPr id="545" name="Picture 54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Default="00396A51" w:rsidP="00727466">
            <w:pPr>
              <w:pStyle w:val="WoVGtabletick"/>
            </w:pPr>
            <w:r w:rsidRPr="001C1B2B">
              <w:rPr>
                <w:noProof/>
              </w:rPr>
              <w:drawing>
                <wp:inline distT="0" distB="0" distL="0" distR="0" wp14:anchorId="67E8DEB8" wp14:editId="6BB532C0">
                  <wp:extent cx="149400" cy="144000"/>
                  <wp:effectExtent l="0" t="0" r="3175" b="8890"/>
                  <wp:docPr id="555" name="Picture 55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r>
      <w:tr w:rsidR="00396A51" w:rsidTr="00D02EF4">
        <w:tc>
          <w:tcPr>
            <w:tcW w:w="3657" w:type="dxa"/>
            <w:shd w:val="clear" w:color="auto" w:fill="DAEEF3" w:themeFill="accent5" w:themeFillTint="33"/>
          </w:tcPr>
          <w:p w:rsidR="00396A51" w:rsidRPr="002F1E6E" w:rsidRDefault="00396A51" w:rsidP="00396A51">
            <w:pPr>
              <w:pStyle w:val="WoVGtabletext"/>
              <w:rPr>
                <w:rFonts w:cs="Arial"/>
              </w:rPr>
            </w:pPr>
            <w:r w:rsidRPr="002F1E6E">
              <w:rPr>
                <w:rFonts w:cs="Arial"/>
              </w:rPr>
              <w:t>Prosecutions/fines</w:t>
            </w:r>
          </w:p>
        </w:tc>
        <w:tc>
          <w:tcPr>
            <w:tcW w:w="2069" w:type="dxa"/>
            <w:shd w:val="clear" w:color="auto" w:fill="F2F2F2" w:themeFill="background1" w:themeFillShade="F2"/>
          </w:tcPr>
          <w:p w:rsidR="00396A51" w:rsidRPr="00396A51" w:rsidRDefault="00396A51" w:rsidP="00727466">
            <w:pPr>
              <w:pStyle w:val="WoVGtabletick"/>
            </w:pPr>
            <w:r w:rsidRPr="00396A51">
              <w:rPr>
                <w:noProof/>
              </w:rPr>
              <w:drawing>
                <wp:inline distT="0" distB="0" distL="0" distR="0" wp14:anchorId="23ADB2F9" wp14:editId="59B7B9B2">
                  <wp:extent cx="149400" cy="144000"/>
                  <wp:effectExtent l="0" t="0" r="3175" b="8890"/>
                  <wp:docPr id="300" name="Picture 300"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Pr="00396A51" w:rsidRDefault="00396A51" w:rsidP="00727466">
            <w:pPr>
              <w:pStyle w:val="WoVGtabletick"/>
            </w:pPr>
          </w:p>
        </w:tc>
        <w:tc>
          <w:tcPr>
            <w:tcW w:w="2069" w:type="dxa"/>
            <w:shd w:val="clear" w:color="auto" w:fill="F2F2F2" w:themeFill="background1" w:themeFillShade="F2"/>
          </w:tcPr>
          <w:p w:rsidR="00396A51" w:rsidRDefault="00396A51" w:rsidP="00727466">
            <w:pPr>
              <w:pStyle w:val="WoVGtabletick"/>
            </w:pPr>
            <w:r w:rsidRPr="00736BE7">
              <w:rPr>
                <w:noProof/>
              </w:rPr>
              <w:drawing>
                <wp:inline distT="0" distB="0" distL="0" distR="0" wp14:anchorId="785BC730" wp14:editId="73F5815C">
                  <wp:extent cx="149400" cy="144000"/>
                  <wp:effectExtent l="0" t="0" r="3175" b="8890"/>
                  <wp:docPr id="548" name="Picture 54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Default="00396A51" w:rsidP="00727466">
            <w:pPr>
              <w:pStyle w:val="WoVGtabletick"/>
            </w:pPr>
            <w:r w:rsidRPr="00736BE7">
              <w:rPr>
                <w:noProof/>
              </w:rPr>
              <w:drawing>
                <wp:inline distT="0" distB="0" distL="0" distR="0" wp14:anchorId="2C708941" wp14:editId="744E4C91">
                  <wp:extent cx="149400" cy="144000"/>
                  <wp:effectExtent l="0" t="0" r="3175" b="8890"/>
                  <wp:docPr id="549" name="Picture 54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Default="00396A51" w:rsidP="00727466">
            <w:pPr>
              <w:pStyle w:val="WoVGtabletick"/>
            </w:pPr>
            <w:r w:rsidRPr="001C1B2B">
              <w:rPr>
                <w:noProof/>
              </w:rPr>
              <w:drawing>
                <wp:inline distT="0" distB="0" distL="0" distR="0" wp14:anchorId="4F1574A1" wp14:editId="0528278C">
                  <wp:extent cx="149400" cy="144000"/>
                  <wp:effectExtent l="0" t="0" r="3175" b="8890"/>
                  <wp:docPr id="556" name="Picture 55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r>
      <w:tr w:rsidR="00396A51" w:rsidTr="00D02EF4">
        <w:tc>
          <w:tcPr>
            <w:tcW w:w="3657" w:type="dxa"/>
            <w:shd w:val="clear" w:color="auto" w:fill="DAEEF3" w:themeFill="accent5" w:themeFillTint="33"/>
          </w:tcPr>
          <w:p w:rsidR="00396A51" w:rsidRPr="002F1E6E" w:rsidRDefault="00396A51" w:rsidP="00396A51">
            <w:pPr>
              <w:pStyle w:val="WoVGtabletext"/>
              <w:rPr>
                <w:rFonts w:cs="Arial"/>
              </w:rPr>
            </w:pPr>
            <w:r w:rsidRPr="002F1E6E">
              <w:rPr>
                <w:rFonts w:cs="Arial"/>
              </w:rPr>
              <w:t>Compliance WSV notice/ visit rate</w:t>
            </w:r>
          </w:p>
        </w:tc>
        <w:tc>
          <w:tcPr>
            <w:tcW w:w="2069" w:type="dxa"/>
            <w:shd w:val="clear" w:color="auto" w:fill="F2F2F2" w:themeFill="background1" w:themeFillShade="F2"/>
          </w:tcPr>
          <w:p w:rsidR="00396A51" w:rsidRPr="00396A51" w:rsidRDefault="00396A51" w:rsidP="00727466">
            <w:pPr>
              <w:pStyle w:val="WoVGtabletick"/>
            </w:pPr>
          </w:p>
        </w:tc>
        <w:tc>
          <w:tcPr>
            <w:tcW w:w="2070" w:type="dxa"/>
            <w:shd w:val="clear" w:color="auto" w:fill="F2F2F2" w:themeFill="background1" w:themeFillShade="F2"/>
          </w:tcPr>
          <w:p w:rsidR="00396A51" w:rsidRPr="00396A51" w:rsidRDefault="00396A51" w:rsidP="00727466">
            <w:pPr>
              <w:pStyle w:val="WoVGtabletick"/>
            </w:pPr>
          </w:p>
        </w:tc>
        <w:tc>
          <w:tcPr>
            <w:tcW w:w="2069" w:type="dxa"/>
            <w:shd w:val="clear" w:color="auto" w:fill="F2F2F2" w:themeFill="background1" w:themeFillShade="F2"/>
          </w:tcPr>
          <w:p w:rsidR="00396A51" w:rsidRDefault="00396A51" w:rsidP="00727466">
            <w:pPr>
              <w:pStyle w:val="WoVGtabletick"/>
            </w:pPr>
            <w:r w:rsidRPr="00736BE7">
              <w:rPr>
                <w:noProof/>
              </w:rPr>
              <w:drawing>
                <wp:inline distT="0" distB="0" distL="0" distR="0" wp14:anchorId="3C5EFEB2" wp14:editId="235DCEE7">
                  <wp:extent cx="149400" cy="144000"/>
                  <wp:effectExtent l="0" t="0" r="3175" b="8890"/>
                  <wp:docPr id="2" name="Picture 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Default="00396A51" w:rsidP="00727466">
            <w:pPr>
              <w:pStyle w:val="WoVGtabletick"/>
            </w:pPr>
            <w:r w:rsidRPr="00736BE7">
              <w:rPr>
                <w:noProof/>
              </w:rPr>
              <w:drawing>
                <wp:inline distT="0" distB="0" distL="0" distR="0" wp14:anchorId="60D73E65" wp14:editId="3C8197A9">
                  <wp:extent cx="149400" cy="144000"/>
                  <wp:effectExtent l="0" t="0" r="3175" b="8890"/>
                  <wp:docPr id="551" name="Picture 55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Default="00396A51" w:rsidP="00727466">
            <w:pPr>
              <w:pStyle w:val="WoVGtabletick"/>
            </w:pPr>
            <w:r w:rsidRPr="001C1B2B">
              <w:rPr>
                <w:noProof/>
              </w:rPr>
              <w:drawing>
                <wp:inline distT="0" distB="0" distL="0" distR="0" wp14:anchorId="41394161" wp14:editId="4C8DFC2E">
                  <wp:extent cx="149400" cy="144000"/>
                  <wp:effectExtent l="0" t="0" r="3175" b="8890"/>
                  <wp:docPr id="557" name="Picture 55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r>
      <w:tr w:rsidR="00396A51" w:rsidTr="00D02EF4">
        <w:tc>
          <w:tcPr>
            <w:tcW w:w="3657" w:type="dxa"/>
            <w:shd w:val="clear" w:color="auto" w:fill="DAEEF3" w:themeFill="accent5" w:themeFillTint="33"/>
          </w:tcPr>
          <w:p w:rsidR="00396A51" w:rsidRPr="002F1E6E" w:rsidRDefault="00396A51" w:rsidP="00396A51">
            <w:pPr>
              <w:pStyle w:val="WoVGtabletext"/>
              <w:rPr>
                <w:rFonts w:cs="Arial"/>
              </w:rPr>
            </w:pPr>
            <w:r w:rsidRPr="002F1E6E">
              <w:rPr>
                <w:rFonts w:cs="Arial"/>
              </w:rPr>
              <w:t>Return to work index</w:t>
            </w:r>
          </w:p>
        </w:tc>
        <w:tc>
          <w:tcPr>
            <w:tcW w:w="2069" w:type="dxa"/>
            <w:shd w:val="clear" w:color="auto" w:fill="F2F2F2" w:themeFill="background1" w:themeFillShade="F2"/>
          </w:tcPr>
          <w:p w:rsidR="00396A51" w:rsidRPr="00396A51" w:rsidRDefault="00396A51" w:rsidP="00727466">
            <w:pPr>
              <w:pStyle w:val="WoVGtabletick"/>
            </w:pPr>
          </w:p>
        </w:tc>
        <w:tc>
          <w:tcPr>
            <w:tcW w:w="2070" w:type="dxa"/>
            <w:shd w:val="clear" w:color="auto" w:fill="F2F2F2" w:themeFill="background1" w:themeFillShade="F2"/>
          </w:tcPr>
          <w:p w:rsidR="00396A51" w:rsidRPr="00396A51" w:rsidRDefault="00396A51" w:rsidP="00727466">
            <w:pPr>
              <w:pStyle w:val="WoVGtabletick"/>
            </w:pPr>
          </w:p>
        </w:tc>
        <w:tc>
          <w:tcPr>
            <w:tcW w:w="2069" w:type="dxa"/>
            <w:shd w:val="clear" w:color="auto" w:fill="F2F2F2" w:themeFill="background1" w:themeFillShade="F2"/>
          </w:tcPr>
          <w:p w:rsidR="00396A51" w:rsidRPr="00396A51" w:rsidRDefault="00396A51" w:rsidP="00727466">
            <w:pPr>
              <w:pStyle w:val="WoVGtabletick"/>
            </w:pPr>
          </w:p>
        </w:tc>
        <w:tc>
          <w:tcPr>
            <w:tcW w:w="2070" w:type="dxa"/>
            <w:shd w:val="clear" w:color="auto" w:fill="F2F2F2" w:themeFill="background1" w:themeFillShade="F2"/>
          </w:tcPr>
          <w:p w:rsidR="00396A51" w:rsidRPr="00396A51" w:rsidRDefault="00396A51" w:rsidP="00727466">
            <w:pPr>
              <w:pStyle w:val="WoVGtabletick"/>
            </w:pPr>
          </w:p>
        </w:tc>
        <w:tc>
          <w:tcPr>
            <w:tcW w:w="2070" w:type="dxa"/>
            <w:shd w:val="clear" w:color="auto" w:fill="F2F2F2" w:themeFill="background1" w:themeFillShade="F2"/>
          </w:tcPr>
          <w:p w:rsidR="00396A51" w:rsidRDefault="00396A51" w:rsidP="00727466">
            <w:pPr>
              <w:pStyle w:val="WoVGtabletick"/>
            </w:pPr>
            <w:r w:rsidRPr="001C1B2B">
              <w:rPr>
                <w:noProof/>
              </w:rPr>
              <w:drawing>
                <wp:inline distT="0" distB="0" distL="0" distR="0" wp14:anchorId="53FFDE43" wp14:editId="19FE9186">
                  <wp:extent cx="149400" cy="144000"/>
                  <wp:effectExtent l="0" t="0" r="3175" b="8890"/>
                  <wp:docPr id="558" name="Picture 55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r>
    </w:tbl>
    <w:p w:rsidR="00D02EF4" w:rsidRPr="00067B25" w:rsidRDefault="00D02EF4" w:rsidP="00D02EF4">
      <w:pPr>
        <w:pStyle w:val="WoVGtablecaption"/>
      </w:pPr>
      <w:r w:rsidRPr="00D02EF4">
        <w:t>Examples of process (lead) performance indicators</w:t>
      </w:r>
    </w:p>
    <w:tbl>
      <w:tblPr>
        <w:tblStyle w:val="TableGrid"/>
        <w:tblW w:w="14005" w:type="dxa"/>
        <w:tblInd w:w="-5" w:type="dxa"/>
        <w:tblLook w:val="04A0" w:firstRow="1" w:lastRow="0" w:firstColumn="1" w:lastColumn="0" w:noHBand="0" w:noVBand="1"/>
      </w:tblPr>
      <w:tblGrid>
        <w:gridCol w:w="3657"/>
        <w:gridCol w:w="2069"/>
        <w:gridCol w:w="2070"/>
        <w:gridCol w:w="2069"/>
        <w:gridCol w:w="2070"/>
        <w:gridCol w:w="2070"/>
      </w:tblGrid>
      <w:tr w:rsidR="00D02EF4" w:rsidTr="00D02EF4">
        <w:trPr>
          <w:tblHeader/>
        </w:trPr>
        <w:tc>
          <w:tcPr>
            <w:tcW w:w="3657" w:type="dxa"/>
            <w:shd w:val="clear" w:color="auto" w:fill="92CDDC"/>
          </w:tcPr>
          <w:p w:rsidR="00D02EF4" w:rsidRPr="00067B25" w:rsidRDefault="00D02EF4" w:rsidP="00D02EF4">
            <w:pPr>
              <w:pStyle w:val="WoVGtablecolhead"/>
              <w:rPr>
                <w:lang w:val="en-GB"/>
              </w:rPr>
            </w:pPr>
            <w:r w:rsidRPr="00067B25">
              <w:rPr>
                <w:lang w:val="en-GB"/>
              </w:rPr>
              <w:t>Performance indicator</w:t>
            </w:r>
          </w:p>
        </w:tc>
        <w:tc>
          <w:tcPr>
            <w:tcW w:w="2069" w:type="dxa"/>
            <w:shd w:val="clear" w:color="auto" w:fill="92CDDC"/>
          </w:tcPr>
          <w:p w:rsidR="00D02EF4" w:rsidRPr="00067B25" w:rsidRDefault="00D02EF4" w:rsidP="00D02EF4">
            <w:pPr>
              <w:pStyle w:val="WoVGtablecolhead"/>
              <w:jc w:val="center"/>
              <w:rPr>
                <w:lang w:val="en-GB"/>
              </w:rPr>
            </w:pPr>
            <w:r w:rsidRPr="00067B25">
              <w:rPr>
                <w:lang w:val="en-GB"/>
              </w:rPr>
              <w:t>Senior management commitment</w:t>
            </w:r>
          </w:p>
        </w:tc>
        <w:tc>
          <w:tcPr>
            <w:tcW w:w="2070" w:type="dxa"/>
            <w:shd w:val="clear" w:color="auto" w:fill="92CDDC"/>
          </w:tcPr>
          <w:p w:rsidR="00D02EF4" w:rsidRPr="00067B25" w:rsidRDefault="00D02EF4" w:rsidP="00D02EF4">
            <w:pPr>
              <w:pStyle w:val="WoVGtablecolhead"/>
              <w:jc w:val="center"/>
              <w:rPr>
                <w:lang w:val="en-GB"/>
              </w:rPr>
            </w:pPr>
            <w:r w:rsidRPr="00067B25">
              <w:rPr>
                <w:lang w:val="en-GB"/>
              </w:rPr>
              <w:t>Safety culture</w:t>
            </w:r>
          </w:p>
        </w:tc>
        <w:tc>
          <w:tcPr>
            <w:tcW w:w="2069" w:type="dxa"/>
            <w:shd w:val="clear" w:color="auto" w:fill="92CDDC"/>
          </w:tcPr>
          <w:p w:rsidR="00D02EF4" w:rsidRPr="00067B25" w:rsidRDefault="00D02EF4" w:rsidP="00D02EF4">
            <w:pPr>
              <w:pStyle w:val="WoVGtablecolhead"/>
              <w:jc w:val="center"/>
              <w:rPr>
                <w:lang w:val="en-GB"/>
              </w:rPr>
            </w:pPr>
            <w:r w:rsidRPr="00067B25">
              <w:rPr>
                <w:lang w:val="en-GB"/>
              </w:rPr>
              <w:t>OHS systems</w:t>
            </w:r>
          </w:p>
        </w:tc>
        <w:tc>
          <w:tcPr>
            <w:tcW w:w="2070" w:type="dxa"/>
            <w:shd w:val="clear" w:color="auto" w:fill="92CDDC"/>
          </w:tcPr>
          <w:p w:rsidR="00D02EF4" w:rsidRPr="00067B25" w:rsidRDefault="00D02EF4" w:rsidP="00D02EF4">
            <w:pPr>
              <w:pStyle w:val="WoVGtablecolhead"/>
              <w:jc w:val="center"/>
              <w:rPr>
                <w:lang w:val="en-GB"/>
              </w:rPr>
            </w:pPr>
            <w:r w:rsidRPr="00067B25">
              <w:rPr>
                <w:lang w:val="en-GB"/>
              </w:rPr>
              <w:t>Accountability</w:t>
            </w:r>
          </w:p>
        </w:tc>
        <w:tc>
          <w:tcPr>
            <w:tcW w:w="2070" w:type="dxa"/>
            <w:shd w:val="clear" w:color="auto" w:fill="92CDDC"/>
          </w:tcPr>
          <w:p w:rsidR="00D02EF4" w:rsidRPr="00067B25" w:rsidRDefault="00D02EF4" w:rsidP="00D02EF4">
            <w:pPr>
              <w:pStyle w:val="WoVGtablecolhead"/>
              <w:jc w:val="center"/>
              <w:rPr>
                <w:lang w:val="en-GB"/>
              </w:rPr>
            </w:pPr>
            <w:r w:rsidRPr="00067B25">
              <w:rPr>
                <w:lang w:val="en-GB"/>
              </w:rPr>
              <w:t>Return to work</w:t>
            </w:r>
          </w:p>
        </w:tc>
      </w:tr>
      <w:tr w:rsidR="00396A51" w:rsidTr="0052429F">
        <w:tc>
          <w:tcPr>
            <w:tcW w:w="3657" w:type="dxa"/>
            <w:shd w:val="clear" w:color="auto" w:fill="DAEEF3" w:themeFill="accent5" w:themeFillTint="33"/>
          </w:tcPr>
          <w:p w:rsidR="00396A51" w:rsidRPr="002F1E6E" w:rsidRDefault="00396A51" w:rsidP="00396A51">
            <w:pPr>
              <w:pStyle w:val="WoVGtabletext"/>
              <w:rPr>
                <w:rFonts w:cs="Arial"/>
              </w:rPr>
            </w:pPr>
            <w:r w:rsidRPr="002F1E6E">
              <w:rPr>
                <w:rFonts w:cs="Arial"/>
              </w:rPr>
              <w:t>Objectives &amp; targets</w:t>
            </w:r>
          </w:p>
        </w:tc>
        <w:tc>
          <w:tcPr>
            <w:tcW w:w="2069" w:type="dxa"/>
            <w:shd w:val="clear" w:color="auto" w:fill="F2F2F2" w:themeFill="background1" w:themeFillShade="F2"/>
          </w:tcPr>
          <w:p w:rsidR="00396A51" w:rsidRDefault="00396A51" w:rsidP="00727466">
            <w:pPr>
              <w:pStyle w:val="WoVGtabletick"/>
            </w:pPr>
            <w:r w:rsidRPr="003A790D">
              <w:rPr>
                <w:noProof/>
              </w:rPr>
              <w:drawing>
                <wp:inline distT="0" distB="0" distL="0" distR="0" wp14:anchorId="0E875BBD" wp14:editId="79D71C2D">
                  <wp:extent cx="149400" cy="144000"/>
                  <wp:effectExtent l="0" t="0" r="3175" b="8890"/>
                  <wp:docPr id="563" name="Picture 56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Default="00396A51" w:rsidP="00727466">
            <w:pPr>
              <w:pStyle w:val="WoVGtabletick"/>
            </w:pPr>
            <w:r w:rsidRPr="003A790D">
              <w:rPr>
                <w:noProof/>
              </w:rPr>
              <w:drawing>
                <wp:inline distT="0" distB="0" distL="0" distR="0" wp14:anchorId="7356CB9C" wp14:editId="63CE172E">
                  <wp:extent cx="149400" cy="144000"/>
                  <wp:effectExtent l="0" t="0" r="3175" b="8890"/>
                  <wp:docPr id="564" name="Picture 56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69" w:type="dxa"/>
            <w:shd w:val="clear" w:color="auto" w:fill="F2F2F2" w:themeFill="background1" w:themeFillShade="F2"/>
          </w:tcPr>
          <w:p w:rsidR="00396A51" w:rsidRDefault="00396A51" w:rsidP="00727466">
            <w:pPr>
              <w:pStyle w:val="WoVGtabletick"/>
            </w:pPr>
            <w:r w:rsidRPr="003A790D">
              <w:rPr>
                <w:noProof/>
              </w:rPr>
              <w:drawing>
                <wp:inline distT="0" distB="0" distL="0" distR="0" wp14:anchorId="41AF5162" wp14:editId="7DD1F696">
                  <wp:extent cx="149400" cy="144000"/>
                  <wp:effectExtent l="0" t="0" r="3175" b="8890"/>
                  <wp:docPr id="565" name="Picture 56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Default="00396A51" w:rsidP="00727466">
            <w:pPr>
              <w:pStyle w:val="WoVGtabletick"/>
            </w:pPr>
            <w:r w:rsidRPr="003A790D">
              <w:rPr>
                <w:noProof/>
              </w:rPr>
              <w:drawing>
                <wp:inline distT="0" distB="0" distL="0" distR="0" wp14:anchorId="3A990752" wp14:editId="1BBAB9DF">
                  <wp:extent cx="149400" cy="144000"/>
                  <wp:effectExtent l="0" t="0" r="3175" b="8890"/>
                  <wp:docPr id="566" name="Picture 56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Pr="002F1E6E" w:rsidRDefault="00396A51" w:rsidP="00727466">
            <w:pPr>
              <w:pStyle w:val="WoVGtabletick"/>
              <w:rPr>
                <w:rFonts w:cs="Arial"/>
              </w:rPr>
            </w:pPr>
          </w:p>
        </w:tc>
      </w:tr>
      <w:tr w:rsidR="00396A51" w:rsidTr="0052429F">
        <w:tc>
          <w:tcPr>
            <w:tcW w:w="3657" w:type="dxa"/>
            <w:shd w:val="clear" w:color="auto" w:fill="DAEEF3" w:themeFill="accent5" w:themeFillTint="33"/>
          </w:tcPr>
          <w:p w:rsidR="00396A51" w:rsidRPr="002F1E6E" w:rsidRDefault="00396A51" w:rsidP="00396A51">
            <w:pPr>
              <w:pStyle w:val="WoVGtabletext"/>
              <w:rPr>
                <w:rFonts w:cs="Arial"/>
              </w:rPr>
            </w:pPr>
            <w:r w:rsidRPr="002F1E6E">
              <w:rPr>
                <w:rFonts w:cs="Arial"/>
              </w:rPr>
              <w:t>OHS communications</w:t>
            </w:r>
          </w:p>
        </w:tc>
        <w:tc>
          <w:tcPr>
            <w:tcW w:w="2069" w:type="dxa"/>
            <w:shd w:val="clear" w:color="auto" w:fill="F2F2F2" w:themeFill="background1" w:themeFillShade="F2"/>
          </w:tcPr>
          <w:p w:rsidR="00396A51" w:rsidRDefault="00396A51" w:rsidP="00727466">
            <w:pPr>
              <w:pStyle w:val="WoVGtabletick"/>
            </w:pPr>
            <w:r w:rsidRPr="00AA7EDC">
              <w:rPr>
                <w:noProof/>
              </w:rPr>
              <w:drawing>
                <wp:inline distT="0" distB="0" distL="0" distR="0" wp14:anchorId="1D9800AC" wp14:editId="6B5E88CB">
                  <wp:extent cx="149400" cy="144000"/>
                  <wp:effectExtent l="0" t="0" r="3175" b="8890"/>
                  <wp:docPr id="567" name="Picture 56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Default="00396A51" w:rsidP="00727466">
            <w:pPr>
              <w:pStyle w:val="WoVGtabletick"/>
            </w:pPr>
            <w:r w:rsidRPr="00AA7EDC">
              <w:rPr>
                <w:noProof/>
              </w:rPr>
              <w:drawing>
                <wp:inline distT="0" distB="0" distL="0" distR="0" wp14:anchorId="7A0CD35F" wp14:editId="5915D58D">
                  <wp:extent cx="149400" cy="144000"/>
                  <wp:effectExtent l="0" t="0" r="3175" b="8890"/>
                  <wp:docPr id="568" name="Picture 56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69" w:type="dxa"/>
            <w:shd w:val="clear" w:color="auto" w:fill="F2F2F2" w:themeFill="background1" w:themeFillShade="F2"/>
          </w:tcPr>
          <w:p w:rsidR="00396A51" w:rsidRDefault="00396A51" w:rsidP="00727466">
            <w:pPr>
              <w:pStyle w:val="WoVGtabletick"/>
            </w:pPr>
            <w:r w:rsidRPr="00AA7EDC">
              <w:rPr>
                <w:noProof/>
              </w:rPr>
              <w:drawing>
                <wp:inline distT="0" distB="0" distL="0" distR="0" wp14:anchorId="7FB504F6" wp14:editId="5E8C43A2">
                  <wp:extent cx="149400" cy="144000"/>
                  <wp:effectExtent l="0" t="0" r="3175" b="8890"/>
                  <wp:docPr id="569" name="Picture 56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Pr="002F1E6E" w:rsidRDefault="00396A51" w:rsidP="00727466">
            <w:pPr>
              <w:pStyle w:val="WoVGtabletick"/>
              <w:rPr>
                <w:rFonts w:cs="Arial"/>
              </w:rPr>
            </w:pPr>
          </w:p>
        </w:tc>
        <w:tc>
          <w:tcPr>
            <w:tcW w:w="2070" w:type="dxa"/>
            <w:shd w:val="clear" w:color="auto" w:fill="F2F2F2" w:themeFill="background1" w:themeFillShade="F2"/>
          </w:tcPr>
          <w:p w:rsidR="00396A51" w:rsidRPr="002F1E6E" w:rsidRDefault="00396A51" w:rsidP="00727466">
            <w:pPr>
              <w:pStyle w:val="WoVGtabletick"/>
              <w:rPr>
                <w:rFonts w:cs="Arial"/>
              </w:rPr>
            </w:pPr>
          </w:p>
        </w:tc>
      </w:tr>
      <w:tr w:rsidR="00396A51" w:rsidTr="0052429F">
        <w:tc>
          <w:tcPr>
            <w:tcW w:w="3657" w:type="dxa"/>
            <w:shd w:val="clear" w:color="auto" w:fill="DAEEF3" w:themeFill="accent5" w:themeFillTint="33"/>
          </w:tcPr>
          <w:p w:rsidR="00396A51" w:rsidRPr="002F1E6E" w:rsidRDefault="00396A51" w:rsidP="00396A51">
            <w:pPr>
              <w:pStyle w:val="WoVGtabletext"/>
              <w:rPr>
                <w:rFonts w:cs="Arial"/>
              </w:rPr>
            </w:pPr>
            <w:r w:rsidRPr="002F1E6E">
              <w:rPr>
                <w:rFonts w:cs="Arial"/>
              </w:rPr>
              <w:t>Senior management participation in OHS consultative forums</w:t>
            </w:r>
          </w:p>
        </w:tc>
        <w:tc>
          <w:tcPr>
            <w:tcW w:w="2069" w:type="dxa"/>
            <w:shd w:val="clear" w:color="auto" w:fill="F2F2F2" w:themeFill="background1" w:themeFillShade="F2"/>
          </w:tcPr>
          <w:p w:rsidR="00396A51" w:rsidRDefault="00396A51" w:rsidP="00727466">
            <w:pPr>
              <w:pStyle w:val="WoVGtabletick"/>
            </w:pPr>
            <w:r w:rsidRPr="00CE2364">
              <w:rPr>
                <w:noProof/>
              </w:rPr>
              <w:drawing>
                <wp:inline distT="0" distB="0" distL="0" distR="0" wp14:anchorId="288F1C32" wp14:editId="15396523">
                  <wp:extent cx="149400" cy="144000"/>
                  <wp:effectExtent l="0" t="0" r="3175" b="8890"/>
                  <wp:docPr id="570" name="Picture 570"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Default="00396A51" w:rsidP="00727466">
            <w:pPr>
              <w:pStyle w:val="WoVGtabletick"/>
            </w:pPr>
            <w:r w:rsidRPr="00CE2364">
              <w:rPr>
                <w:noProof/>
              </w:rPr>
              <w:drawing>
                <wp:inline distT="0" distB="0" distL="0" distR="0" wp14:anchorId="7EDE83B4" wp14:editId="396F8415">
                  <wp:extent cx="149400" cy="144000"/>
                  <wp:effectExtent l="0" t="0" r="3175" b="8890"/>
                  <wp:docPr id="571" name="Picture 57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69" w:type="dxa"/>
            <w:shd w:val="clear" w:color="auto" w:fill="F2F2F2" w:themeFill="background1" w:themeFillShade="F2"/>
          </w:tcPr>
          <w:p w:rsidR="00396A51" w:rsidRDefault="00396A51" w:rsidP="00727466">
            <w:pPr>
              <w:pStyle w:val="WoVGtabletick"/>
            </w:pPr>
            <w:r w:rsidRPr="00CE2364">
              <w:rPr>
                <w:noProof/>
              </w:rPr>
              <w:drawing>
                <wp:inline distT="0" distB="0" distL="0" distR="0" wp14:anchorId="35A6387A" wp14:editId="44D17CB5">
                  <wp:extent cx="149400" cy="144000"/>
                  <wp:effectExtent l="0" t="0" r="3175" b="8890"/>
                  <wp:docPr id="572" name="Picture 57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Default="00396A51" w:rsidP="00727466">
            <w:pPr>
              <w:pStyle w:val="WoVGtabletick"/>
            </w:pPr>
            <w:r w:rsidRPr="00CE2364">
              <w:rPr>
                <w:noProof/>
              </w:rPr>
              <w:drawing>
                <wp:inline distT="0" distB="0" distL="0" distR="0" wp14:anchorId="1C6ECC5A" wp14:editId="61A24D4B">
                  <wp:extent cx="149400" cy="144000"/>
                  <wp:effectExtent l="0" t="0" r="3175" b="8890"/>
                  <wp:docPr id="573" name="Picture 57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Pr="002F1E6E" w:rsidRDefault="00396A51" w:rsidP="00727466">
            <w:pPr>
              <w:pStyle w:val="WoVGtabletick"/>
              <w:rPr>
                <w:rFonts w:cs="Arial"/>
                <w:b/>
                <w:noProof/>
              </w:rPr>
            </w:pPr>
          </w:p>
        </w:tc>
      </w:tr>
      <w:tr w:rsidR="00396A51" w:rsidTr="0052429F">
        <w:tc>
          <w:tcPr>
            <w:tcW w:w="3657" w:type="dxa"/>
            <w:shd w:val="clear" w:color="auto" w:fill="DAEEF3" w:themeFill="accent5" w:themeFillTint="33"/>
          </w:tcPr>
          <w:p w:rsidR="00396A51" w:rsidRPr="002F1E6E" w:rsidRDefault="00396A51" w:rsidP="00396A51">
            <w:pPr>
              <w:pStyle w:val="WoVGtabletext"/>
              <w:rPr>
                <w:rFonts w:cs="Arial"/>
              </w:rPr>
            </w:pPr>
            <w:r w:rsidRPr="002F1E6E">
              <w:rPr>
                <w:rFonts w:cs="Arial"/>
              </w:rPr>
              <w:t>Consultation records</w:t>
            </w:r>
          </w:p>
        </w:tc>
        <w:tc>
          <w:tcPr>
            <w:tcW w:w="2069" w:type="dxa"/>
            <w:shd w:val="clear" w:color="auto" w:fill="F2F2F2" w:themeFill="background1" w:themeFillShade="F2"/>
          </w:tcPr>
          <w:p w:rsidR="00396A51" w:rsidRPr="002F1E6E" w:rsidRDefault="00396A51" w:rsidP="00727466">
            <w:pPr>
              <w:pStyle w:val="WoVGtabletick"/>
              <w:rPr>
                <w:rFonts w:cs="Arial"/>
              </w:rPr>
            </w:pPr>
          </w:p>
        </w:tc>
        <w:tc>
          <w:tcPr>
            <w:tcW w:w="2070" w:type="dxa"/>
            <w:shd w:val="clear" w:color="auto" w:fill="F2F2F2" w:themeFill="background1" w:themeFillShade="F2"/>
          </w:tcPr>
          <w:p w:rsidR="00396A51" w:rsidRDefault="00396A51" w:rsidP="00727466">
            <w:pPr>
              <w:pStyle w:val="WoVGtabletick"/>
            </w:pPr>
            <w:r w:rsidRPr="00974166">
              <w:rPr>
                <w:noProof/>
              </w:rPr>
              <w:drawing>
                <wp:inline distT="0" distB="0" distL="0" distR="0" wp14:anchorId="789F0113" wp14:editId="06F928EC">
                  <wp:extent cx="149400" cy="144000"/>
                  <wp:effectExtent l="0" t="0" r="3175" b="8890"/>
                  <wp:docPr id="574" name="Picture 57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69" w:type="dxa"/>
            <w:shd w:val="clear" w:color="auto" w:fill="F2F2F2" w:themeFill="background1" w:themeFillShade="F2"/>
          </w:tcPr>
          <w:p w:rsidR="00396A51" w:rsidRDefault="00396A51" w:rsidP="00727466">
            <w:pPr>
              <w:pStyle w:val="WoVGtabletick"/>
            </w:pPr>
            <w:r w:rsidRPr="00974166">
              <w:rPr>
                <w:noProof/>
              </w:rPr>
              <w:drawing>
                <wp:inline distT="0" distB="0" distL="0" distR="0" wp14:anchorId="61310A2F" wp14:editId="3160A855">
                  <wp:extent cx="149400" cy="144000"/>
                  <wp:effectExtent l="0" t="0" r="3175" b="8890"/>
                  <wp:docPr id="575" name="Picture 57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Default="00396A51" w:rsidP="00727466">
            <w:pPr>
              <w:pStyle w:val="WoVGtabletick"/>
            </w:pPr>
            <w:r w:rsidRPr="00974166">
              <w:rPr>
                <w:noProof/>
              </w:rPr>
              <w:drawing>
                <wp:inline distT="0" distB="0" distL="0" distR="0" wp14:anchorId="377BB7D6" wp14:editId="2048689B">
                  <wp:extent cx="149400" cy="144000"/>
                  <wp:effectExtent l="0" t="0" r="3175" b="8890"/>
                  <wp:docPr id="576" name="Picture 57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Default="00396A51" w:rsidP="00727466">
            <w:pPr>
              <w:pStyle w:val="WoVGtabletick"/>
            </w:pPr>
            <w:r w:rsidRPr="00974166">
              <w:rPr>
                <w:noProof/>
              </w:rPr>
              <w:drawing>
                <wp:inline distT="0" distB="0" distL="0" distR="0" wp14:anchorId="360143E9" wp14:editId="699719FC">
                  <wp:extent cx="149400" cy="144000"/>
                  <wp:effectExtent l="0" t="0" r="3175" b="8890"/>
                  <wp:docPr id="577" name="Picture 57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r>
      <w:tr w:rsidR="00396A51" w:rsidTr="0052429F">
        <w:tc>
          <w:tcPr>
            <w:tcW w:w="3657" w:type="dxa"/>
            <w:shd w:val="clear" w:color="auto" w:fill="DAEEF3" w:themeFill="accent5" w:themeFillTint="33"/>
          </w:tcPr>
          <w:p w:rsidR="00396A51" w:rsidRPr="002F1E6E" w:rsidRDefault="00396A51" w:rsidP="00396A51">
            <w:pPr>
              <w:pStyle w:val="WoVGtabletext"/>
              <w:rPr>
                <w:rFonts w:cs="Arial"/>
              </w:rPr>
            </w:pPr>
            <w:r w:rsidRPr="002F1E6E">
              <w:rPr>
                <w:rFonts w:cs="Arial"/>
              </w:rPr>
              <w:t>Designated work groups</w:t>
            </w:r>
          </w:p>
        </w:tc>
        <w:tc>
          <w:tcPr>
            <w:tcW w:w="2069" w:type="dxa"/>
            <w:shd w:val="clear" w:color="auto" w:fill="F2F2F2" w:themeFill="background1" w:themeFillShade="F2"/>
          </w:tcPr>
          <w:p w:rsidR="00396A51" w:rsidRPr="002F1E6E" w:rsidRDefault="00396A51" w:rsidP="00727466">
            <w:pPr>
              <w:pStyle w:val="WoVGtabletick"/>
            </w:pPr>
          </w:p>
        </w:tc>
        <w:tc>
          <w:tcPr>
            <w:tcW w:w="2070" w:type="dxa"/>
            <w:shd w:val="clear" w:color="auto" w:fill="F2F2F2" w:themeFill="background1" w:themeFillShade="F2"/>
          </w:tcPr>
          <w:p w:rsidR="00396A51" w:rsidRDefault="00396A51" w:rsidP="00727466">
            <w:pPr>
              <w:pStyle w:val="WoVGtabletick"/>
            </w:pPr>
            <w:r w:rsidRPr="00D769AE">
              <w:rPr>
                <w:noProof/>
              </w:rPr>
              <w:drawing>
                <wp:inline distT="0" distB="0" distL="0" distR="0" wp14:anchorId="295C9B75" wp14:editId="60C49A90">
                  <wp:extent cx="149400" cy="144000"/>
                  <wp:effectExtent l="0" t="0" r="3175" b="8890"/>
                  <wp:docPr id="578" name="Picture 57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69" w:type="dxa"/>
            <w:shd w:val="clear" w:color="auto" w:fill="F2F2F2" w:themeFill="background1" w:themeFillShade="F2"/>
          </w:tcPr>
          <w:p w:rsidR="00396A51" w:rsidRDefault="00396A51" w:rsidP="00727466">
            <w:pPr>
              <w:pStyle w:val="WoVGtabletick"/>
            </w:pPr>
            <w:r w:rsidRPr="00D769AE">
              <w:rPr>
                <w:noProof/>
              </w:rPr>
              <w:drawing>
                <wp:inline distT="0" distB="0" distL="0" distR="0" wp14:anchorId="3C57B9CE" wp14:editId="0C7FFB2A">
                  <wp:extent cx="149400" cy="144000"/>
                  <wp:effectExtent l="0" t="0" r="3175" b="8890"/>
                  <wp:docPr id="579" name="Picture 57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Pr="002F1E6E" w:rsidRDefault="00396A51" w:rsidP="00727466">
            <w:pPr>
              <w:pStyle w:val="WoVGtabletick"/>
            </w:pPr>
          </w:p>
        </w:tc>
        <w:tc>
          <w:tcPr>
            <w:tcW w:w="2070" w:type="dxa"/>
            <w:shd w:val="clear" w:color="auto" w:fill="F2F2F2" w:themeFill="background1" w:themeFillShade="F2"/>
          </w:tcPr>
          <w:p w:rsidR="00396A51" w:rsidRPr="002F1E6E" w:rsidRDefault="00396A51" w:rsidP="00727466">
            <w:pPr>
              <w:pStyle w:val="WoVGtabletick"/>
            </w:pPr>
          </w:p>
        </w:tc>
      </w:tr>
      <w:tr w:rsidR="00396A51" w:rsidTr="0052429F">
        <w:tc>
          <w:tcPr>
            <w:tcW w:w="3657" w:type="dxa"/>
            <w:shd w:val="clear" w:color="auto" w:fill="DAEEF3" w:themeFill="accent5" w:themeFillTint="33"/>
          </w:tcPr>
          <w:p w:rsidR="00396A51" w:rsidRPr="002F1E6E" w:rsidRDefault="00396A51" w:rsidP="00396A51">
            <w:pPr>
              <w:pStyle w:val="WoVGtabletext"/>
              <w:rPr>
                <w:rFonts w:cs="Arial"/>
              </w:rPr>
            </w:pPr>
            <w:r w:rsidRPr="002F1E6E">
              <w:rPr>
                <w:rFonts w:cs="Arial"/>
              </w:rPr>
              <w:t>Health and safety representatives</w:t>
            </w:r>
          </w:p>
        </w:tc>
        <w:tc>
          <w:tcPr>
            <w:tcW w:w="2069" w:type="dxa"/>
            <w:shd w:val="clear" w:color="auto" w:fill="F2F2F2" w:themeFill="background1" w:themeFillShade="F2"/>
          </w:tcPr>
          <w:p w:rsidR="00396A51" w:rsidRPr="002F1E6E" w:rsidRDefault="00396A51" w:rsidP="00727466">
            <w:pPr>
              <w:pStyle w:val="WoVGtabletick"/>
            </w:pPr>
          </w:p>
        </w:tc>
        <w:tc>
          <w:tcPr>
            <w:tcW w:w="2070" w:type="dxa"/>
            <w:shd w:val="clear" w:color="auto" w:fill="F2F2F2" w:themeFill="background1" w:themeFillShade="F2"/>
          </w:tcPr>
          <w:p w:rsidR="00396A51" w:rsidRDefault="00396A51" w:rsidP="00727466">
            <w:pPr>
              <w:pStyle w:val="WoVGtabletick"/>
            </w:pPr>
            <w:r w:rsidRPr="00D769AE">
              <w:rPr>
                <w:noProof/>
              </w:rPr>
              <w:drawing>
                <wp:inline distT="0" distB="0" distL="0" distR="0" wp14:anchorId="1C3C0435" wp14:editId="457A34C1">
                  <wp:extent cx="149400" cy="144000"/>
                  <wp:effectExtent l="0" t="0" r="3175" b="8890"/>
                  <wp:docPr id="580" name="Picture 580"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69" w:type="dxa"/>
            <w:shd w:val="clear" w:color="auto" w:fill="F2F2F2" w:themeFill="background1" w:themeFillShade="F2"/>
          </w:tcPr>
          <w:p w:rsidR="00396A51" w:rsidRDefault="00396A51" w:rsidP="00727466">
            <w:pPr>
              <w:pStyle w:val="WoVGtabletick"/>
            </w:pPr>
            <w:r w:rsidRPr="00D769AE">
              <w:rPr>
                <w:noProof/>
              </w:rPr>
              <w:drawing>
                <wp:inline distT="0" distB="0" distL="0" distR="0" wp14:anchorId="57545706" wp14:editId="599B6C7A">
                  <wp:extent cx="149400" cy="144000"/>
                  <wp:effectExtent l="0" t="0" r="3175" b="8890"/>
                  <wp:docPr id="581" name="Picture 58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Pr="002F1E6E" w:rsidRDefault="00396A51" w:rsidP="00727466">
            <w:pPr>
              <w:pStyle w:val="WoVGtabletick"/>
            </w:pPr>
          </w:p>
        </w:tc>
        <w:tc>
          <w:tcPr>
            <w:tcW w:w="2070" w:type="dxa"/>
            <w:shd w:val="clear" w:color="auto" w:fill="F2F2F2" w:themeFill="background1" w:themeFillShade="F2"/>
          </w:tcPr>
          <w:p w:rsidR="00396A51" w:rsidRPr="002F1E6E" w:rsidRDefault="00396A51" w:rsidP="00727466">
            <w:pPr>
              <w:pStyle w:val="WoVGtabletick"/>
            </w:pPr>
          </w:p>
        </w:tc>
      </w:tr>
      <w:tr w:rsidR="00396A51" w:rsidTr="0052429F">
        <w:tc>
          <w:tcPr>
            <w:tcW w:w="3657" w:type="dxa"/>
            <w:shd w:val="clear" w:color="auto" w:fill="DAEEF3" w:themeFill="accent5" w:themeFillTint="33"/>
          </w:tcPr>
          <w:p w:rsidR="00396A51" w:rsidRPr="002F1E6E" w:rsidRDefault="00396A51" w:rsidP="00396A51">
            <w:pPr>
              <w:pStyle w:val="WoVGtabletext"/>
              <w:rPr>
                <w:rFonts w:cs="Arial"/>
              </w:rPr>
            </w:pPr>
            <w:r w:rsidRPr="002F1E6E">
              <w:rPr>
                <w:rFonts w:cs="Arial"/>
              </w:rPr>
              <w:t>Number of inspections</w:t>
            </w:r>
          </w:p>
        </w:tc>
        <w:tc>
          <w:tcPr>
            <w:tcW w:w="2069" w:type="dxa"/>
            <w:shd w:val="clear" w:color="auto" w:fill="F2F2F2" w:themeFill="background1" w:themeFillShade="F2"/>
          </w:tcPr>
          <w:p w:rsidR="00396A51" w:rsidRDefault="00396A51" w:rsidP="00727466">
            <w:pPr>
              <w:pStyle w:val="WoVGtabletick"/>
            </w:pPr>
            <w:r w:rsidRPr="00E52D4C">
              <w:rPr>
                <w:noProof/>
              </w:rPr>
              <w:drawing>
                <wp:inline distT="0" distB="0" distL="0" distR="0" wp14:anchorId="6DC1011B" wp14:editId="20545455">
                  <wp:extent cx="149400" cy="144000"/>
                  <wp:effectExtent l="0" t="0" r="3175" b="8890"/>
                  <wp:docPr id="582" name="Picture 58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Pr="002F1E6E" w:rsidRDefault="00396A51" w:rsidP="00727466">
            <w:pPr>
              <w:pStyle w:val="WoVGtabletick"/>
            </w:pPr>
          </w:p>
        </w:tc>
        <w:tc>
          <w:tcPr>
            <w:tcW w:w="2069" w:type="dxa"/>
            <w:shd w:val="clear" w:color="auto" w:fill="F2F2F2" w:themeFill="background1" w:themeFillShade="F2"/>
          </w:tcPr>
          <w:p w:rsidR="00396A51" w:rsidRPr="002F1E6E" w:rsidRDefault="00727466" w:rsidP="00727466">
            <w:pPr>
              <w:pStyle w:val="WoVGtabletick"/>
            </w:pPr>
            <w:r w:rsidRPr="00396A51">
              <w:rPr>
                <w:noProof/>
              </w:rPr>
              <w:drawing>
                <wp:inline distT="0" distB="0" distL="0" distR="0" wp14:anchorId="1CEFDAEB" wp14:editId="38AE1BF3">
                  <wp:extent cx="149400" cy="144000"/>
                  <wp:effectExtent l="0" t="0" r="3175" b="8890"/>
                  <wp:docPr id="587" name="Picture 58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Pr="002F1E6E" w:rsidRDefault="00396A51" w:rsidP="00727466">
            <w:pPr>
              <w:pStyle w:val="WoVGtabletick"/>
            </w:pPr>
          </w:p>
        </w:tc>
        <w:tc>
          <w:tcPr>
            <w:tcW w:w="2070" w:type="dxa"/>
            <w:shd w:val="clear" w:color="auto" w:fill="F2F2F2" w:themeFill="background1" w:themeFillShade="F2"/>
          </w:tcPr>
          <w:p w:rsidR="00396A51" w:rsidRPr="002F1E6E" w:rsidRDefault="00396A51" w:rsidP="00727466">
            <w:pPr>
              <w:pStyle w:val="WoVGtabletick"/>
            </w:pPr>
          </w:p>
        </w:tc>
      </w:tr>
      <w:tr w:rsidR="00396A51" w:rsidTr="0052429F">
        <w:tc>
          <w:tcPr>
            <w:tcW w:w="3657" w:type="dxa"/>
            <w:shd w:val="clear" w:color="auto" w:fill="DAEEF3" w:themeFill="accent5" w:themeFillTint="33"/>
          </w:tcPr>
          <w:p w:rsidR="00396A51" w:rsidRPr="002F1E6E" w:rsidRDefault="00396A51" w:rsidP="00396A51">
            <w:pPr>
              <w:pStyle w:val="WoVGtabletext"/>
              <w:rPr>
                <w:rFonts w:cs="Arial"/>
              </w:rPr>
            </w:pPr>
            <w:r w:rsidRPr="002F1E6E">
              <w:rPr>
                <w:rFonts w:cs="Arial"/>
              </w:rPr>
              <w:lastRenderedPageBreak/>
              <w:t>Number of hazards reported</w:t>
            </w:r>
          </w:p>
        </w:tc>
        <w:tc>
          <w:tcPr>
            <w:tcW w:w="2069" w:type="dxa"/>
            <w:shd w:val="clear" w:color="auto" w:fill="F2F2F2" w:themeFill="background1" w:themeFillShade="F2"/>
          </w:tcPr>
          <w:p w:rsidR="00396A51" w:rsidRDefault="00396A51" w:rsidP="00727466">
            <w:pPr>
              <w:pStyle w:val="WoVGtabletick"/>
            </w:pPr>
            <w:r w:rsidRPr="00E52D4C">
              <w:rPr>
                <w:noProof/>
              </w:rPr>
              <w:drawing>
                <wp:inline distT="0" distB="0" distL="0" distR="0" wp14:anchorId="0DF7ED48" wp14:editId="7B569295">
                  <wp:extent cx="149400" cy="144000"/>
                  <wp:effectExtent l="0" t="0" r="3175" b="8890"/>
                  <wp:docPr id="583" name="Picture 58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396A51" w:rsidRPr="002F1E6E" w:rsidRDefault="00727466" w:rsidP="00727466">
            <w:pPr>
              <w:pStyle w:val="WoVGtabletick"/>
            </w:pPr>
            <w:r w:rsidRPr="00396A51">
              <w:rPr>
                <w:noProof/>
              </w:rPr>
              <w:drawing>
                <wp:inline distT="0" distB="0" distL="0" distR="0" wp14:anchorId="1CEFDAEB" wp14:editId="38AE1BF3">
                  <wp:extent cx="149400" cy="144000"/>
                  <wp:effectExtent l="0" t="0" r="3175" b="8890"/>
                  <wp:docPr id="588" name="Picture 58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69" w:type="dxa"/>
            <w:shd w:val="clear" w:color="auto" w:fill="F2F2F2" w:themeFill="background1" w:themeFillShade="F2"/>
          </w:tcPr>
          <w:p w:rsidR="00396A51" w:rsidRPr="002F1E6E" w:rsidRDefault="00396A51" w:rsidP="00727466">
            <w:pPr>
              <w:pStyle w:val="WoVGtabletick"/>
            </w:pPr>
          </w:p>
        </w:tc>
        <w:tc>
          <w:tcPr>
            <w:tcW w:w="2070" w:type="dxa"/>
            <w:shd w:val="clear" w:color="auto" w:fill="F2F2F2" w:themeFill="background1" w:themeFillShade="F2"/>
          </w:tcPr>
          <w:p w:rsidR="00396A51" w:rsidRPr="002F1E6E" w:rsidRDefault="00396A51" w:rsidP="00727466">
            <w:pPr>
              <w:pStyle w:val="WoVGtabletick"/>
            </w:pPr>
          </w:p>
        </w:tc>
        <w:tc>
          <w:tcPr>
            <w:tcW w:w="2070" w:type="dxa"/>
            <w:shd w:val="clear" w:color="auto" w:fill="F2F2F2" w:themeFill="background1" w:themeFillShade="F2"/>
          </w:tcPr>
          <w:p w:rsidR="00396A51" w:rsidRPr="002F1E6E" w:rsidRDefault="00396A51" w:rsidP="00727466">
            <w:pPr>
              <w:pStyle w:val="WoVGtabletick"/>
            </w:pPr>
          </w:p>
        </w:tc>
      </w:tr>
      <w:tr w:rsidR="00727466" w:rsidTr="0052429F">
        <w:tc>
          <w:tcPr>
            <w:tcW w:w="3657" w:type="dxa"/>
            <w:shd w:val="clear" w:color="auto" w:fill="DAEEF3" w:themeFill="accent5" w:themeFillTint="33"/>
          </w:tcPr>
          <w:p w:rsidR="00727466" w:rsidRPr="002F1E6E" w:rsidRDefault="00727466" w:rsidP="00727466">
            <w:pPr>
              <w:pStyle w:val="WoVGtabletext"/>
              <w:rPr>
                <w:rFonts w:cs="Arial"/>
              </w:rPr>
            </w:pPr>
            <w:r w:rsidRPr="002F1E6E">
              <w:rPr>
                <w:rFonts w:cs="Arial"/>
              </w:rPr>
              <w:t>% corrective actions completed</w:t>
            </w:r>
          </w:p>
        </w:tc>
        <w:tc>
          <w:tcPr>
            <w:tcW w:w="2069" w:type="dxa"/>
            <w:shd w:val="clear" w:color="auto" w:fill="F2F2F2" w:themeFill="background1" w:themeFillShade="F2"/>
          </w:tcPr>
          <w:p w:rsidR="00727466" w:rsidRDefault="00727466" w:rsidP="00727466">
            <w:pPr>
              <w:pStyle w:val="WoVGtabletick"/>
            </w:pPr>
            <w:r w:rsidRPr="00E52D4C">
              <w:rPr>
                <w:noProof/>
              </w:rPr>
              <w:drawing>
                <wp:inline distT="0" distB="0" distL="0" distR="0" wp14:anchorId="3CAF8580" wp14:editId="34A14183">
                  <wp:extent cx="149400" cy="144000"/>
                  <wp:effectExtent l="0" t="0" r="3175" b="8890"/>
                  <wp:docPr id="584" name="Picture 58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Pr="002F1E6E" w:rsidRDefault="00727466" w:rsidP="00727466">
            <w:pPr>
              <w:pStyle w:val="WoVGtabletick"/>
            </w:pPr>
          </w:p>
        </w:tc>
        <w:tc>
          <w:tcPr>
            <w:tcW w:w="2069" w:type="dxa"/>
            <w:shd w:val="clear" w:color="auto" w:fill="F2F2F2" w:themeFill="background1" w:themeFillShade="F2"/>
          </w:tcPr>
          <w:p w:rsidR="00727466" w:rsidRDefault="00727466" w:rsidP="00727466">
            <w:pPr>
              <w:pStyle w:val="WoVGtabletick"/>
            </w:pPr>
            <w:r w:rsidRPr="005E4D24">
              <w:rPr>
                <w:noProof/>
              </w:rPr>
              <w:drawing>
                <wp:inline distT="0" distB="0" distL="0" distR="0" wp14:anchorId="7FC1C84C" wp14:editId="482E06DE">
                  <wp:extent cx="149400" cy="144000"/>
                  <wp:effectExtent l="0" t="0" r="3175" b="8890"/>
                  <wp:docPr id="589" name="Picture 58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Default="00727466" w:rsidP="00727466">
            <w:pPr>
              <w:pStyle w:val="WoVGtabletick"/>
            </w:pPr>
            <w:r w:rsidRPr="005E4D24">
              <w:rPr>
                <w:noProof/>
              </w:rPr>
              <w:drawing>
                <wp:inline distT="0" distB="0" distL="0" distR="0" wp14:anchorId="72BFF645" wp14:editId="4957B32C">
                  <wp:extent cx="149400" cy="144000"/>
                  <wp:effectExtent l="0" t="0" r="3175" b="8890"/>
                  <wp:docPr id="590" name="Picture 590"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Default="00727466" w:rsidP="00727466">
            <w:pPr>
              <w:pStyle w:val="WoVGtabletick"/>
            </w:pPr>
            <w:r w:rsidRPr="005E4D24">
              <w:rPr>
                <w:noProof/>
              </w:rPr>
              <w:drawing>
                <wp:inline distT="0" distB="0" distL="0" distR="0" wp14:anchorId="34501BFC" wp14:editId="004E522A">
                  <wp:extent cx="149400" cy="144000"/>
                  <wp:effectExtent l="0" t="0" r="3175" b="8890"/>
                  <wp:docPr id="591" name="Picture 59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r>
      <w:tr w:rsidR="00727466" w:rsidTr="0052429F">
        <w:tc>
          <w:tcPr>
            <w:tcW w:w="3657" w:type="dxa"/>
            <w:shd w:val="clear" w:color="auto" w:fill="DAEEF3" w:themeFill="accent5" w:themeFillTint="33"/>
          </w:tcPr>
          <w:p w:rsidR="00727466" w:rsidRPr="002F1E6E" w:rsidRDefault="00727466" w:rsidP="00727466">
            <w:pPr>
              <w:pStyle w:val="WoVGtabletext"/>
              <w:rPr>
                <w:rFonts w:cs="Arial"/>
              </w:rPr>
            </w:pPr>
            <w:r w:rsidRPr="002F1E6E">
              <w:rPr>
                <w:rFonts w:cs="Arial"/>
              </w:rPr>
              <w:t>% workers trained</w:t>
            </w:r>
          </w:p>
        </w:tc>
        <w:tc>
          <w:tcPr>
            <w:tcW w:w="2069" w:type="dxa"/>
            <w:shd w:val="clear" w:color="auto" w:fill="F2F2F2" w:themeFill="background1" w:themeFillShade="F2"/>
          </w:tcPr>
          <w:p w:rsidR="00727466" w:rsidRDefault="00727466" w:rsidP="00727466">
            <w:pPr>
              <w:pStyle w:val="WoVGtabletick"/>
            </w:pPr>
            <w:r w:rsidRPr="00E52D4C">
              <w:rPr>
                <w:noProof/>
              </w:rPr>
              <w:drawing>
                <wp:inline distT="0" distB="0" distL="0" distR="0" wp14:anchorId="33C093F9" wp14:editId="7DF9962A">
                  <wp:extent cx="149400" cy="144000"/>
                  <wp:effectExtent l="0" t="0" r="3175" b="8890"/>
                  <wp:docPr id="585" name="Picture 58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Default="00727466" w:rsidP="00727466">
            <w:pPr>
              <w:pStyle w:val="WoVGtabletick"/>
            </w:pPr>
            <w:r w:rsidRPr="00A56617">
              <w:rPr>
                <w:noProof/>
              </w:rPr>
              <w:drawing>
                <wp:inline distT="0" distB="0" distL="0" distR="0" wp14:anchorId="59F3AB70" wp14:editId="7404BDB4">
                  <wp:extent cx="149400" cy="144000"/>
                  <wp:effectExtent l="0" t="0" r="3175" b="8890"/>
                  <wp:docPr id="592" name="Picture 59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69" w:type="dxa"/>
            <w:shd w:val="clear" w:color="auto" w:fill="F2F2F2" w:themeFill="background1" w:themeFillShade="F2"/>
          </w:tcPr>
          <w:p w:rsidR="00727466" w:rsidRDefault="00727466" w:rsidP="00727466">
            <w:pPr>
              <w:pStyle w:val="WoVGtabletick"/>
            </w:pPr>
            <w:r w:rsidRPr="00A56617">
              <w:rPr>
                <w:noProof/>
              </w:rPr>
              <w:drawing>
                <wp:inline distT="0" distB="0" distL="0" distR="0" wp14:anchorId="7F231284" wp14:editId="7F8A60D6">
                  <wp:extent cx="149400" cy="144000"/>
                  <wp:effectExtent l="0" t="0" r="3175" b="8890"/>
                  <wp:docPr id="593" name="Picture 59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Pr="002F1E6E" w:rsidRDefault="00727466" w:rsidP="00727466">
            <w:pPr>
              <w:pStyle w:val="WoVGtabletick"/>
            </w:pPr>
          </w:p>
        </w:tc>
        <w:tc>
          <w:tcPr>
            <w:tcW w:w="2070" w:type="dxa"/>
            <w:shd w:val="clear" w:color="auto" w:fill="F2F2F2" w:themeFill="background1" w:themeFillShade="F2"/>
          </w:tcPr>
          <w:p w:rsidR="00727466" w:rsidRPr="002F1E6E" w:rsidRDefault="00727466" w:rsidP="00727466">
            <w:pPr>
              <w:pStyle w:val="WoVGtabletick"/>
            </w:pPr>
            <w:r w:rsidRPr="00396A51">
              <w:rPr>
                <w:noProof/>
              </w:rPr>
              <w:drawing>
                <wp:inline distT="0" distB="0" distL="0" distR="0" wp14:anchorId="1CEFDAEB" wp14:editId="38AE1BF3">
                  <wp:extent cx="149400" cy="144000"/>
                  <wp:effectExtent l="0" t="0" r="3175" b="8890"/>
                  <wp:docPr id="594" name="Picture 59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r>
      <w:tr w:rsidR="00727466" w:rsidTr="0052429F">
        <w:tc>
          <w:tcPr>
            <w:tcW w:w="3657" w:type="dxa"/>
            <w:shd w:val="clear" w:color="auto" w:fill="DAEEF3" w:themeFill="accent5" w:themeFillTint="33"/>
          </w:tcPr>
          <w:p w:rsidR="00727466" w:rsidRPr="002F1E6E" w:rsidRDefault="00727466" w:rsidP="00727466">
            <w:pPr>
              <w:pStyle w:val="WoVGtabletext"/>
              <w:rPr>
                <w:rFonts w:cs="Arial"/>
              </w:rPr>
            </w:pPr>
            <w:r w:rsidRPr="002F1E6E">
              <w:rPr>
                <w:rFonts w:cs="Arial"/>
              </w:rPr>
              <w:t>% senior managers trained</w:t>
            </w:r>
          </w:p>
        </w:tc>
        <w:tc>
          <w:tcPr>
            <w:tcW w:w="2069" w:type="dxa"/>
            <w:shd w:val="clear" w:color="auto" w:fill="F2F2F2" w:themeFill="background1" w:themeFillShade="F2"/>
          </w:tcPr>
          <w:p w:rsidR="00727466" w:rsidRDefault="00727466" w:rsidP="00727466">
            <w:pPr>
              <w:pStyle w:val="WoVGtabletick"/>
            </w:pPr>
            <w:r w:rsidRPr="00E52D4C">
              <w:rPr>
                <w:noProof/>
              </w:rPr>
              <w:drawing>
                <wp:inline distT="0" distB="0" distL="0" distR="0" wp14:anchorId="3F24356F" wp14:editId="6B22C21B">
                  <wp:extent cx="149400" cy="144000"/>
                  <wp:effectExtent l="0" t="0" r="3175" b="8890"/>
                  <wp:docPr id="586" name="Picture 58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Pr="002F1E6E" w:rsidRDefault="00727466" w:rsidP="00727466">
            <w:pPr>
              <w:pStyle w:val="WoVGtabletick"/>
            </w:pPr>
          </w:p>
        </w:tc>
        <w:tc>
          <w:tcPr>
            <w:tcW w:w="2069" w:type="dxa"/>
            <w:shd w:val="clear" w:color="auto" w:fill="F2F2F2" w:themeFill="background1" w:themeFillShade="F2"/>
          </w:tcPr>
          <w:p w:rsidR="00727466" w:rsidRDefault="00727466" w:rsidP="00727466">
            <w:pPr>
              <w:pStyle w:val="WoVGtabletick"/>
            </w:pPr>
            <w:r w:rsidRPr="006D2019">
              <w:rPr>
                <w:noProof/>
              </w:rPr>
              <w:drawing>
                <wp:inline distT="0" distB="0" distL="0" distR="0" wp14:anchorId="29DDCCE3" wp14:editId="3D09E9AC">
                  <wp:extent cx="149400" cy="144000"/>
                  <wp:effectExtent l="0" t="0" r="3175" b="8890"/>
                  <wp:docPr id="595" name="Picture 59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Default="00727466" w:rsidP="00727466">
            <w:pPr>
              <w:pStyle w:val="WoVGtabletick"/>
            </w:pPr>
            <w:r w:rsidRPr="006D2019">
              <w:rPr>
                <w:noProof/>
              </w:rPr>
              <w:drawing>
                <wp:inline distT="0" distB="0" distL="0" distR="0" wp14:anchorId="4597D664" wp14:editId="6D08821B">
                  <wp:extent cx="149400" cy="144000"/>
                  <wp:effectExtent l="0" t="0" r="3175" b="8890"/>
                  <wp:docPr id="596" name="Picture 59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Default="00727466" w:rsidP="00727466">
            <w:pPr>
              <w:pStyle w:val="WoVGtabletick"/>
            </w:pPr>
            <w:r w:rsidRPr="006D2019">
              <w:rPr>
                <w:noProof/>
              </w:rPr>
              <w:drawing>
                <wp:inline distT="0" distB="0" distL="0" distR="0" wp14:anchorId="59BFF20F" wp14:editId="33B61785">
                  <wp:extent cx="149400" cy="144000"/>
                  <wp:effectExtent l="0" t="0" r="3175" b="8890"/>
                  <wp:docPr id="597" name="Picture 59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r>
      <w:tr w:rsidR="00727466" w:rsidTr="0052429F">
        <w:tc>
          <w:tcPr>
            <w:tcW w:w="3657" w:type="dxa"/>
            <w:shd w:val="clear" w:color="auto" w:fill="DAEEF3" w:themeFill="accent5" w:themeFillTint="33"/>
          </w:tcPr>
          <w:p w:rsidR="00727466" w:rsidRPr="002F1E6E" w:rsidRDefault="00727466" w:rsidP="00727466">
            <w:pPr>
              <w:pStyle w:val="WoVGtabletext"/>
              <w:rPr>
                <w:rFonts w:cs="Arial"/>
              </w:rPr>
            </w:pPr>
            <w:r w:rsidRPr="002F1E6E">
              <w:rPr>
                <w:rFonts w:cs="Arial"/>
              </w:rPr>
              <w:t>Number of risk assessments</w:t>
            </w:r>
          </w:p>
        </w:tc>
        <w:tc>
          <w:tcPr>
            <w:tcW w:w="2069" w:type="dxa"/>
            <w:shd w:val="clear" w:color="auto" w:fill="F2F2F2" w:themeFill="background1" w:themeFillShade="F2"/>
          </w:tcPr>
          <w:p w:rsidR="00727466" w:rsidRPr="002F1E6E" w:rsidRDefault="00727466" w:rsidP="00727466">
            <w:pPr>
              <w:pStyle w:val="WoVGtabletick"/>
            </w:pPr>
          </w:p>
        </w:tc>
        <w:tc>
          <w:tcPr>
            <w:tcW w:w="2070" w:type="dxa"/>
            <w:shd w:val="clear" w:color="auto" w:fill="F2F2F2" w:themeFill="background1" w:themeFillShade="F2"/>
          </w:tcPr>
          <w:p w:rsidR="00727466" w:rsidRPr="002F1E6E" w:rsidRDefault="00727466" w:rsidP="00727466">
            <w:pPr>
              <w:pStyle w:val="WoVGtabletick"/>
            </w:pPr>
          </w:p>
        </w:tc>
        <w:tc>
          <w:tcPr>
            <w:tcW w:w="2069" w:type="dxa"/>
            <w:shd w:val="clear" w:color="auto" w:fill="F2F2F2" w:themeFill="background1" w:themeFillShade="F2"/>
          </w:tcPr>
          <w:p w:rsidR="00727466" w:rsidRDefault="00727466" w:rsidP="00727466">
            <w:pPr>
              <w:pStyle w:val="WoVGtabletick"/>
            </w:pPr>
            <w:r w:rsidRPr="00446654">
              <w:rPr>
                <w:noProof/>
              </w:rPr>
              <w:drawing>
                <wp:inline distT="0" distB="0" distL="0" distR="0" wp14:anchorId="785C0025" wp14:editId="7C7E959B">
                  <wp:extent cx="149400" cy="144000"/>
                  <wp:effectExtent l="0" t="0" r="3175" b="8890"/>
                  <wp:docPr id="601" name="Picture 60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Pr="002F1E6E" w:rsidRDefault="00727466" w:rsidP="00727466">
            <w:pPr>
              <w:pStyle w:val="WoVGtabletick"/>
            </w:pPr>
          </w:p>
        </w:tc>
        <w:tc>
          <w:tcPr>
            <w:tcW w:w="2070" w:type="dxa"/>
            <w:shd w:val="clear" w:color="auto" w:fill="F2F2F2" w:themeFill="background1" w:themeFillShade="F2"/>
          </w:tcPr>
          <w:p w:rsidR="00727466" w:rsidRPr="002F1E6E" w:rsidRDefault="00727466" w:rsidP="00727466">
            <w:pPr>
              <w:pStyle w:val="WoVGtabletick"/>
            </w:pPr>
          </w:p>
        </w:tc>
      </w:tr>
      <w:tr w:rsidR="00727466" w:rsidTr="0052429F">
        <w:tc>
          <w:tcPr>
            <w:tcW w:w="3657" w:type="dxa"/>
            <w:shd w:val="clear" w:color="auto" w:fill="DAEEF3" w:themeFill="accent5" w:themeFillTint="33"/>
          </w:tcPr>
          <w:p w:rsidR="00727466" w:rsidRPr="002F1E6E" w:rsidRDefault="00727466" w:rsidP="00727466">
            <w:pPr>
              <w:pStyle w:val="WoVGtabletext"/>
              <w:rPr>
                <w:rFonts w:cs="Arial"/>
              </w:rPr>
            </w:pPr>
            <w:r w:rsidRPr="002F1E6E">
              <w:rPr>
                <w:rFonts w:cs="Arial"/>
              </w:rPr>
              <w:t>Number of safety meetings</w:t>
            </w:r>
          </w:p>
        </w:tc>
        <w:tc>
          <w:tcPr>
            <w:tcW w:w="2069" w:type="dxa"/>
            <w:shd w:val="clear" w:color="auto" w:fill="F2F2F2" w:themeFill="background1" w:themeFillShade="F2"/>
          </w:tcPr>
          <w:p w:rsidR="00727466" w:rsidRPr="002F1E6E" w:rsidRDefault="00727466" w:rsidP="00727466">
            <w:pPr>
              <w:pStyle w:val="WoVGtabletick"/>
            </w:pPr>
          </w:p>
        </w:tc>
        <w:tc>
          <w:tcPr>
            <w:tcW w:w="2070" w:type="dxa"/>
            <w:shd w:val="clear" w:color="auto" w:fill="F2F2F2" w:themeFill="background1" w:themeFillShade="F2"/>
          </w:tcPr>
          <w:p w:rsidR="00727466" w:rsidRDefault="00727466" w:rsidP="00727466">
            <w:pPr>
              <w:pStyle w:val="WoVGtabletick"/>
            </w:pPr>
            <w:r w:rsidRPr="00C70F25">
              <w:rPr>
                <w:noProof/>
              </w:rPr>
              <w:drawing>
                <wp:inline distT="0" distB="0" distL="0" distR="0" wp14:anchorId="62FBE434" wp14:editId="746E7881">
                  <wp:extent cx="149400" cy="144000"/>
                  <wp:effectExtent l="0" t="0" r="3175" b="8890"/>
                  <wp:docPr id="598" name="Picture 59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69" w:type="dxa"/>
            <w:shd w:val="clear" w:color="auto" w:fill="F2F2F2" w:themeFill="background1" w:themeFillShade="F2"/>
          </w:tcPr>
          <w:p w:rsidR="00727466" w:rsidRDefault="00727466" w:rsidP="00727466">
            <w:pPr>
              <w:pStyle w:val="WoVGtabletick"/>
            </w:pPr>
            <w:r w:rsidRPr="00446654">
              <w:rPr>
                <w:noProof/>
              </w:rPr>
              <w:drawing>
                <wp:inline distT="0" distB="0" distL="0" distR="0" wp14:anchorId="35F905F5" wp14:editId="2D6668AA">
                  <wp:extent cx="149400" cy="144000"/>
                  <wp:effectExtent l="0" t="0" r="3175" b="8890"/>
                  <wp:docPr id="602" name="Picture 60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Pr="002F1E6E" w:rsidRDefault="00727466" w:rsidP="00727466">
            <w:pPr>
              <w:pStyle w:val="WoVGtabletick"/>
            </w:pPr>
          </w:p>
        </w:tc>
        <w:tc>
          <w:tcPr>
            <w:tcW w:w="2070" w:type="dxa"/>
            <w:shd w:val="clear" w:color="auto" w:fill="F2F2F2" w:themeFill="background1" w:themeFillShade="F2"/>
          </w:tcPr>
          <w:p w:rsidR="00727466" w:rsidRPr="002F1E6E" w:rsidRDefault="00727466" w:rsidP="00727466">
            <w:pPr>
              <w:pStyle w:val="WoVGtabletick"/>
            </w:pPr>
          </w:p>
        </w:tc>
      </w:tr>
      <w:tr w:rsidR="00727466" w:rsidTr="0052429F">
        <w:tc>
          <w:tcPr>
            <w:tcW w:w="3657" w:type="dxa"/>
            <w:shd w:val="clear" w:color="auto" w:fill="DAEEF3" w:themeFill="accent5" w:themeFillTint="33"/>
          </w:tcPr>
          <w:p w:rsidR="00727466" w:rsidRPr="002F1E6E" w:rsidRDefault="00727466" w:rsidP="00727466">
            <w:pPr>
              <w:pStyle w:val="WoVGtabletext"/>
              <w:rPr>
                <w:rFonts w:cs="Arial"/>
              </w:rPr>
            </w:pPr>
            <w:r w:rsidRPr="002F1E6E">
              <w:rPr>
                <w:rFonts w:cs="Arial"/>
              </w:rPr>
              <w:t>Survey results</w:t>
            </w:r>
          </w:p>
        </w:tc>
        <w:tc>
          <w:tcPr>
            <w:tcW w:w="2069" w:type="dxa"/>
            <w:shd w:val="clear" w:color="auto" w:fill="F2F2F2" w:themeFill="background1" w:themeFillShade="F2"/>
          </w:tcPr>
          <w:p w:rsidR="00727466" w:rsidRPr="002F1E6E" w:rsidRDefault="00727466" w:rsidP="00727466">
            <w:pPr>
              <w:pStyle w:val="WoVGtabletick"/>
            </w:pPr>
          </w:p>
        </w:tc>
        <w:tc>
          <w:tcPr>
            <w:tcW w:w="2070" w:type="dxa"/>
            <w:shd w:val="clear" w:color="auto" w:fill="F2F2F2" w:themeFill="background1" w:themeFillShade="F2"/>
          </w:tcPr>
          <w:p w:rsidR="00727466" w:rsidRDefault="00727466" w:rsidP="00727466">
            <w:pPr>
              <w:pStyle w:val="WoVGtabletick"/>
            </w:pPr>
            <w:r w:rsidRPr="00C70F25">
              <w:rPr>
                <w:noProof/>
              </w:rPr>
              <w:drawing>
                <wp:inline distT="0" distB="0" distL="0" distR="0" wp14:anchorId="32144565" wp14:editId="4EB7103A">
                  <wp:extent cx="149400" cy="144000"/>
                  <wp:effectExtent l="0" t="0" r="3175" b="8890"/>
                  <wp:docPr id="599" name="Picture 59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69" w:type="dxa"/>
            <w:shd w:val="clear" w:color="auto" w:fill="F2F2F2" w:themeFill="background1" w:themeFillShade="F2"/>
          </w:tcPr>
          <w:p w:rsidR="00727466" w:rsidRPr="002F1E6E" w:rsidRDefault="00727466" w:rsidP="00727466">
            <w:pPr>
              <w:pStyle w:val="WoVGtabletick"/>
            </w:pPr>
          </w:p>
        </w:tc>
        <w:tc>
          <w:tcPr>
            <w:tcW w:w="2070" w:type="dxa"/>
            <w:shd w:val="clear" w:color="auto" w:fill="F2F2F2" w:themeFill="background1" w:themeFillShade="F2"/>
          </w:tcPr>
          <w:p w:rsidR="00727466" w:rsidRPr="002F1E6E" w:rsidRDefault="00727466" w:rsidP="00727466">
            <w:pPr>
              <w:pStyle w:val="WoVGtabletick"/>
            </w:pPr>
          </w:p>
        </w:tc>
        <w:tc>
          <w:tcPr>
            <w:tcW w:w="2070" w:type="dxa"/>
            <w:shd w:val="clear" w:color="auto" w:fill="F2F2F2" w:themeFill="background1" w:themeFillShade="F2"/>
          </w:tcPr>
          <w:p w:rsidR="00727466" w:rsidRPr="002F1E6E" w:rsidRDefault="00727466" w:rsidP="00727466">
            <w:pPr>
              <w:pStyle w:val="WoVGtabletick"/>
            </w:pPr>
            <w:r w:rsidRPr="00396A51">
              <w:rPr>
                <w:noProof/>
              </w:rPr>
              <w:drawing>
                <wp:inline distT="0" distB="0" distL="0" distR="0" wp14:anchorId="1CEFDAEB" wp14:editId="38AE1BF3">
                  <wp:extent cx="149400" cy="144000"/>
                  <wp:effectExtent l="0" t="0" r="3175" b="8890"/>
                  <wp:docPr id="605" name="Picture 60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r>
      <w:tr w:rsidR="00727466" w:rsidTr="0052429F">
        <w:tc>
          <w:tcPr>
            <w:tcW w:w="3657" w:type="dxa"/>
            <w:shd w:val="clear" w:color="auto" w:fill="DAEEF3" w:themeFill="accent5" w:themeFillTint="33"/>
          </w:tcPr>
          <w:p w:rsidR="00727466" w:rsidRPr="002F1E6E" w:rsidRDefault="00727466" w:rsidP="00727466">
            <w:pPr>
              <w:pStyle w:val="WoVGtabletext"/>
              <w:rPr>
                <w:rFonts w:cs="Arial"/>
              </w:rPr>
            </w:pPr>
            <w:r w:rsidRPr="002F1E6E">
              <w:rPr>
                <w:rFonts w:cs="Arial"/>
              </w:rPr>
              <w:t>Time between reporting incident and investigation</w:t>
            </w:r>
          </w:p>
        </w:tc>
        <w:tc>
          <w:tcPr>
            <w:tcW w:w="2069" w:type="dxa"/>
            <w:shd w:val="clear" w:color="auto" w:fill="F2F2F2" w:themeFill="background1" w:themeFillShade="F2"/>
          </w:tcPr>
          <w:p w:rsidR="00727466" w:rsidRPr="002F1E6E" w:rsidRDefault="00727466" w:rsidP="00727466">
            <w:pPr>
              <w:pStyle w:val="WoVGtabletick"/>
            </w:pPr>
          </w:p>
        </w:tc>
        <w:tc>
          <w:tcPr>
            <w:tcW w:w="2070" w:type="dxa"/>
            <w:shd w:val="clear" w:color="auto" w:fill="F2F2F2" w:themeFill="background1" w:themeFillShade="F2"/>
          </w:tcPr>
          <w:p w:rsidR="00727466" w:rsidRDefault="00727466" w:rsidP="00727466">
            <w:pPr>
              <w:pStyle w:val="WoVGtabletick"/>
            </w:pPr>
            <w:r w:rsidRPr="00C70F25">
              <w:rPr>
                <w:noProof/>
              </w:rPr>
              <w:drawing>
                <wp:inline distT="0" distB="0" distL="0" distR="0" wp14:anchorId="33C97F4E" wp14:editId="5425A66E">
                  <wp:extent cx="149400" cy="144000"/>
                  <wp:effectExtent l="0" t="0" r="3175" b="8890"/>
                  <wp:docPr id="600" name="Picture 600"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69" w:type="dxa"/>
            <w:shd w:val="clear" w:color="auto" w:fill="F2F2F2" w:themeFill="background1" w:themeFillShade="F2"/>
          </w:tcPr>
          <w:p w:rsidR="00727466" w:rsidRDefault="00727466" w:rsidP="00727466">
            <w:pPr>
              <w:pStyle w:val="WoVGtabletick"/>
            </w:pPr>
            <w:r w:rsidRPr="00C62474">
              <w:rPr>
                <w:noProof/>
              </w:rPr>
              <w:drawing>
                <wp:inline distT="0" distB="0" distL="0" distR="0" wp14:anchorId="0F4AF3BE" wp14:editId="49757A05">
                  <wp:extent cx="149400" cy="144000"/>
                  <wp:effectExtent l="0" t="0" r="3175" b="8890"/>
                  <wp:docPr id="603" name="Picture 60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Default="00727466" w:rsidP="00727466">
            <w:pPr>
              <w:pStyle w:val="WoVGtabletick"/>
            </w:pPr>
            <w:r w:rsidRPr="00C62474">
              <w:rPr>
                <w:noProof/>
              </w:rPr>
              <w:drawing>
                <wp:inline distT="0" distB="0" distL="0" distR="0" wp14:anchorId="5FBFB8DC" wp14:editId="5923BEBD">
                  <wp:extent cx="149400" cy="144000"/>
                  <wp:effectExtent l="0" t="0" r="3175" b="8890"/>
                  <wp:docPr id="604" name="Picture 60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Pr="002F1E6E" w:rsidRDefault="00727466" w:rsidP="00727466">
            <w:pPr>
              <w:pStyle w:val="WoVGtabletick"/>
            </w:pPr>
          </w:p>
        </w:tc>
      </w:tr>
      <w:tr w:rsidR="00727466" w:rsidTr="0052429F">
        <w:tc>
          <w:tcPr>
            <w:tcW w:w="3657" w:type="dxa"/>
            <w:shd w:val="clear" w:color="auto" w:fill="DAEEF3" w:themeFill="accent5" w:themeFillTint="33"/>
          </w:tcPr>
          <w:p w:rsidR="00727466" w:rsidRPr="002F1E6E" w:rsidRDefault="00727466" w:rsidP="00727466">
            <w:pPr>
              <w:pStyle w:val="WoVGtabletext"/>
              <w:rPr>
                <w:rFonts w:cs="Arial"/>
              </w:rPr>
            </w:pPr>
            <w:r w:rsidRPr="002F1E6E">
              <w:rPr>
                <w:rFonts w:cs="Arial"/>
              </w:rPr>
              <w:t>Number of OHSMS procedures developed or reviewed</w:t>
            </w:r>
          </w:p>
        </w:tc>
        <w:tc>
          <w:tcPr>
            <w:tcW w:w="2069" w:type="dxa"/>
            <w:shd w:val="clear" w:color="auto" w:fill="F2F2F2" w:themeFill="background1" w:themeFillShade="F2"/>
          </w:tcPr>
          <w:p w:rsidR="00727466" w:rsidRPr="002F1E6E" w:rsidRDefault="00727466" w:rsidP="00727466">
            <w:pPr>
              <w:pStyle w:val="WoVGtabletick"/>
            </w:pPr>
            <w:r w:rsidRPr="00396A51">
              <w:rPr>
                <w:noProof/>
              </w:rPr>
              <w:drawing>
                <wp:inline distT="0" distB="0" distL="0" distR="0" wp14:anchorId="1AB73BDF" wp14:editId="0280A026">
                  <wp:extent cx="149400" cy="144000"/>
                  <wp:effectExtent l="0" t="0" r="3175" b="8890"/>
                  <wp:docPr id="606" name="Picture 60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Pr="002F1E6E" w:rsidRDefault="00727466" w:rsidP="00727466">
            <w:pPr>
              <w:pStyle w:val="WoVGtabletick"/>
            </w:pPr>
          </w:p>
        </w:tc>
        <w:tc>
          <w:tcPr>
            <w:tcW w:w="2069" w:type="dxa"/>
            <w:shd w:val="clear" w:color="auto" w:fill="F2F2F2" w:themeFill="background1" w:themeFillShade="F2"/>
          </w:tcPr>
          <w:p w:rsidR="00727466" w:rsidRDefault="00727466" w:rsidP="00727466">
            <w:pPr>
              <w:pStyle w:val="WoVGtabletick"/>
            </w:pPr>
            <w:r w:rsidRPr="00E45C1A">
              <w:rPr>
                <w:noProof/>
              </w:rPr>
              <w:drawing>
                <wp:inline distT="0" distB="0" distL="0" distR="0" wp14:anchorId="7A64B161" wp14:editId="03F5CA15">
                  <wp:extent cx="149400" cy="144000"/>
                  <wp:effectExtent l="0" t="0" r="3175" b="8890"/>
                  <wp:docPr id="607" name="Picture 60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Pr="002F1E6E" w:rsidRDefault="00727466" w:rsidP="00727466">
            <w:pPr>
              <w:pStyle w:val="WoVGtabletick"/>
            </w:pPr>
          </w:p>
        </w:tc>
        <w:tc>
          <w:tcPr>
            <w:tcW w:w="2070" w:type="dxa"/>
            <w:shd w:val="clear" w:color="auto" w:fill="F2F2F2" w:themeFill="background1" w:themeFillShade="F2"/>
          </w:tcPr>
          <w:p w:rsidR="00727466" w:rsidRPr="002F1E6E" w:rsidRDefault="00727466" w:rsidP="00727466">
            <w:pPr>
              <w:pStyle w:val="WoVGtabletick"/>
              <w:rPr>
                <w:b/>
                <w:noProof/>
              </w:rPr>
            </w:pPr>
          </w:p>
        </w:tc>
      </w:tr>
      <w:tr w:rsidR="00727466" w:rsidTr="0052429F">
        <w:tc>
          <w:tcPr>
            <w:tcW w:w="3657" w:type="dxa"/>
            <w:shd w:val="clear" w:color="auto" w:fill="DAEEF3" w:themeFill="accent5" w:themeFillTint="33"/>
          </w:tcPr>
          <w:p w:rsidR="00727466" w:rsidRPr="002F1E6E" w:rsidRDefault="00727466" w:rsidP="00727466">
            <w:pPr>
              <w:pStyle w:val="WoVGtabletext"/>
              <w:rPr>
                <w:rFonts w:cs="Arial"/>
              </w:rPr>
            </w:pPr>
            <w:r w:rsidRPr="002F1E6E">
              <w:rPr>
                <w:rFonts w:cs="Arial"/>
              </w:rPr>
              <w:t>Number of audits conducted</w:t>
            </w:r>
          </w:p>
        </w:tc>
        <w:tc>
          <w:tcPr>
            <w:tcW w:w="2069" w:type="dxa"/>
            <w:shd w:val="clear" w:color="auto" w:fill="F2F2F2" w:themeFill="background1" w:themeFillShade="F2"/>
          </w:tcPr>
          <w:p w:rsidR="00727466" w:rsidRPr="002F1E6E" w:rsidRDefault="00727466" w:rsidP="00727466">
            <w:pPr>
              <w:pStyle w:val="WoVGtabletick"/>
            </w:pPr>
          </w:p>
        </w:tc>
        <w:tc>
          <w:tcPr>
            <w:tcW w:w="2070" w:type="dxa"/>
            <w:shd w:val="clear" w:color="auto" w:fill="F2F2F2" w:themeFill="background1" w:themeFillShade="F2"/>
          </w:tcPr>
          <w:p w:rsidR="00727466" w:rsidRPr="002F1E6E" w:rsidRDefault="00727466" w:rsidP="00727466">
            <w:pPr>
              <w:pStyle w:val="WoVGtabletick"/>
            </w:pPr>
          </w:p>
        </w:tc>
        <w:tc>
          <w:tcPr>
            <w:tcW w:w="2069" w:type="dxa"/>
            <w:shd w:val="clear" w:color="auto" w:fill="F2F2F2" w:themeFill="background1" w:themeFillShade="F2"/>
          </w:tcPr>
          <w:p w:rsidR="00727466" w:rsidRDefault="00727466" w:rsidP="00727466">
            <w:pPr>
              <w:pStyle w:val="WoVGtabletick"/>
            </w:pPr>
            <w:r w:rsidRPr="00E45C1A">
              <w:rPr>
                <w:noProof/>
              </w:rPr>
              <w:drawing>
                <wp:inline distT="0" distB="0" distL="0" distR="0" wp14:anchorId="111DD862" wp14:editId="4102D622">
                  <wp:extent cx="149400" cy="144000"/>
                  <wp:effectExtent l="0" t="0" r="3175" b="8890"/>
                  <wp:docPr id="608" name="Picture 60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Pr="002F1E6E" w:rsidRDefault="00727466" w:rsidP="00727466">
            <w:pPr>
              <w:pStyle w:val="WoVGtabletick"/>
            </w:pPr>
          </w:p>
        </w:tc>
        <w:tc>
          <w:tcPr>
            <w:tcW w:w="2070" w:type="dxa"/>
            <w:shd w:val="clear" w:color="auto" w:fill="F2F2F2" w:themeFill="background1" w:themeFillShade="F2"/>
          </w:tcPr>
          <w:p w:rsidR="00727466" w:rsidRPr="002F1E6E" w:rsidRDefault="00727466" w:rsidP="00727466">
            <w:pPr>
              <w:pStyle w:val="WoVGtabletick"/>
            </w:pPr>
            <w:r w:rsidRPr="00396A51">
              <w:rPr>
                <w:noProof/>
              </w:rPr>
              <w:drawing>
                <wp:inline distT="0" distB="0" distL="0" distR="0" wp14:anchorId="1CEFDAEB" wp14:editId="38AE1BF3">
                  <wp:extent cx="149400" cy="144000"/>
                  <wp:effectExtent l="0" t="0" r="3175" b="8890"/>
                  <wp:docPr id="618" name="Picture 61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r>
      <w:tr w:rsidR="00727466" w:rsidTr="0052429F">
        <w:tc>
          <w:tcPr>
            <w:tcW w:w="3657" w:type="dxa"/>
            <w:shd w:val="clear" w:color="auto" w:fill="DAEEF3" w:themeFill="accent5" w:themeFillTint="33"/>
          </w:tcPr>
          <w:p w:rsidR="00727466" w:rsidRPr="002F1E6E" w:rsidRDefault="00727466" w:rsidP="00727466">
            <w:pPr>
              <w:pStyle w:val="WoVGtabletext"/>
              <w:rPr>
                <w:rFonts w:cs="Arial"/>
              </w:rPr>
            </w:pPr>
            <w:r w:rsidRPr="002F1E6E">
              <w:rPr>
                <w:rFonts w:cs="Arial"/>
              </w:rPr>
              <w:t xml:space="preserve">% workplaces audited </w:t>
            </w:r>
          </w:p>
        </w:tc>
        <w:tc>
          <w:tcPr>
            <w:tcW w:w="2069" w:type="dxa"/>
            <w:shd w:val="clear" w:color="auto" w:fill="F2F2F2" w:themeFill="background1" w:themeFillShade="F2"/>
          </w:tcPr>
          <w:p w:rsidR="00727466" w:rsidRPr="002F1E6E" w:rsidRDefault="00727466" w:rsidP="00727466">
            <w:pPr>
              <w:pStyle w:val="WoVGtabletick"/>
            </w:pPr>
          </w:p>
        </w:tc>
        <w:tc>
          <w:tcPr>
            <w:tcW w:w="2070" w:type="dxa"/>
            <w:shd w:val="clear" w:color="auto" w:fill="F2F2F2" w:themeFill="background1" w:themeFillShade="F2"/>
          </w:tcPr>
          <w:p w:rsidR="00727466" w:rsidRPr="002F1E6E" w:rsidRDefault="00727466" w:rsidP="00727466">
            <w:pPr>
              <w:pStyle w:val="WoVGtabletick"/>
            </w:pPr>
          </w:p>
        </w:tc>
        <w:tc>
          <w:tcPr>
            <w:tcW w:w="2069" w:type="dxa"/>
            <w:shd w:val="clear" w:color="auto" w:fill="F2F2F2" w:themeFill="background1" w:themeFillShade="F2"/>
          </w:tcPr>
          <w:p w:rsidR="00727466" w:rsidRDefault="00727466" w:rsidP="00727466">
            <w:pPr>
              <w:pStyle w:val="WoVGtabletick"/>
            </w:pPr>
            <w:r w:rsidRPr="00E45C1A">
              <w:rPr>
                <w:noProof/>
              </w:rPr>
              <w:drawing>
                <wp:inline distT="0" distB="0" distL="0" distR="0" wp14:anchorId="1D97C485" wp14:editId="625AF077">
                  <wp:extent cx="149400" cy="144000"/>
                  <wp:effectExtent l="0" t="0" r="3175" b="8890"/>
                  <wp:docPr id="609" name="Picture 60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Default="00727466" w:rsidP="00727466">
            <w:pPr>
              <w:pStyle w:val="WoVGtabletick"/>
            </w:pPr>
            <w:r w:rsidRPr="00147C36">
              <w:rPr>
                <w:noProof/>
              </w:rPr>
              <w:drawing>
                <wp:inline distT="0" distB="0" distL="0" distR="0" wp14:anchorId="0CBD7C40" wp14:editId="5C545021">
                  <wp:extent cx="149400" cy="144000"/>
                  <wp:effectExtent l="0" t="0" r="3175" b="8890"/>
                  <wp:docPr id="614" name="Picture 61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Pr="002F1E6E" w:rsidRDefault="00727466" w:rsidP="00727466">
            <w:pPr>
              <w:pStyle w:val="WoVGtabletick"/>
            </w:pPr>
          </w:p>
        </w:tc>
      </w:tr>
      <w:tr w:rsidR="00727466" w:rsidTr="0052429F">
        <w:tc>
          <w:tcPr>
            <w:tcW w:w="3657" w:type="dxa"/>
            <w:shd w:val="clear" w:color="auto" w:fill="DAEEF3" w:themeFill="accent5" w:themeFillTint="33"/>
          </w:tcPr>
          <w:p w:rsidR="00727466" w:rsidRPr="002F1E6E" w:rsidRDefault="00727466" w:rsidP="00727466">
            <w:pPr>
              <w:pStyle w:val="WoVGtabletext"/>
              <w:rPr>
                <w:rFonts w:cs="Arial"/>
              </w:rPr>
            </w:pPr>
            <w:r w:rsidRPr="002F1E6E">
              <w:rPr>
                <w:rFonts w:cs="Arial"/>
              </w:rPr>
              <w:t>% audits conducted with workplace management</w:t>
            </w:r>
          </w:p>
        </w:tc>
        <w:tc>
          <w:tcPr>
            <w:tcW w:w="2069" w:type="dxa"/>
            <w:shd w:val="clear" w:color="auto" w:fill="F2F2F2" w:themeFill="background1" w:themeFillShade="F2"/>
          </w:tcPr>
          <w:p w:rsidR="00727466" w:rsidRPr="002F1E6E" w:rsidRDefault="00727466" w:rsidP="00727466">
            <w:pPr>
              <w:pStyle w:val="WoVGtabletick"/>
            </w:pPr>
          </w:p>
        </w:tc>
        <w:tc>
          <w:tcPr>
            <w:tcW w:w="2070" w:type="dxa"/>
            <w:shd w:val="clear" w:color="auto" w:fill="F2F2F2" w:themeFill="background1" w:themeFillShade="F2"/>
          </w:tcPr>
          <w:p w:rsidR="00727466" w:rsidRDefault="00727466" w:rsidP="00727466">
            <w:pPr>
              <w:pStyle w:val="WoVGtabletick"/>
            </w:pPr>
            <w:r w:rsidRPr="00FB53B8">
              <w:rPr>
                <w:noProof/>
              </w:rPr>
              <w:drawing>
                <wp:inline distT="0" distB="0" distL="0" distR="0" wp14:anchorId="096A88C1" wp14:editId="570D05CA">
                  <wp:extent cx="149400" cy="144000"/>
                  <wp:effectExtent l="0" t="0" r="3175" b="8890"/>
                  <wp:docPr id="611" name="Picture 61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69" w:type="dxa"/>
            <w:shd w:val="clear" w:color="auto" w:fill="F2F2F2" w:themeFill="background1" w:themeFillShade="F2"/>
          </w:tcPr>
          <w:p w:rsidR="00727466" w:rsidRDefault="00727466" w:rsidP="00727466">
            <w:pPr>
              <w:pStyle w:val="WoVGtabletick"/>
            </w:pPr>
            <w:r w:rsidRPr="00FB53B8">
              <w:rPr>
                <w:noProof/>
              </w:rPr>
              <w:drawing>
                <wp:inline distT="0" distB="0" distL="0" distR="0" wp14:anchorId="29A400A2" wp14:editId="13B9100F">
                  <wp:extent cx="149400" cy="144000"/>
                  <wp:effectExtent l="0" t="0" r="3175" b="8890"/>
                  <wp:docPr id="612" name="Picture 61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Default="00727466" w:rsidP="00727466">
            <w:pPr>
              <w:pStyle w:val="WoVGtabletick"/>
            </w:pPr>
            <w:r w:rsidRPr="00147C36">
              <w:rPr>
                <w:noProof/>
              </w:rPr>
              <w:drawing>
                <wp:inline distT="0" distB="0" distL="0" distR="0" wp14:anchorId="06A5908A" wp14:editId="18A6AB64">
                  <wp:extent cx="149400" cy="144000"/>
                  <wp:effectExtent l="0" t="0" r="3175" b="8890"/>
                  <wp:docPr id="615" name="Picture 61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Pr="002F1E6E" w:rsidRDefault="00727466" w:rsidP="00727466">
            <w:pPr>
              <w:pStyle w:val="WoVGtabletick"/>
            </w:pPr>
          </w:p>
        </w:tc>
      </w:tr>
      <w:tr w:rsidR="00727466" w:rsidTr="0052429F">
        <w:tc>
          <w:tcPr>
            <w:tcW w:w="3657" w:type="dxa"/>
            <w:shd w:val="clear" w:color="auto" w:fill="DAEEF3" w:themeFill="accent5" w:themeFillTint="33"/>
          </w:tcPr>
          <w:p w:rsidR="00727466" w:rsidRPr="002F1E6E" w:rsidRDefault="00727466" w:rsidP="00727466">
            <w:pPr>
              <w:pStyle w:val="WoVGtabletext"/>
              <w:rPr>
                <w:rFonts w:cs="Arial"/>
              </w:rPr>
            </w:pPr>
            <w:r w:rsidRPr="002F1E6E">
              <w:rPr>
                <w:rFonts w:cs="Arial"/>
              </w:rPr>
              <w:t>% OHSMS implementation</w:t>
            </w:r>
          </w:p>
        </w:tc>
        <w:tc>
          <w:tcPr>
            <w:tcW w:w="2069" w:type="dxa"/>
            <w:shd w:val="clear" w:color="auto" w:fill="F2F2F2" w:themeFill="background1" w:themeFillShade="F2"/>
          </w:tcPr>
          <w:p w:rsidR="00727466" w:rsidRDefault="00727466" w:rsidP="00727466">
            <w:pPr>
              <w:pStyle w:val="WoVGtabletick"/>
            </w:pPr>
            <w:r w:rsidRPr="008A3A64">
              <w:rPr>
                <w:noProof/>
              </w:rPr>
              <w:drawing>
                <wp:inline distT="0" distB="0" distL="0" distR="0" wp14:anchorId="3F023A60" wp14:editId="53864F9D">
                  <wp:extent cx="149400" cy="144000"/>
                  <wp:effectExtent l="0" t="0" r="3175" b="8890"/>
                  <wp:docPr id="619" name="Picture 61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Default="00727466" w:rsidP="00727466">
            <w:pPr>
              <w:pStyle w:val="WoVGtabletick"/>
            </w:pPr>
            <w:r w:rsidRPr="008A3A64">
              <w:rPr>
                <w:noProof/>
              </w:rPr>
              <w:drawing>
                <wp:inline distT="0" distB="0" distL="0" distR="0" wp14:anchorId="238EFE4F" wp14:editId="3FBEE322">
                  <wp:extent cx="149400" cy="144000"/>
                  <wp:effectExtent l="0" t="0" r="3175" b="8890"/>
                  <wp:docPr id="620" name="Picture 620"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69" w:type="dxa"/>
            <w:shd w:val="clear" w:color="auto" w:fill="F2F2F2" w:themeFill="background1" w:themeFillShade="F2"/>
          </w:tcPr>
          <w:p w:rsidR="00727466" w:rsidRDefault="00727466" w:rsidP="00727466">
            <w:pPr>
              <w:pStyle w:val="WoVGtabletick"/>
            </w:pPr>
            <w:r w:rsidRPr="008A3A64">
              <w:rPr>
                <w:noProof/>
              </w:rPr>
              <w:drawing>
                <wp:inline distT="0" distB="0" distL="0" distR="0" wp14:anchorId="71C97AD0" wp14:editId="597973E0">
                  <wp:extent cx="149400" cy="144000"/>
                  <wp:effectExtent l="0" t="0" r="3175" b="8890"/>
                  <wp:docPr id="6" name="Picture 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Default="00727466" w:rsidP="00727466">
            <w:pPr>
              <w:pStyle w:val="WoVGtabletick"/>
            </w:pPr>
            <w:r w:rsidRPr="00147C36">
              <w:rPr>
                <w:noProof/>
              </w:rPr>
              <w:drawing>
                <wp:inline distT="0" distB="0" distL="0" distR="0" wp14:anchorId="0274B54B" wp14:editId="525BACB3">
                  <wp:extent cx="149400" cy="144000"/>
                  <wp:effectExtent l="0" t="0" r="3175" b="8890"/>
                  <wp:docPr id="616" name="Picture 61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Pr="002F1E6E" w:rsidRDefault="00727466" w:rsidP="00727466">
            <w:pPr>
              <w:pStyle w:val="WoVGtabletick"/>
            </w:pPr>
          </w:p>
        </w:tc>
      </w:tr>
      <w:tr w:rsidR="00727466" w:rsidTr="0052429F">
        <w:tc>
          <w:tcPr>
            <w:tcW w:w="3657" w:type="dxa"/>
            <w:shd w:val="clear" w:color="auto" w:fill="DAEEF3" w:themeFill="accent5" w:themeFillTint="33"/>
          </w:tcPr>
          <w:p w:rsidR="00727466" w:rsidRPr="002F1E6E" w:rsidRDefault="00727466" w:rsidP="00727466">
            <w:pPr>
              <w:pStyle w:val="WoVGtabletext"/>
              <w:rPr>
                <w:rFonts w:cs="Arial"/>
              </w:rPr>
            </w:pPr>
            <w:r w:rsidRPr="002F1E6E">
              <w:rPr>
                <w:rFonts w:cs="Arial"/>
              </w:rPr>
              <w:t xml:space="preserve">Number of senior management participating in OHS systems review </w:t>
            </w:r>
          </w:p>
        </w:tc>
        <w:tc>
          <w:tcPr>
            <w:tcW w:w="2069" w:type="dxa"/>
            <w:shd w:val="clear" w:color="auto" w:fill="F2F2F2" w:themeFill="background1" w:themeFillShade="F2"/>
          </w:tcPr>
          <w:p w:rsidR="00727466" w:rsidRDefault="00727466" w:rsidP="00727466">
            <w:pPr>
              <w:pStyle w:val="WoVGtabletick"/>
            </w:pPr>
            <w:r w:rsidRPr="008A3A64">
              <w:rPr>
                <w:noProof/>
              </w:rPr>
              <w:drawing>
                <wp:inline distT="0" distB="0" distL="0" distR="0" wp14:anchorId="0B3B6C40" wp14:editId="01B47F9D">
                  <wp:extent cx="149400" cy="144000"/>
                  <wp:effectExtent l="0" t="0" r="3175" b="8890"/>
                  <wp:docPr id="621" name="Picture 62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Default="00727466" w:rsidP="00727466">
            <w:pPr>
              <w:pStyle w:val="WoVGtabletick"/>
            </w:pPr>
            <w:r w:rsidRPr="008A3A64">
              <w:rPr>
                <w:noProof/>
              </w:rPr>
              <w:drawing>
                <wp:inline distT="0" distB="0" distL="0" distR="0" wp14:anchorId="7080DF8A" wp14:editId="1B0CB7C8">
                  <wp:extent cx="149400" cy="144000"/>
                  <wp:effectExtent l="0" t="0" r="3175" b="8890"/>
                  <wp:docPr id="622" name="Picture 62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69" w:type="dxa"/>
            <w:shd w:val="clear" w:color="auto" w:fill="F2F2F2" w:themeFill="background1" w:themeFillShade="F2"/>
          </w:tcPr>
          <w:p w:rsidR="00727466" w:rsidRDefault="00727466" w:rsidP="00727466">
            <w:pPr>
              <w:pStyle w:val="WoVGtabletick"/>
            </w:pPr>
            <w:r w:rsidRPr="008A3A64">
              <w:rPr>
                <w:noProof/>
              </w:rPr>
              <w:drawing>
                <wp:inline distT="0" distB="0" distL="0" distR="0" wp14:anchorId="15024612" wp14:editId="1346DF8F">
                  <wp:extent cx="149400" cy="144000"/>
                  <wp:effectExtent l="0" t="0" r="3175" b="8890"/>
                  <wp:docPr id="623" name="Picture 62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Default="00727466" w:rsidP="00727466">
            <w:pPr>
              <w:pStyle w:val="WoVGtabletick"/>
            </w:pPr>
            <w:r w:rsidRPr="00147C36">
              <w:rPr>
                <w:noProof/>
              </w:rPr>
              <w:drawing>
                <wp:inline distT="0" distB="0" distL="0" distR="0" wp14:anchorId="1255D304" wp14:editId="018CECBD">
                  <wp:extent cx="149400" cy="144000"/>
                  <wp:effectExtent l="0" t="0" r="3175" b="8890"/>
                  <wp:docPr id="617" name="Picture 617"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Pr="002F1E6E" w:rsidRDefault="00727466" w:rsidP="00727466">
            <w:pPr>
              <w:pStyle w:val="WoVGtabletick"/>
            </w:pPr>
          </w:p>
        </w:tc>
      </w:tr>
      <w:tr w:rsidR="00727466" w:rsidTr="0052429F">
        <w:tc>
          <w:tcPr>
            <w:tcW w:w="3657" w:type="dxa"/>
            <w:shd w:val="clear" w:color="auto" w:fill="DAEEF3" w:themeFill="accent5" w:themeFillTint="33"/>
          </w:tcPr>
          <w:p w:rsidR="00727466" w:rsidRPr="002F1E6E" w:rsidRDefault="00727466" w:rsidP="00727466">
            <w:pPr>
              <w:pStyle w:val="WoVGtabletext"/>
              <w:rPr>
                <w:rFonts w:cs="Arial"/>
              </w:rPr>
            </w:pPr>
            <w:r w:rsidRPr="002F1E6E">
              <w:rPr>
                <w:rFonts w:cs="Arial"/>
              </w:rPr>
              <w:t>Number of OHS issues raised</w:t>
            </w:r>
          </w:p>
        </w:tc>
        <w:tc>
          <w:tcPr>
            <w:tcW w:w="2069" w:type="dxa"/>
            <w:shd w:val="clear" w:color="auto" w:fill="F2F2F2" w:themeFill="background1" w:themeFillShade="F2"/>
          </w:tcPr>
          <w:p w:rsidR="00727466" w:rsidRDefault="00727466" w:rsidP="00727466">
            <w:pPr>
              <w:pStyle w:val="WoVGtabletick"/>
            </w:pPr>
            <w:r w:rsidRPr="008A3A64">
              <w:rPr>
                <w:noProof/>
              </w:rPr>
              <w:drawing>
                <wp:inline distT="0" distB="0" distL="0" distR="0" wp14:anchorId="2EAE5B4E" wp14:editId="71F180F6">
                  <wp:extent cx="149400" cy="144000"/>
                  <wp:effectExtent l="0" t="0" r="3175" b="8890"/>
                  <wp:docPr id="624" name="Picture 624"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Default="00727466" w:rsidP="00727466">
            <w:pPr>
              <w:pStyle w:val="WoVGtabletick"/>
            </w:pPr>
            <w:r w:rsidRPr="008A3A64">
              <w:rPr>
                <w:noProof/>
              </w:rPr>
              <w:drawing>
                <wp:inline distT="0" distB="0" distL="0" distR="0" wp14:anchorId="7A8CB9DD" wp14:editId="03C33D9D">
                  <wp:extent cx="149400" cy="144000"/>
                  <wp:effectExtent l="0" t="0" r="3175" b="8890"/>
                  <wp:docPr id="625" name="Picture 625"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69" w:type="dxa"/>
            <w:shd w:val="clear" w:color="auto" w:fill="F2F2F2" w:themeFill="background1" w:themeFillShade="F2"/>
          </w:tcPr>
          <w:p w:rsidR="00727466" w:rsidRDefault="00727466" w:rsidP="00727466">
            <w:pPr>
              <w:pStyle w:val="WoVGtabletick"/>
            </w:pPr>
            <w:r w:rsidRPr="008A3A64">
              <w:rPr>
                <w:noProof/>
              </w:rPr>
              <w:drawing>
                <wp:inline distT="0" distB="0" distL="0" distR="0" wp14:anchorId="5C4FAB2D" wp14:editId="7766BEE7">
                  <wp:extent cx="149400" cy="144000"/>
                  <wp:effectExtent l="0" t="0" r="3175" b="8890"/>
                  <wp:docPr id="626" name="Picture 626"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b1\AppData\Local\Microsoft\Windows\Temporary Internet Files\Content.IE5\2FHWROM6\tick[1].png"/>
                          <pic:cNvPicPr>
                            <a:picLocks noChangeAspect="1" noChangeArrowheads="1"/>
                          </pic:cNvPicPr>
                        </pic:nvPicPr>
                        <pic:blipFill>
                          <a:blip r:embed="rId39"/>
                          <a:stretch>
                            <a:fillRect/>
                          </a:stretch>
                        </pic:blipFill>
                        <pic:spPr bwMode="auto">
                          <a:xfrm>
                            <a:off x="0" y="0"/>
                            <a:ext cx="149400" cy="144000"/>
                          </a:xfrm>
                          <a:prstGeom prst="rect">
                            <a:avLst/>
                          </a:prstGeom>
                          <a:noFill/>
                          <a:ln>
                            <a:noFill/>
                          </a:ln>
                        </pic:spPr>
                      </pic:pic>
                    </a:graphicData>
                  </a:graphic>
                </wp:inline>
              </w:drawing>
            </w:r>
          </w:p>
        </w:tc>
        <w:tc>
          <w:tcPr>
            <w:tcW w:w="2070" w:type="dxa"/>
            <w:shd w:val="clear" w:color="auto" w:fill="F2F2F2" w:themeFill="background1" w:themeFillShade="F2"/>
          </w:tcPr>
          <w:p w:rsidR="00727466" w:rsidRPr="002F1E6E" w:rsidRDefault="00727466" w:rsidP="00727466">
            <w:pPr>
              <w:pStyle w:val="WoVGtabletick"/>
            </w:pPr>
          </w:p>
        </w:tc>
        <w:tc>
          <w:tcPr>
            <w:tcW w:w="2070" w:type="dxa"/>
            <w:shd w:val="clear" w:color="auto" w:fill="F2F2F2" w:themeFill="background1" w:themeFillShade="F2"/>
          </w:tcPr>
          <w:p w:rsidR="00727466" w:rsidRPr="002F1E6E" w:rsidRDefault="00727466" w:rsidP="00727466">
            <w:pPr>
              <w:pStyle w:val="WoVGtabletick"/>
            </w:pPr>
          </w:p>
        </w:tc>
      </w:tr>
    </w:tbl>
    <w:p w:rsidR="0015731D" w:rsidRDefault="0015731D" w:rsidP="00067B25">
      <w:pPr>
        <w:suppressAutoHyphens/>
        <w:spacing w:before="60" w:after="60"/>
        <w:sectPr w:rsidR="0015731D" w:rsidSect="00391092">
          <w:headerReference w:type="even" r:id="rId40"/>
          <w:headerReference w:type="default" r:id="rId41"/>
          <w:headerReference w:type="first" r:id="rId42"/>
          <w:footnotePr>
            <w:numRestart w:val="eachPage"/>
          </w:footnotePr>
          <w:pgSz w:w="16838" w:h="11906" w:orient="landscape" w:code="9"/>
          <w:pgMar w:top="1134" w:right="1985" w:bottom="1134" w:left="1077" w:header="567" w:footer="567" w:gutter="0"/>
          <w:cols w:space="708"/>
          <w:docGrid w:linePitch="360"/>
        </w:sectPr>
      </w:pPr>
    </w:p>
    <w:p w:rsidR="00FE67BA" w:rsidRPr="00F3284D" w:rsidRDefault="00FE67BA" w:rsidP="00792402">
      <w:pPr>
        <w:pStyle w:val="Heading1"/>
        <w:spacing w:before="0"/>
      </w:pPr>
      <w:bookmarkStart w:id="138" w:name="_Toc477934222"/>
      <w:bookmarkStart w:id="139" w:name="_Toc9246021"/>
      <w:r w:rsidRPr="00F3284D">
        <w:lastRenderedPageBreak/>
        <w:t>Appendix 2</w:t>
      </w:r>
      <w:r w:rsidR="00391092">
        <w:t>:</w:t>
      </w:r>
      <w:r w:rsidRPr="00F3284D">
        <w:t xml:space="preserve"> Glossary</w:t>
      </w:r>
      <w:bookmarkEnd w:id="138"/>
      <w:bookmarkEnd w:id="139"/>
    </w:p>
    <w:p w:rsidR="00FE67BA" w:rsidRPr="00067B25" w:rsidRDefault="00FE67BA" w:rsidP="00067B25">
      <w:pPr>
        <w:pStyle w:val="WoVGbody"/>
      </w:pPr>
      <w:r w:rsidRPr="00067B25">
        <w:t>Definitions are from References 1, 7, 13, 20, 21, 22, 24</w:t>
      </w:r>
    </w:p>
    <w:p w:rsidR="00562F6D" w:rsidRDefault="00FE67BA" w:rsidP="00067B25">
      <w:pPr>
        <w:pStyle w:val="WoVGbody"/>
      </w:pPr>
      <w:r w:rsidRPr="00067B25">
        <w:rPr>
          <w:b/>
        </w:rPr>
        <w:t>Audit:</w:t>
      </w:r>
      <w:r w:rsidRPr="00067B25">
        <w:t xml:space="preserve"> The systematic and independent examination against defined criteria to determine whether health and safety activities and related results comply with planned arrangements and whether these arrangements are implemented and whether these arrangements are suitable to achieve the organisation’s policy and objectives</w:t>
      </w:r>
    </w:p>
    <w:p w:rsidR="00562F6D" w:rsidRDefault="00FE67BA" w:rsidP="00067B25">
      <w:pPr>
        <w:pStyle w:val="WoVGbody"/>
      </w:pPr>
      <w:r w:rsidRPr="00067B25">
        <w:rPr>
          <w:b/>
        </w:rPr>
        <w:t>Benchmarking:</w:t>
      </w:r>
      <w:r w:rsidRPr="00067B25">
        <w:t xml:space="preserve"> Tool for improving performance by learning from best practices and understanding the processes by which improvements have been achieved</w:t>
      </w:r>
    </w:p>
    <w:p w:rsidR="00FE67BA" w:rsidRPr="00067B25" w:rsidRDefault="00FE67BA" w:rsidP="00067B25">
      <w:pPr>
        <w:pStyle w:val="WoVGbody"/>
      </w:pPr>
      <w:r w:rsidRPr="00067B25">
        <w:rPr>
          <w:b/>
        </w:rPr>
        <w:t>Baseline benchmarking:</w:t>
      </w:r>
      <w:r w:rsidRPr="00067B25">
        <w:t xml:space="preserve"> Measure of improvement against established baseline point</w:t>
      </w:r>
    </w:p>
    <w:p w:rsidR="00562F6D" w:rsidRDefault="00FE67BA" w:rsidP="00067B25">
      <w:pPr>
        <w:pStyle w:val="WoVGbody"/>
      </w:pPr>
      <w:r w:rsidRPr="00067B25">
        <w:rPr>
          <w:b/>
        </w:rPr>
        <w:t>Comparison benchmarking:</w:t>
      </w:r>
      <w:r w:rsidRPr="00067B25">
        <w:t xml:space="preserve"> Comparison of performance against similar organisations</w:t>
      </w:r>
    </w:p>
    <w:p w:rsidR="00562F6D" w:rsidRDefault="00FE67BA" w:rsidP="00067B25">
      <w:pPr>
        <w:pStyle w:val="WoVGbody"/>
      </w:pPr>
      <w:r w:rsidRPr="00067B25">
        <w:rPr>
          <w:b/>
        </w:rPr>
        <w:t>Continuous improvement:</w:t>
      </w:r>
      <w:r w:rsidRPr="00067B25">
        <w:t xml:space="preserve"> The process of enhancing health and safety to achieve improvements in overall health and safety performance, in line with the organisation’s health and safety policy</w:t>
      </w:r>
    </w:p>
    <w:p w:rsidR="00FE67BA" w:rsidRPr="00067B25" w:rsidRDefault="00FE67BA" w:rsidP="00067B25">
      <w:pPr>
        <w:pStyle w:val="WoVGbody"/>
      </w:pPr>
      <w:r w:rsidRPr="00067B25">
        <w:rPr>
          <w:b/>
        </w:rPr>
        <w:t>Management:</w:t>
      </w:r>
      <w:r w:rsidRPr="00067B25">
        <w:t xml:space="preserve"> Person/s who has, to any extent, the management or control of a workplace</w:t>
      </w:r>
    </w:p>
    <w:p w:rsidR="00562F6D" w:rsidRDefault="00FE67BA" w:rsidP="00067B25">
      <w:pPr>
        <w:pStyle w:val="WoVGbody"/>
      </w:pPr>
      <w:r w:rsidRPr="00067B25">
        <w:rPr>
          <w:b/>
        </w:rPr>
        <w:t>OHS objectives:</w:t>
      </w:r>
      <w:r w:rsidRPr="00067B25">
        <w:t xml:space="preserve"> Overall health and safety goal in terms of health and safety performance, arising from the health and safety policy that an organisation sets itself to achieve, and which are quantified where practicable</w:t>
      </w:r>
    </w:p>
    <w:p w:rsidR="00562F6D" w:rsidRDefault="00FE67BA" w:rsidP="00067B25">
      <w:pPr>
        <w:pStyle w:val="WoVGbody"/>
      </w:pPr>
      <w:r w:rsidRPr="00067B25">
        <w:rPr>
          <w:b/>
        </w:rPr>
        <w:t>OHS performance:</w:t>
      </w:r>
      <w:r w:rsidRPr="00067B25">
        <w:t xml:space="preserve"> The measureable results of the OHSMS related to the organisations control of health and safety risks, based on its OHS policy, objectives and targets. Performance measurement includes measurement of OHS management activities and results</w:t>
      </w:r>
    </w:p>
    <w:p w:rsidR="00FE67BA" w:rsidRPr="00067B25" w:rsidRDefault="00FE67BA" w:rsidP="00067B25">
      <w:pPr>
        <w:pStyle w:val="WoVGbody"/>
      </w:pPr>
      <w:r w:rsidRPr="00067B25">
        <w:rPr>
          <w:b/>
        </w:rPr>
        <w:t>OHS policy:</w:t>
      </w:r>
      <w:r w:rsidRPr="00067B25">
        <w:t xml:space="preserve"> Statement by the organisation of its intentions and principles in relation to its overall health and safety performance which provides a framework for action and for setting its health and safety objectives and targets</w:t>
      </w:r>
    </w:p>
    <w:p w:rsidR="00562F6D" w:rsidRDefault="00FE67BA" w:rsidP="00067B25">
      <w:pPr>
        <w:pStyle w:val="WoVGbody"/>
      </w:pPr>
      <w:r w:rsidRPr="00067B25">
        <w:rPr>
          <w:b/>
        </w:rPr>
        <w:t>OHS target:</w:t>
      </w:r>
      <w:r w:rsidRPr="00067B25">
        <w:t xml:space="preserve"> A detailed performance requirement, quantified wherever practicable and pertaining to the organisation, that arises from the health and safety objectives, and that needs to be met in order to achieve those objectives</w:t>
      </w:r>
    </w:p>
    <w:p w:rsidR="00FE67BA" w:rsidRPr="00067B25" w:rsidRDefault="00FE67BA" w:rsidP="00067B25">
      <w:pPr>
        <w:pStyle w:val="WoVGbody"/>
      </w:pPr>
      <w:r w:rsidRPr="00067B25">
        <w:rPr>
          <w:b/>
        </w:rPr>
        <w:t>Performance benchmarking:</w:t>
      </w:r>
      <w:r w:rsidRPr="00067B25">
        <w:t xml:space="preserve"> Comparison of an area of interest using one or more indicators resulting in a standard, or point of reference and depending upon having a standardised method for collecting and reporting the data underpinning the indicators on which the comparisons will be based</w:t>
      </w:r>
    </w:p>
    <w:p w:rsidR="00562F6D" w:rsidRDefault="00FE67BA" w:rsidP="00067B25">
      <w:pPr>
        <w:pStyle w:val="WoVGbody"/>
      </w:pPr>
      <w:r w:rsidRPr="00067B25">
        <w:rPr>
          <w:b/>
        </w:rPr>
        <w:t>Performance indictors:</w:t>
      </w:r>
      <w:r w:rsidRPr="00067B25">
        <w:t xml:space="preserve"> A selected indicator of how effectively a process is operating against objectives. These indicators can be quantitative or qualitative and the choice is dependent on the types of element being used to measure, as appropriate to the organisation</w:t>
      </w:r>
    </w:p>
    <w:p w:rsidR="00FE67BA" w:rsidRPr="00067B25" w:rsidRDefault="00FE67BA" w:rsidP="00067B25">
      <w:pPr>
        <w:pStyle w:val="WoVGbody"/>
      </w:pPr>
      <w:r w:rsidRPr="00067B25">
        <w:rPr>
          <w:b/>
        </w:rPr>
        <w:t>Process benchmarking:</w:t>
      </w:r>
      <w:r w:rsidRPr="00067B25">
        <w:t xml:space="preserve"> Analysis of a sequence of activities and comparisons with similar functions to determine the best practice organisations, to determine the quality of the organisation’s own processes and to improve those processes</w:t>
      </w:r>
    </w:p>
    <w:p w:rsidR="00FE67BA" w:rsidRPr="00067B25" w:rsidRDefault="00FE67BA" w:rsidP="00067B25">
      <w:pPr>
        <w:pStyle w:val="WoVGbody"/>
      </w:pPr>
      <w:r w:rsidRPr="00067B25">
        <w:rPr>
          <w:b/>
        </w:rPr>
        <w:t>Process:</w:t>
      </w:r>
      <w:r w:rsidRPr="00067B25">
        <w:t xml:space="preserve"> A set of inter-related resources and activities that transform inputs into outputs</w:t>
      </w:r>
    </w:p>
    <w:p w:rsidR="00562F6D" w:rsidRDefault="00FE67BA" w:rsidP="00067B25">
      <w:pPr>
        <w:pStyle w:val="WoVGbody"/>
      </w:pPr>
      <w:r w:rsidRPr="00067B25">
        <w:rPr>
          <w:b/>
        </w:rPr>
        <w:t>Stakeholder:</w:t>
      </w:r>
      <w:r w:rsidRPr="00067B25">
        <w:t xml:space="preserve"> Any person or organisation with the workplace that can affect or be affected by or perceive themselves to be affected by the decisions or activities related to health and safety factors within the workplace</w:t>
      </w:r>
    </w:p>
    <w:p w:rsidR="00FE67BA" w:rsidRPr="00067B25" w:rsidRDefault="00FE67BA" w:rsidP="00067B25">
      <w:pPr>
        <w:pStyle w:val="WoVGbody"/>
      </w:pPr>
      <w:r w:rsidRPr="00067B25">
        <w:t>Safety culture reflects the attitudes, values and priorities of management and workers and their impact on the development, implementation, performance, oversight and enforcement of safety and health in the workplace</w:t>
      </w:r>
    </w:p>
    <w:p w:rsidR="00562F6D" w:rsidRDefault="00FE67BA" w:rsidP="00067B25">
      <w:pPr>
        <w:pStyle w:val="WoVGbody"/>
      </w:pPr>
      <w:r w:rsidRPr="00067B25">
        <w:rPr>
          <w:b/>
        </w:rPr>
        <w:lastRenderedPageBreak/>
        <w:t>Senior management:</w:t>
      </w:r>
      <w:r w:rsidRPr="00067B25">
        <w:t xml:space="preserve"> An individual, or a group of individuals, with executive responsibility for the organisation</w:t>
      </w:r>
    </w:p>
    <w:p w:rsidR="00FE67BA" w:rsidRPr="00067B25" w:rsidRDefault="00FE67BA" w:rsidP="00067B25">
      <w:pPr>
        <w:pStyle w:val="WoVGbody"/>
      </w:pPr>
      <w:r w:rsidRPr="00067B25">
        <w:rPr>
          <w:b/>
        </w:rPr>
        <w:t>Top management:</w:t>
      </w:r>
      <w:r w:rsidRPr="00067B25">
        <w:t xml:space="preserve"> The level of management within an organisation directly accountable to its governing body</w:t>
      </w:r>
    </w:p>
    <w:p w:rsidR="00FE67BA" w:rsidRPr="00067B25" w:rsidRDefault="00FE67BA" w:rsidP="00067B25">
      <w:pPr>
        <w:pStyle w:val="WoVGbody"/>
      </w:pPr>
      <w:r w:rsidRPr="00067B25">
        <w:rPr>
          <w:b/>
        </w:rPr>
        <w:t>Worker:</w:t>
      </w:r>
      <w:r w:rsidRPr="00067B25">
        <w:t xml:space="preserve"> A person employed by the organisation or a person under the day-to-day control of the organisation, whether pain or unpaid</w:t>
      </w:r>
    </w:p>
    <w:p w:rsidR="00FE67BA" w:rsidRPr="00067B25" w:rsidRDefault="00FE67BA" w:rsidP="00067B25">
      <w:pPr>
        <w:pStyle w:val="WoVGbody"/>
      </w:pPr>
      <w:r w:rsidRPr="00067B25">
        <w:rPr>
          <w:b/>
        </w:rPr>
        <w:t>Worker representative:</w:t>
      </w:r>
      <w:r w:rsidRPr="00067B25">
        <w:t xml:space="preserve"> A non-managerial worker who is a member of the OHS committee, representative of other workers in accordance with requirements of law or collective agreements or selected by non-managerial workers for other reasons</w:t>
      </w:r>
    </w:p>
    <w:p w:rsidR="0015731D" w:rsidRPr="0096004B" w:rsidRDefault="00FE67BA" w:rsidP="0096004B">
      <w:pPr>
        <w:pStyle w:val="WoVGbody"/>
      </w:pPr>
      <w:r w:rsidRPr="00067B25">
        <w:rPr>
          <w:b/>
        </w:rPr>
        <w:t>Workplace:</w:t>
      </w:r>
      <w:r w:rsidRPr="00067B25">
        <w:t xml:space="preserve"> A place, whether or not a building or structure, where workers or self-employed persons work</w:t>
      </w:r>
    </w:p>
    <w:sectPr w:rsidR="0015731D" w:rsidRPr="0096004B" w:rsidSect="00FE67BA">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29F" w:rsidRDefault="0052429F">
      <w:r>
        <w:separator/>
      </w:r>
    </w:p>
  </w:endnote>
  <w:endnote w:type="continuationSeparator" w:id="0">
    <w:p w:rsidR="0052429F" w:rsidRDefault="0052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181" w:rsidRDefault="002B77C4">
    <w:pPr>
      <w:pStyle w:val="Footer"/>
    </w:pPr>
    <w:r>
      <w:rPr>
        <w:noProof/>
      </w:rPr>
      <mc:AlternateContent>
        <mc:Choice Requires="wps">
          <w:drawing>
            <wp:anchor distT="0" distB="0" distL="114300" distR="114300" simplePos="0" relativeHeight="251676160" behindDoc="0" locked="0" layoutInCell="0" allowOverlap="1">
              <wp:simplePos x="0" y="0"/>
              <wp:positionH relativeFrom="page">
                <wp:align>left</wp:align>
              </wp:positionH>
              <wp:positionV relativeFrom="page">
                <wp:align>bottom</wp:align>
              </wp:positionV>
              <wp:extent cx="7772400" cy="266700"/>
              <wp:effectExtent l="0" t="0" r="0" b="0"/>
              <wp:wrapNone/>
              <wp:docPr id="9" name="MSIPCMe1294d2fbbeed831fa89c937" descr="{&quot;HashCode&quot;:-1267603503,&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B77C4" w:rsidRPr="002B77C4" w:rsidRDefault="002B77C4" w:rsidP="002B77C4">
                          <w:pPr>
                            <w:rPr>
                              <w:rFonts w:ascii="Calibri" w:hAnsi="Calibri" w:cs="Calibri"/>
                              <w:color w:val="000000"/>
                              <w:sz w:val="22"/>
                            </w:rPr>
                          </w:pPr>
                          <w:r w:rsidRPr="002B77C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1294d2fbbeed831fa89c937" o:spid="_x0000_s1026" type="#_x0000_t202" alt="{&quot;HashCode&quot;:-1267603503,&quot;Height&quot;:9999999.0,&quot;Width&quot;:9999999.0,&quot;Placement&quot;:&quot;Footer&quot;,&quot;Index&quot;:&quot;OddAndEven&quot;,&quot;Section&quot;:1,&quot;Top&quot;:0.0,&quot;Left&quot;:0.0}" style="position:absolute;margin-left:0;margin-top:0;width:612pt;height:21pt;z-index:25167616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" o:allowincell="f" filled="f" stroked="f" strokeweight=".5pt">
              <v:fill o:detectmouseclick="t"/>
              <v:textbox inset="20pt,0,,0">
                <w:txbxContent>
                  <w:p w:rsidR="002B77C4" w:rsidRPr="002B77C4" w:rsidRDefault="002B77C4" w:rsidP="002B77C4">
                    <w:pPr>
                      <w:rPr>
                        <w:rFonts w:ascii="Calibri" w:hAnsi="Calibri" w:cs="Calibri"/>
                        <w:color w:val="000000"/>
                        <w:sz w:val="22"/>
                      </w:rPr>
                    </w:pPr>
                    <w:r w:rsidRPr="002B77C4">
                      <w:rPr>
                        <w:rFonts w:ascii="Calibri" w:hAnsi="Calibri" w:cs="Calibri"/>
                        <w:color w:val="000000"/>
                        <w:sz w:val="2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181" w:rsidRDefault="002B77C4">
    <w:pPr>
      <w:pStyle w:val="Footer"/>
    </w:pPr>
    <w:r>
      <w:rPr>
        <w:noProof/>
      </w:rPr>
      <mc:AlternateContent>
        <mc:Choice Requires="wps">
          <w:drawing>
            <wp:anchor distT="0" distB="0" distL="114300" distR="114300" simplePos="0" relativeHeight="251675136" behindDoc="0" locked="0" layoutInCell="0" allowOverlap="1">
              <wp:simplePos x="0" y="0"/>
              <wp:positionH relativeFrom="page">
                <wp:align>left</wp:align>
              </wp:positionH>
              <wp:positionV relativeFrom="page">
                <wp:align>bottom</wp:align>
              </wp:positionV>
              <wp:extent cx="7772400" cy="266700"/>
              <wp:effectExtent l="0" t="0" r="0" b="0"/>
              <wp:wrapNone/>
              <wp:docPr id="7" name="MSIPCM1c144d0185757f7ff463005b"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B77C4" w:rsidRPr="002B77C4" w:rsidRDefault="002B77C4" w:rsidP="002B77C4">
                          <w:pPr>
                            <w:rPr>
                              <w:rFonts w:ascii="Calibri" w:hAnsi="Calibri" w:cs="Calibri"/>
                              <w:color w:val="000000"/>
                              <w:sz w:val="22"/>
                            </w:rPr>
                          </w:pPr>
                          <w:r w:rsidRPr="002B77C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c144d0185757f7ff463005b" o:spid="_x0000_s1027" type="#_x0000_t202" alt="{&quot;HashCode&quot;:-1267603503,&quot;Height&quot;:9999999.0,&quot;Width&quot;:9999999.0,&quot;Placement&quot;:&quot;Footer&quot;,&quot;Index&quot;:&quot;Primary&quot;,&quot;Section&quot;:1,&quot;Top&quot;:0.0,&quot;Left&quot;:0.0}" style="position:absolute;margin-left:0;margin-top:0;width:612pt;height:21pt;z-index:251675136;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" o:allowincell="f" filled="f" stroked="f" strokeweight=".5pt">
              <v:fill o:detectmouseclick="t"/>
              <v:textbox inset="20pt,0,,0">
                <w:txbxContent>
                  <w:p w:rsidR="002B77C4" w:rsidRPr="002B77C4" w:rsidRDefault="002B77C4" w:rsidP="002B77C4">
                    <w:pPr>
                      <w:rPr>
                        <w:rFonts w:ascii="Calibri" w:hAnsi="Calibri" w:cs="Calibri"/>
                        <w:color w:val="000000"/>
                        <w:sz w:val="22"/>
                      </w:rPr>
                    </w:pPr>
                    <w:r w:rsidRPr="002B77C4">
                      <w:rPr>
                        <w:rFonts w:ascii="Calibri" w:hAnsi="Calibri" w:cs="Calibri"/>
                        <w:color w:val="000000"/>
                        <w:sz w:val="22"/>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181" w:rsidRDefault="009C61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9F" w:rsidRPr="008114D1" w:rsidRDefault="002B77C4" w:rsidP="00E969B1">
    <w:pPr>
      <w:pStyle w:val="WoVGfooter"/>
    </w:pPr>
    <w:r>
      <w:rPr>
        <w:noProof/>
      </w:rPr>
      <mc:AlternateContent>
        <mc:Choice Requires="wps">
          <w:drawing>
            <wp:anchor distT="0" distB="0" distL="114300" distR="114300" simplePos="0" relativeHeight="251678208" behindDoc="0" locked="0" layoutInCell="0" allowOverlap="1">
              <wp:simplePos x="0" y="0"/>
              <wp:positionH relativeFrom="page">
                <wp:align>left</wp:align>
              </wp:positionH>
              <wp:positionV relativeFrom="page">
                <wp:align>bottom</wp:align>
              </wp:positionV>
              <wp:extent cx="7772400" cy="266700"/>
              <wp:effectExtent l="0" t="0" r="0" b="0"/>
              <wp:wrapNone/>
              <wp:docPr id="12" name="MSIPCM44a44cabaca21970a10acd83" descr="{&quot;HashCode&quot;:-1267603503,&quot;Height&quot;:9999999.0,&quot;Width&quot;:9999999.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B77C4" w:rsidRPr="002B77C4" w:rsidRDefault="002B77C4" w:rsidP="002B77C4">
                          <w:pPr>
                            <w:rPr>
                              <w:rFonts w:ascii="Calibri" w:hAnsi="Calibri" w:cs="Calibri"/>
                              <w:color w:val="000000"/>
                              <w:sz w:val="22"/>
                            </w:rPr>
                          </w:pPr>
                          <w:r w:rsidRPr="002B77C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4a44cabaca21970a10acd83" o:spid="_x0000_s1028" type="#_x0000_t202" alt="{&quot;HashCode&quot;:-1267603503,&quot;Height&quot;:9999999.0,&quot;Width&quot;:9999999.0,&quot;Placement&quot;:&quot;Footer&quot;,&quot;Index&quot;:&quot;OddAndEven&quot;,&quot;Section&quot;:4,&quot;Top&quot;:0.0,&quot;Left&quot;:0.0}" style="position:absolute;margin-left:0;margin-top:0;width:612pt;height:21pt;z-index:251678208;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" o:allowincell="f" filled="f" stroked="f" strokeweight=".5pt">
              <v:fill o:detectmouseclick="t"/>
              <v:textbox inset="20pt,0,,0">
                <w:txbxContent>
                  <w:p w:rsidR="002B77C4" w:rsidRPr="002B77C4" w:rsidRDefault="002B77C4" w:rsidP="002B77C4">
                    <w:pPr>
                      <w:rPr>
                        <w:rFonts w:ascii="Calibri" w:hAnsi="Calibri" w:cs="Calibri"/>
                        <w:color w:val="000000"/>
                        <w:sz w:val="22"/>
                      </w:rPr>
                    </w:pPr>
                    <w:r w:rsidRPr="002B77C4">
                      <w:rPr>
                        <w:rFonts w:ascii="Calibri" w:hAnsi="Calibri" w:cs="Calibri"/>
                        <w:color w:val="000000"/>
                        <w:sz w:val="22"/>
                      </w:rPr>
                      <w:t>OFFICIAL</w:t>
                    </w:r>
                  </w:p>
                </w:txbxContent>
              </v:textbox>
              <w10:wrap anchorx="page" anchory="page"/>
            </v:shape>
          </w:pict>
        </mc:Fallback>
      </mc:AlternateContent>
    </w:r>
    <w:r w:rsidR="0052429F">
      <w:t xml:space="preserve">Page </w:t>
    </w:r>
    <w:r w:rsidR="0052429F" w:rsidRPr="005A39EC">
      <w:fldChar w:fldCharType="begin"/>
    </w:r>
    <w:r w:rsidR="0052429F" w:rsidRPr="005A39EC">
      <w:instrText xml:space="preserve"> PAGE </w:instrText>
    </w:r>
    <w:r w:rsidR="0052429F" w:rsidRPr="005A39EC">
      <w:fldChar w:fldCharType="separate"/>
    </w:r>
    <w:r w:rsidR="0052429F">
      <w:rPr>
        <w:noProof/>
      </w:rPr>
      <w:t>38</w:t>
    </w:r>
    <w:r w:rsidR="0052429F" w:rsidRPr="005A39EC">
      <w:fldChar w:fldCharType="end"/>
    </w:r>
    <w:r w:rsidR="0052429F">
      <w:ptab w:relativeTo="margin" w:alignment="right" w:leader="none"/>
    </w:r>
    <w:r w:rsidR="0052429F">
      <w:t>Leading the Way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9F" w:rsidRPr="0031753A" w:rsidRDefault="002B77C4" w:rsidP="00DF11D3">
    <w:pPr>
      <w:pStyle w:val="WoVGfooter"/>
      <w:jc w:val="right"/>
    </w:pPr>
    <w:r>
      <w:rPr>
        <w:noProof/>
      </w:rPr>
      <mc:AlternateContent>
        <mc:Choice Requires="wps">
          <w:drawing>
            <wp:anchor distT="0" distB="0" distL="114300" distR="114300" simplePos="0" relativeHeight="251677184" behindDoc="0" locked="0" layoutInCell="0" allowOverlap="1">
              <wp:simplePos x="0" y="0"/>
              <wp:positionH relativeFrom="page">
                <wp:align>left</wp:align>
              </wp:positionH>
              <wp:positionV relativeFrom="page">
                <wp:align>bottom</wp:align>
              </wp:positionV>
              <wp:extent cx="7772400" cy="266700"/>
              <wp:effectExtent l="0" t="0" r="0" b="0"/>
              <wp:wrapNone/>
              <wp:docPr id="10" name="MSIPCM6fc645b098b6d3d40af436e5" descr="{&quot;HashCode&quot;:-126760350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B77C4" w:rsidRPr="002B77C4" w:rsidRDefault="002B77C4" w:rsidP="002B77C4">
                          <w:pPr>
                            <w:rPr>
                              <w:rFonts w:ascii="Calibri" w:hAnsi="Calibri" w:cs="Calibri"/>
                              <w:color w:val="000000"/>
                              <w:sz w:val="22"/>
                            </w:rPr>
                          </w:pPr>
                          <w:r w:rsidRPr="002B77C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fc645b098b6d3d40af436e5" o:spid="_x0000_s1029" type="#_x0000_t202" alt="{&quot;HashCode&quot;:-1267603503,&quot;Height&quot;:9999999.0,&quot;Width&quot;:9999999.0,&quot;Placement&quot;:&quot;Footer&quot;,&quot;Index&quot;:&quot;Primary&quot;,&quot;Section&quot;:4,&quot;Top&quot;:0.0,&quot;Left&quot;:0.0}" style="position:absolute;left:0;text-align:left;margin-left:0;margin-top:0;width:612pt;height:21pt;z-index:25167718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nG2DaBwDAABIBgAADgAAAAAAAAAAAAAA&#10;AAAuAgAAZHJzL2Uyb0RvYy54bWxQSwECLQAUAAYACAAAACEAWyLFIdsAAAAFAQAADwAAAAAAAAAA&#10;AAAAAAB2BQAAZHJzL2Rvd25yZXYueG1sUEsFBgAAAAAEAAQA8wAAAH4GAAAAAA==&#10;" o:allowincell="f" filled="f" stroked="f" strokeweight=".5pt">
              <v:fill o:detectmouseclick="t"/>
              <v:textbox inset="20pt,0,,0">
                <w:txbxContent>
                  <w:p w:rsidR="002B77C4" w:rsidRPr="002B77C4" w:rsidRDefault="002B77C4" w:rsidP="002B77C4">
                    <w:pPr>
                      <w:rPr>
                        <w:rFonts w:ascii="Calibri" w:hAnsi="Calibri" w:cs="Calibri"/>
                        <w:color w:val="000000"/>
                        <w:sz w:val="22"/>
                      </w:rPr>
                    </w:pPr>
                    <w:r w:rsidRPr="002B77C4">
                      <w:rPr>
                        <w:rFonts w:ascii="Calibri" w:hAnsi="Calibri" w:cs="Calibri"/>
                        <w:color w:val="000000"/>
                        <w:sz w:val="22"/>
                      </w:rPr>
                      <w:t>OFFICIAL</w:t>
                    </w:r>
                  </w:p>
                </w:txbxContent>
              </v:textbox>
              <w10:wrap anchorx="page" anchory="page"/>
            </v:shape>
          </w:pict>
        </mc:Fallback>
      </mc:AlternateContent>
    </w:r>
    <w:r w:rsidR="0052429F" w:rsidRPr="0031753A">
      <w:t xml:space="preserve">Page </w:t>
    </w:r>
    <w:r w:rsidR="0052429F" w:rsidRPr="0031753A">
      <w:fldChar w:fldCharType="begin"/>
    </w:r>
    <w:r w:rsidR="0052429F" w:rsidRPr="0031753A">
      <w:instrText xml:space="preserve"> PAGE </w:instrText>
    </w:r>
    <w:r w:rsidR="0052429F" w:rsidRPr="0031753A">
      <w:fldChar w:fldCharType="separate"/>
    </w:r>
    <w:r w:rsidR="0052429F">
      <w:rPr>
        <w:noProof/>
      </w:rPr>
      <w:t>39</w:t>
    </w:r>
    <w:r w:rsidR="0052429F"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9F" w:rsidRPr="001A7E04" w:rsidRDefault="0052429F" w:rsidP="00AC0C3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id w:val="-2005274942"/>
      <w:docPartObj>
        <w:docPartGallery w:val="Page Numbers (Bottom of Page)"/>
        <w:docPartUnique/>
      </w:docPartObj>
    </w:sdtPr>
    <w:sdtEndPr>
      <w:rPr>
        <w:color w:val="7F7F7F" w:themeColor="background1" w:themeShade="7F"/>
        <w:spacing w:val="60"/>
      </w:rPr>
    </w:sdtEndPr>
    <w:sdtContent>
      <w:p w:rsidR="0052429F" w:rsidRPr="00735532" w:rsidRDefault="0052429F">
        <w:pPr>
          <w:pStyle w:val="Footer"/>
          <w:pBdr>
            <w:top w:val="single" w:sz="4" w:space="1" w:color="D9D9D9" w:themeColor="background1" w:themeShade="D9"/>
          </w:pBdr>
          <w:jc w:val="right"/>
          <w:rPr>
            <w:rFonts w:asciiTheme="majorHAnsi" w:hAnsiTheme="majorHAnsi" w:cstheme="majorHAnsi"/>
          </w:rPr>
        </w:pPr>
        <w:r w:rsidRPr="00735532">
          <w:rPr>
            <w:rFonts w:asciiTheme="majorHAnsi" w:hAnsiTheme="majorHAnsi" w:cstheme="majorHAnsi"/>
          </w:rPr>
          <w:fldChar w:fldCharType="begin"/>
        </w:r>
        <w:r w:rsidRPr="00735532">
          <w:rPr>
            <w:rFonts w:asciiTheme="majorHAnsi" w:hAnsiTheme="majorHAnsi" w:cstheme="majorHAnsi"/>
          </w:rPr>
          <w:instrText xml:space="preserve"> PAGE   \* MERGEFORMAT </w:instrText>
        </w:r>
        <w:r w:rsidRPr="00735532">
          <w:rPr>
            <w:rFonts w:asciiTheme="majorHAnsi" w:hAnsiTheme="majorHAnsi" w:cstheme="majorHAnsi"/>
          </w:rPr>
          <w:fldChar w:fldCharType="separate"/>
        </w:r>
        <w:r>
          <w:rPr>
            <w:rFonts w:asciiTheme="majorHAnsi" w:hAnsiTheme="majorHAnsi" w:cstheme="majorHAnsi"/>
            <w:noProof/>
          </w:rPr>
          <w:t>25</w:t>
        </w:r>
        <w:r w:rsidRPr="00735532">
          <w:rPr>
            <w:rFonts w:asciiTheme="majorHAnsi" w:hAnsiTheme="majorHAnsi" w:cstheme="majorHAnsi"/>
            <w:noProof/>
          </w:rPr>
          <w:fldChar w:fldCharType="end"/>
        </w:r>
        <w:r w:rsidRPr="00735532">
          <w:rPr>
            <w:rFonts w:asciiTheme="majorHAnsi" w:hAnsiTheme="majorHAnsi" w:cstheme="majorHAnsi"/>
          </w:rPr>
          <w:t xml:space="preserve"> | </w:t>
        </w:r>
        <w:r w:rsidRPr="00735532">
          <w:rPr>
            <w:rFonts w:asciiTheme="majorHAnsi" w:hAnsiTheme="majorHAnsi" w:cstheme="majorHAnsi"/>
            <w:color w:val="7F7F7F" w:themeColor="background1" w:themeShade="7F"/>
            <w:spacing w:val="60"/>
          </w:rPr>
          <w:t>Page</w:t>
        </w:r>
      </w:p>
    </w:sdtContent>
  </w:sdt>
  <w:p w:rsidR="0052429F" w:rsidRPr="00735532" w:rsidRDefault="0052429F" w:rsidP="0015731D">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29F" w:rsidRDefault="0052429F">
      <w:r>
        <w:separator/>
      </w:r>
    </w:p>
  </w:footnote>
  <w:footnote w:type="continuationSeparator" w:id="0">
    <w:p w:rsidR="0052429F" w:rsidRDefault="0052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181" w:rsidRDefault="009C61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9F" w:rsidRDefault="0052429F">
    <w:r>
      <w:rPr>
        <w:noProof/>
        <w:lang w:eastAsia="en-AU"/>
      </w:rPr>
      <w:drawing>
        <wp:anchor distT="0" distB="0" distL="114300" distR="114300" simplePos="0" relativeHeight="251670016" behindDoc="1" locked="1" layoutInCell="0" allowOverlap="1" wp14:anchorId="0FD097A9" wp14:editId="5056DE0C">
          <wp:simplePos x="0" y="0"/>
          <wp:positionH relativeFrom="page">
            <wp:posOffset>0</wp:posOffset>
          </wp:positionH>
          <wp:positionV relativeFrom="page">
            <wp:posOffset>0</wp:posOffset>
          </wp:positionV>
          <wp:extent cx="7555320" cy="10691640"/>
          <wp:effectExtent l="0" t="0" r="7620" b="0"/>
          <wp:wrapNone/>
          <wp:docPr id="16" name="Picture 1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32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9F" w:rsidRDefault="0052429F" w:rsidP="0015731D">
    <w:pPr>
      <w:pStyle w:val="Header"/>
      <w:tabs>
        <w:tab w:val="left" w:pos="7560"/>
      </w:tabs>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356" w:rsidRDefault="005F7356">
    <w:r>
      <w:rPr>
        <w:noProof/>
        <w:lang w:eastAsia="en-AU"/>
      </w:rPr>
      <w:drawing>
        <wp:anchor distT="0" distB="0" distL="114300" distR="114300" simplePos="0" relativeHeight="251672064" behindDoc="1" locked="1" layoutInCell="0" allowOverlap="1" wp14:anchorId="3DB60288" wp14:editId="0A8BF792">
          <wp:simplePos x="3128645" y="17780"/>
          <wp:positionH relativeFrom="page">
            <wp:align>right</wp:align>
          </wp:positionH>
          <wp:positionV relativeFrom="page">
            <wp:posOffset>0</wp:posOffset>
          </wp:positionV>
          <wp:extent cx="7555320" cy="10691640"/>
          <wp:effectExtent l="0" t="0" r="7620" b="0"/>
          <wp:wrapNone/>
          <wp:docPr id="627" name="Picture 62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32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356" w:rsidRDefault="005F7356">
    <w:r>
      <w:rPr>
        <w:noProof/>
        <w:lang w:eastAsia="en-AU"/>
      </w:rPr>
      <w:drawing>
        <wp:anchor distT="0" distB="0" distL="114300" distR="114300" simplePos="0" relativeHeight="251674112" behindDoc="1" locked="1" layoutInCell="0" allowOverlap="1" wp14:anchorId="014F70F4" wp14:editId="5FACF41D">
          <wp:simplePos x="0" y="0"/>
          <wp:positionH relativeFrom="page">
            <wp:posOffset>0</wp:posOffset>
          </wp:positionH>
          <wp:positionV relativeFrom="page">
            <wp:posOffset>0</wp:posOffset>
          </wp:positionV>
          <wp:extent cx="7555320" cy="10691640"/>
          <wp:effectExtent l="0" t="0" r="7620" b="0"/>
          <wp:wrapNone/>
          <wp:docPr id="628" name="Picture 62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32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9F" w:rsidRDefault="0052429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9F" w:rsidRDefault="0052429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9F" w:rsidRDefault="00524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181" w:rsidRDefault="009C6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181" w:rsidRDefault="009C61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9F" w:rsidRPr="0069374A" w:rsidRDefault="0052429F" w:rsidP="00E969B1">
    <w:pPr>
      <w:pStyle w:val="WoVG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9F" w:rsidRDefault="0052429F" w:rsidP="00E969B1">
    <w:pPr>
      <w:pStyle w:val="WoVGheader"/>
    </w:pPr>
    <w:r>
      <w:rPr>
        <w:noProof/>
        <w:lang w:eastAsia="en-AU"/>
      </w:rPr>
      <w:drawing>
        <wp:anchor distT="0" distB="0" distL="114300" distR="114300" simplePos="0" relativeHeight="251657728" behindDoc="1" locked="0" layoutInCell="1" allowOverlap="1" wp14:anchorId="0B1EECAB" wp14:editId="3C6A2447">
          <wp:simplePos x="0" y="0"/>
          <wp:positionH relativeFrom="page">
            <wp:posOffset>-9344</wp:posOffset>
          </wp:positionH>
          <wp:positionV relativeFrom="page">
            <wp:posOffset>6350</wp:posOffset>
          </wp:positionV>
          <wp:extent cx="7555230" cy="10691495"/>
          <wp:effectExtent l="0" t="0" r="7620" b="0"/>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9F" w:rsidRDefault="0052429F" w:rsidP="00E969B1">
    <w:pPr>
      <w:pStyle w:val="WoVGheader"/>
    </w:pPr>
    <w:r>
      <w:rPr>
        <w:noProof/>
        <w:lang w:eastAsia="en-AU"/>
      </w:rPr>
      <w:drawing>
        <wp:anchor distT="0" distB="0" distL="114300" distR="114300" simplePos="0" relativeHeight="251663872" behindDoc="1" locked="0" layoutInCell="1" allowOverlap="1" wp14:anchorId="4DFE4BAF" wp14:editId="2FAA6466">
          <wp:simplePos x="0" y="0"/>
          <wp:positionH relativeFrom="page">
            <wp:posOffset>3128010</wp:posOffset>
          </wp:positionH>
          <wp:positionV relativeFrom="page">
            <wp:posOffset>1270</wp:posOffset>
          </wp:positionV>
          <wp:extent cx="7555230" cy="10691495"/>
          <wp:effectExtent l="0" t="0" r="7620" b="0"/>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9F" w:rsidRDefault="0052429F" w:rsidP="00E969B1">
    <w:pPr>
      <w:pStyle w:val="WoVGheader"/>
    </w:pPr>
    <w:r>
      <w:rPr>
        <w:noProof/>
        <w:lang w:eastAsia="en-AU"/>
      </w:rPr>
      <w:drawing>
        <wp:anchor distT="0" distB="0" distL="114300" distR="114300" simplePos="0" relativeHeight="251665920" behindDoc="1" locked="0" layoutInCell="1" allowOverlap="1" wp14:anchorId="7280C9DB" wp14:editId="51CCD855">
          <wp:simplePos x="0" y="0"/>
          <wp:positionH relativeFrom="page">
            <wp:posOffset>-9344</wp:posOffset>
          </wp:positionH>
          <wp:positionV relativeFrom="page">
            <wp:posOffset>6350</wp:posOffset>
          </wp:positionV>
          <wp:extent cx="7555230" cy="10691495"/>
          <wp:effectExtent l="0" t="0" r="7620"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9F" w:rsidRDefault="0052429F" w:rsidP="00E969B1">
    <w:pPr>
      <w:pStyle w:val="WoVGheader"/>
    </w:pPr>
    <w:r>
      <w:rPr>
        <w:noProof/>
        <w:lang w:eastAsia="en-AU"/>
      </w:rPr>
      <w:drawing>
        <wp:anchor distT="0" distB="0" distL="114300" distR="114300" simplePos="0" relativeHeight="251667968" behindDoc="1" locked="0" layoutInCell="1" allowOverlap="1" wp14:anchorId="607AD2AE" wp14:editId="62F159AA">
          <wp:simplePos x="0" y="0"/>
          <wp:positionH relativeFrom="page">
            <wp:posOffset>3128010</wp:posOffset>
          </wp:positionH>
          <wp:positionV relativeFrom="page">
            <wp:posOffset>1270</wp:posOffset>
          </wp:positionV>
          <wp:extent cx="7555230" cy="10691495"/>
          <wp:effectExtent l="0" t="0" r="7620" b="0"/>
          <wp:wrapNone/>
          <wp:docPr id="11" name="Picture 1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9F" w:rsidRPr="0069374A" w:rsidRDefault="0052429F" w:rsidP="00E969B1">
    <w:pPr>
      <w:pStyle w:val="WoVG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35A"/>
    <w:multiLevelType w:val="hybridMultilevel"/>
    <w:tmpl w:val="77D49BB8"/>
    <w:lvl w:ilvl="0" w:tplc="0C090001">
      <w:start w:val="1"/>
      <w:numFmt w:val="bullet"/>
      <w:lvlText w:val=""/>
      <w:lvlJc w:val="left"/>
      <w:pPr>
        <w:ind w:left="644" w:hanging="360"/>
      </w:pPr>
      <w:rPr>
        <w:rFonts w:ascii="Symbol" w:hAnsi="Symbol" w:hint="default"/>
      </w:rPr>
    </w:lvl>
    <w:lvl w:ilvl="1" w:tplc="2DD6DA92">
      <w:numFmt w:val="bullet"/>
      <w:lvlText w:val="•"/>
      <w:lvlJc w:val="left"/>
      <w:pPr>
        <w:ind w:left="873" w:hanging="360"/>
      </w:pPr>
      <w:rPr>
        <w:rFonts w:ascii="Arial" w:eastAsia="Times New Roman" w:hAnsi="Arial" w:cs="Arial"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WoVGnumberloweralpha"/>
      <w:lvlText w:val="(%1)"/>
      <w:lvlJc w:val="left"/>
      <w:pPr>
        <w:tabs>
          <w:tab w:val="num" w:pos="397"/>
        </w:tabs>
        <w:ind w:left="397" w:hanging="397"/>
      </w:pPr>
      <w:rPr>
        <w:rFonts w:hint="default"/>
      </w:rPr>
    </w:lvl>
    <w:lvl w:ilvl="1">
      <w:start w:val="1"/>
      <w:numFmt w:val="lowerLetter"/>
      <w:pStyle w:val="WoVG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E0D3D5E"/>
    <w:multiLevelType w:val="hybridMultilevel"/>
    <w:tmpl w:val="0DEA2E58"/>
    <w:lvl w:ilvl="0" w:tplc="6150D8DE">
      <w:start w:val="1"/>
      <w:numFmt w:val="bullet"/>
      <w:pStyle w:val="List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3" w15:restartNumberingAfterBreak="0">
    <w:nsid w:val="2C16074C"/>
    <w:multiLevelType w:val="hybridMultilevel"/>
    <w:tmpl w:val="2E5A8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B96CDA"/>
    <w:multiLevelType w:val="multilevel"/>
    <w:tmpl w:val="ACFE2276"/>
    <w:lvl w:ilvl="0">
      <w:start w:val="1"/>
      <w:numFmt w:val="decimal"/>
      <w:pStyle w:val="WoVG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8EA16A7"/>
    <w:multiLevelType w:val="multilevel"/>
    <w:tmpl w:val="78501F38"/>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WoVGnumberdigitindent"/>
      <w:lvlText w:val="%2."/>
      <w:lvlJc w:val="left"/>
      <w:pPr>
        <w:tabs>
          <w:tab w:val="num" w:pos="794"/>
        </w:tabs>
        <w:ind w:left="794" w:hanging="397"/>
      </w:pPr>
      <w:rPr>
        <w:rFonts w:hint="default"/>
      </w:rPr>
    </w:lvl>
    <w:lvl w:ilvl="2">
      <w:start w:val="1"/>
      <w:numFmt w:val="bullet"/>
      <w:lvlRestart w:val="0"/>
      <w:pStyle w:val="WoVGbulletafternumbers1"/>
      <w:lvlText w:val="•"/>
      <w:lvlJc w:val="left"/>
      <w:pPr>
        <w:ind w:left="794" w:hanging="397"/>
      </w:pPr>
      <w:rPr>
        <w:rFonts w:ascii="Calibri" w:hAnsi="Calibri" w:hint="default"/>
        <w:color w:val="auto"/>
      </w:rPr>
    </w:lvl>
    <w:lvl w:ilvl="3">
      <w:start w:val="1"/>
      <w:numFmt w:val="bullet"/>
      <w:lvlRestart w:val="0"/>
      <w:pStyle w:val="WoVG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WoVGnumberlowerroman"/>
      <w:lvlText w:val="(%1)"/>
      <w:lvlJc w:val="left"/>
      <w:pPr>
        <w:tabs>
          <w:tab w:val="num" w:pos="397"/>
        </w:tabs>
        <w:ind w:left="397" w:hanging="397"/>
      </w:pPr>
      <w:rPr>
        <w:rFonts w:hint="default"/>
      </w:rPr>
    </w:lvl>
    <w:lvl w:ilvl="1">
      <w:start w:val="1"/>
      <w:numFmt w:val="lowerRoman"/>
      <w:pStyle w:val="WoVG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F1AE3C58"/>
    <w:styleLink w:val="ZZBullets"/>
    <w:lvl w:ilvl="0">
      <w:start w:val="1"/>
      <w:numFmt w:val="bullet"/>
      <w:pStyle w:val="WoVGbullet1"/>
      <w:lvlText w:val="•"/>
      <w:lvlJc w:val="left"/>
      <w:pPr>
        <w:ind w:left="284" w:hanging="284"/>
      </w:pPr>
      <w:rPr>
        <w:rFonts w:ascii="Calibri" w:hAnsi="Calibri" w:hint="default"/>
      </w:rPr>
    </w:lvl>
    <w:lvl w:ilvl="1">
      <w:start w:val="1"/>
      <w:numFmt w:val="bullet"/>
      <w:lvlRestart w:val="0"/>
      <w:pStyle w:val="WoVG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BB0400E"/>
    <w:multiLevelType w:val="hybridMultilevel"/>
    <w:tmpl w:val="F17A725C"/>
    <w:lvl w:ilvl="0" w:tplc="C9764924">
      <w:start w:val="1"/>
      <w:numFmt w:val="decimal"/>
      <w:pStyle w:val="ListNumb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61AC53B9"/>
    <w:multiLevelType w:val="hybridMultilevel"/>
    <w:tmpl w:val="C39CE3AA"/>
    <w:lvl w:ilvl="0" w:tplc="82B01EE2">
      <w:start w:val="1"/>
      <w:numFmt w:val="decimal"/>
      <w:lvlText w:val="%1."/>
      <w:lvlJc w:val="left"/>
      <w:pPr>
        <w:ind w:left="360" w:hanging="360"/>
      </w:pPr>
      <w:rPr>
        <w:rFonts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09259F"/>
    <w:multiLevelType w:val="multilevel"/>
    <w:tmpl w:val="866C5A8E"/>
    <w:styleLink w:val="ZZQuotebullets"/>
    <w:lvl w:ilvl="0">
      <w:start w:val="1"/>
      <w:numFmt w:val="bullet"/>
      <w:pStyle w:val="WoVGquotebullet1"/>
      <w:lvlText w:val="•"/>
      <w:lvlJc w:val="left"/>
      <w:pPr>
        <w:ind w:left="680" w:hanging="283"/>
      </w:pPr>
      <w:rPr>
        <w:rFonts w:ascii="Calibri" w:hAnsi="Calibri" w:hint="default"/>
        <w:color w:val="auto"/>
      </w:rPr>
    </w:lvl>
    <w:lvl w:ilvl="1">
      <w:start w:val="1"/>
      <w:numFmt w:val="bullet"/>
      <w:lvlRestart w:val="0"/>
      <w:pStyle w:val="WoVG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9"/>
  </w:num>
  <w:num w:numId="2">
    <w:abstractNumId w:val="6"/>
  </w:num>
  <w:num w:numId="3">
    <w:abstractNumId w:val="4"/>
  </w:num>
  <w:num w:numId="4">
    <w:abstractNumId w:val="1"/>
  </w:num>
  <w:num w:numId="5">
    <w:abstractNumId w:val="7"/>
  </w:num>
  <w:num w:numId="6">
    <w:abstractNumId w:val="12"/>
  </w:num>
  <w:num w:numId="7">
    <w:abstractNumId w:val="8"/>
  </w:num>
  <w:num w:numId="8">
    <w:abstractNumId w:val="6"/>
  </w:num>
  <w:num w:numId="9">
    <w:abstractNumId w:val="1"/>
  </w:num>
  <w:num w:numId="10">
    <w:abstractNumId w:val="12"/>
  </w:num>
  <w:num w:numId="11">
    <w:abstractNumId w:val="7"/>
  </w:num>
  <w:num w:numId="12">
    <w:abstractNumId w:val="0"/>
  </w:num>
  <w:num w:numId="13">
    <w:abstractNumId w:val="2"/>
  </w:num>
  <w:num w:numId="14">
    <w:abstractNumId w:val="3"/>
  </w:num>
  <w:num w:numId="15">
    <w:abstractNumId w:val="11"/>
  </w:num>
  <w:num w:numId="16">
    <w:abstractNumId w:val="1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3B"/>
    <w:rsid w:val="00002990"/>
    <w:rsid w:val="000048AC"/>
    <w:rsid w:val="00014FC4"/>
    <w:rsid w:val="00020AAB"/>
    <w:rsid w:val="000223A4"/>
    <w:rsid w:val="00022E60"/>
    <w:rsid w:val="00026C19"/>
    <w:rsid w:val="00031263"/>
    <w:rsid w:val="000346FC"/>
    <w:rsid w:val="00044D0D"/>
    <w:rsid w:val="00050210"/>
    <w:rsid w:val="0005587D"/>
    <w:rsid w:val="00060E93"/>
    <w:rsid w:val="00064936"/>
    <w:rsid w:val="00067B25"/>
    <w:rsid w:val="000734F8"/>
    <w:rsid w:val="000736B8"/>
    <w:rsid w:val="000817CB"/>
    <w:rsid w:val="0008389A"/>
    <w:rsid w:val="00086B9E"/>
    <w:rsid w:val="000873EF"/>
    <w:rsid w:val="000A25FF"/>
    <w:rsid w:val="000B3792"/>
    <w:rsid w:val="000B4D4C"/>
    <w:rsid w:val="000C6242"/>
    <w:rsid w:val="000C68DB"/>
    <w:rsid w:val="000D1219"/>
    <w:rsid w:val="000D2C32"/>
    <w:rsid w:val="000E6F72"/>
    <w:rsid w:val="000F0478"/>
    <w:rsid w:val="000F0A50"/>
    <w:rsid w:val="00103D5E"/>
    <w:rsid w:val="00104EA7"/>
    <w:rsid w:val="00105FAD"/>
    <w:rsid w:val="0011155B"/>
    <w:rsid w:val="0011193B"/>
    <w:rsid w:val="00111A6A"/>
    <w:rsid w:val="00121BF1"/>
    <w:rsid w:val="0012411D"/>
    <w:rsid w:val="00124E41"/>
    <w:rsid w:val="00127A8B"/>
    <w:rsid w:val="00131B86"/>
    <w:rsid w:val="00134BE5"/>
    <w:rsid w:val="00140F14"/>
    <w:rsid w:val="001412D1"/>
    <w:rsid w:val="001423E3"/>
    <w:rsid w:val="001475EA"/>
    <w:rsid w:val="001504F5"/>
    <w:rsid w:val="001517BD"/>
    <w:rsid w:val="0015731D"/>
    <w:rsid w:val="0017248D"/>
    <w:rsid w:val="00173626"/>
    <w:rsid w:val="0017614A"/>
    <w:rsid w:val="0018177B"/>
    <w:rsid w:val="001817CD"/>
    <w:rsid w:val="0018235E"/>
    <w:rsid w:val="0018768C"/>
    <w:rsid w:val="00192BA0"/>
    <w:rsid w:val="00197303"/>
    <w:rsid w:val="001A17EA"/>
    <w:rsid w:val="001A1D17"/>
    <w:rsid w:val="001A22AA"/>
    <w:rsid w:val="001A5222"/>
    <w:rsid w:val="001A6977"/>
    <w:rsid w:val="001A7A18"/>
    <w:rsid w:val="001B1565"/>
    <w:rsid w:val="001B166D"/>
    <w:rsid w:val="001B28B5"/>
    <w:rsid w:val="001B2975"/>
    <w:rsid w:val="001C08A9"/>
    <w:rsid w:val="001C122D"/>
    <w:rsid w:val="001D2A82"/>
    <w:rsid w:val="001D569B"/>
    <w:rsid w:val="001E0EA3"/>
    <w:rsid w:val="001E4995"/>
    <w:rsid w:val="001E7A42"/>
    <w:rsid w:val="001F09DC"/>
    <w:rsid w:val="001F43E6"/>
    <w:rsid w:val="0020248C"/>
    <w:rsid w:val="00213772"/>
    <w:rsid w:val="00215D68"/>
    <w:rsid w:val="00220749"/>
    <w:rsid w:val="002219EE"/>
    <w:rsid w:val="0022422C"/>
    <w:rsid w:val="00225F77"/>
    <w:rsid w:val="0022724E"/>
    <w:rsid w:val="00230666"/>
    <w:rsid w:val="00231153"/>
    <w:rsid w:val="0023252E"/>
    <w:rsid w:val="00240D8C"/>
    <w:rsid w:val="00241C31"/>
    <w:rsid w:val="00256E7C"/>
    <w:rsid w:val="002679D5"/>
    <w:rsid w:val="002714FD"/>
    <w:rsid w:val="00275F94"/>
    <w:rsid w:val="00276C88"/>
    <w:rsid w:val="00281B9C"/>
    <w:rsid w:val="00284C9B"/>
    <w:rsid w:val="002A141B"/>
    <w:rsid w:val="002A26B6"/>
    <w:rsid w:val="002A6A4E"/>
    <w:rsid w:val="002B35F7"/>
    <w:rsid w:val="002B5A85"/>
    <w:rsid w:val="002B63A7"/>
    <w:rsid w:val="002B77C4"/>
    <w:rsid w:val="002C05BD"/>
    <w:rsid w:val="002C5543"/>
    <w:rsid w:val="002D0F7F"/>
    <w:rsid w:val="002E0198"/>
    <w:rsid w:val="002E1D7C"/>
    <w:rsid w:val="002E4235"/>
    <w:rsid w:val="002F449B"/>
    <w:rsid w:val="002F4D86"/>
    <w:rsid w:val="002F5D69"/>
    <w:rsid w:val="002F70B9"/>
    <w:rsid w:val="002F7C77"/>
    <w:rsid w:val="00300CB3"/>
    <w:rsid w:val="0030394B"/>
    <w:rsid w:val="003059F4"/>
    <w:rsid w:val="003070E2"/>
    <w:rsid w:val="003072C6"/>
    <w:rsid w:val="00310D8E"/>
    <w:rsid w:val="00315BBD"/>
    <w:rsid w:val="0031753A"/>
    <w:rsid w:val="00320293"/>
    <w:rsid w:val="00322CC2"/>
    <w:rsid w:val="003271DC"/>
    <w:rsid w:val="003329A8"/>
    <w:rsid w:val="00334B54"/>
    <w:rsid w:val="0033698A"/>
    <w:rsid w:val="0033739E"/>
    <w:rsid w:val="00343733"/>
    <w:rsid w:val="003556E0"/>
    <w:rsid w:val="00355886"/>
    <w:rsid w:val="00356814"/>
    <w:rsid w:val="003741AD"/>
    <w:rsid w:val="00375EA5"/>
    <w:rsid w:val="00376A06"/>
    <w:rsid w:val="0038019F"/>
    <w:rsid w:val="00382071"/>
    <w:rsid w:val="00391092"/>
    <w:rsid w:val="00396A51"/>
    <w:rsid w:val="003A076F"/>
    <w:rsid w:val="003A13A2"/>
    <w:rsid w:val="003A2F25"/>
    <w:rsid w:val="003B2807"/>
    <w:rsid w:val="003C68F2"/>
    <w:rsid w:val="003D58B8"/>
    <w:rsid w:val="003D5CFB"/>
    <w:rsid w:val="003E2636"/>
    <w:rsid w:val="003E2E12"/>
    <w:rsid w:val="003E4244"/>
    <w:rsid w:val="003F36CD"/>
    <w:rsid w:val="003F39CE"/>
    <w:rsid w:val="00401108"/>
    <w:rsid w:val="00402927"/>
    <w:rsid w:val="00407993"/>
    <w:rsid w:val="00410AFD"/>
    <w:rsid w:val="00411833"/>
    <w:rsid w:val="00412F64"/>
    <w:rsid w:val="00417BEB"/>
    <w:rsid w:val="00417CC6"/>
    <w:rsid w:val="004324FF"/>
    <w:rsid w:val="00432A55"/>
    <w:rsid w:val="004372B7"/>
    <w:rsid w:val="0044260A"/>
    <w:rsid w:val="00444D82"/>
    <w:rsid w:val="004564C6"/>
    <w:rsid w:val="004610CC"/>
    <w:rsid w:val="00465464"/>
    <w:rsid w:val="00465E87"/>
    <w:rsid w:val="0047128D"/>
    <w:rsid w:val="0047505E"/>
    <w:rsid w:val="0047786A"/>
    <w:rsid w:val="00477A65"/>
    <w:rsid w:val="00482DB3"/>
    <w:rsid w:val="00495C21"/>
    <w:rsid w:val="004A0236"/>
    <w:rsid w:val="004A0675"/>
    <w:rsid w:val="004A369A"/>
    <w:rsid w:val="004A3B3E"/>
    <w:rsid w:val="004C4BE6"/>
    <w:rsid w:val="004C5777"/>
    <w:rsid w:val="004C7B37"/>
    <w:rsid w:val="004D0173"/>
    <w:rsid w:val="004D1056"/>
    <w:rsid w:val="004D2B7B"/>
    <w:rsid w:val="004D3577"/>
    <w:rsid w:val="004E1EDE"/>
    <w:rsid w:val="004E21E2"/>
    <w:rsid w:val="004E293F"/>
    <w:rsid w:val="004E380D"/>
    <w:rsid w:val="004E7922"/>
    <w:rsid w:val="004F0DFC"/>
    <w:rsid w:val="004F3441"/>
    <w:rsid w:val="004F38FA"/>
    <w:rsid w:val="004F41B2"/>
    <w:rsid w:val="004F4AFC"/>
    <w:rsid w:val="004F52A5"/>
    <w:rsid w:val="004F52CF"/>
    <w:rsid w:val="00500C8C"/>
    <w:rsid w:val="00501375"/>
    <w:rsid w:val="00501D3B"/>
    <w:rsid w:val="005022C9"/>
    <w:rsid w:val="00502B8F"/>
    <w:rsid w:val="0050779D"/>
    <w:rsid w:val="005139EA"/>
    <w:rsid w:val="00515E48"/>
    <w:rsid w:val="00520460"/>
    <w:rsid w:val="00520BBB"/>
    <w:rsid w:val="0052429F"/>
    <w:rsid w:val="00524310"/>
    <w:rsid w:val="00525456"/>
    <w:rsid w:val="00532236"/>
    <w:rsid w:val="005338EA"/>
    <w:rsid w:val="00541DFE"/>
    <w:rsid w:val="00543E6C"/>
    <w:rsid w:val="00544184"/>
    <w:rsid w:val="00546AB6"/>
    <w:rsid w:val="00551789"/>
    <w:rsid w:val="00553F68"/>
    <w:rsid w:val="005552FD"/>
    <w:rsid w:val="005600E5"/>
    <w:rsid w:val="00562F6D"/>
    <w:rsid w:val="00564E8F"/>
    <w:rsid w:val="005728A4"/>
    <w:rsid w:val="005763FC"/>
    <w:rsid w:val="00576EB4"/>
    <w:rsid w:val="00577B30"/>
    <w:rsid w:val="00582768"/>
    <w:rsid w:val="00583461"/>
    <w:rsid w:val="005856A4"/>
    <w:rsid w:val="00587005"/>
    <w:rsid w:val="00590730"/>
    <w:rsid w:val="005A3051"/>
    <w:rsid w:val="005A53FE"/>
    <w:rsid w:val="005B7D22"/>
    <w:rsid w:val="005C029E"/>
    <w:rsid w:val="005C6763"/>
    <w:rsid w:val="005D62BB"/>
    <w:rsid w:val="005D79C9"/>
    <w:rsid w:val="005E085D"/>
    <w:rsid w:val="005E3FA7"/>
    <w:rsid w:val="005E7963"/>
    <w:rsid w:val="005F218C"/>
    <w:rsid w:val="005F4523"/>
    <w:rsid w:val="005F7356"/>
    <w:rsid w:val="00601D4D"/>
    <w:rsid w:val="006021B4"/>
    <w:rsid w:val="00605B5B"/>
    <w:rsid w:val="006062D8"/>
    <w:rsid w:val="00606827"/>
    <w:rsid w:val="00620262"/>
    <w:rsid w:val="00621B4C"/>
    <w:rsid w:val="00626D64"/>
    <w:rsid w:val="00627C52"/>
    <w:rsid w:val="00630937"/>
    <w:rsid w:val="00653B84"/>
    <w:rsid w:val="00653E0D"/>
    <w:rsid w:val="00681A85"/>
    <w:rsid w:val="006865C8"/>
    <w:rsid w:val="00686B48"/>
    <w:rsid w:val="00687038"/>
    <w:rsid w:val="0068714E"/>
    <w:rsid w:val="006872F5"/>
    <w:rsid w:val="006929F7"/>
    <w:rsid w:val="0069374A"/>
    <w:rsid w:val="00694AB8"/>
    <w:rsid w:val="00695EF7"/>
    <w:rsid w:val="0069699D"/>
    <w:rsid w:val="006A0F87"/>
    <w:rsid w:val="006B2C51"/>
    <w:rsid w:val="006B6361"/>
    <w:rsid w:val="006D24CE"/>
    <w:rsid w:val="006D2613"/>
    <w:rsid w:val="006D360C"/>
    <w:rsid w:val="006D5AC9"/>
    <w:rsid w:val="006D66ED"/>
    <w:rsid w:val="006E786B"/>
    <w:rsid w:val="006F3E0E"/>
    <w:rsid w:val="006F74FC"/>
    <w:rsid w:val="007002B1"/>
    <w:rsid w:val="00704EB7"/>
    <w:rsid w:val="00705742"/>
    <w:rsid w:val="007104FE"/>
    <w:rsid w:val="00711B0C"/>
    <w:rsid w:val="007121A2"/>
    <w:rsid w:val="00713981"/>
    <w:rsid w:val="00714F45"/>
    <w:rsid w:val="007176D6"/>
    <w:rsid w:val="00727466"/>
    <w:rsid w:val="00727D54"/>
    <w:rsid w:val="00731EF2"/>
    <w:rsid w:val="007344C5"/>
    <w:rsid w:val="00734959"/>
    <w:rsid w:val="00735137"/>
    <w:rsid w:val="0073520D"/>
    <w:rsid w:val="00780226"/>
    <w:rsid w:val="00781AB4"/>
    <w:rsid w:val="007918C0"/>
    <w:rsid w:val="007923B7"/>
    <w:rsid w:val="00792402"/>
    <w:rsid w:val="00792616"/>
    <w:rsid w:val="007926BB"/>
    <w:rsid w:val="0079344C"/>
    <w:rsid w:val="007968AE"/>
    <w:rsid w:val="007A0283"/>
    <w:rsid w:val="007A29C3"/>
    <w:rsid w:val="007C02C7"/>
    <w:rsid w:val="007C21EE"/>
    <w:rsid w:val="007D3A2E"/>
    <w:rsid w:val="007D6652"/>
    <w:rsid w:val="007E2A52"/>
    <w:rsid w:val="007E343D"/>
    <w:rsid w:val="007E455E"/>
    <w:rsid w:val="007F4383"/>
    <w:rsid w:val="007F5858"/>
    <w:rsid w:val="007F6862"/>
    <w:rsid w:val="00801601"/>
    <w:rsid w:val="0080169A"/>
    <w:rsid w:val="008036A7"/>
    <w:rsid w:val="00810991"/>
    <w:rsid w:val="00814A9B"/>
    <w:rsid w:val="00814F66"/>
    <w:rsid w:val="00817C9E"/>
    <w:rsid w:val="008205AF"/>
    <w:rsid w:val="008225E5"/>
    <w:rsid w:val="00831053"/>
    <w:rsid w:val="008314D2"/>
    <w:rsid w:val="0083254D"/>
    <w:rsid w:val="00836249"/>
    <w:rsid w:val="00836F00"/>
    <w:rsid w:val="0084163B"/>
    <w:rsid w:val="00846192"/>
    <w:rsid w:val="00850806"/>
    <w:rsid w:val="00856A1B"/>
    <w:rsid w:val="008621C3"/>
    <w:rsid w:val="00865486"/>
    <w:rsid w:val="008669BE"/>
    <w:rsid w:val="00876275"/>
    <w:rsid w:val="00882B99"/>
    <w:rsid w:val="0088584B"/>
    <w:rsid w:val="00886121"/>
    <w:rsid w:val="008A295B"/>
    <w:rsid w:val="008A5B97"/>
    <w:rsid w:val="008A6604"/>
    <w:rsid w:val="008B1C73"/>
    <w:rsid w:val="008B5482"/>
    <w:rsid w:val="008C11F4"/>
    <w:rsid w:val="008C2BEC"/>
    <w:rsid w:val="008C6523"/>
    <w:rsid w:val="008C6D0E"/>
    <w:rsid w:val="008D04AE"/>
    <w:rsid w:val="008D09D2"/>
    <w:rsid w:val="008D39C5"/>
    <w:rsid w:val="008E1D89"/>
    <w:rsid w:val="008E3E3E"/>
    <w:rsid w:val="008F5F87"/>
    <w:rsid w:val="00900A34"/>
    <w:rsid w:val="00906132"/>
    <w:rsid w:val="00907073"/>
    <w:rsid w:val="009208F5"/>
    <w:rsid w:val="00927D51"/>
    <w:rsid w:val="00932272"/>
    <w:rsid w:val="00932862"/>
    <w:rsid w:val="00935D60"/>
    <w:rsid w:val="00935EB6"/>
    <w:rsid w:val="009447BB"/>
    <w:rsid w:val="00944C48"/>
    <w:rsid w:val="00946335"/>
    <w:rsid w:val="009513C4"/>
    <w:rsid w:val="00955E55"/>
    <w:rsid w:val="0096004B"/>
    <w:rsid w:val="00962200"/>
    <w:rsid w:val="0096454C"/>
    <w:rsid w:val="00965FA8"/>
    <w:rsid w:val="00966F54"/>
    <w:rsid w:val="00975E61"/>
    <w:rsid w:val="00976E31"/>
    <w:rsid w:val="00977C63"/>
    <w:rsid w:val="00980087"/>
    <w:rsid w:val="00980C0B"/>
    <w:rsid w:val="0098524F"/>
    <w:rsid w:val="00987ABE"/>
    <w:rsid w:val="009906C7"/>
    <w:rsid w:val="009963CD"/>
    <w:rsid w:val="009970A6"/>
    <w:rsid w:val="009B266D"/>
    <w:rsid w:val="009B5CBF"/>
    <w:rsid w:val="009C184A"/>
    <w:rsid w:val="009C2CA5"/>
    <w:rsid w:val="009C4A1F"/>
    <w:rsid w:val="009C5944"/>
    <w:rsid w:val="009C5F32"/>
    <w:rsid w:val="009C6181"/>
    <w:rsid w:val="009D3E45"/>
    <w:rsid w:val="009F351F"/>
    <w:rsid w:val="009F3F89"/>
    <w:rsid w:val="009F480E"/>
    <w:rsid w:val="00A022A2"/>
    <w:rsid w:val="00A02D15"/>
    <w:rsid w:val="00A11403"/>
    <w:rsid w:val="00A26B0D"/>
    <w:rsid w:val="00A3735A"/>
    <w:rsid w:val="00A42F1B"/>
    <w:rsid w:val="00A44EBE"/>
    <w:rsid w:val="00A546BC"/>
    <w:rsid w:val="00A55989"/>
    <w:rsid w:val="00A5694A"/>
    <w:rsid w:val="00A57E95"/>
    <w:rsid w:val="00A63DA4"/>
    <w:rsid w:val="00A75CD5"/>
    <w:rsid w:val="00A763D5"/>
    <w:rsid w:val="00A83DF3"/>
    <w:rsid w:val="00A85915"/>
    <w:rsid w:val="00A86270"/>
    <w:rsid w:val="00A865B3"/>
    <w:rsid w:val="00A952AB"/>
    <w:rsid w:val="00A9783D"/>
    <w:rsid w:val="00AA45E6"/>
    <w:rsid w:val="00AA5A37"/>
    <w:rsid w:val="00AA786D"/>
    <w:rsid w:val="00AB24F2"/>
    <w:rsid w:val="00AB489C"/>
    <w:rsid w:val="00AB50C1"/>
    <w:rsid w:val="00AB6936"/>
    <w:rsid w:val="00AC0C3B"/>
    <w:rsid w:val="00AC2D63"/>
    <w:rsid w:val="00AD03D8"/>
    <w:rsid w:val="00AD0711"/>
    <w:rsid w:val="00AD704E"/>
    <w:rsid w:val="00AE5FE0"/>
    <w:rsid w:val="00AE60B7"/>
    <w:rsid w:val="00AF2AB7"/>
    <w:rsid w:val="00AF2B1C"/>
    <w:rsid w:val="00AF4D3F"/>
    <w:rsid w:val="00B0211F"/>
    <w:rsid w:val="00B0300B"/>
    <w:rsid w:val="00B05457"/>
    <w:rsid w:val="00B057F5"/>
    <w:rsid w:val="00B128A0"/>
    <w:rsid w:val="00B20240"/>
    <w:rsid w:val="00B23281"/>
    <w:rsid w:val="00B27571"/>
    <w:rsid w:val="00B4164B"/>
    <w:rsid w:val="00B5409A"/>
    <w:rsid w:val="00B55574"/>
    <w:rsid w:val="00B61D94"/>
    <w:rsid w:val="00B6525D"/>
    <w:rsid w:val="00B65ABA"/>
    <w:rsid w:val="00B67097"/>
    <w:rsid w:val="00B6790F"/>
    <w:rsid w:val="00B71B3B"/>
    <w:rsid w:val="00B853DB"/>
    <w:rsid w:val="00B87D61"/>
    <w:rsid w:val="00B93948"/>
    <w:rsid w:val="00BA4BC7"/>
    <w:rsid w:val="00BA55B7"/>
    <w:rsid w:val="00BA5E47"/>
    <w:rsid w:val="00BA7D57"/>
    <w:rsid w:val="00BB156E"/>
    <w:rsid w:val="00BB3330"/>
    <w:rsid w:val="00BB47D7"/>
    <w:rsid w:val="00BB4A62"/>
    <w:rsid w:val="00BC01C1"/>
    <w:rsid w:val="00BC45A1"/>
    <w:rsid w:val="00BC5A34"/>
    <w:rsid w:val="00BD17F5"/>
    <w:rsid w:val="00BD6E05"/>
    <w:rsid w:val="00BE54D0"/>
    <w:rsid w:val="00BF6B6C"/>
    <w:rsid w:val="00BF7251"/>
    <w:rsid w:val="00BF7F28"/>
    <w:rsid w:val="00C01909"/>
    <w:rsid w:val="00C05787"/>
    <w:rsid w:val="00C11871"/>
    <w:rsid w:val="00C13059"/>
    <w:rsid w:val="00C14ECE"/>
    <w:rsid w:val="00C156D4"/>
    <w:rsid w:val="00C167A3"/>
    <w:rsid w:val="00C2181C"/>
    <w:rsid w:val="00C2657D"/>
    <w:rsid w:val="00C26A87"/>
    <w:rsid w:val="00C35ACA"/>
    <w:rsid w:val="00C3745D"/>
    <w:rsid w:val="00C37BAB"/>
    <w:rsid w:val="00C416E1"/>
    <w:rsid w:val="00C47BF8"/>
    <w:rsid w:val="00C51B1C"/>
    <w:rsid w:val="00C53DCE"/>
    <w:rsid w:val="00C655F2"/>
    <w:rsid w:val="00C65B4C"/>
    <w:rsid w:val="00C65B61"/>
    <w:rsid w:val="00C67C56"/>
    <w:rsid w:val="00C70E53"/>
    <w:rsid w:val="00C72979"/>
    <w:rsid w:val="00C81529"/>
    <w:rsid w:val="00C81BA6"/>
    <w:rsid w:val="00C8377C"/>
    <w:rsid w:val="00C877CD"/>
    <w:rsid w:val="00C902E9"/>
    <w:rsid w:val="00C908B7"/>
    <w:rsid w:val="00C91D81"/>
    <w:rsid w:val="00C92A42"/>
    <w:rsid w:val="00C92AFD"/>
    <w:rsid w:val="00CA18F2"/>
    <w:rsid w:val="00CA4871"/>
    <w:rsid w:val="00CA6722"/>
    <w:rsid w:val="00CA6D4E"/>
    <w:rsid w:val="00CA7B4B"/>
    <w:rsid w:val="00CB31F5"/>
    <w:rsid w:val="00CB36A8"/>
    <w:rsid w:val="00CB4FC7"/>
    <w:rsid w:val="00CC139A"/>
    <w:rsid w:val="00CC1E7A"/>
    <w:rsid w:val="00CC4F64"/>
    <w:rsid w:val="00CD058C"/>
    <w:rsid w:val="00CD3B98"/>
    <w:rsid w:val="00CD4216"/>
    <w:rsid w:val="00CD518C"/>
    <w:rsid w:val="00CD733F"/>
    <w:rsid w:val="00CD7C65"/>
    <w:rsid w:val="00CE0942"/>
    <w:rsid w:val="00CE49DD"/>
    <w:rsid w:val="00CE776C"/>
    <w:rsid w:val="00CE7CA5"/>
    <w:rsid w:val="00CF1CB5"/>
    <w:rsid w:val="00CF1D81"/>
    <w:rsid w:val="00CF2DC9"/>
    <w:rsid w:val="00CF3AF9"/>
    <w:rsid w:val="00CF7CB6"/>
    <w:rsid w:val="00D02EF4"/>
    <w:rsid w:val="00D05E0B"/>
    <w:rsid w:val="00D063D6"/>
    <w:rsid w:val="00D22836"/>
    <w:rsid w:val="00D258FC"/>
    <w:rsid w:val="00D311AB"/>
    <w:rsid w:val="00D32290"/>
    <w:rsid w:val="00D325A8"/>
    <w:rsid w:val="00D442AD"/>
    <w:rsid w:val="00D5618A"/>
    <w:rsid w:val="00D5784B"/>
    <w:rsid w:val="00D63EFB"/>
    <w:rsid w:val="00D658AF"/>
    <w:rsid w:val="00D70A79"/>
    <w:rsid w:val="00D83DE9"/>
    <w:rsid w:val="00D8450D"/>
    <w:rsid w:val="00D95AF9"/>
    <w:rsid w:val="00DA09C9"/>
    <w:rsid w:val="00DA1822"/>
    <w:rsid w:val="00DB5E1F"/>
    <w:rsid w:val="00DC19D8"/>
    <w:rsid w:val="00DC2613"/>
    <w:rsid w:val="00DC4512"/>
    <w:rsid w:val="00DD3691"/>
    <w:rsid w:val="00DD4B55"/>
    <w:rsid w:val="00DE1E90"/>
    <w:rsid w:val="00DE24E6"/>
    <w:rsid w:val="00DE5C8A"/>
    <w:rsid w:val="00DF07AD"/>
    <w:rsid w:val="00DF11D3"/>
    <w:rsid w:val="00DF2EEC"/>
    <w:rsid w:val="00DF3364"/>
    <w:rsid w:val="00E055BB"/>
    <w:rsid w:val="00E07BA5"/>
    <w:rsid w:val="00E11988"/>
    <w:rsid w:val="00E15DA9"/>
    <w:rsid w:val="00E2095D"/>
    <w:rsid w:val="00E20D7E"/>
    <w:rsid w:val="00E25653"/>
    <w:rsid w:val="00E26E32"/>
    <w:rsid w:val="00E30414"/>
    <w:rsid w:val="00E40769"/>
    <w:rsid w:val="00E42E8B"/>
    <w:rsid w:val="00E60F12"/>
    <w:rsid w:val="00E652FB"/>
    <w:rsid w:val="00E66C20"/>
    <w:rsid w:val="00E71C46"/>
    <w:rsid w:val="00E731B7"/>
    <w:rsid w:val="00E75ED2"/>
    <w:rsid w:val="00E8280C"/>
    <w:rsid w:val="00E83E4C"/>
    <w:rsid w:val="00E91933"/>
    <w:rsid w:val="00E92A81"/>
    <w:rsid w:val="00E95301"/>
    <w:rsid w:val="00E969B1"/>
    <w:rsid w:val="00EB6552"/>
    <w:rsid w:val="00EB7589"/>
    <w:rsid w:val="00EC08A4"/>
    <w:rsid w:val="00EC18E6"/>
    <w:rsid w:val="00EC1984"/>
    <w:rsid w:val="00EC234C"/>
    <w:rsid w:val="00ED3529"/>
    <w:rsid w:val="00ED4D17"/>
    <w:rsid w:val="00ED6ED1"/>
    <w:rsid w:val="00EE3B2D"/>
    <w:rsid w:val="00EE6CD3"/>
    <w:rsid w:val="00EF20D7"/>
    <w:rsid w:val="00EF3419"/>
    <w:rsid w:val="00F0119C"/>
    <w:rsid w:val="00F02BDB"/>
    <w:rsid w:val="00F0441B"/>
    <w:rsid w:val="00F07623"/>
    <w:rsid w:val="00F07D0B"/>
    <w:rsid w:val="00F201BC"/>
    <w:rsid w:val="00F2073E"/>
    <w:rsid w:val="00F3136B"/>
    <w:rsid w:val="00F314F1"/>
    <w:rsid w:val="00F327EA"/>
    <w:rsid w:val="00F33641"/>
    <w:rsid w:val="00F42842"/>
    <w:rsid w:val="00F43EE0"/>
    <w:rsid w:val="00F46E40"/>
    <w:rsid w:val="00F4760A"/>
    <w:rsid w:val="00F529FE"/>
    <w:rsid w:val="00F52B8E"/>
    <w:rsid w:val="00F53CFD"/>
    <w:rsid w:val="00F54AF5"/>
    <w:rsid w:val="00F557E3"/>
    <w:rsid w:val="00F61E78"/>
    <w:rsid w:val="00F635C5"/>
    <w:rsid w:val="00F736E3"/>
    <w:rsid w:val="00F7419B"/>
    <w:rsid w:val="00F7630A"/>
    <w:rsid w:val="00F767E8"/>
    <w:rsid w:val="00F837CB"/>
    <w:rsid w:val="00F86A3F"/>
    <w:rsid w:val="00F90602"/>
    <w:rsid w:val="00F91297"/>
    <w:rsid w:val="00F9133B"/>
    <w:rsid w:val="00F97730"/>
    <w:rsid w:val="00FB32A4"/>
    <w:rsid w:val="00FB35C5"/>
    <w:rsid w:val="00FB594D"/>
    <w:rsid w:val="00FC49BB"/>
    <w:rsid w:val="00FC7817"/>
    <w:rsid w:val="00FD5172"/>
    <w:rsid w:val="00FD616B"/>
    <w:rsid w:val="00FE367F"/>
    <w:rsid w:val="00FE67BA"/>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10BDE81"/>
  <w15:docId w15:val="{4E143FEF-D360-4FAF-A296-EF387616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08A9"/>
    <w:rPr>
      <w:rFonts w:ascii="Cambria" w:hAnsi="Cambria"/>
      <w:lang w:eastAsia="en-US"/>
    </w:rPr>
  </w:style>
  <w:style w:type="paragraph" w:styleId="Heading1">
    <w:name w:val="heading 1"/>
    <w:next w:val="WoVGbody"/>
    <w:link w:val="Heading1Char"/>
    <w:uiPriority w:val="1"/>
    <w:qFormat/>
    <w:rsid w:val="007E455E"/>
    <w:pPr>
      <w:keepNext/>
      <w:keepLines/>
      <w:spacing w:before="520" w:after="440" w:line="440" w:lineRule="atLeast"/>
      <w:outlineLvl w:val="0"/>
    </w:pPr>
    <w:rPr>
      <w:rFonts w:ascii="Arial" w:hAnsi="Arial"/>
      <w:bCs/>
      <w:color w:val="009CA6"/>
      <w:sz w:val="44"/>
      <w:szCs w:val="44"/>
      <w:lang w:eastAsia="en-US"/>
    </w:rPr>
  </w:style>
  <w:style w:type="paragraph" w:styleId="Heading2">
    <w:name w:val="heading 2"/>
    <w:next w:val="WoVGbody"/>
    <w:link w:val="Heading2Char"/>
    <w:uiPriority w:val="1"/>
    <w:qFormat/>
    <w:rsid w:val="007E455E"/>
    <w:pPr>
      <w:keepNext/>
      <w:keepLines/>
      <w:spacing w:before="240" w:after="90" w:line="320" w:lineRule="atLeast"/>
      <w:outlineLvl w:val="1"/>
    </w:pPr>
    <w:rPr>
      <w:rFonts w:ascii="Arial" w:hAnsi="Arial"/>
      <w:b/>
      <w:color w:val="009CA6"/>
      <w:sz w:val="28"/>
      <w:szCs w:val="28"/>
      <w:lang w:eastAsia="en-US"/>
    </w:rPr>
  </w:style>
  <w:style w:type="paragraph" w:styleId="Heading3">
    <w:name w:val="heading 3"/>
    <w:next w:val="WoVG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WoVG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WoVG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E455E"/>
    <w:rPr>
      <w:rFonts w:ascii="Arial" w:hAnsi="Arial"/>
      <w:bCs/>
      <w:color w:val="009CA6"/>
      <w:sz w:val="44"/>
      <w:szCs w:val="44"/>
      <w:lang w:eastAsia="en-US"/>
    </w:rPr>
  </w:style>
  <w:style w:type="character" w:customStyle="1" w:styleId="Heading2Char">
    <w:name w:val="Heading 2 Char"/>
    <w:link w:val="Heading2"/>
    <w:uiPriority w:val="1"/>
    <w:rsid w:val="007E455E"/>
    <w:rPr>
      <w:rFonts w:ascii="Arial" w:hAnsi="Arial"/>
      <w:b/>
      <w:color w:val="009CA6"/>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WoVGheader"/>
    <w:link w:val="HeaderChar"/>
    <w:uiPriority w:val="99"/>
    <w:rsid w:val="004E380D"/>
  </w:style>
  <w:style w:type="paragraph" w:styleId="Footer">
    <w:name w:val="footer"/>
    <w:basedOn w:val="WoVGfooter"/>
    <w:link w:val="FooterChar"/>
    <w:uiPriority w:val="99"/>
    <w:rsid w:val="0031753A"/>
  </w:style>
  <w:style w:type="character" w:styleId="FollowedHyperlink">
    <w:name w:val="FollowedHyperlink"/>
    <w:uiPriority w:val="99"/>
    <w:rsid w:val="007F6862"/>
    <w:rPr>
      <w:color w:val="87189D"/>
      <w:u w:val="dotted"/>
    </w:rPr>
  </w:style>
  <w:style w:type="paragraph" w:customStyle="1" w:styleId="WoVGtabletext6pt">
    <w:name w:val="WoVG table text + 6pt"/>
    <w:basedOn w:val="WoVG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WoVGreportsubtitle">
    <w:name w:val="WoVG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WoVGreportmaintitle">
    <w:name w:val="WoVG report main title"/>
    <w:uiPriority w:val="4"/>
    <w:rsid w:val="000A25FF"/>
    <w:pPr>
      <w:keepLines/>
      <w:spacing w:after="240" w:line="580" w:lineRule="atLeast"/>
      <w:ind w:right="-1021"/>
      <w:jc w:val="right"/>
    </w:pPr>
    <w:rPr>
      <w:rFonts w:ascii="Arial" w:hAnsi="Arial"/>
      <w:color w:val="009CA6"/>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5F7356"/>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5F7356"/>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5F7356"/>
    <w:pPr>
      <w:keepLines/>
      <w:tabs>
        <w:tab w:val="right" w:leader="dot" w:pos="9299"/>
      </w:tabs>
      <w:spacing w:after="60" w:line="270" w:lineRule="atLeast"/>
      <w:ind w:left="284"/>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WoVGreportsubtitlegrey">
    <w:name w:val="WoVG report subtitle grey"/>
    <w:uiPriority w:val="4"/>
    <w:rsid w:val="000A25FF"/>
    <w:pPr>
      <w:spacing w:after="120" w:line="380" w:lineRule="atLeast"/>
      <w:ind w:right="-1021"/>
      <w:jc w:val="right"/>
    </w:pPr>
    <w:rPr>
      <w:rFonts w:ascii="Arial" w:hAnsi="Arial"/>
      <w:bCs/>
      <w:color w:val="53565A"/>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WoVGbody">
    <w:name w:val="WoVG body"/>
    <w:qFormat/>
    <w:rsid w:val="00E30414"/>
    <w:pPr>
      <w:spacing w:after="120" w:line="270" w:lineRule="atLeast"/>
    </w:pPr>
    <w:rPr>
      <w:rFonts w:ascii="Arial" w:eastAsia="Times" w:hAnsi="Arial"/>
      <w:lang w:eastAsia="en-US"/>
    </w:rPr>
  </w:style>
  <w:style w:type="paragraph" w:customStyle="1" w:styleId="WoVGbullet1">
    <w:name w:val="WoVG bullet 1"/>
    <w:basedOn w:val="WoVGbody"/>
    <w:qFormat/>
    <w:rsid w:val="007F5858"/>
    <w:pPr>
      <w:numPr>
        <w:numId w:val="1"/>
      </w:numPr>
      <w:spacing w:after="40"/>
    </w:pPr>
  </w:style>
  <w:style w:type="paragraph" w:customStyle="1" w:styleId="WoVGnumberloweralpha">
    <w:name w:val="WoVG number lower alpha"/>
    <w:basedOn w:val="WoVGbody"/>
    <w:uiPriority w:val="3"/>
    <w:rsid w:val="008669BE"/>
    <w:pPr>
      <w:numPr>
        <w:numId w:val="9"/>
      </w:numPr>
    </w:pPr>
  </w:style>
  <w:style w:type="paragraph" w:customStyle="1" w:styleId="WoVGnumberloweralphaindent">
    <w:name w:val="WoVG number lower alpha indent"/>
    <w:basedOn w:val="WoVGbody"/>
    <w:uiPriority w:val="3"/>
    <w:rsid w:val="008669BE"/>
    <w:pPr>
      <w:numPr>
        <w:ilvl w:val="1"/>
        <w:numId w:val="9"/>
      </w:numPr>
    </w:pPr>
  </w:style>
  <w:style w:type="paragraph" w:customStyle="1" w:styleId="WoVGtablefigurenote">
    <w:name w:val="WoVG table/figure note"/>
    <w:uiPriority w:val="4"/>
    <w:rsid w:val="008A5B97"/>
    <w:pPr>
      <w:spacing w:before="60" w:after="60" w:line="240" w:lineRule="exact"/>
    </w:pPr>
    <w:rPr>
      <w:rFonts w:ascii="Arial" w:hAnsi="Arial"/>
      <w:sz w:val="18"/>
      <w:lang w:eastAsia="en-US"/>
    </w:rPr>
  </w:style>
  <w:style w:type="paragraph" w:customStyle="1" w:styleId="WoVGtabletext">
    <w:name w:val="WoVG table text"/>
    <w:uiPriority w:val="3"/>
    <w:qFormat/>
    <w:rsid w:val="00E30414"/>
    <w:pPr>
      <w:spacing w:before="80" w:after="60"/>
    </w:pPr>
    <w:rPr>
      <w:rFonts w:ascii="Arial" w:hAnsi="Arial"/>
      <w:lang w:eastAsia="en-US"/>
    </w:rPr>
  </w:style>
  <w:style w:type="paragraph" w:customStyle="1" w:styleId="WoVGtablecaption">
    <w:name w:val="WoVG table caption"/>
    <w:next w:val="WoVGbody"/>
    <w:uiPriority w:val="3"/>
    <w:qFormat/>
    <w:rsid w:val="004E21E2"/>
    <w:pPr>
      <w:keepNext/>
      <w:keepLines/>
      <w:spacing w:before="240" w:after="120" w:line="240" w:lineRule="atLeast"/>
    </w:pPr>
    <w:rPr>
      <w:rFonts w:ascii="Arial" w:hAnsi="Arial"/>
      <w:b/>
      <w:lang w:eastAsia="en-US"/>
    </w:rPr>
  </w:style>
  <w:style w:type="paragraph" w:customStyle="1" w:styleId="WoVGfigurecaption">
    <w:name w:val="WoVG figure caption"/>
    <w:next w:val="WoVGbody"/>
    <w:rsid w:val="00E91933"/>
    <w:pPr>
      <w:keepNext/>
      <w:keepLines/>
      <w:spacing w:before="240" w:after="120"/>
    </w:pPr>
    <w:rPr>
      <w:rFonts w:ascii="Arial" w:hAnsi="Arial"/>
      <w:b/>
      <w:lang w:eastAsia="en-US"/>
    </w:rPr>
  </w:style>
  <w:style w:type="paragraph" w:customStyle="1" w:styleId="WoVGfooter">
    <w:name w:val="WoVG footer"/>
    <w:uiPriority w:val="11"/>
    <w:rsid w:val="00E969B1"/>
    <w:pPr>
      <w:tabs>
        <w:tab w:val="right" w:pos="9299"/>
      </w:tabs>
    </w:pPr>
    <w:rPr>
      <w:rFonts w:ascii="Arial" w:hAnsi="Arial" w:cs="Arial"/>
      <w:sz w:val="18"/>
      <w:szCs w:val="18"/>
      <w:lang w:eastAsia="en-US"/>
    </w:rPr>
  </w:style>
  <w:style w:type="paragraph" w:customStyle="1" w:styleId="WoVGbullet2">
    <w:name w:val="WoVG bullet 2"/>
    <w:basedOn w:val="WoVGbody"/>
    <w:uiPriority w:val="2"/>
    <w:qFormat/>
    <w:rsid w:val="007F5858"/>
    <w:pPr>
      <w:numPr>
        <w:ilvl w:val="1"/>
        <w:numId w:val="1"/>
      </w:numPr>
      <w:spacing w:after="40"/>
    </w:pPr>
  </w:style>
  <w:style w:type="paragraph" w:customStyle="1" w:styleId="WoVGheader">
    <w:name w:val="WoVG header"/>
    <w:basedOn w:val="WoVGfooter"/>
    <w:uiPriority w:val="11"/>
    <w:rsid w:val="00E969B1"/>
  </w:style>
  <w:style w:type="character" w:styleId="Strong">
    <w:name w:val="Strong"/>
    <w:uiPriority w:val="22"/>
    <w:qFormat/>
    <w:rsid w:val="00DC19D8"/>
    <w:rPr>
      <w:b/>
      <w:bCs/>
    </w:rPr>
  </w:style>
  <w:style w:type="paragraph" w:customStyle="1" w:styleId="WoVGnumberdigit">
    <w:name w:val="WoVG number digit"/>
    <w:basedOn w:val="WoVGbody"/>
    <w:uiPriority w:val="2"/>
    <w:rsid w:val="008669BE"/>
    <w:pPr>
      <w:numPr>
        <w:numId w:val="3"/>
      </w:numPr>
    </w:pPr>
  </w:style>
  <w:style w:type="paragraph" w:customStyle="1" w:styleId="WoVGtablecolhead">
    <w:name w:val="WoVG table col head"/>
    <w:uiPriority w:val="3"/>
    <w:qFormat/>
    <w:rsid w:val="006A0F87"/>
    <w:pPr>
      <w:spacing w:before="80" w:after="60"/>
    </w:pPr>
    <w:rPr>
      <w:rFonts w:ascii="Arial" w:hAnsi="Arial"/>
      <w:b/>
      <w:lang w:eastAsia="en-US"/>
    </w:rPr>
  </w:style>
  <w:style w:type="paragraph" w:customStyle="1" w:styleId="WoVGbodyaftertablefigure">
    <w:name w:val="WoVG body after table/figure"/>
    <w:basedOn w:val="WoVGbody"/>
    <w:next w:val="WoVGbody"/>
    <w:rsid w:val="00876275"/>
    <w:pPr>
      <w:spacing w:before="240"/>
    </w:pPr>
  </w:style>
  <w:style w:type="paragraph" w:customStyle="1" w:styleId="WoVGtablebullet">
    <w:name w:val="WoVG table bullet"/>
    <w:basedOn w:val="WoVGtabletext"/>
    <w:uiPriority w:val="3"/>
    <w:qFormat/>
    <w:rsid w:val="00CF7CB6"/>
  </w:style>
  <w:style w:type="paragraph" w:customStyle="1" w:styleId="WoVGTOCheadingreport">
    <w:name w:val="WoVG TOC heading report"/>
    <w:basedOn w:val="Heading1"/>
    <w:link w:val="WoVGTOCheadingreportChar"/>
    <w:uiPriority w:val="5"/>
    <w:rsid w:val="007E455E"/>
    <w:pPr>
      <w:spacing w:before="0"/>
      <w:outlineLvl w:val="9"/>
    </w:pPr>
  </w:style>
  <w:style w:type="character" w:customStyle="1" w:styleId="WoVGTOCheadingreportChar">
    <w:name w:val="WoVG TOC heading report Char"/>
    <w:link w:val="WoVGTOCheadingreport"/>
    <w:uiPriority w:val="5"/>
    <w:rsid w:val="007E455E"/>
    <w:rPr>
      <w:rFonts w:ascii="Arial" w:hAnsi="Arial"/>
      <w:bCs/>
      <w:color w:val="009CA6"/>
      <w:sz w:val="44"/>
      <w:szCs w:val="44"/>
      <w:lang w:eastAsia="en-US"/>
    </w:rPr>
  </w:style>
  <w:style w:type="paragraph" w:customStyle="1" w:styleId="WoVGaccessibilitypara">
    <w:name w:val="WoVG accessibility para"/>
    <w:uiPriority w:val="8"/>
    <w:rsid w:val="00B0300B"/>
    <w:pPr>
      <w:spacing w:after="300" w:line="300" w:lineRule="atLeast"/>
    </w:pPr>
    <w:rPr>
      <w:rFonts w:ascii="Arial" w:eastAsia="Times" w:hAnsi="Arial"/>
      <w:sz w:val="24"/>
      <w:szCs w:val="19"/>
      <w:lang w:eastAsia="en-US"/>
    </w:rPr>
  </w:style>
  <w:style w:type="paragraph" w:customStyle="1" w:styleId="WoVGbodynospace">
    <w:name w:val="WoVG body no space"/>
    <w:basedOn w:val="WoVGbody"/>
    <w:uiPriority w:val="3"/>
    <w:qFormat/>
    <w:rsid w:val="00CA6D4E"/>
    <w:pPr>
      <w:spacing w:after="0"/>
    </w:pPr>
  </w:style>
  <w:style w:type="paragraph" w:customStyle="1" w:styleId="WoVGquote">
    <w:name w:val="WoVG quote"/>
    <w:basedOn w:val="WoVGbody"/>
    <w:uiPriority w:val="4"/>
    <w:rsid w:val="00E75ED2"/>
    <w:pPr>
      <w:ind w:left="397"/>
    </w:pPr>
    <w:rPr>
      <w:szCs w:val="18"/>
    </w:rPr>
  </w:style>
  <w:style w:type="numbering" w:customStyle="1" w:styleId="ZZBullets">
    <w:name w:val="ZZ Bullets"/>
    <w:rsid w:val="007F5858"/>
    <w:pPr>
      <w:numPr>
        <w:numId w:val="1"/>
      </w:numPr>
    </w:pPr>
  </w:style>
  <w:style w:type="paragraph" w:customStyle="1" w:styleId="WoVGbulletindent">
    <w:name w:val="WoVG bullet indent"/>
    <w:basedOn w:val="WoVGbody"/>
    <w:uiPriority w:val="4"/>
    <w:rsid w:val="00CF7CB6"/>
    <w:pPr>
      <w:spacing w:after="40"/>
    </w:pPr>
  </w:style>
  <w:style w:type="paragraph" w:customStyle="1" w:styleId="WoVGbulletindentlastline">
    <w:name w:val="WoVG bullet indent last line"/>
    <w:basedOn w:val="WoVGbody"/>
    <w:uiPriority w:val="4"/>
    <w:rsid w:val="00CF7CB6"/>
  </w:style>
  <w:style w:type="paragraph" w:customStyle="1" w:styleId="WoVGnumberlowerroman">
    <w:name w:val="WoVG number lower roman"/>
    <w:basedOn w:val="WoVGbody"/>
    <w:uiPriority w:val="3"/>
    <w:rsid w:val="008669BE"/>
    <w:pPr>
      <w:numPr>
        <w:numId w:val="11"/>
      </w:numPr>
    </w:pPr>
  </w:style>
  <w:style w:type="paragraph" w:customStyle="1" w:styleId="WoVGnumberlowerromanindent">
    <w:name w:val="WoVG number lower roman indent"/>
    <w:basedOn w:val="WoVGbody"/>
    <w:uiPriority w:val="3"/>
    <w:rsid w:val="008669BE"/>
    <w:pPr>
      <w:numPr>
        <w:ilvl w:val="1"/>
        <w:numId w:val="11"/>
      </w:numPr>
    </w:pPr>
  </w:style>
  <w:style w:type="paragraph" w:customStyle="1" w:styleId="WoVGnumberdigitindent">
    <w:name w:val="WoVG number digit indent"/>
    <w:basedOn w:val="WoVGnumberloweralphaindent"/>
    <w:uiPriority w:val="3"/>
    <w:rsid w:val="008669BE"/>
    <w:pPr>
      <w:numPr>
        <w:numId w:val="8"/>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WoVGbodyafterbullets">
    <w:name w:val="WoVG body after bullets"/>
    <w:basedOn w:val="WoVGbody"/>
    <w:uiPriority w:val="11"/>
    <w:rsid w:val="008669BE"/>
    <w:pPr>
      <w:spacing w:before="120"/>
    </w:pPr>
  </w:style>
  <w:style w:type="paragraph" w:customStyle="1" w:styleId="WoVGbulletafternumbers1">
    <w:name w:val="WoVG bullet after numbers 1"/>
    <w:basedOn w:val="WoVGbody"/>
    <w:uiPriority w:val="4"/>
    <w:rsid w:val="008669BE"/>
    <w:pPr>
      <w:numPr>
        <w:ilvl w:val="2"/>
        <w:numId w:val="8"/>
      </w:numPr>
    </w:pPr>
  </w:style>
  <w:style w:type="paragraph" w:customStyle="1" w:styleId="WoVGbulletafternumbers2">
    <w:name w:val="WoVG bullet after numbers 2"/>
    <w:basedOn w:val="WoVGbody"/>
    <w:rsid w:val="008669BE"/>
    <w:pPr>
      <w:numPr>
        <w:ilvl w:val="3"/>
        <w:numId w:val="8"/>
      </w:numPr>
    </w:pPr>
  </w:style>
  <w:style w:type="paragraph" w:customStyle="1" w:styleId="WoVGquotebullet1">
    <w:name w:val="WoVG quote bullet 1"/>
    <w:basedOn w:val="WoVGquote"/>
    <w:rsid w:val="008669BE"/>
    <w:pPr>
      <w:numPr>
        <w:numId w:val="10"/>
      </w:numPr>
    </w:pPr>
  </w:style>
  <w:style w:type="paragraph" w:customStyle="1" w:styleId="WoVGquotebullet2">
    <w:name w:val="WoVG quote bullet 2"/>
    <w:basedOn w:val="WoVGquote"/>
    <w:rsid w:val="008669BE"/>
    <w:pPr>
      <w:numPr>
        <w:ilvl w:val="1"/>
        <w:numId w:val="10"/>
      </w:numPr>
    </w:pPr>
  </w:style>
  <w:style w:type="paragraph" w:customStyle="1" w:styleId="WoVGtablebullet1">
    <w:name w:val="WoVG table bullet 1"/>
    <w:basedOn w:val="WoVGtabletext"/>
    <w:uiPriority w:val="3"/>
    <w:qFormat/>
    <w:rsid w:val="008669BE"/>
  </w:style>
  <w:style w:type="paragraph" w:customStyle="1" w:styleId="WoVGtablebullet2">
    <w:name w:val="WoVG table bullet 2"/>
    <w:basedOn w:val="WoVGtabletext"/>
    <w:uiPriority w:val="11"/>
    <w:rsid w:val="008669BE"/>
  </w:style>
  <w:style w:type="numbering" w:customStyle="1" w:styleId="ZZNumbersdigit">
    <w:name w:val="ZZ Numbers digit"/>
    <w:rsid w:val="008669BE"/>
    <w:pPr>
      <w:numPr>
        <w:numId w:val="2"/>
      </w:numPr>
    </w:pPr>
  </w:style>
  <w:style w:type="numbering" w:customStyle="1" w:styleId="ZZNumbersloweralpha">
    <w:name w:val="ZZ Numbers lower alpha"/>
    <w:basedOn w:val="NoList"/>
    <w:rsid w:val="008669BE"/>
    <w:pPr>
      <w:numPr>
        <w:numId w:val="4"/>
      </w:numPr>
    </w:pPr>
  </w:style>
  <w:style w:type="numbering" w:customStyle="1" w:styleId="ZZQuotebullets">
    <w:name w:val="ZZ Quote bullets"/>
    <w:basedOn w:val="ZZNumbersdigit"/>
    <w:rsid w:val="008669BE"/>
    <w:pPr>
      <w:numPr>
        <w:numId w:val="6"/>
      </w:numPr>
    </w:pPr>
  </w:style>
  <w:style w:type="numbering" w:customStyle="1" w:styleId="ZZNumberslowerroman">
    <w:name w:val="ZZ Numbers lower roman"/>
    <w:basedOn w:val="ZZQuotebullets"/>
    <w:rsid w:val="008669BE"/>
    <w:pPr>
      <w:numPr>
        <w:numId w:val="5"/>
      </w:numPr>
    </w:pPr>
  </w:style>
  <w:style w:type="numbering" w:customStyle="1" w:styleId="ZZTablebullets">
    <w:name w:val="ZZ Table bullets"/>
    <w:basedOn w:val="NoList"/>
    <w:rsid w:val="008669BE"/>
    <w:pPr>
      <w:numPr>
        <w:numId w:val="7"/>
      </w:numPr>
    </w:pPr>
  </w:style>
  <w:style w:type="paragraph" w:styleId="BalloonText">
    <w:name w:val="Balloon Text"/>
    <w:basedOn w:val="Normal"/>
    <w:link w:val="BalloonTextChar"/>
    <w:uiPriority w:val="99"/>
    <w:semiHidden/>
    <w:unhideWhenUsed/>
    <w:rsid w:val="00CF1CB5"/>
    <w:rPr>
      <w:rFonts w:ascii="Tahoma" w:hAnsi="Tahoma" w:cs="Tahoma"/>
      <w:sz w:val="16"/>
      <w:szCs w:val="16"/>
    </w:rPr>
  </w:style>
  <w:style w:type="character" w:customStyle="1" w:styleId="BalloonTextChar">
    <w:name w:val="Balloon Text Char"/>
    <w:basedOn w:val="DefaultParagraphFont"/>
    <w:link w:val="BalloonText"/>
    <w:uiPriority w:val="99"/>
    <w:semiHidden/>
    <w:rsid w:val="00CF1CB5"/>
    <w:rPr>
      <w:rFonts w:ascii="Tahoma" w:hAnsi="Tahoma" w:cs="Tahoma"/>
      <w:sz w:val="16"/>
      <w:szCs w:val="16"/>
      <w:lang w:eastAsia="en-US"/>
    </w:rPr>
  </w:style>
  <w:style w:type="paragraph" w:styleId="ListParagraph">
    <w:name w:val="List Paragraph"/>
    <w:basedOn w:val="Normal"/>
    <w:uiPriority w:val="34"/>
    <w:qFormat/>
    <w:rsid w:val="004C4BE6"/>
    <w:pPr>
      <w:ind w:left="720"/>
      <w:contextualSpacing/>
    </w:pPr>
    <w:rPr>
      <w:rFonts w:asciiTheme="minorHAnsi" w:eastAsiaTheme="minorHAnsi" w:hAnsiTheme="minorHAnsi" w:cstheme="minorBidi"/>
      <w:color w:val="1F497D" w:themeColor="text2"/>
      <w:szCs w:val="24"/>
    </w:rPr>
  </w:style>
  <w:style w:type="paragraph" w:customStyle="1" w:styleId="Default">
    <w:name w:val="Default"/>
    <w:rsid w:val="00D22836"/>
    <w:pPr>
      <w:autoSpaceDE w:val="0"/>
      <w:autoSpaceDN w:val="0"/>
      <w:adjustRightInd w:val="0"/>
    </w:pPr>
    <w:rPr>
      <w:rFonts w:ascii="Arial" w:hAnsi="Arial" w:cs="Arial"/>
      <w:color w:val="000000"/>
      <w:sz w:val="24"/>
      <w:szCs w:val="24"/>
    </w:rPr>
  </w:style>
  <w:style w:type="paragraph" w:styleId="ListBullet">
    <w:name w:val="List Bullet"/>
    <w:basedOn w:val="ListParagraph"/>
    <w:uiPriority w:val="99"/>
    <w:unhideWhenUsed/>
    <w:rsid w:val="003329A8"/>
    <w:pPr>
      <w:numPr>
        <w:numId w:val="13"/>
      </w:numPr>
      <w:spacing w:line="276" w:lineRule="auto"/>
      <w:ind w:left="284" w:hanging="284"/>
    </w:pPr>
    <w:rPr>
      <w:szCs w:val="20"/>
    </w:rPr>
  </w:style>
  <w:style w:type="character" w:customStyle="1" w:styleId="HeaderChar">
    <w:name w:val="Header Char"/>
    <w:basedOn w:val="DefaultParagraphFont"/>
    <w:link w:val="Header"/>
    <w:uiPriority w:val="99"/>
    <w:rsid w:val="0015731D"/>
    <w:rPr>
      <w:rFonts w:ascii="Arial" w:hAnsi="Arial" w:cs="Arial"/>
      <w:sz w:val="18"/>
      <w:szCs w:val="18"/>
      <w:lang w:eastAsia="en-US"/>
    </w:rPr>
  </w:style>
  <w:style w:type="character" w:customStyle="1" w:styleId="FooterChar">
    <w:name w:val="Footer Char"/>
    <w:basedOn w:val="DefaultParagraphFont"/>
    <w:link w:val="Footer"/>
    <w:uiPriority w:val="99"/>
    <w:rsid w:val="0015731D"/>
    <w:rPr>
      <w:rFonts w:ascii="Arial" w:hAnsi="Arial" w:cs="Arial"/>
      <w:sz w:val="18"/>
      <w:szCs w:val="18"/>
      <w:lang w:eastAsia="en-US"/>
    </w:rPr>
  </w:style>
  <w:style w:type="paragraph" w:styleId="NormalWeb">
    <w:name w:val="Normal (Web)"/>
    <w:basedOn w:val="Normal"/>
    <w:uiPriority w:val="99"/>
    <w:rsid w:val="0015731D"/>
    <w:pPr>
      <w:spacing w:before="160" w:after="160"/>
    </w:pPr>
    <w:rPr>
      <w:rFonts w:ascii="Times New Roman" w:hAnsi="Times New Roman"/>
      <w:sz w:val="24"/>
      <w:szCs w:val="24"/>
      <w:lang w:eastAsia="en-AU"/>
    </w:rPr>
  </w:style>
  <w:style w:type="paragraph" w:styleId="ListNumber">
    <w:name w:val="List Number"/>
    <w:basedOn w:val="ListParagraph"/>
    <w:uiPriority w:val="99"/>
    <w:unhideWhenUsed/>
    <w:rsid w:val="00FE67BA"/>
    <w:pPr>
      <w:numPr>
        <w:numId w:val="16"/>
      </w:numPr>
      <w:spacing w:line="276" w:lineRule="auto"/>
      <w:ind w:left="284" w:hanging="284"/>
    </w:pPr>
    <w:rPr>
      <w:szCs w:val="20"/>
    </w:rPr>
  </w:style>
  <w:style w:type="paragraph" w:styleId="ListNumber2">
    <w:name w:val="List Number 2"/>
    <w:basedOn w:val="ListNumber"/>
    <w:uiPriority w:val="99"/>
    <w:unhideWhenUsed/>
    <w:rsid w:val="00FE67BA"/>
    <w:pPr>
      <w:spacing w:after="120"/>
    </w:pPr>
  </w:style>
  <w:style w:type="table" w:customStyle="1" w:styleId="TableGrid1">
    <w:name w:val="Table Grid1"/>
    <w:basedOn w:val="TableNormal"/>
    <w:next w:val="TableGrid"/>
    <w:uiPriority w:val="59"/>
    <w:rsid w:val="0071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4244"/>
    <w:rPr>
      <w:color w:val="605E5C"/>
      <w:shd w:val="clear" w:color="auto" w:fill="E1DFDD"/>
    </w:rPr>
  </w:style>
  <w:style w:type="character" w:styleId="Emphasis">
    <w:name w:val="Emphasis"/>
    <w:basedOn w:val="DefaultParagraphFont"/>
    <w:uiPriority w:val="20"/>
    <w:rsid w:val="008D04AE"/>
    <w:rPr>
      <w:i/>
      <w:iCs/>
    </w:rPr>
  </w:style>
  <w:style w:type="character" w:customStyle="1" w:styleId="Strongemphasis">
    <w:name w:val="Strong emphasis"/>
    <w:basedOn w:val="Strong"/>
    <w:uiPriority w:val="1"/>
    <w:rsid w:val="008D04AE"/>
    <w:rPr>
      <w:b/>
      <w:bCs/>
      <w:i/>
    </w:rPr>
  </w:style>
  <w:style w:type="paragraph" w:customStyle="1" w:styleId="WoVGtabletick">
    <w:name w:val="WoVG table tick"/>
    <w:basedOn w:val="WoVGtabletext"/>
    <w:rsid w:val="00396A51"/>
    <w:pPr>
      <w:spacing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524784756">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tmp"/><Relationship Id="rId26" Type="http://schemas.openxmlformats.org/officeDocument/2006/relationships/header" Target="header6.xm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7.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tmp"/><Relationship Id="rId25" Type="http://schemas.openxmlformats.org/officeDocument/2006/relationships/image" Target="media/image6.tmp"/><Relationship Id="rId33" Type="http://schemas.openxmlformats.org/officeDocument/2006/relationships/header" Target="header11.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s://vpsc.vic.gov.au" TargetMode="Externa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hyperlink" Target="http://www.safeworkaustralia.gov.au/sites/SWA/about/Publications/Documents/23/BenchmarkingOHS_1996_PDF.pdf" TargetMode="Externa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mailto:email%20the%20Victorian%20Public%20Sector%20Commission" TargetMode="External"/><Relationship Id="rId23" Type="http://schemas.openxmlformats.org/officeDocument/2006/relationships/footer" Target="footer5.xml"/><Relationship Id="rId28" Type="http://schemas.openxmlformats.org/officeDocument/2006/relationships/image" Target="media/image8.tmp"/><Relationship Id="rId36" Type="http://schemas.openxmlformats.org/officeDocument/2006/relationships/hyperlink" Target="https://www.worksafe.qld.gov.au/safety-leadership-at-work/tools-and-resources" TargetMode="External"/><Relationship Id="rId10" Type="http://schemas.openxmlformats.org/officeDocument/2006/relationships/header" Target="header2.xml"/><Relationship Id="rId19" Type="http://schemas.openxmlformats.org/officeDocument/2006/relationships/image" Target="media/image4.tmp"/><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image" Target="media/image7.tmp"/><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950A-B6D5-4455-AAB4-BBB0CB98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39</Pages>
  <Words>9167</Words>
  <Characters>57512</Characters>
  <Application>Microsoft Office Word</Application>
  <DocSecurity>0</DocSecurity>
  <Lines>479</Lines>
  <Paragraphs>133</Paragraphs>
  <ScaleCrop>false</ScaleCrop>
  <HeadingPairs>
    <vt:vector size="2" baseType="variant">
      <vt:variant>
        <vt:lpstr>Title</vt:lpstr>
      </vt:variant>
      <vt:variant>
        <vt:i4>1</vt:i4>
      </vt:variant>
    </vt:vector>
  </HeadingPairs>
  <TitlesOfParts>
    <vt:vector size="1" baseType="lpstr">
      <vt:lpstr>Leading the Way: Improving health and safety in government workplaces</vt:lpstr>
    </vt:vector>
  </TitlesOfParts>
  <Company>Department of Education and Training</Company>
  <LinksUpToDate>false</LinksUpToDate>
  <CharactersWithSpaces>66546</CharactersWithSpaces>
  <SharedDoc>false</SharedDoc>
  <HyperlinkBase/>
  <HLinks>
    <vt:vector size="60" baseType="variant">
      <vt:variant>
        <vt:i4>7864376</vt:i4>
      </vt:variant>
      <vt:variant>
        <vt:i4>51</vt:i4>
      </vt:variant>
      <vt:variant>
        <vt:i4>0</vt:i4>
      </vt:variant>
      <vt:variant>
        <vt:i4>5</vt:i4>
      </vt:variant>
      <vt:variant>
        <vt:lpwstr>https://intranet.dhhs.vic.gov.au/templates-our-visual-style</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the Way: Improving health and safety in government workplaces</dc:title>
  <dc:creator>Employee Health Safety and Wellbeing Branch, Department of Education and Training</dc:creator>
  <cp:lastModifiedBy>Erin Lucas (VPSC)</cp:lastModifiedBy>
  <cp:revision>40</cp:revision>
  <cp:lastPrinted>2018-05-28T02:33:00Z</cp:lastPrinted>
  <dcterms:created xsi:type="dcterms:W3CDTF">2018-08-02T01:02:00Z</dcterms:created>
  <dcterms:modified xsi:type="dcterms:W3CDTF">2019-05-27T23:34:00Z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8fe5003c-1372-41a1-94a5-212adc9b90ca</vt:lpwstr>
  </property>
  <property fmtid="{D5CDD505-2E9C-101B-9397-08002B2CF9AE}" pid="4" name="PSPF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erin.lucas@vpsc.vic.gov.au</vt:lpwstr>
  </property>
  <property fmtid="{D5CDD505-2E9C-101B-9397-08002B2CF9AE}" pid="8" name="MSIP_Label_7158ebbd-6c5e-441f-bfc9-4eb8c11e3978_SetDate">
    <vt:lpwstr>2019-05-27T23:33:54.1416708Z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