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2C31" w14:textId="77777777" w:rsidR="00002990" w:rsidRPr="003072C6" w:rsidRDefault="007E455E" w:rsidP="00A55989">
      <w:pPr>
        <w:pStyle w:val="WoVGbodynospace"/>
      </w:pPr>
      <w:r>
        <w:rPr>
          <w:noProof/>
          <w:lang w:eastAsia="en-AU"/>
        </w:rPr>
        <w:drawing>
          <wp:anchor distT="0" distB="0" distL="114300" distR="114300" simplePos="0" relativeHeight="251659264" behindDoc="1" locked="0" layoutInCell="1" allowOverlap="1" wp14:anchorId="7ACFFD78" wp14:editId="791B9B65">
            <wp:simplePos x="0" y="0"/>
            <wp:positionH relativeFrom="page">
              <wp:posOffset>-28394</wp:posOffset>
            </wp:positionH>
            <wp:positionV relativeFrom="page">
              <wp:posOffset>-12065</wp:posOffset>
            </wp:positionV>
            <wp:extent cx="7555865" cy="10691495"/>
            <wp:effectExtent l="0" t="0" r="6985" b="0"/>
            <wp:wrapNone/>
            <wp:docPr id="10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CFDFC" w14:textId="77777777" w:rsidR="002473D3" w:rsidRPr="003072C6" w:rsidRDefault="002473D3" w:rsidP="007E455E">
      <w:pPr>
        <w:pStyle w:val="WoVGreportmaintitle"/>
      </w:pPr>
      <w:r w:rsidRPr="00FB3967">
        <w:t xml:space="preserve">Mental </w:t>
      </w:r>
      <w:r>
        <w:t>h</w:t>
      </w:r>
      <w:r w:rsidRPr="00FB3967">
        <w:t xml:space="preserve">ealth and </w:t>
      </w:r>
      <w:r>
        <w:br/>
        <w:t>w</w:t>
      </w:r>
      <w:r w:rsidRPr="00FB3967">
        <w:t xml:space="preserve">ellbeing: </w:t>
      </w:r>
      <w:r>
        <w:t>t</w:t>
      </w:r>
      <w:r w:rsidRPr="00FB3967">
        <w:t xml:space="preserve">he </w:t>
      </w:r>
      <w:r>
        <w:br/>
        <w:t>m</w:t>
      </w:r>
      <w:r w:rsidRPr="00FB3967">
        <w:t xml:space="preserve">inimum </w:t>
      </w:r>
      <w:r>
        <w:t>d</w:t>
      </w:r>
      <w:r w:rsidRPr="00FB3967">
        <w:t xml:space="preserve">ata </w:t>
      </w:r>
      <w:r>
        <w:t>s</w:t>
      </w:r>
      <w:r w:rsidRPr="00FB3967">
        <w:t>et</w:t>
      </w:r>
    </w:p>
    <w:p w14:paraId="2FC89081" w14:textId="77777777" w:rsidR="0069374A" w:rsidRPr="00256E7C" w:rsidRDefault="0069374A" w:rsidP="00256E7C">
      <w:pPr>
        <w:pStyle w:val="WoVGbody"/>
      </w:pPr>
    </w:p>
    <w:p w14:paraId="3C5C642E" w14:textId="77777777" w:rsidR="00C51B1C" w:rsidRPr="00256E7C" w:rsidRDefault="00C51B1C" w:rsidP="00256E7C">
      <w:pPr>
        <w:pStyle w:val="WoVGbody"/>
        <w:sectPr w:rsidR="00C51B1C" w:rsidRPr="00256E7C" w:rsidSect="007E455E">
          <w:footerReference w:type="even" r:id="rId13"/>
          <w:footerReference w:type="default" r:id="rId14"/>
          <w:type w:val="oddPage"/>
          <w:pgSz w:w="11906" w:h="16838"/>
          <w:pgMar w:top="567" w:right="1304" w:bottom="1134" w:left="1304" w:header="454" w:footer="567" w:gutter="0"/>
          <w:cols w:space="720"/>
          <w:docGrid w:linePitch="360"/>
        </w:sectPr>
      </w:pPr>
    </w:p>
    <w:p w14:paraId="3F7BFED8" w14:textId="77777777" w:rsidR="00AC0C3B" w:rsidRPr="00711B0C" w:rsidRDefault="00AC0C3B" w:rsidP="00711B0C">
      <w:pPr>
        <w:pStyle w:val="WoVGTOCheadingreport"/>
      </w:pPr>
      <w:r w:rsidRPr="00711B0C">
        <w:lastRenderedPageBreak/>
        <w:t>Contents</w:t>
      </w:r>
    </w:p>
    <w:p w14:paraId="12EC7EE9" w14:textId="77777777" w:rsidR="002473D3"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9246786" w:history="1">
        <w:r w:rsidR="002473D3" w:rsidRPr="00686AF8">
          <w:rPr>
            <w:rStyle w:val="Hyperlink"/>
          </w:rPr>
          <w:t>Summary</w:t>
        </w:r>
        <w:r w:rsidR="002473D3">
          <w:rPr>
            <w:webHidden/>
          </w:rPr>
          <w:tab/>
        </w:r>
        <w:r w:rsidR="002473D3">
          <w:rPr>
            <w:webHidden/>
          </w:rPr>
          <w:fldChar w:fldCharType="begin"/>
        </w:r>
        <w:r w:rsidR="002473D3">
          <w:rPr>
            <w:webHidden/>
          </w:rPr>
          <w:instrText xml:space="preserve"> PAGEREF _Toc9246786 \h </w:instrText>
        </w:r>
        <w:r w:rsidR="002473D3">
          <w:rPr>
            <w:webHidden/>
          </w:rPr>
        </w:r>
        <w:r w:rsidR="002473D3">
          <w:rPr>
            <w:webHidden/>
          </w:rPr>
          <w:fldChar w:fldCharType="separate"/>
        </w:r>
        <w:r w:rsidR="002473D3">
          <w:rPr>
            <w:webHidden/>
          </w:rPr>
          <w:t>4</w:t>
        </w:r>
        <w:r w:rsidR="002473D3">
          <w:rPr>
            <w:webHidden/>
          </w:rPr>
          <w:fldChar w:fldCharType="end"/>
        </w:r>
      </w:hyperlink>
    </w:p>
    <w:p w14:paraId="15CD6D57" w14:textId="77777777" w:rsidR="002473D3" w:rsidRDefault="00577EBD">
      <w:pPr>
        <w:pStyle w:val="TOC2"/>
        <w:rPr>
          <w:rFonts w:asciiTheme="minorHAnsi" w:eastAsiaTheme="minorEastAsia" w:hAnsiTheme="minorHAnsi" w:cstheme="minorBidi"/>
          <w:sz w:val="22"/>
          <w:szCs w:val="22"/>
          <w:lang w:eastAsia="en-AU"/>
        </w:rPr>
      </w:pPr>
      <w:hyperlink w:anchor="_Toc9246787" w:history="1">
        <w:r w:rsidR="002473D3" w:rsidRPr="00686AF8">
          <w:rPr>
            <w:rStyle w:val="Hyperlink"/>
          </w:rPr>
          <w:t>Objectives</w:t>
        </w:r>
        <w:r w:rsidR="002473D3">
          <w:rPr>
            <w:webHidden/>
          </w:rPr>
          <w:tab/>
        </w:r>
        <w:r w:rsidR="002473D3">
          <w:rPr>
            <w:webHidden/>
          </w:rPr>
          <w:fldChar w:fldCharType="begin"/>
        </w:r>
        <w:r w:rsidR="002473D3">
          <w:rPr>
            <w:webHidden/>
          </w:rPr>
          <w:instrText xml:space="preserve"> PAGEREF _Toc9246787 \h </w:instrText>
        </w:r>
        <w:r w:rsidR="002473D3">
          <w:rPr>
            <w:webHidden/>
          </w:rPr>
        </w:r>
        <w:r w:rsidR="002473D3">
          <w:rPr>
            <w:webHidden/>
          </w:rPr>
          <w:fldChar w:fldCharType="separate"/>
        </w:r>
        <w:r w:rsidR="002473D3">
          <w:rPr>
            <w:webHidden/>
          </w:rPr>
          <w:t>4</w:t>
        </w:r>
        <w:r w:rsidR="002473D3">
          <w:rPr>
            <w:webHidden/>
          </w:rPr>
          <w:fldChar w:fldCharType="end"/>
        </w:r>
      </w:hyperlink>
    </w:p>
    <w:p w14:paraId="04E85B08" w14:textId="77777777" w:rsidR="002473D3" w:rsidRDefault="00577EBD">
      <w:pPr>
        <w:pStyle w:val="TOC2"/>
        <w:rPr>
          <w:rFonts w:asciiTheme="minorHAnsi" w:eastAsiaTheme="minorEastAsia" w:hAnsiTheme="minorHAnsi" w:cstheme="minorBidi"/>
          <w:sz w:val="22"/>
          <w:szCs w:val="22"/>
          <w:lang w:eastAsia="en-AU"/>
        </w:rPr>
      </w:pPr>
      <w:hyperlink w:anchor="_Toc9246788" w:history="1">
        <w:r w:rsidR="002473D3" w:rsidRPr="00686AF8">
          <w:rPr>
            <w:rStyle w:val="Hyperlink"/>
          </w:rPr>
          <w:t>Underpinning principles</w:t>
        </w:r>
        <w:r w:rsidR="002473D3">
          <w:rPr>
            <w:webHidden/>
          </w:rPr>
          <w:tab/>
        </w:r>
        <w:r w:rsidR="002473D3">
          <w:rPr>
            <w:webHidden/>
          </w:rPr>
          <w:fldChar w:fldCharType="begin"/>
        </w:r>
        <w:r w:rsidR="002473D3">
          <w:rPr>
            <w:webHidden/>
          </w:rPr>
          <w:instrText xml:space="preserve"> PAGEREF _Toc9246788 \h </w:instrText>
        </w:r>
        <w:r w:rsidR="002473D3">
          <w:rPr>
            <w:webHidden/>
          </w:rPr>
        </w:r>
        <w:r w:rsidR="002473D3">
          <w:rPr>
            <w:webHidden/>
          </w:rPr>
          <w:fldChar w:fldCharType="separate"/>
        </w:r>
        <w:r w:rsidR="002473D3">
          <w:rPr>
            <w:webHidden/>
          </w:rPr>
          <w:t>4</w:t>
        </w:r>
        <w:r w:rsidR="002473D3">
          <w:rPr>
            <w:webHidden/>
          </w:rPr>
          <w:fldChar w:fldCharType="end"/>
        </w:r>
      </w:hyperlink>
    </w:p>
    <w:p w14:paraId="60F8ECC3" w14:textId="77777777" w:rsidR="002473D3" w:rsidRDefault="00577EBD">
      <w:pPr>
        <w:pStyle w:val="TOC2"/>
        <w:rPr>
          <w:rFonts w:asciiTheme="minorHAnsi" w:eastAsiaTheme="minorEastAsia" w:hAnsiTheme="minorHAnsi" w:cstheme="minorBidi"/>
          <w:sz w:val="22"/>
          <w:szCs w:val="22"/>
          <w:lang w:eastAsia="en-AU"/>
        </w:rPr>
      </w:pPr>
      <w:hyperlink w:anchor="_Toc9246789" w:history="1">
        <w:r w:rsidR="002473D3" w:rsidRPr="00686AF8">
          <w:rPr>
            <w:rStyle w:val="Hyperlink"/>
          </w:rPr>
          <w:t>Privacy</w:t>
        </w:r>
        <w:r w:rsidR="002473D3">
          <w:rPr>
            <w:webHidden/>
          </w:rPr>
          <w:tab/>
        </w:r>
        <w:r w:rsidR="002473D3">
          <w:rPr>
            <w:webHidden/>
          </w:rPr>
          <w:fldChar w:fldCharType="begin"/>
        </w:r>
        <w:r w:rsidR="002473D3">
          <w:rPr>
            <w:webHidden/>
          </w:rPr>
          <w:instrText xml:space="preserve"> PAGEREF _Toc9246789 \h </w:instrText>
        </w:r>
        <w:r w:rsidR="002473D3">
          <w:rPr>
            <w:webHidden/>
          </w:rPr>
        </w:r>
        <w:r w:rsidR="002473D3">
          <w:rPr>
            <w:webHidden/>
          </w:rPr>
          <w:fldChar w:fldCharType="separate"/>
        </w:r>
        <w:r w:rsidR="002473D3">
          <w:rPr>
            <w:webHidden/>
          </w:rPr>
          <w:t>4</w:t>
        </w:r>
        <w:r w:rsidR="002473D3">
          <w:rPr>
            <w:webHidden/>
          </w:rPr>
          <w:fldChar w:fldCharType="end"/>
        </w:r>
      </w:hyperlink>
    </w:p>
    <w:p w14:paraId="489FF125" w14:textId="77777777" w:rsidR="002473D3" w:rsidRDefault="00577EBD">
      <w:pPr>
        <w:pStyle w:val="TOC2"/>
        <w:rPr>
          <w:rFonts w:asciiTheme="minorHAnsi" w:eastAsiaTheme="minorEastAsia" w:hAnsiTheme="minorHAnsi" w:cstheme="minorBidi"/>
          <w:sz w:val="22"/>
          <w:szCs w:val="22"/>
          <w:lang w:eastAsia="en-AU"/>
        </w:rPr>
      </w:pPr>
      <w:hyperlink w:anchor="_Toc9246790" w:history="1">
        <w:r w:rsidR="002473D3" w:rsidRPr="00686AF8">
          <w:rPr>
            <w:rStyle w:val="Hyperlink"/>
          </w:rPr>
          <w:t>Review</w:t>
        </w:r>
        <w:r w:rsidR="002473D3">
          <w:rPr>
            <w:webHidden/>
          </w:rPr>
          <w:tab/>
        </w:r>
        <w:r w:rsidR="002473D3">
          <w:rPr>
            <w:webHidden/>
          </w:rPr>
          <w:fldChar w:fldCharType="begin"/>
        </w:r>
        <w:r w:rsidR="002473D3">
          <w:rPr>
            <w:webHidden/>
          </w:rPr>
          <w:instrText xml:space="preserve"> PAGEREF _Toc9246790 \h </w:instrText>
        </w:r>
        <w:r w:rsidR="002473D3">
          <w:rPr>
            <w:webHidden/>
          </w:rPr>
        </w:r>
        <w:r w:rsidR="002473D3">
          <w:rPr>
            <w:webHidden/>
          </w:rPr>
          <w:fldChar w:fldCharType="separate"/>
        </w:r>
        <w:r w:rsidR="002473D3">
          <w:rPr>
            <w:webHidden/>
          </w:rPr>
          <w:t>4</w:t>
        </w:r>
        <w:r w:rsidR="002473D3">
          <w:rPr>
            <w:webHidden/>
          </w:rPr>
          <w:fldChar w:fldCharType="end"/>
        </w:r>
      </w:hyperlink>
    </w:p>
    <w:p w14:paraId="3AF2FF65" w14:textId="77777777" w:rsidR="002473D3" w:rsidRDefault="00577EBD">
      <w:pPr>
        <w:pStyle w:val="TOC1"/>
        <w:rPr>
          <w:rFonts w:asciiTheme="minorHAnsi" w:eastAsiaTheme="minorEastAsia" w:hAnsiTheme="minorHAnsi" w:cstheme="minorBidi"/>
          <w:b w:val="0"/>
          <w:sz w:val="22"/>
          <w:szCs w:val="22"/>
          <w:lang w:eastAsia="en-AU"/>
        </w:rPr>
      </w:pPr>
      <w:hyperlink w:anchor="_Toc9246791" w:history="1">
        <w:r w:rsidR="002473D3" w:rsidRPr="00686AF8">
          <w:rPr>
            <w:rStyle w:val="Hyperlink"/>
          </w:rPr>
          <w:t>Introduction</w:t>
        </w:r>
        <w:r w:rsidR="002473D3">
          <w:rPr>
            <w:webHidden/>
          </w:rPr>
          <w:tab/>
        </w:r>
        <w:r w:rsidR="002473D3">
          <w:rPr>
            <w:webHidden/>
          </w:rPr>
          <w:fldChar w:fldCharType="begin"/>
        </w:r>
        <w:r w:rsidR="002473D3">
          <w:rPr>
            <w:webHidden/>
          </w:rPr>
          <w:instrText xml:space="preserve"> PAGEREF _Toc9246791 \h </w:instrText>
        </w:r>
        <w:r w:rsidR="002473D3">
          <w:rPr>
            <w:webHidden/>
          </w:rPr>
        </w:r>
        <w:r w:rsidR="002473D3">
          <w:rPr>
            <w:webHidden/>
          </w:rPr>
          <w:fldChar w:fldCharType="separate"/>
        </w:r>
        <w:r w:rsidR="002473D3">
          <w:rPr>
            <w:webHidden/>
          </w:rPr>
          <w:t>5</w:t>
        </w:r>
        <w:r w:rsidR="002473D3">
          <w:rPr>
            <w:webHidden/>
          </w:rPr>
          <w:fldChar w:fldCharType="end"/>
        </w:r>
      </w:hyperlink>
    </w:p>
    <w:p w14:paraId="173C8F33" w14:textId="77777777" w:rsidR="002473D3" w:rsidRDefault="00577EBD">
      <w:pPr>
        <w:pStyle w:val="TOC2"/>
        <w:rPr>
          <w:rFonts w:asciiTheme="minorHAnsi" w:eastAsiaTheme="minorEastAsia" w:hAnsiTheme="minorHAnsi" w:cstheme="minorBidi"/>
          <w:sz w:val="22"/>
          <w:szCs w:val="22"/>
          <w:lang w:eastAsia="en-AU"/>
        </w:rPr>
      </w:pPr>
      <w:hyperlink w:anchor="_Toc9246792" w:history="1">
        <w:r w:rsidR="002473D3" w:rsidRPr="00686AF8">
          <w:rPr>
            <w:rStyle w:val="Hyperlink"/>
            <w:lang w:val="en-GB"/>
          </w:rPr>
          <w:t>Plan</w:t>
        </w:r>
        <w:r w:rsidR="002473D3">
          <w:rPr>
            <w:webHidden/>
          </w:rPr>
          <w:tab/>
        </w:r>
        <w:r w:rsidR="002473D3">
          <w:rPr>
            <w:webHidden/>
          </w:rPr>
          <w:fldChar w:fldCharType="begin"/>
        </w:r>
        <w:r w:rsidR="002473D3">
          <w:rPr>
            <w:webHidden/>
          </w:rPr>
          <w:instrText xml:space="preserve"> PAGEREF _Toc9246792 \h </w:instrText>
        </w:r>
        <w:r w:rsidR="002473D3">
          <w:rPr>
            <w:webHidden/>
          </w:rPr>
        </w:r>
        <w:r w:rsidR="002473D3">
          <w:rPr>
            <w:webHidden/>
          </w:rPr>
          <w:fldChar w:fldCharType="separate"/>
        </w:r>
        <w:r w:rsidR="002473D3">
          <w:rPr>
            <w:webHidden/>
          </w:rPr>
          <w:t>5</w:t>
        </w:r>
        <w:r w:rsidR="002473D3">
          <w:rPr>
            <w:webHidden/>
          </w:rPr>
          <w:fldChar w:fldCharType="end"/>
        </w:r>
      </w:hyperlink>
    </w:p>
    <w:p w14:paraId="094E5246" w14:textId="77777777" w:rsidR="002473D3" w:rsidRDefault="00577EBD">
      <w:pPr>
        <w:pStyle w:val="TOC2"/>
        <w:rPr>
          <w:rFonts w:asciiTheme="minorHAnsi" w:eastAsiaTheme="minorEastAsia" w:hAnsiTheme="minorHAnsi" w:cstheme="minorBidi"/>
          <w:sz w:val="22"/>
          <w:szCs w:val="22"/>
          <w:lang w:eastAsia="en-AU"/>
        </w:rPr>
      </w:pPr>
      <w:hyperlink w:anchor="_Toc9246793" w:history="1">
        <w:r w:rsidR="002473D3" w:rsidRPr="00686AF8">
          <w:rPr>
            <w:rStyle w:val="Hyperlink"/>
            <w:lang w:val="en-GB"/>
          </w:rPr>
          <w:t>Implement</w:t>
        </w:r>
        <w:r w:rsidR="002473D3">
          <w:rPr>
            <w:webHidden/>
          </w:rPr>
          <w:tab/>
        </w:r>
        <w:r w:rsidR="002473D3">
          <w:rPr>
            <w:webHidden/>
          </w:rPr>
          <w:fldChar w:fldCharType="begin"/>
        </w:r>
        <w:r w:rsidR="002473D3">
          <w:rPr>
            <w:webHidden/>
          </w:rPr>
          <w:instrText xml:space="preserve"> PAGEREF _Toc9246793 \h </w:instrText>
        </w:r>
        <w:r w:rsidR="002473D3">
          <w:rPr>
            <w:webHidden/>
          </w:rPr>
        </w:r>
        <w:r w:rsidR="002473D3">
          <w:rPr>
            <w:webHidden/>
          </w:rPr>
          <w:fldChar w:fldCharType="separate"/>
        </w:r>
        <w:r w:rsidR="002473D3">
          <w:rPr>
            <w:webHidden/>
          </w:rPr>
          <w:t>5</w:t>
        </w:r>
        <w:r w:rsidR="002473D3">
          <w:rPr>
            <w:webHidden/>
          </w:rPr>
          <w:fldChar w:fldCharType="end"/>
        </w:r>
      </w:hyperlink>
    </w:p>
    <w:p w14:paraId="1CB70A7E" w14:textId="77777777" w:rsidR="002473D3" w:rsidRDefault="00577EBD">
      <w:pPr>
        <w:pStyle w:val="TOC2"/>
        <w:rPr>
          <w:rFonts w:asciiTheme="minorHAnsi" w:eastAsiaTheme="minorEastAsia" w:hAnsiTheme="minorHAnsi" w:cstheme="minorBidi"/>
          <w:sz w:val="22"/>
          <w:szCs w:val="22"/>
          <w:lang w:eastAsia="en-AU"/>
        </w:rPr>
      </w:pPr>
      <w:hyperlink w:anchor="_Toc9246794" w:history="1">
        <w:r w:rsidR="002473D3" w:rsidRPr="00686AF8">
          <w:rPr>
            <w:rStyle w:val="Hyperlink"/>
            <w:lang w:val="en-GB"/>
          </w:rPr>
          <w:t>Check</w:t>
        </w:r>
        <w:r w:rsidR="002473D3">
          <w:rPr>
            <w:webHidden/>
          </w:rPr>
          <w:tab/>
        </w:r>
        <w:r w:rsidR="002473D3">
          <w:rPr>
            <w:webHidden/>
          </w:rPr>
          <w:fldChar w:fldCharType="begin"/>
        </w:r>
        <w:r w:rsidR="002473D3">
          <w:rPr>
            <w:webHidden/>
          </w:rPr>
          <w:instrText xml:space="preserve"> PAGEREF _Toc9246794 \h </w:instrText>
        </w:r>
        <w:r w:rsidR="002473D3">
          <w:rPr>
            <w:webHidden/>
          </w:rPr>
        </w:r>
        <w:r w:rsidR="002473D3">
          <w:rPr>
            <w:webHidden/>
          </w:rPr>
          <w:fldChar w:fldCharType="separate"/>
        </w:r>
        <w:r w:rsidR="002473D3">
          <w:rPr>
            <w:webHidden/>
          </w:rPr>
          <w:t>5</w:t>
        </w:r>
        <w:r w:rsidR="002473D3">
          <w:rPr>
            <w:webHidden/>
          </w:rPr>
          <w:fldChar w:fldCharType="end"/>
        </w:r>
      </w:hyperlink>
    </w:p>
    <w:p w14:paraId="351A4D0E" w14:textId="77777777" w:rsidR="002473D3" w:rsidRDefault="00577EBD">
      <w:pPr>
        <w:pStyle w:val="TOC2"/>
        <w:rPr>
          <w:rFonts w:asciiTheme="minorHAnsi" w:eastAsiaTheme="minorEastAsia" w:hAnsiTheme="minorHAnsi" w:cstheme="minorBidi"/>
          <w:sz w:val="22"/>
          <w:szCs w:val="22"/>
          <w:lang w:eastAsia="en-AU"/>
        </w:rPr>
      </w:pPr>
      <w:hyperlink w:anchor="_Toc9246795" w:history="1">
        <w:r w:rsidR="002473D3" w:rsidRPr="00686AF8">
          <w:rPr>
            <w:rStyle w:val="Hyperlink"/>
            <w:lang w:val="en-GB"/>
          </w:rPr>
          <w:t>Act</w:t>
        </w:r>
        <w:r w:rsidR="002473D3">
          <w:rPr>
            <w:webHidden/>
          </w:rPr>
          <w:tab/>
        </w:r>
        <w:r w:rsidR="002473D3">
          <w:rPr>
            <w:webHidden/>
          </w:rPr>
          <w:fldChar w:fldCharType="begin"/>
        </w:r>
        <w:r w:rsidR="002473D3">
          <w:rPr>
            <w:webHidden/>
          </w:rPr>
          <w:instrText xml:space="preserve"> PAGEREF _Toc9246795 \h </w:instrText>
        </w:r>
        <w:r w:rsidR="002473D3">
          <w:rPr>
            <w:webHidden/>
          </w:rPr>
        </w:r>
        <w:r w:rsidR="002473D3">
          <w:rPr>
            <w:webHidden/>
          </w:rPr>
          <w:fldChar w:fldCharType="separate"/>
        </w:r>
        <w:r w:rsidR="002473D3">
          <w:rPr>
            <w:webHidden/>
          </w:rPr>
          <w:t>6</w:t>
        </w:r>
        <w:r w:rsidR="002473D3">
          <w:rPr>
            <w:webHidden/>
          </w:rPr>
          <w:fldChar w:fldCharType="end"/>
        </w:r>
      </w:hyperlink>
    </w:p>
    <w:p w14:paraId="4D0ADE4A" w14:textId="77777777" w:rsidR="002473D3" w:rsidRDefault="00577EBD">
      <w:pPr>
        <w:pStyle w:val="TOC1"/>
        <w:rPr>
          <w:rFonts w:asciiTheme="minorHAnsi" w:eastAsiaTheme="minorEastAsia" w:hAnsiTheme="minorHAnsi" w:cstheme="minorBidi"/>
          <w:b w:val="0"/>
          <w:sz w:val="22"/>
          <w:szCs w:val="22"/>
          <w:lang w:eastAsia="en-AU"/>
        </w:rPr>
      </w:pPr>
      <w:hyperlink w:anchor="_Toc9246796" w:history="1">
        <w:r w:rsidR="002473D3" w:rsidRPr="00686AF8">
          <w:rPr>
            <w:rStyle w:val="Hyperlink"/>
          </w:rPr>
          <w:t>Framework</w:t>
        </w:r>
        <w:r w:rsidR="002473D3">
          <w:rPr>
            <w:webHidden/>
          </w:rPr>
          <w:tab/>
        </w:r>
        <w:r w:rsidR="002473D3">
          <w:rPr>
            <w:webHidden/>
          </w:rPr>
          <w:fldChar w:fldCharType="begin"/>
        </w:r>
        <w:r w:rsidR="002473D3">
          <w:rPr>
            <w:webHidden/>
          </w:rPr>
          <w:instrText xml:space="preserve"> PAGEREF _Toc9246796 \h </w:instrText>
        </w:r>
        <w:r w:rsidR="002473D3">
          <w:rPr>
            <w:webHidden/>
          </w:rPr>
        </w:r>
        <w:r w:rsidR="002473D3">
          <w:rPr>
            <w:webHidden/>
          </w:rPr>
          <w:fldChar w:fldCharType="separate"/>
        </w:r>
        <w:r w:rsidR="002473D3">
          <w:rPr>
            <w:webHidden/>
          </w:rPr>
          <w:t>7</w:t>
        </w:r>
        <w:r w:rsidR="002473D3">
          <w:rPr>
            <w:webHidden/>
          </w:rPr>
          <w:fldChar w:fldCharType="end"/>
        </w:r>
      </w:hyperlink>
    </w:p>
    <w:p w14:paraId="34FE8C4F" w14:textId="77777777" w:rsidR="002473D3" w:rsidRDefault="00577EBD">
      <w:pPr>
        <w:pStyle w:val="TOC2"/>
        <w:rPr>
          <w:rFonts w:asciiTheme="minorHAnsi" w:eastAsiaTheme="minorEastAsia" w:hAnsiTheme="minorHAnsi" w:cstheme="minorBidi"/>
          <w:sz w:val="22"/>
          <w:szCs w:val="22"/>
          <w:lang w:eastAsia="en-AU"/>
        </w:rPr>
      </w:pPr>
      <w:hyperlink w:anchor="_Toc9246797" w:history="1">
        <w:r w:rsidR="002473D3" w:rsidRPr="00686AF8">
          <w:rPr>
            <w:rStyle w:val="Hyperlink"/>
            <w:lang w:val="en-GB"/>
          </w:rPr>
          <w:t>Mental Health and Wellbeing Charter</w:t>
        </w:r>
        <w:r w:rsidR="002473D3">
          <w:rPr>
            <w:webHidden/>
          </w:rPr>
          <w:tab/>
        </w:r>
        <w:r w:rsidR="002473D3">
          <w:rPr>
            <w:webHidden/>
          </w:rPr>
          <w:fldChar w:fldCharType="begin"/>
        </w:r>
        <w:r w:rsidR="002473D3">
          <w:rPr>
            <w:webHidden/>
          </w:rPr>
          <w:instrText xml:space="preserve"> PAGEREF _Toc9246797 \h </w:instrText>
        </w:r>
        <w:r w:rsidR="002473D3">
          <w:rPr>
            <w:webHidden/>
          </w:rPr>
        </w:r>
        <w:r w:rsidR="002473D3">
          <w:rPr>
            <w:webHidden/>
          </w:rPr>
          <w:fldChar w:fldCharType="separate"/>
        </w:r>
        <w:r w:rsidR="002473D3">
          <w:rPr>
            <w:webHidden/>
          </w:rPr>
          <w:t>7</w:t>
        </w:r>
        <w:r w:rsidR="002473D3">
          <w:rPr>
            <w:webHidden/>
          </w:rPr>
          <w:fldChar w:fldCharType="end"/>
        </w:r>
      </w:hyperlink>
    </w:p>
    <w:p w14:paraId="24597ADB" w14:textId="77777777" w:rsidR="002473D3" w:rsidRDefault="00577EBD">
      <w:pPr>
        <w:pStyle w:val="TOC2"/>
        <w:rPr>
          <w:rFonts w:asciiTheme="minorHAnsi" w:eastAsiaTheme="minorEastAsia" w:hAnsiTheme="minorHAnsi" w:cstheme="minorBidi"/>
          <w:sz w:val="22"/>
          <w:szCs w:val="22"/>
          <w:lang w:eastAsia="en-AU"/>
        </w:rPr>
      </w:pPr>
      <w:hyperlink w:anchor="_Toc9246798" w:history="1">
        <w:r w:rsidR="002473D3" w:rsidRPr="00686AF8">
          <w:rPr>
            <w:rStyle w:val="Hyperlink"/>
            <w:lang w:val="en-GB"/>
          </w:rPr>
          <w:t>Leading the Way</w:t>
        </w:r>
        <w:r w:rsidR="002473D3">
          <w:rPr>
            <w:webHidden/>
          </w:rPr>
          <w:tab/>
        </w:r>
        <w:r w:rsidR="002473D3">
          <w:rPr>
            <w:webHidden/>
          </w:rPr>
          <w:fldChar w:fldCharType="begin"/>
        </w:r>
        <w:r w:rsidR="002473D3">
          <w:rPr>
            <w:webHidden/>
          </w:rPr>
          <w:instrText xml:space="preserve"> PAGEREF _Toc9246798 \h </w:instrText>
        </w:r>
        <w:r w:rsidR="002473D3">
          <w:rPr>
            <w:webHidden/>
          </w:rPr>
        </w:r>
        <w:r w:rsidR="002473D3">
          <w:rPr>
            <w:webHidden/>
          </w:rPr>
          <w:fldChar w:fldCharType="separate"/>
        </w:r>
        <w:r w:rsidR="002473D3">
          <w:rPr>
            <w:webHidden/>
          </w:rPr>
          <w:t>7</w:t>
        </w:r>
        <w:r w:rsidR="002473D3">
          <w:rPr>
            <w:webHidden/>
          </w:rPr>
          <w:fldChar w:fldCharType="end"/>
        </w:r>
      </w:hyperlink>
    </w:p>
    <w:p w14:paraId="17CAFA54" w14:textId="77777777" w:rsidR="002473D3" w:rsidRDefault="00577EBD">
      <w:pPr>
        <w:pStyle w:val="TOC2"/>
        <w:rPr>
          <w:rFonts w:asciiTheme="minorHAnsi" w:eastAsiaTheme="minorEastAsia" w:hAnsiTheme="minorHAnsi" w:cstheme="minorBidi"/>
          <w:sz w:val="22"/>
          <w:szCs w:val="22"/>
          <w:lang w:eastAsia="en-AU"/>
        </w:rPr>
      </w:pPr>
      <w:hyperlink w:anchor="_Toc9246799" w:history="1">
        <w:r w:rsidR="002473D3" w:rsidRPr="00686AF8">
          <w:rPr>
            <w:rStyle w:val="Hyperlink"/>
            <w:lang w:val="en-GB"/>
          </w:rPr>
          <w:t>Education and Training Framework</w:t>
        </w:r>
        <w:r w:rsidR="002473D3">
          <w:rPr>
            <w:webHidden/>
          </w:rPr>
          <w:tab/>
        </w:r>
        <w:r w:rsidR="002473D3">
          <w:rPr>
            <w:webHidden/>
          </w:rPr>
          <w:fldChar w:fldCharType="begin"/>
        </w:r>
        <w:r w:rsidR="002473D3">
          <w:rPr>
            <w:webHidden/>
          </w:rPr>
          <w:instrText xml:space="preserve"> PAGEREF _Toc9246799 \h </w:instrText>
        </w:r>
        <w:r w:rsidR="002473D3">
          <w:rPr>
            <w:webHidden/>
          </w:rPr>
        </w:r>
        <w:r w:rsidR="002473D3">
          <w:rPr>
            <w:webHidden/>
          </w:rPr>
          <w:fldChar w:fldCharType="separate"/>
        </w:r>
        <w:r w:rsidR="002473D3">
          <w:rPr>
            <w:webHidden/>
          </w:rPr>
          <w:t>7</w:t>
        </w:r>
        <w:r w:rsidR="002473D3">
          <w:rPr>
            <w:webHidden/>
          </w:rPr>
          <w:fldChar w:fldCharType="end"/>
        </w:r>
      </w:hyperlink>
    </w:p>
    <w:p w14:paraId="60F22907" w14:textId="77777777" w:rsidR="002473D3" w:rsidRDefault="00577EBD">
      <w:pPr>
        <w:pStyle w:val="TOC2"/>
        <w:rPr>
          <w:rFonts w:asciiTheme="minorHAnsi" w:eastAsiaTheme="minorEastAsia" w:hAnsiTheme="minorHAnsi" w:cstheme="minorBidi"/>
          <w:sz w:val="22"/>
          <w:szCs w:val="22"/>
          <w:lang w:eastAsia="en-AU"/>
        </w:rPr>
      </w:pPr>
      <w:hyperlink w:anchor="_Toc9246800" w:history="1">
        <w:r w:rsidR="002473D3" w:rsidRPr="00686AF8">
          <w:rPr>
            <w:rStyle w:val="Hyperlink"/>
            <w:lang w:val="en-GB"/>
          </w:rPr>
          <w:t>Minimum data set</w:t>
        </w:r>
        <w:r w:rsidR="002473D3">
          <w:rPr>
            <w:webHidden/>
          </w:rPr>
          <w:tab/>
        </w:r>
        <w:r w:rsidR="002473D3">
          <w:rPr>
            <w:webHidden/>
          </w:rPr>
          <w:fldChar w:fldCharType="begin"/>
        </w:r>
        <w:r w:rsidR="002473D3">
          <w:rPr>
            <w:webHidden/>
          </w:rPr>
          <w:instrText xml:space="preserve"> PAGEREF _Toc9246800 \h </w:instrText>
        </w:r>
        <w:r w:rsidR="002473D3">
          <w:rPr>
            <w:webHidden/>
          </w:rPr>
        </w:r>
        <w:r w:rsidR="002473D3">
          <w:rPr>
            <w:webHidden/>
          </w:rPr>
          <w:fldChar w:fldCharType="separate"/>
        </w:r>
        <w:r w:rsidR="002473D3">
          <w:rPr>
            <w:webHidden/>
          </w:rPr>
          <w:t>7</w:t>
        </w:r>
        <w:r w:rsidR="002473D3">
          <w:rPr>
            <w:webHidden/>
          </w:rPr>
          <w:fldChar w:fldCharType="end"/>
        </w:r>
      </w:hyperlink>
    </w:p>
    <w:p w14:paraId="451CDA71" w14:textId="77777777" w:rsidR="002473D3" w:rsidRDefault="00577EBD">
      <w:pPr>
        <w:pStyle w:val="TOC1"/>
        <w:rPr>
          <w:rFonts w:asciiTheme="minorHAnsi" w:eastAsiaTheme="minorEastAsia" w:hAnsiTheme="minorHAnsi" w:cstheme="minorBidi"/>
          <w:b w:val="0"/>
          <w:sz w:val="22"/>
          <w:szCs w:val="22"/>
          <w:lang w:eastAsia="en-AU"/>
        </w:rPr>
      </w:pPr>
      <w:hyperlink w:anchor="_Toc9246801" w:history="1">
        <w:r w:rsidR="002473D3" w:rsidRPr="00686AF8">
          <w:rPr>
            <w:rStyle w:val="Hyperlink"/>
          </w:rPr>
          <w:t>Performance Indicators</w:t>
        </w:r>
        <w:r w:rsidR="002473D3">
          <w:rPr>
            <w:webHidden/>
          </w:rPr>
          <w:tab/>
        </w:r>
        <w:r w:rsidR="002473D3">
          <w:rPr>
            <w:webHidden/>
          </w:rPr>
          <w:fldChar w:fldCharType="begin"/>
        </w:r>
        <w:r w:rsidR="002473D3">
          <w:rPr>
            <w:webHidden/>
          </w:rPr>
          <w:instrText xml:space="preserve"> PAGEREF _Toc9246801 \h </w:instrText>
        </w:r>
        <w:r w:rsidR="002473D3">
          <w:rPr>
            <w:webHidden/>
          </w:rPr>
        </w:r>
        <w:r w:rsidR="002473D3">
          <w:rPr>
            <w:webHidden/>
          </w:rPr>
          <w:fldChar w:fldCharType="separate"/>
        </w:r>
        <w:r w:rsidR="002473D3">
          <w:rPr>
            <w:webHidden/>
          </w:rPr>
          <w:t>8</w:t>
        </w:r>
        <w:r w:rsidR="002473D3">
          <w:rPr>
            <w:webHidden/>
          </w:rPr>
          <w:fldChar w:fldCharType="end"/>
        </w:r>
      </w:hyperlink>
    </w:p>
    <w:p w14:paraId="7EF50646" w14:textId="77777777" w:rsidR="002473D3" w:rsidRDefault="00577EBD">
      <w:pPr>
        <w:pStyle w:val="TOC2"/>
        <w:rPr>
          <w:rFonts w:asciiTheme="minorHAnsi" w:eastAsiaTheme="minorEastAsia" w:hAnsiTheme="minorHAnsi" w:cstheme="minorBidi"/>
          <w:sz w:val="22"/>
          <w:szCs w:val="22"/>
          <w:lang w:eastAsia="en-AU"/>
        </w:rPr>
      </w:pPr>
      <w:hyperlink w:anchor="_Toc9246802" w:history="1">
        <w:r w:rsidR="002473D3" w:rsidRPr="00686AF8">
          <w:rPr>
            <w:rStyle w:val="Hyperlink"/>
            <w:lang w:val="en-GB"/>
          </w:rPr>
          <w:t>Lead indicators</w:t>
        </w:r>
        <w:r w:rsidR="002473D3">
          <w:rPr>
            <w:webHidden/>
          </w:rPr>
          <w:tab/>
        </w:r>
        <w:r w:rsidR="002473D3">
          <w:rPr>
            <w:webHidden/>
          </w:rPr>
          <w:fldChar w:fldCharType="begin"/>
        </w:r>
        <w:r w:rsidR="002473D3">
          <w:rPr>
            <w:webHidden/>
          </w:rPr>
          <w:instrText xml:space="preserve"> PAGEREF _Toc9246802 \h </w:instrText>
        </w:r>
        <w:r w:rsidR="002473D3">
          <w:rPr>
            <w:webHidden/>
          </w:rPr>
        </w:r>
        <w:r w:rsidR="002473D3">
          <w:rPr>
            <w:webHidden/>
          </w:rPr>
          <w:fldChar w:fldCharType="separate"/>
        </w:r>
        <w:r w:rsidR="002473D3">
          <w:rPr>
            <w:webHidden/>
          </w:rPr>
          <w:t>8</w:t>
        </w:r>
        <w:r w:rsidR="002473D3">
          <w:rPr>
            <w:webHidden/>
          </w:rPr>
          <w:fldChar w:fldCharType="end"/>
        </w:r>
      </w:hyperlink>
    </w:p>
    <w:p w14:paraId="18FEBAD8" w14:textId="77777777" w:rsidR="002473D3" w:rsidRDefault="00577EBD">
      <w:pPr>
        <w:pStyle w:val="TOC2"/>
        <w:rPr>
          <w:rFonts w:asciiTheme="minorHAnsi" w:eastAsiaTheme="minorEastAsia" w:hAnsiTheme="minorHAnsi" w:cstheme="minorBidi"/>
          <w:sz w:val="22"/>
          <w:szCs w:val="22"/>
          <w:lang w:eastAsia="en-AU"/>
        </w:rPr>
      </w:pPr>
      <w:hyperlink w:anchor="_Toc9246803" w:history="1">
        <w:r w:rsidR="002473D3" w:rsidRPr="00686AF8">
          <w:rPr>
            <w:rStyle w:val="Hyperlink"/>
            <w:lang w:val="en-GB"/>
          </w:rPr>
          <w:t>Lag indicators</w:t>
        </w:r>
        <w:r w:rsidR="002473D3">
          <w:rPr>
            <w:webHidden/>
          </w:rPr>
          <w:tab/>
        </w:r>
        <w:r w:rsidR="002473D3">
          <w:rPr>
            <w:webHidden/>
          </w:rPr>
          <w:fldChar w:fldCharType="begin"/>
        </w:r>
        <w:r w:rsidR="002473D3">
          <w:rPr>
            <w:webHidden/>
          </w:rPr>
          <w:instrText xml:space="preserve"> PAGEREF _Toc9246803 \h </w:instrText>
        </w:r>
        <w:r w:rsidR="002473D3">
          <w:rPr>
            <w:webHidden/>
          </w:rPr>
        </w:r>
        <w:r w:rsidR="002473D3">
          <w:rPr>
            <w:webHidden/>
          </w:rPr>
          <w:fldChar w:fldCharType="separate"/>
        </w:r>
        <w:r w:rsidR="002473D3">
          <w:rPr>
            <w:webHidden/>
          </w:rPr>
          <w:t>8</w:t>
        </w:r>
        <w:r w:rsidR="002473D3">
          <w:rPr>
            <w:webHidden/>
          </w:rPr>
          <w:fldChar w:fldCharType="end"/>
        </w:r>
      </w:hyperlink>
    </w:p>
    <w:p w14:paraId="7F52BD6B" w14:textId="77777777" w:rsidR="002473D3" w:rsidRDefault="00577EBD">
      <w:pPr>
        <w:pStyle w:val="TOC1"/>
        <w:rPr>
          <w:rFonts w:asciiTheme="minorHAnsi" w:eastAsiaTheme="minorEastAsia" w:hAnsiTheme="minorHAnsi" w:cstheme="minorBidi"/>
          <w:b w:val="0"/>
          <w:sz w:val="22"/>
          <w:szCs w:val="22"/>
          <w:lang w:eastAsia="en-AU"/>
        </w:rPr>
      </w:pPr>
      <w:hyperlink w:anchor="_Toc9246804" w:history="1">
        <w:r w:rsidR="002473D3" w:rsidRPr="00686AF8">
          <w:rPr>
            <w:rStyle w:val="Hyperlink"/>
            <w:rFonts w:eastAsiaTheme="majorEastAsia"/>
          </w:rPr>
          <w:t>Defined minimum data set</w:t>
        </w:r>
        <w:r w:rsidR="002473D3">
          <w:rPr>
            <w:webHidden/>
          </w:rPr>
          <w:tab/>
        </w:r>
        <w:r w:rsidR="002473D3">
          <w:rPr>
            <w:webHidden/>
          </w:rPr>
          <w:fldChar w:fldCharType="begin"/>
        </w:r>
        <w:r w:rsidR="002473D3">
          <w:rPr>
            <w:webHidden/>
          </w:rPr>
          <w:instrText xml:space="preserve"> PAGEREF _Toc9246804 \h </w:instrText>
        </w:r>
        <w:r w:rsidR="002473D3">
          <w:rPr>
            <w:webHidden/>
          </w:rPr>
        </w:r>
        <w:r w:rsidR="002473D3">
          <w:rPr>
            <w:webHidden/>
          </w:rPr>
          <w:fldChar w:fldCharType="separate"/>
        </w:r>
        <w:r w:rsidR="002473D3">
          <w:rPr>
            <w:webHidden/>
          </w:rPr>
          <w:t>10</w:t>
        </w:r>
        <w:r w:rsidR="002473D3">
          <w:rPr>
            <w:webHidden/>
          </w:rPr>
          <w:fldChar w:fldCharType="end"/>
        </w:r>
      </w:hyperlink>
    </w:p>
    <w:p w14:paraId="2439A09E" w14:textId="77777777" w:rsidR="002473D3" w:rsidRDefault="00577EBD">
      <w:pPr>
        <w:pStyle w:val="TOC2"/>
        <w:rPr>
          <w:rFonts w:asciiTheme="minorHAnsi" w:eastAsiaTheme="minorEastAsia" w:hAnsiTheme="minorHAnsi" w:cstheme="minorBidi"/>
          <w:sz w:val="22"/>
          <w:szCs w:val="22"/>
          <w:lang w:eastAsia="en-AU"/>
        </w:rPr>
      </w:pPr>
      <w:hyperlink w:anchor="_Toc9246805" w:history="1">
        <w:r w:rsidR="002473D3" w:rsidRPr="00686AF8">
          <w:rPr>
            <w:rStyle w:val="Hyperlink"/>
            <w:lang w:val="en-GB"/>
          </w:rPr>
          <w:t>Process reporting for the minimum data set</w:t>
        </w:r>
        <w:r w:rsidR="002473D3">
          <w:rPr>
            <w:webHidden/>
          </w:rPr>
          <w:tab/>
        </w:r>
        <w:r w:rsidR="002473D3">
          <w:rPr>
            <w:webHidden/>
          </w:rPr>
          <w:fldChar w:fldCharType="begin"/>
        </w:r>
        <w:r w:rsidR="002473D3">
          <w:rPr>
            <w:webHidden/>
          </w:rPr>
          <w:instrText xml:space="preserve"> PAGEREF _Toc9246805 \h </w:instrText>
        </w:r>
        <w:r w:rsidR="002473D3">
          <w:rPr>
            <w:webHidden/>
          </w:rPr>
        </w:r>
        <w:r w:rsidR="002473D3">
          <w:rPr>
            <w:webHidden/>
          </w:rPr>
          <w:fldChar w:fldCharType="separate"/>
        </w:r>
        <w:r w:rsidR="002473D3">
          <w:rPr>
            <w:webHidden/>
          </w:rPr>
          <w:t>10</w:t>
        </w:r>
        <w:r w:rsidR="002473D3">
          <w:rPr>
            <w:webHidden/>
          </w:rPr>
          <w:fldChar w:fldCharType="end"/>
        </w:r>
      </w:hyperlink>
    </w:p>
    <w:p w14:paraId="51D392DB" w14:textId="77777777" w:rsidR="002473D3" w:rsidRDefault="00577EBD">
      <w:pPr>
        <w:pStyle w:val="TOC1"/>
        <w:rPr>
          <w:rFonts w:asciiTheme="minorHAnsi" w:eastAsiaTheme="minorEastAsia" w:hAnsiTheme="minorHAnsi" w:cstheme="minorBidi"/>
          <w:b w:val="0"/>
          <w:sz w:val="22"/>
          <w:szCs w:val="22"/>
          <w:lang w:eastAsia="en-AU"/>
        </w:rPr>
      </w:pPr>
      <w:hyperlink w:anchor="_Toc9246806" w:history="1">
        <w:r w:rsidR="002473D3" w:rsidRPr="00686AF8">
          <w:rPr>
            <w:rStyle w:val="Hyperlink"/>
          </w:rPr>
          <w:t>Benchmarking</w:t>
        </w:r>
        <w:r w:rsidR="002473D3">
          <w:rPr>
            <w:webHidden/>
          </w:rPr>
          <w:tab/>
        </w:r>
        <w:r w:rsidR="002473D3">
          <w:rPr>
            <w:webHidden/>
          </w:rPr>
          <w:fldChar w:fldCharType="begin"/>
        </w:r>
        <w:r w:rsidR="002473D3">
          <w:rPr>
            <w:webHidden/>
          </w:rPr>
          <w:instrText xml:space="preserve"> PAGEREF _Toc9246806 \h </w:instrText>
        </w:r>
        <w:r w:rsidR="002473D3">
          <w:rPr>
            <w:webHidden/>
          </w:rPr>
        </w:r>
        <w:r w:rsidR="002473D3">
          <w:rPr>
            <w:webHidden/>
          </w:rPr>
          <w:fldChar w:fldCharType="separate"/>
        </w:r>
        <w:r w:rsidR="002473D3">
          <w:rPr>
            <w:webHidden/>
          </w:rPr>
          <w:t>13</w:t>
        </w:r>
        <w:r w:rsidR="002473D3">
          <w:rPr>
            <w:webHidden/>
          </w:rPr>
          <w:fldChar w:fldCharType="end"/>
        </w:r>
      </w:hyperlink>
    </w:p>
    <w:p w14:paraId="3CB5C402" w14:textId="77777777" w:rsidR="002473D3" w:rsidRDefault="00577EBD">
      <w:pPr>
        <w:pStyle w:val="TOC2"/>
        <w:rPr>
          <w:rFonts w:asciiTheme="minorHAnsi" w:eastAsiaTheme="minorEastAsia" w:hAnsiTheme="minorHAnsi" w:cstheme="minorBidi"/>
          <w:sz w:val="22"/>
          <w:szCs w:val="22"/>
          <w:lang w:eastAsia="en-AU"/>
        </w:rPr>
      </w:pPr>
      <w:hyperlink w:anchor="_Toc9246807" w:history="1">
        <w:r w:rsidR="002473D3" w:rsidRPr="00686AF8">
          <w:rPr>
            <w:rStyle w:val="Hyperlink"/>
          </w:rPr>
          <w:t>Data collection process</w:t>
        </w:r>
        <w:r w:rsidR="002473D3">
          <w:rPr>
            <w:webHidden/>
          </w:rPr>
          <w:tab/>
        </w:r>
        <w:r w:rsidR="002473D3">
          <w:rPr>
            <w:webHidden/>
          </w:rPr>
          <w:fldChar w:fldCharType="begin"/>
        </w:r>
        <w:r w:rsidR="002473D3">
          <w:rPr>
            <w:webHidden/>
          </w:rPr>
          <w:instrText xml:space="preserve"> PAGEREF _Toc9246807 \h </w:instrText>
        </w:r>
        <w:r w:rsidR="002473D3">
          <w:rPr>
            <w:webHidden/>
          </w:rPr>
        </w:r>
        <w:r w:rsidR="002473D3">
          <w:rPr>
            <w:webHidden/>
          </w:rPr>
          <w:fldChar w:fldCharType="separate"/>
        </w:r>
        <w:r w:rsidR="002473D3">
          <w:rPr>
            <w:webHidden/>
          </w:rPr>
          <w:t>13</w:t>
        </w:r>
        <w:r w:rsidR="002473D3">
          <w:rPr>
            <w:webHidden/>
          </w:rPr>
          <w:fldChar w:fldCharType="end"/>
        </w:r>
      </w:hyperlink>
    </w:p>
    <w:p w14:paraId="242D6283" w14:textId="77777777" w:rsidR="002473D3" w:rsidRDefault="00577EBD">
      <w:pPr>
        <w:pStyle w:val="TOC2"/>
        <w:rPr>
          <w:rFonts w:asciiTheme="minorHAnsi" w:eastAsiaTheme="minorEastAsia" w:hAnsiTheme="minorHAnsi" w:cstheme="minorBidi"/>
          <w:sz w:val="22"/>
          <w:szCs w:val="22"/>
          <w:lang w:eastAsia="en-AU"/>
        </w:rPr>
      </w:pPr>
      <w:hyperlink w:anchor="_Toc9246808" w:history="1">
        <w:r w:rsidR="002473D3" w:rsidRPr="00686AF8">
          <w:rPr>
            <w:rStyle w:val="Hyperlink"/>
          </w:rPr>
          <w:t>Data analysis</w:t>
        </w:r>
        <w:r w:rsidR="002473D3">
          <w:rPr>
            <w:webHidden/>
          </w:rPr>
          <w:tab/>
        </w:r>
        <w:r w:rsidR="002473D3">
          <w:rPr>
            <w:webHidden/>
          </w:rPr>
          <w:fldChar w:fldCharType="begin"/>
        </w:r>
        <w:r w:rsidR="002473D3">
          <w:rPr>
            <w:webHidden/>
          </w:rPr>
          <w:instrText xml:space="preserve"> PAGEREF _Toc9246808 \h </w:instrText>
        </w:r>
        <w:r w:rsidR="002473D3">
          <w:rPr>
            <w:webHidden/>
          </w:rPr>
        </w:r>
        <w:r w:rsidR="002473D3">
          <w:rPr>
            <w:webHidden/>
          </w:rPr>
          <w:fldChar w:fldCharType="separate"/>
        </w:r>
        <w:r w:rsidR="002473D3">
          <w:rPr>
            <w:webHidden/>
          </w:rPr>
          <w:t>13</w:t>
        </w:r>
        <w:r w:rsidR="002473D3">
          <w:rPr>
            <w:webHidden/>
          </w:rPr>
          <w:fldChar w:fldCharType="end"/>
        </w:r>
      </w:hyperlink>
    </w:p>
    <w:p w14:paraId="7C28F0A3" w14:textId="77777777" w:rsidR="002473D3" w:rsidRDefault="00577EBD">
      <w:pPr>
        <w:pStyle w:val="TOC2"/>
        <w:rPr>
          <w:rFonts w:asciiTheme="minorHAnsi" w:eastAsiaTheme="minorEastAsia" w:hAnsiTheme="minorHAnsi" w:cstheme="minorBidi"/>
          <w:sz w:val="22"/>
          <w:szCs w:val="22"/>
          <w:lang w:eastAsia="en-AU"/>
        </w:rPr>
      </w:pPr>
      <w:hyperlink w:anchor="_Toc9246809" w:history="1">
        <w:r w:rsidR="002473D3" w:rsidRPr="00686AF8">
          <w:rPr>
            <w:rStyle w:val="Hyperlink"/>
          </w:rPr>
          <w:t>Performance reporting</w:t>
        </w:r>
        <w:r w:rsidR="002473D3">
          <w:rPr>
            <w:webHidden/>
          </w:rPr>
          <w:tab/>
        </w:r>
        <w:r w:rsidR="002473D3">
          <w:rPr>
            <w:webHidden/>
          </w:rPr>
          <w:fldChar w:fldCharType="begin"/>
        </w:r>
        <w:r w:rsidR="002473D3">
          <w:rPr>
            <w:webHidden/>
          </w:rPr>
          <w:instrText xml:space="preserve"> PAGEREF _Toc9246809 \h </w:instrText>
        </w:r>
        <w:r w:rsidR="002473D3">
          <w:rPr>
            <w:webHidden/>
          </w:rPr>
        </w:r>
        <w:r w:rsidR="002473D3">
          <w:rPr>
            <w:webHidden/>
          </w:rPr>
          <w:fldChar w:fldCharType="separate"/>
        </w:r>
        <w:r w:rsidR="002473D3">
          <w:rPr>
            <w:webHidden/>
          </w:rPr>
          <w:t>13</w:t>
        </w:r>
        <w:r w:rsidR="002473D3">
          <w:rPr>
            <w:webHidden/>
          </w:rPr>
          <w:fldChar w:fldCharType="end"/>
        </w:r>
      </w:hyperlink>
    </w:p>
    <w:p w14:paraId="49A48E22" w14:textId="77777777" w:rsidR="002473D3" w:rsidRDefault="00577EBD">
      <w:pPr>
        <w:pStyle w:val="TOC1"/>
        <w:rPr>
          <w:rFonts w:asciiTheme="minorHAnsi" w:eastAsiaTheme="minorEastAsia" w:hAnsiTheme="minorHAnsi" w:cstheme="minorBidi"/>
          <w:b w:val="0"/>
          <w:sz w:val="22"/>
          <w:szCs w:val="22"/>
          <w:lang w:eastAsia="en-AU"/>
        </w:rPr>
      </w:pPr>
      <w:hyperlink w:anchor="_Toc9246810" w:history="1">
        <w:r w:rsidR="002473D3" w:rsidRPr="00686AF8">
          <w:rPr>
            <w:rStyle w:val="Hyperlink"/>
          </w:rPr>
          <w:t>Appendices</w:t>
        </w:r>
        <w:r w:rsidR="002473D3">
          <w:rPr>
            <w:webHidden/>
          </w:rPr>
          <w:tab/>
        </w:r>
        <w:r w:rsidR="002473D3">
          <w:rPr>
            <w:webHidden/>
          </w:rPr>
          <w:fldChar w:fldCharType="begin"/>
        </w:r>
        <w:r w:rsidR="002473D3">
          <w:rPr>
            <w:webHidden/>
          </w:rPr>
          <w:instrText xml:space="preserve"> PAGEREF _Toc9246810 \h </w:instrText>
        </w:r>
        <w:r w:rsidR="002473D3">
          <w:rPr>
            <w:webHidden/>
          </w:rPr>
        </w:r>
        <w:r w:rsidR="002473D3">
          <w:rPr>
            <w:webHidden/>
          </w:rPr>
          <w:fldChar w:fldCharType="separate"/>
        </w:r>
        <w:r w:rsidR="002473D3">
          <w:rPr>
            <w:webHidden/>
          </w:rPr>
          <w:t>14</w:t>
        </w:r>
        <w:r w:rsidR="002473D3">
          <w:rPr>
            <w:webHidden/>
          </w:rPr>
          <w:fldChar w:fldCharType="end"/>
        </w:r>
      </w:hyperlink>
    </w:p>
    <w:p w14:paraId="48ED7E00" w14:textId="77777777" w:rsidR="002473D3" w:rsidRDefault="00577EBD">
      <w:pPr>
        <w:pStyle w:val="TOC2"/>
        <w:rPr>
          <w:rFonts w:asciiTheme="minorHAnsi" w:eastAsiaTheme="minorEastAsia" w:hAnsiTheme="minorHAnsi" w:cstheme="minorBidi"/>
          <w:sz w:val="22"/>
          <w:szCs w:val="22"/>
          <w:lang w:eastAsia="en-AU"/>
        </w:rPr>
      </w:pPr>
      <w:hyperlink w:anchor="_Toc9246811" w:history="1">
        <w:r w:rsidR="002473D3" w:rsidRPr="00686AF8">
          <w:rPr>
            <w:rStyle w:val="Hyperlink"/>
          </w:rPr>
          <w:t>Appendix 1: report template for minimum data set</w:t>
        </w:r>
        <w:r w:rsidR="002473D3">
          <w:rPr>
            <w:webHidden/>
          </w:rPr>
          <w:tab/>
        </w:r>
        <w:r w:rsidR="002473D3">
          <w:rPr>
            <w:webHidden/>
          </w:rPr>
          <w:fldChar w:fldCharType="begin"/>
        </w:r>
        <w:r w:rsidR="002473D3">
          <w:rPr>
            <w:webHidden/>
          </w:rPr>
          <w:instrText xml:space="preserve"> PAGEREF _Toc9246811 \h </w:instrText>
        </w:r>
        <w:r w:rsidR="002473D3">
          <w:rPr>
            <w:webHidden/>
          </w:rPr>
        </w:r>
        <w:r w:rsidR="002473D3">
          <w:rPr>
            <w:webHidden/>
          </w:rPr>
          <w:fldChar w:fldCharType="separate"/>
        </w:r>
        <w:r w:rsidR="002473D3">
          <w:rPr>
            <w:webHidden/>
          </w:rPr>
          <w:t>14</w:t>
        </w:r>
        <w:r w:rsidR="002473D3">
          <w:rPr>
            <w:webHidden/>
          </w:rPr>
          <w:fldChar w:fldCharType="end"/>
        </w:r>
      </w:hyperlink>
    </w:p>
    <w:p w14:paraId="5A07A30F" w14:textId="77777777" w:rsidR="002473D3" w:rsidRDefault="00577EBD">
      <w:pPr>
        <w:pStyle w:val="TOC2"/>
        <w:rPr>
          <w:rFonts w:asciiTheme="minorHAnsi" w:eastAsiaTheme="minorEastAsia" w:hAnsiTheme="minorHAnsi" w:cstheme="minorBidi"/>
          <w:sz w:val="22"/>
          <w:szCs w:val="22"/>
          <w:lang w:eastAsia="en-AU"/>
        </w:rPr>
      </w:pPr>
      <w:hyperlink w:anchor="_Toc9246812" w:history="1">
        <w:r w:rsidR="002473D3" w:rsidRPr="00686AF8">
          <w:rPr>
            <w:rStyle w:val="Hyperlink"/>
          </w:rPr>
          <w:t>Appendix 2: survey questions</w:t>
        </w:r>
        <w:r w:rsidR="002473D3">
          <w:rPr>
            <w:webHidden/>
          </w:rPr>
          <w:tab/>
        </w:r>
        <w:r w:rsidR="002473D3">
          <w:rPr>
            <w:webHidden/>
          </w:rPr>
          <w:fldChar w:fldCharType="begin"/>
        </w:r>
        <w:r w:rsidR="002473D3">
          <w:rPr>
            <w:webHidden/>
          </w:rPr>
          <w:instrText xml:space="preserve"> PAGEREF _Toc9246812 \h </w:instrText>
        </w:r>
        <w:r w:rsidR="002473D3">
          <w:rPr>
            <w:webHidden/>
          </w:rPr>
        </w:r>
        <w:r w:rsidR="002473D3">
          <w:rPr>
            <w:webHidden/>
          </w:rPr>
          <w:fldChar w:fldCharType="separate"/>
        </w:r>
        <w:r w:rsidR="002473D3">
          <w:rPr>
            <w:webHidden/>
          </w:rPr>
          <w:t>16</w:t>
        </w:r>
        <w:r w:rsidR="002473D3">
          <w:rPr>
            <w:webHidden/>
          </w:rPr>
          <w:fldChar w:fldCharType="end"/>
        </w:r>
      </w:hyperlink>
    </w:p>
    <w:p w14:paraId="72076737" w14:textId="77777777" w:rsidR="002473D3" w:rsidRDefault="00577EBD">
      <w:pPr>
        <w:pStyle w:val="TOC2"/>
        <w:rPr>
          <w:rFonts w:asciiTheme="minorHAnsi" w:eastAsiaTheme="minorEastAsia" w:hAnsiTheme="minorHAnsi" w:cstheme="minorBidi"/>
          <w:sz w:val="22"/>
          <w:szCs w:val="22"/>
          <w:lang w:eastAsia="en-AU"/>
        </w:rPr>
      </w:pPr>
      <w:hyperlink w:anchor="_Toc9246813" w:history="1">
        <w:r w:rsidR="002473D3" w:rsidRPr="00686AF8">
          <w:rPr>
            <w:rStyle w:val="Hyperlink"/>
          </w:rPr>
          <w:t>Appendix 3: wellbeing initiatives</w:t>
        </w:r>
        <w:r w:rsidR="002473D3">
          <w:rPr>
            <w:webHidden/>
          </w:rPr>
          <w:tab/>
        </w:r>
        <w:r w:rsidR="002473D3">
          <w:rPr>
            <w:webHidden/>
          </w:rPr>
          <w:fldChar w:fldCharType="begin"/>
        </w:r>
        <w:r w:rsidR="002473D3">
          <w:rPr>
            <w:webHidden/>
          </w:rPr>
          <w:instrText xml:space="preserve"> PAGEREF _Toc9246813 \h </w:instrText>
        </w:r>
        <w:r w:rsidR="002473D3">
          <w:rPr>
            <w:webHidden/>
          </w:rPr>
        </w:r>
        <w:r w:rsidR="002473D3">
          <w:rPr>
            <w:webHidden/>
          </w:rPr>
          <w:fldChar w:fldCharType="separate"/>
        </w:r>
        <w:r w:rsidR="002473D3">
          <w:rPr>
            <w:webHidden/>
          </w:rPr>
          <w:t>17</w:t>
        </w:r>
        <w:r w:rsidR="002473D3">
          <w:rPr>
            <w:webHidden/>
          </w:rPr>
          <w:fldChar w:fldCharType="end"/>
        </w:r>
      </w:hyperlink>
    </w:p>
    <w:p w14:paraId="210F90FC" w14:textId="77777777" w:rsidR="002473D3" w:rsidRDefault="00577EBD">
      <w:pPr>
        <w:pStyle w:val="TOC2"/>
        <w:rPr>
          <w:rFonts w:asciiTheme="minorHAnsi" w:eastAsiaTheme="minorEastAsia" w:hAnsiTheme="minorHAnsi" w:cstheme="minorBidi"/>
          <w:sz w:val="22"/>
          <w:szCs w:val="22"/>
          <w:lang w:eastAsia="en-AU"/>
        </w:rPr>
      </w:pPr>
      <w:hyperlink w:anchor="_Toc9246814" w:history="1">
        <w:r w:rsidR="002473D3" w:rsidRPr="00686AF8">
          <w:rPr>
            <w:rStyle w:val="Hyperlink"/>
          </w:rPr>
          <w:t>Appendix 4: mental health self-assessment tool</w:t>
        </w:r>
        <w:r w:rsidR="002473D3">
          <w:rPr>
            <w:webHidden/>
          </w:rPr>
          <w:tab/>
        </w:r>
        <w:r w:rsidR="002473D3">
          <w:rPr>
            <w:webHidden/>
          </w:rPr>
          <w:fldChar w:fldCharType="begin"/>
        </w:r>
        <w:r w:rsidR="002473D3">
          <w:rPr>
            <w:webHidden/>
          </w:rPr>
          <w:instrText xml:space="preserve"> PAGEREF _Toc9246814 \h </w:instrText>
        </w:r>
        <w:r w:rsidR="002473D3">
          <w:rPr>
            <w:webHidden/>
          </w:rPr>
        </w:r>
        <w:r w:rsidR="002473D3">
          <w:rPr>
            <w:webHidden/>
          </w:rPr>
          <w:fldChar w:fldCharType="separate"/>
        </w:r>
        <w:r w:rsidR="002473D3">
          <w:rPr>
            <w:webHidden/>
          </w:rPr>
          <w:t>18</w:t>
        </w:r>
        <w:r w:rsidR="002473D3">
          <w:rPr>
            <w:webHidden/>
          </w:rPr>
          <w:fldChar w:fldCharType="end"/>
        </w:r>
      </w:hyperlink>
    </w:p>
    <w:p w14:paraId="6D39CB84" w14:textId="77777777" w:rsidR="002473D3" w:rsidRDefault="00577EBD">
      <w:pPr>
        <w:pStyle w:val="TOC1"/>
        <w:rPr>
          <w:rFonts w:asciiTheme="minorHAnsi" w:eastAsiaTheme="minorEastAsia" w:hAnsiTheme="minorHAnsi" w:cstheme="minorBidi"/>
          <w:b w:val="0"/>
          <w:sz w:val="22"/>
          <w:szCs w:val="22"/>
          <w:lang w:eastAsia="en-AU"/>
        </w:rPr>
      </w:pPr>
      <w:hyperlink w:anchor="_Toc9246815" w:history="1">
        <w:r w:rsidR="002473D3" w:rsidRPr="00686AF8">
          <w:rPr>
            <w:rStyle w:val="Hyperlink"/>
          </w:rPr>
          <w:t>Definitions</w:t>
        </w:r>
        <w:r w:rsidR="002473D3">
          <w:rPr>
            <w:webHidden/>
          </w:rPr>
          <w:tab/>
        </w:r>
        <w:r w:rsidR="002473D3">
          <w:rPr>
            <w:webHidden/>
          </w:rPr>
          <w:fldChar w:fldCharType="begin"/>
        </w:r>
        <w:r w:rsidR="002473D3">
          <w:rPr>
            <w:webHidden/>
          </w:rPr>
          <w:instrText xml:space="preserve"> PAGEREF _Toc9246815 \h </w:instrText>
        </w:r>
        <w:r w:rsidR="002473D3">
          <w:rPr>
            <w:webHidden/>
          </w:rPr>
        </w:r>
        <w:r w:rsidR="002473D3">
          <w:rPr>
            <w:webHidden/>
          </w:rPr>
          <w:fldChar w:fldCharType="separate"/>
        </w:r>
        <w:r w:rsidR="002473D3">
          <w:rPr>
            <w:webHidden/>
          </w:rPr>
          <w:t>22</w:t>
        </w:r>
        <w:r w:rsidR="002473D3">
          <w:rPr>
            <w:webHidden/>
          </w:rPr>
          <w:fldChar w:fldCharType="end"/>
        </w:r>
      </w:hyperlink>
    </w:p>
    <w:p w14:paraId="1E90B60A" w14:textId="1455F6DC" w:rsidR="008409D9" w:rsidRPr="008409D9" w:rsidRDefault="00577EBD" w:rsidP="008409D9">
      <w:pPr>
        <w:pStyle w:val="TOC1"/>
        <w:rPr>
          <w:rFonts w:asciiTheme="minorHAnsi" w:eastAsiaTheme="minorEastAsia" w:hAnsiTheme="minorHAnsi" w:cstheme="minorBidi"/>
          <w:b w:val="0"/>
          <w:sz w:val="22"/>
          <w:szCs w:val="22"/>
          <w:lang w:eastAsia="en-AU"/>
        </w:rPr>
      </w:pPr>
      <w:hyperlink w:anchor="_Toc9246816" w:history="1">
        <w:r w:rsidR="002473D3" w:rsidRPr="00686AF8">
          <w:rPr>
            <w:rStyle w:val="Hyperlink"/>
          </w:rPr>
          <w:t>References</w:t>
        </w:r>
        <w:r w:rsidR="002473D3">
          <w:rPr>
            <w:webHidden/>
          </w:rPr>
          <w:tab/>
        </w:r>
        <w:r w:rsidR="002473D3">
          <w:rPr>
            <w:webHidden/>
          </w:rPr>
          <w:fldChar w:fldCharType="begin"/>
        </w:r>
        <w:r w:rsidR="002473D3">
          <w:rPr>
            <w:webHidden/>
          </w:rPr>
          <w:instrText xml:space="preserve"> PAGEREF _Toc9246816 \h </w:instrText>
        </w:r>
        <w:r w:rsidR="002473D3">
          <w:rPr>
            <w:webHidden/>
          </w:rPr>
        </w:r>
        <w:r w:rsidR="002473D3">
          <w:rPr>
            <w:webHidden/>
          </w:rPr>
          <w:fldChar w:fldCharType="separate"/>
        </w:r>
        <w:r w:rsidR="002473D3">
          <w:rPr>
            <w:webHidden/>
          </w:rPr>
          <w:t>24</w:t>
        </w:r>
        <w:r w:rsidR="002473D3">
          <w:rPr>
            <w:webHidden/>
          </w:rPr>
          <w:fldChar w:fldCharType="end"/>
        </w:r>
      </w:hyperlink>
    </w:p>
    <w:p w14:paraId="341C102D" w14:textId="77777777" w:rsidR="006B2B21" w:rsidRDefault="00E15DA9" w:rsidP="003D421E">
      <w:pPr>
        <w:pStyle w:val="TOC2"/>
      </w:pPr>
      <w:r w:rsidRPr="003072C6">
        <w:rPr>
          <w:noProof w:val="0"/>
        </w:rPr>
        <w:fldChar w:fldCharType="end"/>
      </w:r>
    </w:p>
    <w:p w14:paraId="33A55AA0" w14:textId="77777777" w:rsidR="00547EE9" w:rsidRDefault="00547EE9" w:rsidP="00547EE9">
      <w:pPr>
        <w:pStyle w:val="WoVGbody"/>
        <w:rPr>
          <w:sz w:val="24"/>
          <w:szCs w:val="19"/>
          <w:lang w:eastAsia="en-AU"/>
        </w:rPr>
      </w:pPr>
      <w:r>
        <w:rPr>
          <w:lang w:eastAsia="en-AU"/>
        </w:rPr>
        <w:br w:type="page"/>
      </w:r>
    </w:p>
    <w:p w14:paraId="69928284" w14:textId="77777777" w:rsidR="00547EE9" w:rsidRDefault="00547EE9" w:rsidP="00547EE9">
      <w:pPr>
        <w:pStyle w:val="WoVGaccessibilitypara"/>
      </w:pPr>
      <w:r>
        <w:rPr>
          <w:lang w:eastAsia="en-AU"/>
        </w:rPr>
        <w:lastRenderedPageBreak/>
        <w:t>To receive t</w:t>
      </w:r>
      <w:r>
        <w:t xml:space="preserve">his document in an alternative accessible format, </w:t>
      </w:r>
      <w:hyperlink r:id="rId15" w:history="1">
        <w:r w:rsidRPr="005F1C88">
          <w:rPr>
            <w:rStyle w:val="Hyperlink"/>
          </w:rPr>
          <w:t>email the Victorian Public Sector Commission</w:t>
        </w:r>
      </w:hyperlink>
      <w:r>
        <w:t xml:space="preserve"> &lt;info@vpsc.vic.gov.au&gt;.</w:t>
      </w:r>
    </w:p>
    <w:p w14:paraId="34A5EC5A" w14:textId="77777777" w:rsidR="006B2B21" w:rsidRPr="00CD7B1E" w:rsidRDefault="006B2B21" w:rsidP="000B7C6B">
      <w:pPr>
        <w:pStyle w:val="WoVGbody"/>
        <w:spacing w:after="80"/>
      </w:pPr>
      <w:r w:rsidRPr="00CD7B1E">
        <w:t>Authorised and published by the Victorian Government, 1 Treasury Place, Melbourne.</w:t>
      </w:r>
    </w:p>
    <w:p w14:paraId="5C690FD6" w14:textId="77777777" w:rsidR="006B2B21" w:rsidRPr="00CD7B1E" w:rsidRDefault="006B2B21" w:rsidP="000B7C6B">
      <w:pPr>
        <w:pStyle w:val="WoVGbody"/>
        <w:spacing w:after="80"/>
      </w:pPr>
      <w:r w:rsidRPr="00CD7B1E">
        <w:t xml:space="preserve">© State of Victoria, Australia, Department of </w:t>
      </w:r>
      <w:r>
        <w:t>Justice and Community Safety</w:t>
      </w:r>
      <w:r w:rsidRPr="00CD7B1E">
        <w:t>, May 2019.</w:t>
      </w:r>
    </w:p>
    <w:p w14:paraId="45916819" w14:textId="77777777" w:rsidR="006B2B21" w:rsidRDefault="00577EBD" w:rsidP="000B7C6B">
      <w:pPr>
        <w:pStyle w:val="WoVGbody"/>
        <w:spacing w:after="80"/>
      </w:pPr>
      <w:hyperlink r:id="rId16" w:history="1">
        <w:r w:rsidR="00D63F1A" w:rsidRPr="0054237E">
          <w:rPr>
            <w:rStyle w:val="Hyperlink"/>
          </w:rPr>
          <w:t>Email Occupational Health and Safety at the Department of Justice and Community Safety</w:t>
        </w:r>
      </w:hyperlink>
      <w:r w:rsidR="00D63F1A">
        <w:t xml:space="preserve"> &lt;</w:t>
      </w:r>
      <w:r w:rsidR="00D63F1A" w:rsidRPr="00CD7B1E">
        <w:t>OHS@</w:t>
      </w:r>
      <w:r w:rsidR="00D63F1A">
        <w:t>justice</w:t>
      </w:r>
      <w:r w:rsidR="00D63F1A" w:rsidRPr="00CD7B1E">
        <w:t>.vic.gov.au</w:t>
      </w:r>
      <w:r w:rsidR="00D63F1A">
        <w:t>&gt;</w:t>
      </w:r>
      <w:r w:rsidR="006B2B21" w:rsidRPr="00CD7B1E">
        <w:t xml:space="preserve"> or phone </w:t>
      </w:r>
      <w:r w:rsidR="006B2B21">
        <w:t>(03) 8684 8000</w:t>
      </w:r>
      <w:r w:rsidR="006B2B21" w:rsidRPr="00CD7B1E">
        <w:t>.</w:t>
      </w:r>
    </w:p>
    <w:p w14:paraId="76535B60" w14:textId="77777777" w:rsidR="006B2B21" w:rsidRDefault="006B2B21" w:rsidP="000B7C6B">
      <w:pPr>
        <w:pStyle w:val="WoVGbody"/>
        <w:spacing w:after="80"/>
      </w:pPr>
      <w:r w:rsidRPr="00CD7B1E">
        <w:t xml:space="preserve">If you print and store this document, you may be looking at an obsolete version. Always check the latest version of this document </w:t>
      </w:r>
      <w:r w:rsidR="00D63F1A">
        <w:t xml:space="preserve">at the </w:t>
      </w:r>
      <w:hyperlink r:id="rId17" w:history="1">
        <w:r w:rsidR="00D63F1A" w:rsidRPr="0054237E">
          <w:rPr>
            <w:rStyle w:val="Hyperlink"/>
          </w:rPr>
          <w:t>Victorian Public Sector Commission website</w:t>
        </w:r>
      </w:hyperlink>
      <w:r w:rsidR="00D63F1A" w:rsidRPr="00CD7B1E">
        <w:t xml:space="preserve"> </w:t>
      </w:r>
      <w:r w:rsidR="00D63F1A">
        <w:t>&lt;</w:t>
      </w:r>
      <w:r w:rsidR="00D63F1A" w:rsidRPr="0054237E">
        <w:rPr>
          <w:rFonts w:cs="Arial"/>
        </w:rPr>
        <w:t>https://vpsc.vic.gov.au</w:t>
      </w:r>
      <w:r w:rsidR="00D63F1A">
        <w:t>&gt;.</w:t>
      </w:r>
    </w:p>
    <w:p w14:paraId="76E558F9" w14:textId="3F522556" w:rsidR="006B2B21" w:rsidRPr="003072C6" w:rsidRDefault="006B2B21" w:rsidP="006B2B21">
      <w:pPr>
        <w:pStyle w:val="WoVGbody"/>
        <w:sectPr w:rsidR="006B2B21" w:rsidRPr="003072C6" w:rsidSect="00C51B1C">
          <w:pgSz w:w="11906" w:h="16838"/>
          <w:pgMar w:top="1701" w:right="1304" w:bottom="1134" w:left="1304" w:header="454" w:footer="567" w:gutter="0"/>
          <w:cols w:space="720"/>
          <w:docGrid w:linePitch="360"/>
        </w:sectPr>
      </w:pPr>
      <w:r w:rsidRPr="15806442">
        <w:rPr>
          <w:rFonts w:cs="Arial"/>
        </w:rPr>
        <w:t xml:space="preserve">Mental health and wellbeing: the minimum data set </w:t>
      </w:r>
      <w:r w:rsidRPr="00036B22">
        <w:rPr>
          <w:rFonts w:cs="Arial"/>
        </w:rPr>
        <w:t>| Version 1</w:t>
      </w:r>
      <w:r w:rsidR="003A7295" w:rsidRPr="00036B22">
        <w:rPr>
          <w:rFonts w:cs="Arial"/>
        </w:rPr>
        <w:t>.1</w:t>
      </w:r>
      <w:r w:rsidRPr="00036B22">
        <w:rPr>
          <w:rFonts w:cs="Arial"/>
        </w:rPr>
        <w:t xml:space="preserve"> | </w:t>
      </w:r>
      <w:r w:rsidR="003A7295" w:rsidRPr="00036B22">
        <w:rPr>
          <w:rFonts w:cs="Arial"/>
        </w:rPr>
        <w:t>Ju</w:t>
      </w:r>
      <w:r w:rsidR="003B7E9C" w:rsidRPr="00036B22">
        <w:rPr>
          <w:rFonts w:cs="Arial"/>
        </w:rPr>
        <w:t xml:space="preserve">ly </w:t>
      </w:r>
      <w:r w:rsidRPr="00036B22">
        <w:rPr>
          <w:rFonts w:cs="Arial"/>
        </w:rPr>
        <w:t>20</w:t>
      </w:r>
      <w:r w:rsidR="003A7295" w:rsidRPr="00036B22">
        <w:rPr>
          <w:rFonts w:cs="Arial"/>
        </w:rPr>
        <w:t>20</w:t>
      </w:r>
    </w:p>
    <w:p w14:paraId="57934643" w14:textId="77777777" w:rsidR="00FB3967" w:rsidRDefault="00FB3967" w:rsidP="00FB3967">
      <w:pPr>
        <w:pStyle w:val="Heading1"/>
      </w:pPr>
      <w:bookmarkStart w:id="0" w:name="_Toc9246786"/>
      <w:r>
        <w:lastRenderedPageBreak/>
        <w:t>Summary</w:t>
      </w:r>
      <w:bookmarkEnd w:id="0"/>
    </w:p>
    <w:p w14:paraId="47FB5148" w14:textId="77777777" w:rsidR="00FB3967" w:rsidRDefault="00FB3967" w:rsidP="00FB3967">
      <w:pPr>
        <w:pStyle w:val="Heading2"/>
      </w:pPr>
      <w:bookmarkStart w:id="1" w:name="_Toc9246787"/>
      <w:r w:rsidRPr="003D3CD4">
        <w:t>Objectives</w:t>
      </w:r>
      <w:bookmarkEnd w:id="1"/>
    </w:p>
    <w:p w14:paraId="0F6A01F0" w14:textId="77777777" w:rsidR="00FB3967" w:rsidRDefault="00FB3967" w:rsidP="006A474A">
      <w:pPr>
        <w:pStyle w:val="WoVGbodynospace"/>
        <w:rPr>
          <w:lang w:val="en-GB"/>
        </w:rPr>
      </w:pPr>
      <w:r w:rsidRPr="00F11AE4">
        <w:rPr>
          <w:lang w:val="en-GB"/>
        </w:rPr>
        <w:t>The</w:t>
      </w:r>
      <w:r>
        <w:rPr>
          <w:lang w:val="en-GB"/>
        </w:rPr>
        <w:t xml:space="preserve"> objectives of the </w:t>
      </w:r>
      <w:r>
        <w:rPr>
          <w:b/>
          <w:lang w:val="en-GB"/>
        </w:rPr>
        <w:t>minimum data set</w:t>
      </w:r>
      <w:r>
        <w:rPr>
          <w:lang w:val="en-GB"/>
        </w:rPr>
        <w:t xml:space="preserve"> are to:</w:t>
      </w:r>
    </w:p>
    <w:p w14:paraId="70D9124D" w14:textId="77777777" w:rsidR="00FB3967" w:rsidRDefault="00FB3967" w:rsidP="006A474A">
      <w:pPr>
        <w:pStyle w:val="WoVGbullet1"/>
        <w:rPr>
          <w:lang w:val="en-GB"/>
        </w:rPr>
      </w:pPr>
      <w:r>
        <w:rPr>
          <w:lang w:val="en-GB"/>
        </w:rPr>
        <w:t>provide a consistent method for benchmarking psychological health and safety performance of Victorian government departments</w:t>
      </w:r>
    </w:p>
    <w:p w14:paraId="52A00411" w14:textId="77777777" w:rsidR="00FB3967" w:rsidRDefault="00FB3967" w:rsidP="006A474A">
      <w:pPr>
        <w:pStyle w:val="WoVGbullet1"/>
        <w:rPr>
          <w:lang w:val="en-GB"/>
        </w:rPr>
      </w:pPr>
      <w:r>
        <w:rPr>
          <w:lang w:val="en-GB"/>
        </w:rPr>
        <w:t>promote continuous improvement in psychological health and safety management by sharing leading practice of departments performing well, and</w:t>
      </w:r>
    </w:p>
    <w:p w14:paraId="5FC8CFD3" w14:textId="77777777" w:rsidR="00FB3967" w:rsidRDefault="00FB3967" w:rsidP="006A474A">
      <w:pPr>
        <w:pStyle w:val="WoVGbullet1"/>
        <w:rPr>
          <w:lang w:val="en-GB"/>
        </w:rPr>
      </w:pPr>
      <w:r>
        <w:rPr>
          <w:lang w:val="en-GB"/>
        </w:rPr>
        <w:t>monitor progress in achieving performance improvement in psychological health and safety management across the Victorian public sector.</w:t>
      </w:r>
    </w:p>
    <w:p w14:paraId="35D9AEB7" w14:textId="77777777" w:rsidR="00FB3967" w:rsidRPr="003D3CD4" w:rsidRDefault="00FB3967" w:rsidP="00FB3967">
      <w:pPr>
        <w:pStyle w:val="Heading2"/>
      </w:pPr>
      <w:bookmarkStart w:id="2" w:name="_Toc9246788"/>
      <w:r w:rsidRPr="003D3CD4">
        <w:t>Underpinning principles</w:t>
      </w:r>
      <w:bookmarkEnd w:id="2"/>
    </w:p>
    <w:p w14:paraId="7B106CE2" w14:textId="77777777" w:rsidR="00FB3967" w:rsidRPr="0099431A" w:rsidRDefault="00FB3967" w:rsidP="006A474A">
      <w:pPr>
        <w:pStyle w:val="WoVGbodynospace"/>
        <w:rPr>
          <w:lang w:val="en-GB"/>
        </w:rPr>
      </w:pPr>
      <w:r w:rsidRPr="0099431A">
        <w:rPr>
          <w:lang w:val="en-GB"/>
        </w:rPr>
        <w:t xml:space="preserve">The </w:t>
      </w:r>
      <w:r>
        <w:rPr>
          <w:lang w:val="en-GB"/>
        </w:rPr>
        <w:t xml:space="preserve">underpinning principles guiding the selection and use of the </w:t>
      </w:r>
      <w:r>
        <w:rPr>
          <w:b/>
          <w:lang w:val="en-GB"/>
        </w:rPr>
        <w:t>minimum data set</w:t>
      </w:r>
      <w:r>
        <w:rPr>
          <w:lang w:val="en-GB"/>
        </w:rPr>
        <w:t xml:space="preserve"> are</w:t>
      </w:r>
      <w:r w:rsidRPr="0099431A">
        <w:rPr>
          <w:lang w:val="en-GB"/>
        </w:rPr>
        <w:t xml:space="preserve"> to:</w:t>
      </w:r>
    </w:p>
    <w:p w14:paraId="402E021A" w14:textId="77777777" w:rsidR="000B7C6B" w:rsidRDefault="00FB3967" w:rsidP="006A474A">
      <w:pPr>
        <w:pStyle w:val="WoVGbullet1"/>
        <w:rPr>
          <w:lang w:val="en-GB"/>
        </w:rPr>
      </w:pPr>
      <w:r>
        <w:rPr>
          <w:lang w:val="en-GB"/>
        </w:rPr>
        <w:t xml:space="preserve">ensure data included in the </w:t>
      </w:r>
      <w:r>
        <w:rPr>
          <w:b/>
          <w:lang w:val="en-GB"/>
        </w:rPr>
        <w:t>minimum data set</w:t>
      </w:r>
      <w:r>
        <w:rPr>
          <w:lang w:val="en-GB"/>
        </w:rPr>
        <w:t xml:space="preserve"> are defined and that definitions are commonly applied across the Victorian public sector</w:t>
      </w:r>
    </w:p>
    <w:p w14:paraId="40137DC8" w14:textId="77777777" w:rsidR="000B7C6B" w:rsidRDefault="00FB3967" w:rsidP="006A474A">
      <w:pPr>
        <w:pStyle w:val="WoVGbullet1"/>
        <w:rPr>
          <w:lang w:val="en-GB"/>
        </w:rPr>
      </w:pPr>
      <w:r>
        <w:rPr>
          <w:lang w:val="en-GB"/>
        </w:rPr>
        <w:t xml:space="preserve">ensure data included in the </w:t>
      </w:r>
      <w:r>
        <w:rPr>
          <w:b/>
          <w:lang w:val="en-GB"/>
        </w:rPr>
        <w:t>minimum data set</w:t>
      </w:r>
      <w:r>
        <w:rPr>
          <w:lang w:val="en-GB"/>
        </w:rPr>
        <w:t xml:space="preserve"> can be measured and quantified</w:t>
      </w:r>
    </w:p>
    <w:p w14:paraId="46CD2F6F" w14:textId="77777777" w:rsidR="00FB3967" w:rsidRDefault="00FB3967" w:rsidP="006A474A">
      <w:pPr>
        <w:pStyle w:val="WoVGbullet1"/>
        <w:rPr>
          <w:lang w:val="en-GB"/>
        </w:rPr>
      </w:pPr>
      <w:r>
        <w:rPr>
          <w:lang w:val="en-GB"/>
        </w:rPr>
        <w:t>provide a means of comparison of psychological health and safety performance across the Victorian public sector</w:t>
      </w:r>
    </w:p>
    <w:p w14:paraId="48A17DA1" w14:textId="77777777" w:rsidR="00FB3967" w:rsidRPr="0099431A" w:rsidRDefault="00FB3967" w:rsidP="006A474A">
      <w:pPr>
        <w:pStyle w:val="WoVGbullet1"/>
        <w:rPr>
          <w:lang w:val="en-GB"/>
        </w:rPr>
      </w:pPr>
      <w:r>
        <w:rPr>
          <w:lang w:val="en-GB"/>
        </w:rPr>
        <w:t>provide representation, through data analysis, of current performance</w:t>
      </w:r>
    </w:p>
    <w:p w14:paraId="765D6E30" w14:textId="77777777" w:rsidR="00FB3967" w:rsidRDefault="00FB3967" w:rsidP="006A474A">
      <w:pPr>
        <w:pStyle w:val="WoVGbullet1"/>
        <w:rPr>
          <w:lang w:val="en-GB"/>
        </w:rPr>
      </w:pPr>
      <w:r>
        <w:rPr>
          <w:lang w:val="en-GB"/>
        </w:rPr>
        <w:t>inform continuous improvement and compliance, and</w:t>
      </w:r>
    </w:p>
    <w:p w14:paraId="79592C6F" w14:textId="77777777" w:rsidR="00FB3967" w:rsidRPr="0099431A" w:rsidRDefault="00FB3967" w:rsidP="006A474A">
      <w:pPr>
        <w:pStyle w:val="WoVGbullet1"/>
        <w:rPr>
          <w:lang w:val="en-GB"/>
        </w:rPr>
      </w:pPr>
      <w:r>
        <w:rPr>
          <w:lang w:val="en-GB"/>
        </w:rPr>
        <w:t>minimise the data collection burden.</w:t>
      </w:r>
    </w:p>
    <w:p w14:paraId="6D0A880C" w14:textId="77777777" w:rsidR="00FB3967" w:rsidRPr="003D3CD4" w:rsidRDefault="00FB3967" w:rsidP="00FB3967">
      <w:pPr>
        <w:pStyle w:val="Heading2"/>
      </w:pPr>
      <w:bookmarkStart w:id="3" w:name="_Toc9246789"/>
      <w:r w:rsidRPr="003D3CD4">
        <w:t>Privacy</w:t>
      </w:r>
      <w:bookmarkEnd w:id="3"/>
    </w:p>
    <w:p w14:paraId="48121996" w14:textId="77777777" w:rsidR="00FB3967" w:rsidRDefault="00FB3967" w:rsidP="006A474A">
      <w:pPr>
        <w:pStyle w:val="WoVGbody"/>
      </w:pPr>
      <w:r>
        <w:t>Any collection, collation, aggregation and reporting of psychological health and safety data shall comply with all privacy requirements, legislation, collective agreements, and policies.</w:t>
      </w:r>
    </w:p>
    <w:p w14:paraId="796C789D" w14:textId="77777777" w:rsidR="00FB3967" w:rsidRDefault="00FB3967" w:rsidP="006A474A">
      <w:pPr>
        <w:pStyle w:val="WoVGbody"/>
      </w:pPr>
      <w:r>
        <w:t xml:space="preserve">Data collected as part of the </w:t>
      </w:r>
      <w:r>
        <w:rPr>
          <w:b/>
          <w:lang w:val="en-GB"/>
        </w:rPr>
        <w:t>minimum data set</w:t>
      </w:r>
      <w:r>
        <w:rPr>
          <w:lang w:val="en-GB"/>
        </w:rPr>
        <w:t xml:space="preserve"> </w:t>
      </w:r>
      <w:r>
        <w:t xml:space="preserve">will be aggregated before being reported for benchmarking purposes (rather than reporting individual statistics </w:t>
      </w:r>
      <w:proofErr w:type="gramStart"/>
      <w:r>
        <w:t>so as to</w:t>
      </w:r>
      <w:proofErr w:type="gramEnd"/>
      <w:r>
        <w:t xml:space="preserve"> protect privacy).</w:t>
      </w:r>
    </w:p>
    <w:p w14:paraId="515C192B" w14:textId="77777777" w:rsidR="000B7C6B" w:rsidRDefault="00FB3967" w:rsidP="006A474A">
      <w:pPr>
        <w:pStyle w:val="WoVGbody"/>
      </w:pPr>
      <w:r>
        <w:t xml:space="preserve">Any identifying markers associated with data collected as part of the </w:t>
      </w:r>
      <w:r>
        <w:rPr>
          <w:b/>
          <w:lang w:val="en-GB"/>
        </w:rPr>
        <w:t>minimum data set</w:t>
      </w:r>
      <w:r>
        <w:rPr>
          <w:lang w:val="en-GB"/>
        </w:rPr>
        <w:t xml:space="preserve"> </w:t>
      </w:r>
      <w:r>
        <w:t>will be removed before the data is shared.</w:t>
      </w:r>
    </w:p>
    <w:p w14:paraId="553E6375" w14:textId="77777777" w:rsidR="00FB3967" w:rsidRPr="003D3CD4" w:rsidRDefault="00FB3967" w:rsidP="00FB3967">
      <w:pPr>
        <w:pStyle w:val="Heading2"/>
      </w:pPr>
      <w:bookmarkStart w:id="4" w:name="_Toc9246790"/>
      <w:r w:rsidRPr="003D3CD4">
        <w:t>Review</w:t>
      </w:r>
      <w:bookmarkEnd w:id="4"/>
    </w:p>
    <w:p w14:paraId="557A5B5D" w14:textId="77777777" w:rsidR="00FB3967" w:rsidRDefault="00FB3967" w:rsidP="006A474A">
      <w:pPr>
        <w:pStyle w:val="WoVGbodynospace"/>
      </w:pPr>
      <w:r>
        <w:t xml:space="preserve">The </w:t>
      </w:r>
      <w:r>
        <w:rPr>
          <w:b/>
          <w:lang w:val="en-GB"/>
        </w:rPr>
        <w:t>minimum data set</w:t>
      </w:r>
      <w:r>
        <w:rPr>
          <w:lang w:val="en-GB"/>
        </w:rPr>
        <w:t xml:space="preserve"> will</w:t>
      </w:r>
      <w:r>
        <w:t xml:space="preserve"> be reviewed annually to consider:</w:t>
      </w:r>
    </w:p>
    <w:p w14:paraId="520FF326" w14:textId="77777777" w:rsidR="00FB3967" w:rsidRPr="0020660A" w:rsidRDefault="00FB3967" w:rsidP="006A474A">
      <w:pPr>
        <w:pStyle w:val="WoVGbullet1"/>
        <w:rPr>
          <w:lang w:val="en-GB"/>
        </w:rPr>
      </w:pPr>
      <w:r w:rsidRPr="0020660A">
        <w:rPr>
          <w:lang w:val="en-GB"/>
        </w:rPr>
        <w:t xml:space="preserve">the effectiveness of data included in </w:t>
      </w:r>
      <w:r>
        <w:rPr>
          <w:lang w:val="en-GB"/>
        </w:rPr>
        <w:t xml:space="preserve">the </w:t>
      </w:r>
      <w:r>
        <w:rPr>
          <w:b/>
          <w:lang w:val="en-GB"/>
        </w:rPr>
        <w:t>minimum data set</w:t>
      </w:r>
      <w:r>
        <w:rPr>
          <w:lang w:val="en-GB"/>
        </w:rPr>
        <w:t xml:space="preserve"> in </w:t>
      </w:r>
      <w:r w:rsidRPr="0020660A">
        <w:rPr>
          <w:lang w:val="en-GB"/>
        </w:rPr>
        <w:t>benchmarking psychological health and safety performance</w:t>
      </w:r>
    </w:p>
    <w:p w14:paraId="48EFD604" w14:textId="77777777" w:rsidR="00FB3967" w:rsidRDefault="00FB3967" w:rsidP="006A474A">
      <w:pPr>
        <w:pStyle w:val="WoVGbullet1"/>
        <w:rPr>
          <w:lang w:val="en-GB"/>
        </w:rPr>
      </w:pPr>
      <w:r>
        <w:rPr>
          <w:lang w:val="en-GB"/>
        </w:rPr>
        <w:t xml:space="preserve">whether additional data should be included in the </w:t>
      </w:r>
      <w:r>
        <w:rPr>
          <w:b/>
          <w:lang w:val="en-GB"/>
        </w:rPr>
        <w:t xml:space="preserve">minimum data set </w:t>
      </w:r>
      <w:r w:rsidRPr="00EE0E10">
        <w:rPr>
          <w:lang w:val="en-GB"/>
        </w:rPr>
        <w:t>or whether data should be removed</w:t>
      </w:r>
      <w:r>
        <w:rPr>
          <w:lang w:val="en-GB"/>
        </w:rPr>
        <w:t>, and</w:t>
      </w:r>
    </w:p>
    <w:p w14:paraId="33F22FCB" w14:textId="77777777" w:rsidR="00FB3967" w:rsidRPr="00A65A34" w:rsidRDefault="00FB3967" w:rsidP="006A474A">
      <w:pPr>
        <w:pStyle w:val="WoVGbullet1"/>
        <w:rPr>
          <w:lang w:val="en-GB"/>
        </w:rPr>
      </w:pPr>
      <w:r>
        <w:rPr>
          <w:lang w:val="en-GB"/>
        </w:rPr>
        <w:t>the efficacy of the objectives and underpinning principles.</w:t>
      </w:r>
    </w:p>
    <w:p w14:paraId="6D205E81" w14:textId="77777777" w:rsidR="00FB3967" w:rsidRDefault="00FB3967" w:rsidP="00D63F1A">
      <w:pPr>
        <w:pStyle w:val="WoVGbodyafterbullets"/>
        <w:rPr>
          <w:lang w:val="en-GB"/>
        </w:rPr>
      </w:pPr>
      <w:r>
        <w:rPr>
          <w:lang w:val="en-GB"/>
        </w:rPr>
        <w:t>The review will be conducted by personnel responsible for collecting and reporting the data within the relevant Victorian government departments.</w:t>
      </w:r>
    </w:p>
    <w:p w14:paraId="0DD659F3" w14:textId="77777777" w:rsidR="000B7C6B" w:rsidRDefault="00FB3967" w:rsidP="006A474A">
      <w:pPr>
        <w:pStyle w:val="WoVGbody"/>
        <w:rPr>
          <w:lang w:val="en-GB"/>
        </w:rPr>
      </w:pPr>
      <w:r>
        <w:rPr>
          <w:lang w:val="en-GB"/>
        </w:rPr>
        <w:t xml:space="preserve">The outcomes of the review will be tabled with the </w:t>
      </w:r>
      <w:r w:rsidRPr="00EA3DF3">
        <w:rPr>
          <w:lang w:val="en-GB"/>
        </w:rPr>
        <w:t>Public Sector OHS Leadership Group for ratification.</w:t>
      </w:r>
    </w:p>
    <w:p w14:paraId="73458615" w14:textId="77777777" w:rsidR="00FB3967" w:rsidRDefault="00FB3967" w:rsidP="00FB3967">
      <w:pPr>
        <w:pStyle w:val="Heading1"/>
      </w:pPr>
      <w:bookmarkStart w:id="5" w:name="_Toc9246791"/>
      <w:r>
        <w:lastRenderedPageBreak/>
        <w:t>Introduction</w:t>
      </w:r>
      <w:bookmarkEnd w:id="5"/>
    </w:p>
    <w:p w14:paraId="4D35C66B" w14:textId="77777777" w:rsidR="00FB3967" w:rsidRDefault="00FB3967" w:rsidP="006A474A">
      <w:pPr>
        <w:pStyle w:val="WoVGbodynospace"/>
        <w:rPr>
          <w:lang w:val="en-GB"/>
        </w:rPr>
      </w:pPr>
      <w:r>
        <w:rPr>
          <w:lang w:val="en-GB"/>
        </w:rPr>
        <w:t>Creating</w:t>
      </w:r>
      <w:r w:rsidRPr="005D294D">
        <w:rPr>
          <w:lang w:val="en-GB"/>
        </w:rPr>
        <w:t xml:space="preserve"> a psychologically healthy and safe (</w:t>
      </w:r>
      <w:r w:rsidRPr="005D294D">
        <w:rPr>
          <w:b/>
          <w:lang w:val="en-GB"/>
        </w:rPr>
        <w:t>PHS</w:t>
      </w:r>
      <w:r w:rsidRPr="005D294D">
        <w:rPr>
          <w:lang w:val="en-GB"/>
        </w:rPr>
        <w:t>) workplace</w:t>
      </w:r>
      <w:r>
        <w:rPr>
          <w:lang w:val="en-GB"/>
        </w:rPr>
        <w:t xml:space="preserve"> requires planning, specifically planning the ‘</w:t>
      </w:r>
      <w:r w:rsidRPr="005D294D">
        <w:rPr>
          <w:lang w:val="en-GB"/>
        </w:rPr>
        <w:t>what</w:t>
      </w:r>
      <w:r>
        <w:rPr>
          <w:lang w:val="en-GB"/>
        </w:rPr>
        <w:t>’</w:t>
      </w:r>
      <w:r w:rsidRPr="005D294D">
        <w:rPr>
          <w:lang w:val="en-GB"/>
        </w:rPr>
        <w:t xml:space="preserve"> and </w:t>
      </w:r>
      <w:r>
        <w:rPr>
          <w:lang w:val="en-GB"/>
        </w:rPr>
        <w:t>the ‘</w:t>
      </w:r>
      <w:r w:rsidRPr="005D294D">
        <w:rPr>
          <w:lang w:val="en-GB"/>
        </w:rPr>
        <w:t>how</w:t>
      </w:r>
      <w:r>
        <w:rPr>
          <w:lang w:val="en-GB"/>
        </w:rPr>
        <w:t>’</w:t>
      </w:r>
      <w:r w:rsidRPr="005D294D">
        <w:rPr>
          <w:lang w:val="en-GB"/>
        </w:rPr>
        <w:t xml:space="preserve"> (</w:t>
      </w:r>
      <w:r w:rsidRPr="005D294D">
        <w:rPr>
          <w:b/>
          <w:lang w:val="en-GB"/>
        </w:rPr>
        <w:t>Plan</w:t>
      </w:r>
      <w:r w:rsidRPr="005D294D">
        <w:rPr>
          <w:lang w:val="en-GB"/>
        </w:rPr>
        <w:t>)</w:t>
      </w:r>
      <w:r>
        <w:rPr>
          <w:lang w:val="en-GB"/>
        </w:rPr>
        <w:t xml:space="preserve"> which is informed by what success will look like and how it will be measured. Once established the plan is</w:t>
      </w:r>
      <w:r w:rsidRPr="005D294D">
        <w:rPr>
          <w:lang w:val="en-GB"/>
        </w:rPr>
        <w:t xml:space="preserve"> implement</w:t>
      </w:r>
      <w:r>
        <w:rPr>
          <w:lang w:val="en-GB"/>
        </w:rPr>
        <w:t>ed</w:t>
      </w:r>
      <w:r w:rsidRPr="005D294D">
        <w:rPr>
          <w:lang w:val="en-GB"/>
        </w:rPr>
        <w:t xml:space="preserve"> (</w:t>
      </w:r>
      <w:r w:rsidRPr="005D294D">
        <w:rPr>
          <w:b/>
          <w:lang w:val="en-GB"/>
        </w:rPr>
        <w:t>Do</w:t>
      </w:r>
      <w:r w:rsidRPr="005D294D">
        <w:rPr>
          <w:lang w:val="en-GB"/>
        </w:rPr>
        <w:t>)</w:t>
      </w:r>
      <w:r>
        <w:rPr>
          <w:lang w:val="en-GB"/>
        </w:rPr>
        <w:t xml:space="preserve"> it is then</w:t>
      </w:r>
      <w:r w:rsidRPr="005D294D">
        <w:rPr>
          <w:lang w:val="en-GB"/>
        </w:rPr>
        <w:t xml:space="preserve"> </w:t>
      </w:r>
      <w:r>
        <w:rPr>
          <w:lang w:val="en-GB"/>
        </w:rPr>
        <w:t>assessed to confirm it is tracking against the</w:t>
      </w:r>
      <w:r w:rsidRPr="005D294D">
        <w:rPr>
          <w:lang w:val="en-GB"/>
        </w:rPr>
        <w:t xml:space="preserve"> plan (</w:t>
      </w:r>
      <w:r w:rsidRPr="005D294D">
        <w:rPr>
          <w:b/>
          <w:lang w:val="en-GB"/>
        </w:rPr>
        <w:t>Check</w:t>
      </w:r>
      <w:r w:rsidRPr="005D294D">
        <w:rPr>
          <w:lang w:val="en-GB"/>
        </w:rPr>
        <w:t xml:space="preserve">) and if not </w:t>
      </w:r>
      <w:r>
        <w:rPr>
          <w:lang w:val="en-GB"/>
        </w:rPr>
        <w:t xml:space="preserve">supports </w:t>
      </w:r>
      <w:r w:rsidRPr="005D294D">
        <w:rPr>
          <w:lang w:val="en-GB"/>
        </w:rPr>
        <w:t>correcti</w:t>
      </w:r>
      <w:r>
        <w:rPr>
          <w:lang w:val="en-GB"/>
        </w:rPr>
        <w:t>ons</w:t>
      </w:r>
      <w:r w:rsidRPr="005D294D">
        <w:rPr>
          <w:lang w:val="en-GB"/>
        </w:rPr>
        <w:t xml:space="preserve"> (</w:t>
      </w:r>
      <w:r w:rsidRPr="005D294D">
        <w:rPr>
          <w:b/>
          <w:lang w:val="en-GB"/>
        </w:rPr>
        <w:t>Act</w:t>
      </w:r>
      <w:r w:rsidRPr="005D294D">
        <w:rPr>
          <w:lang w:val="en-GB"/>
        </w:rPr>
        <w:t>).</w:t>
      </w:r>
    </w:p>
    <w:p w14:paraId="2309DB34" w14:textId="77777777" w:rsidR="004A6B98" w:rsidRPr="007920F2" w:rsidRDefault="004A6B98" w:rsidP="004A6B98">
      <w:pPr>
        <w:pStyle w:val="WoVGfigurecaption"/>
        <w:rPr>
          <w:lang w:val="en-GB"/>
        </w:rPr>
      </w:pPr>
      <w:r>
        <w:rPr>
          <w:lang w:val="en-GB"/>
        </w:rPr>
        <w:t>Figure</w:t>
      </w:r>
      <w:r w:rsidR="002473D3">
        <w:rPr>
          <w:lang w:val="en-GB"/>
        </w:rPr>
        <w:t xml:space="preserve"> 1</w:t>
      </w:r>
      <w:r>
        <w:rPr>
          <w:lang w:val="en-GB"/>
        </w:rPr>
        <w:t>: The Plan, Do, Check, Act cycle</w:t>
      </w:r>
    </w:p>
    <w:p w14:paraId="4C2B15AF" w14:textId="77777777" w:rsidR="00FB3967" w:rsidRPr="009A07AC" w:rsidRDefault="00FB3967" w:rsidP="000B7C6B">
      <w:pPr>
        <w:jc w:val="center"/>
        <w:rPr>
          <w:rFonts w:ascii="Arial" w:hAnsi="Arial" w:cs="Arial"/>
          <w:lang w:val="en-GB"/>
        </w:rPr>
      </w:pPr>
      <w:r w:rsidRPr="009A07AC">
        <w:rPr>
          <w:rFonts w:ascii="Arial" w:hAnsi="Arial" w:cs="Arial"/>
          <w:noProof/>
          <w:lang w:eastAsia="en-AU"/>
        </w:rPr>
        <w:drawing>
          <wp:inline distT="0" distB="0" distL="0" distR="0" wp14:anchorId="4963FEDC" wp14:editId="1C350BB3">
            <wp:extent cx="2800350" cy="2486331"/>
            <wp:effectExtent l="0" t="0" r="0" b="9525"/>
            <wp:docPr id="7" name="Picture 7" descr="Figure showing the Plan, Do, Check, Act cycle. Plan: Consistent with Policy, determine what you will do and how you will go about doing it. Do: Implement what was planned. Check: Assess performance relative to the plan. Act: Take appropriate action to correc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1988" cy="2487786"/>
                    </a:xfrm>
                    <a:prstGeom prst="rect">
                      <a:avLst/>
                    </a:prstGeom>
                    <a:noFill/>
                    <a:ln>
                      <a:noFill/>
                    </a:ln>
                  </pic:spPr>
                </pic:pic>
              </a:graphicData>
            </a:graphic>
          </wp:inline>
        </w:drawing>
      </w:r>
    </w:p>
    <w:p w14:paraId="2BEBB277" w14:textId="77777777" w:rsidR="00FB3967" w:rsidRPr="000B7C6B" w:rsidRDefault="00FB3967" w:rsidP="000B7C6B">
      <w:pPr>
        <w:pStyle w:val="WoVGtablefigurenote"/>
      </w:pPr>
      <w:r w:rsidRPr="000B7C6B">
        <w:t>Source: Assembling the Pieces: An Implementation Guide to the National Standard for Psychological Health and Safety in the Workplace</w:t>
      </w:r>
    </w:p>
    <w:p w14:paraId="0C2A5B8C" w14:textId="77777777" w:rsidR="00FB3967" w:rsidRPr="005D294D" w:rsidRDefault="00FB3967" w:rsidP="00D63F1A">
      <w:pPr>
        <w:pStyle w:val="Heading2"/>
        <w:rPr>
          <w:lang w:val="en-GB"/>
        </w:rPr>
      </w:pPr>
      <w:bookmarkStart w:id="6" w:name="_Toc9246792"/>
      <w:r w:rsidRPr="00D63F1A">
        <w:rPr>
          <w:lang w:val="en-GB"/>
        </w:rPr>
        <w:t>Plan</w:t>
      </w:r>
      <w:bookmarkEnd w:id="6"/>
    </w:p>
    <w:p w14:paraId="5006B4F1" w14:textId="77777777" w:rsidR="000B7C6B" w:rsidRDefault="00FB3967" w:rsidP="006A474A">
      <w:pPr>
        <w:pStyle w:val="WoVGbody"/>
        <w:rPr>
          <w:lang w:val="en-GB"/>
        </w:rPr>
      </w:pPr>
      <w:r w:rsidRPr="005D294D">
        <w:rPr>
          <w:lang w:val="en-GB"/>
        </w:rPr>
        <w:t>The planning phase include</w:t>
      </w:r>
      <w:r>
        <w:rPr>
          <w:lang w:val="en-GB"/>
        </w:rPr>
        <w:t>s</w:t>
      </w:r>
      <w:r w:rsidRPr="005D294D">
        <w:rPr>
          <w:lang w:val="en-GB"/>
        </w:rPr>
        <w:t xml:space="preserve"> establishing a PHS policy, </w:t>
      </w:r>
      <w:r>
        <w:rPr>
          <w:lang w:val="en-GB"/>
        </w:rPr>
        <w:t xml:space="preserve">ascertaining the organisation’s </w:t>
      </w:r>
      <w:r w:rsidRPr="005D294D">
        <w:rPr>
          <w:lang w:val="en-GB"/>
        </w:rPr>
        <w:t>current s</w:t>
      </w:r>
      <w:r>
        <w:rPr>
          <w:lang w:val="en-GB"/>
        </w:rPr>
        <w:t>tate</w:t>
      </w:r>
      <w:r w:rsidRPr="005D294D">
        <w:rPr>
          <w:lang w:val="en-GB"/>
        </w:rPr>
        <w:t xml:space="preserve"> (</w:t>
      </w:r>
      <w:r w:rsidRPr="005D294D">
        <w:rPr>
          <w:b/>
          <w:lang w:val="en-GB"/>
        </w:rPr>
        <w:t>baseline</w:t>
      </w:r>
      <w:r w:rsidRPr="005D294D">
        <w:rPr>
          <w:lang w:val="en-GB"/>
        </w:rPr>
        <w:t>), setting objectives &amp; targets consistent with the PHS policy, developing a</w:t>
      </w:r>
      <w:r>
        <w:rPr>
          <w:lang w:val="en-GB"/>
        </w:rPr>
        <w:t>n implementation</w:t>
      </w:r>
      <w:r w:rsidRPr="005D294D">
        <w:rPr>
          <w:lang w:val="en-GB"/>
        </w:rPr>
        <w:t xml:space="preserve"> plan that details how the objectives &amp; targets </w:t>
      </w:r>
      <w:r>
        <w:rPr>
          <w:lang w:val="en-GB"/>
        </w:rPr>
        <w:t xml:space="preserve">will be achieved </w:t>
      </w:r>
      <w:r w:rsidRPr="005D294D">
        <w:rPr>
          <w:lang w:val="en-GB"/>
        </w:rPr>
        <w:t xml:space="preserve">and </w:t>
      </w:r>
      <w:r w:rsidRPr="00CA60AE">
        <w:rPr>
          <w:lang w:val="en-GB"/>
        </w:rPr>
        <w:t>defining</w:t>
      </w:r>
      <w:r w:rsidRPr="005D294D">
        <w:rPr>
          <w:b/>
          <w:lang w:val="en-GB"/>
        </w:rPr>
        <w:t xml:space="preserve"> performance indicators</w:t>
      </w:r>
      <w:r w:rsidRPr="005D294D">
        <w:rPr>
          <w:lang w:val="en-GB"/>
        </w:rPr>
        <w:t xml:space="preserve"> that measure whether objectives &amp; targets </w:t>
      </w:r>
      <w:r>
        <w:rPr>
          <w:lang w:val="en-GB"/>
        </w:rPr>
        <w:t>are being met</w:t>
      </w:r>
      <w:r w:rsidRPr="005D294D">
        <w:rPr>
          <w:lang w:val="en-GB"/>
        </w:rPr>
        <w:t>.</w:t>
      </w:r>
    </w:p>
    <w:p w14:paraId="2C586C66" w14:textId="77777777" w:rsidR="00FB3967" w:rsidRPr="005D294D" w:rsidRDefault="00FB3967" w:rsidP="006A474A">
      <w:pPr>
        <w:pStyle w:val="WoVGbody"/>
        <w:rPr>
          <w:lang w:val="en-GB"/>
        </w:rPr>
      </w:pPr>
      <w:r w:rsidRPr="005D294D">
        <w:rPr>
          <w:lang w:val="en-GB"/>
        </w:rPr>
        <w:t xml:space="preserve">In order to establish </w:t>
      </w:r>
      <w:r>
        <w:rPr>
          <w:lang w:val="en-GB"/>
        </w:rPr>
        <w:t>a</w:t>
      </w:r>
      <w:r w:rsidRPr="00CA60AE">
        <w:rPr>
          <w:lang w:val="en-GB"/>
        </w:rPr>
        <w:t xml:space="preserve"> baseline,</w:t>
      </w:r>
      <w:r w:rsidRPr="005D294D">
        <w:rPr>
          <w:lang w:val="en-GB"/>
        </w:rPr>
        <w:t xml:space="preserve"> </w:t>
      </w:r>
      <w:r>
        <w:rPr>
          <w:lang w:val="en-GB"/>
        </w:rPr>
        <w:t>data</w:t>
      </w:r>
      <w:r w:rsidRPr="005D294D">
        <w:rPr>
          <w:lang w:val="en-GB"/>
        </w:rPr>
        <w:t xml:space="preserve"> need</w:t>
      </w:r>
      <w:r>
        <w:rPr>
          <w:lang w:val="en-GB"/>
        </w:rPr>
        <w:t>s</w:t>
      </w:r>
      <w:r w:rsidRPr="005D294D">
        <w:rPr>
          <w:lang w:val="en-GB"/>
        </w:rPr>
        <w:t xml:space="preserve"> to</w:t>
      </w:r>
      <w:r>
        <w:rPr>
          <w:lang w:val="en-GB"/>
        </w:rPr>
        <w:t xml:space="preserve"> be </w:t>
      </w:r>
      <w:r w:rsidRPr="00CA60AE">
        <w:rPr>
          <w:b/>
          <w:lang w:val="en-GB"/>
        </w:rPr>
        <w:t>collect</w:t>
      </w:r>
      <w:r>
        <w:rPr>
          <w:b/>
          <w:lang w:val="en-GB"/>
        </w:rPr>
        <w:t>ed</w:t>
      </w:r>
      <w:r w:rsidRPr="00CA60AE">
        <w:rPr>
          <w:b/>
          <w:lang w:val="en-GB"/>
        </w:rPr>
        <w:t xml:space="preserve"> and analyse</w:t>
      </w:r>
      <w:r>
        <w:rPr>
          <w:b/>
          <w:lang w:val="en-GB"/>
        </w:rPr>
        <w:t>d</w:t>
      </w:r>
      <w:r w:rsidRPr="005D294D">
        <w:rPr>
          <w:lang w:val="en-GB"/>
        </w:rPr>
        <w:t>.</w:t>
      </w:r>
    </w:p>
    <w:p w14:paraId="57435FA4" w14:textId="77777777" w:rsidR="00FB3967" w:rsidRPr="005D294D" w:rsidRDefault="00FB3967" w:rsidP="00D63F1A">
      <w:pPr>
        <w:pStyle w:val="Heading2"/>
        <w:rPr>
          <w:lang w:val="en-GB"/>
        </w:rPr>
      </w:pPr>
      <w:bookmarkStart w:id="7" w:name="_Toc9246793"/>
      <w:r w:rsidRPr="005D294D">
        <w:rPr>
          <w:lang w:val="en-GB"/>
        </w:rPr>
        <w:t>Implement</w:t>
      </w:r>
      <w:bookmarkEnd w:id="7"/>
    </w:p>
    <w:p w14:paraId="4EB90792" w14:textId="77777777" w:rsidR="00FB3967" w:rsidRPr="005D294D" w:rsidRDefault="00FB3967" w:rsidP="006A474A">
      <w:pPr>
        <w:pStyle w:val="WoVGbodynospace"/>
        <w:rPr>
          <w:lang w:val="en-GB"/>
        </w:rPr>
      </w:pPr>
      <w:r w:rsidRPr="005D294D">
        <w:rPr>
          <w:lang w:val="en-GB"/>
        </w:rPr>
        <w:t xml:space="preserve">The implementation phase involves </w:t>
      </w:r>
      <w:r>
        <w:rPr>
          <w:lang w:val="en-GB"/>
        </w:rPr>
        <w:t>delivering</w:t>
      </w:r>
      <w:r w:rsidRPr="005D294D">
        <w:rPr>
          <w:lang w:val="en-GB"/>
        </w:rPr>
        <w:t xml:space="preserve"> the activities included in </w:t>
      </w:r>
      <w:r>
        <w:rPr>
          <w:lang w:val="en-GB"/>
        </w:rPr>
        <w:t>the</w:t>
      </w:r>
      <w:r w:rsidRPr="005D294D">
        <w:rPr>
          <w:lang w:val="en-GB"/>
        </w:rPr>
        <w:t xml:space="preserve"> plan.</w:t>
      </w:r>
    </w:p>
    <w:p w14:paraId="2B644295" w14:textId="77777777" w:rsidR="00FB3967" w:rsidRPr="005D294D" w:rsidRDefault="00FB3967" w:rsidP="00D63F1A">
      <w:pPr>
        <w:pStyle w:val="Heading2"/>
        <w:rPr>
          <w:lang w:val="en-GB"/>
        </w:rPr>
      </w:pPr>
      <w:bookmarkStart w:id="8" w:name="_Toc9246794"/>
      <w:r w:rsidRPr="005D294D">
        <w:rPr>
          <w:lang w:val="en-GB"/>
        </w:rPr>
        <w:t>Check</w:t>
      </w:r>
      <w:bookmarkEnd w:id="8"/>
    </w:p>
    <w:p w14:paraId="405B201A" w14:textId="77777777" w:rsidR="000B7C6B" w:rsidRDefault="00FB3967" w:rsidP="006A474A">
      <w:pPr>
        <w:pStyle w:val="WoVGbody"/>
        <w:rPr>
          <w:lang w:val="en-GB"/>
        </w:rPr>
      </w:pPr>
      <w:r w:rsidRPr="005D294D">
        <w:rPr>
          <w:lang w:val="en-GB"/>
        </w:rPr>
        <w:t>The checking phase include</w:t>
      </w:r>
      <w:r>
        <w:rPr>
          <w:lang w:val="en-GB"/>
        </w:rPr>
        <w:t>s</w:t>
      </w:r>
      <w:r w:rsidRPr="005D294D">
        <w:rPr>
          <w:lang w:val="en-GB"/>
        </w:rPr>
        <w:t xml:space="preserve"> measuring </w:t>
      </w:r>
      <w:r>
        <w:rPr>
          <w:lang w:val="en-GB"/>
        </w:rPr>
        <w:t>improvements made against the baseline (</w:t>
      </w:r>
      <w:r w:rsidRPr="00CA60AE">
        <w:rPr>
          <w:b/>
          <w:lang w:val="en-GB"/>
        </w:rPr>
        <w:t>baseline benchmark</w:t>
      </w:r>
      <w:r>
        <w:rPr>
          <w:lang w:val="en-GB"/>
        </w:rPr>
        <w:t xml:space="preserve">), measuring </w:t>
      </w:r>
      <w:r w:rsidRPr="005D294D">
        <w:rPr>
          <w:lang w:val="en-GB"/>
        </w:rPr>
        <w:t xml:space="preserve">progress against </w:t>
      </w:r>
      <w:r>
        <w:rPr>
          <w:lang w:val="en-GB"/>
        </w:rPr>
        <w:t>the</w:t>
      </w:r>
      <w:r w:rsidRPr="005D294D">
        <w:rPr>
          <w:lang w:val="en-GB"/>
        </w:rPr>
        <w:t xml:space="preserve"> plan and/or </w:t>
      </w:r>
      <w:r>
        <w:rPr>
          <w:lang w:val="en-GB"/>
        </w:rPr>
        <w:t xml:space="preserve">measuring </w:t>
      </w:r>
      <w:r w:rsidRPr="005D294D">
        <w:rPr>
          <w:lang w:val="en-GB"/>
        </w:rPr>
        <w:t xml:space="preserve">performance against </w:t>
      </w:r>
      <w:r>
        <w:rPr>
          <w:lang w:val="en-GB"/>
        </w:rPr>
        <w:t xml:space="preserve">the stated objectives &amp; targets. </w:t>
      </w:r>
      <w:r w:rsidRPr="005D294D">
        <w:rPr>
          <w:lang w:val="en-GB"/>
        </w:rPr>
        <w:t xml:space="preserve">In order to undertake these checks </w:t>
      </w:r>
      <w:r>
        <w:rPr>
          <w:lang w:val="en-GB"/>
        </w:rPr>
        <w:t>data needs to be</w:t>
      </w:r>
      <w:r w:rsidRPr="005D294D">
        <w:rPr>
          <w:lang w:val="en-GB"/>
        </w:rPr>
        <w:t xml:space="preserve"> </w:t>
      </w:r>
      <w:r w:rsidRPr="005D294D">
        <w:rPr>
          <w:b/>
          <w:lang w:val="en-GB"/>
        </w:rPr>
        <w:t>collect</w:t>
      </w:r>
      <w:r>
        <w:rPr>
          <w:b/>
          <w:lang w:val="en-GB"/>
        </w:rPr>
        <w:t>ed</w:t>
      </w:r>
      <w:r w:rsidRPr="005D294D">
        <w:rPr>
          <w:b/>
          <w:lang w:val="en-GB"/>
        </w:rPr>
        <w:t xml:space="preserve"> and analyse</w:t>
      </w:r>
      <w:r>
        <w:rPr>
          <w:b/>
          <w:lang w:val="en-GB"/>
        </w:rPr>
        <w:t>d</w:t>
      </w:r>
      <w:r w:rsidRPr="005D294D">
        <w:rPr>
          <w:lang w:val="en-GB"/>
        </w:rPr>
        <w:t>.</w:t>
      </w:r>
    </w:p>
    <w:p w14:paraId="02EB5459" w14:textId="77777777" w:rsidR="000B7C6B" w:rsidRDefault="00FB3967" w:rsidP="006A474A">
      <w:pPr>
        <w:pStyle w:val="WoVGbody"/>
        <w:rPr>
          <w:lang w:val="en-GB"/>
        </w:rPr>
      </w:pPr>
      <w:r>
        <w:rPr>
          <w:lang w:val="en-GB"/>
        </w:rPr>
        <w:t>An organisations</w:t>
      </w:r>
      <w:r w:rsidRPr="005D294D">
        <w:rPr>
          <w:lang w:val="en-GB"/>
        </w:rPr>
        <w:t xml:space="preserve"> current s</w:t>
      </w:r>
      <w:r>
        <w:rPr>
          <w:lang w:val="en-GB"/>
        </w:rPr>
        <w:t>tate can be compared to</w:t>
      </w:r>
      <w:r w:rsidRPr="005D294D">
        <w:rPr>
          <w:lang w:val="en-GB"/>
        </w:rPr>
        <w:t xml:space="preserve"> similar organisations</w:t>
      </w:r>
      <w:r>
        <w:rPr>
          <w:lang w:val="en-GB"/>
        </w:rPr>
        <w:t xml:space="preserve"> (</w:t>
      </w:r>
      <w:r w:rsidRPr="00CA60AE">
        <w:rPr>
          <w:b/>
          <w:lang w:val="en-GB"/>
        </w:rPr>
        <w:t>comparison benchmark</w:t>
      </w:r>
      <w:r>
        <w:rPr>
          <w:lang w:val="en-GB"/>
        </w:rPr>
        <w:t>). In addition to understanding where an organisation may be situated compared to other like industry i.e. its maturity in a PHS, it also offers opportunity to share knowledge and either provide or seek support.</w:t>
      </w:r>
    </w:p>
    <w:p w14:paraId="190F9813" w14:textId="77777777" w:rsidR="00FB3967" w:rsidRPr="005D294D" w:rsidRDefault="00FB3967" w:rsidP="00D63F1A">
      <w:pPr>
        <w:pStyle w:val="Heading2"/>
        <w:rPr>
          <w:lang w:val="en-GB"/>
        </w:rPr>
      </w:pPr>
      <w:bookmarkStart w:id="9" w:name="_Toc9246795"/>
      <w:r>
        <w:rPr>
          <w:lang w:val="en-GB"/>
        </w:rPr>
        <w:lastRenderedPageBreak/>
        <w:t>Act</w:t>
      </w:r>
      <w:bookmarkEnd w:id="9"/>
    </w:p>
    <w:p w14:paraId="0649DE29" w14:textId="77777777" w:rsidR="00FB3967" w:rsidRDefault="00FB3967" w:rsidP="004A6B98">
      <w:pPr>
        <w:pStyle w:val="WoVGbodynospace"/>
        <w:keepNext/>
        <w:rPr>
          <w:lang w:val="en-GB"/>
        </w:rPr>
      </w:pPr>
      <w:r>
        <w:rPr>
          <w:b/>
          <w:lang w:val="en-GB"/>
        </w:rPr>
        <w:t>A</w:t>
      </w:r>
      <w:r w:rsidRPr="005D294D">
        <w:rPr>
          <w:b/>
          <w:lang w:val="en-GB"/>
        </w:rPr>
        <w:t xml:space="preserve">nalyse </w:t>
      </w:r>
      <w:r>
        <w:rPr>
          <w:b/>
          <w:lang w:val="en-GB"/>
        </w:rPr>
        <w:t xml:space="preserve">collected </w:t>
      </w:r>
      <w:r w:rsidRPr="005D294D">
        <w:rPr>
          <w:b/>
          <w:lang w:val="en-GB"/>
        </w:rPr>
        <w:t xml:space="preserve">data </w:t>
      </w:r>
      <w:r>
        <w:rPr>
          <w:lang w:val="en-GB"/>
        </w:rPr>
        <w:t>to determine whether:</w:t>
      </w:r>
    </w:p>
    <w:p w14:paraId="5ADC796C" w14:textId="77777777" w:rsidR="00FB3967" w:rsidRDefault="00FB3967" w:rsidP="006A474A">
      <w:pPr>
        <w:pStyle w:val="WoVGbullet1"/>
        <w:rPr>
          <w:lang w:val="en-GB"/>
        </w:rPr>
      </w:pPr>
      <w:r w:rsidRPr="005D294D">
        <w:rPr>
          <w:lang w:val="en-GB"/>
        </w:rPr>
        <w:t xml:space="preserve">activities </w:t>
      </w:r>
      <w:r>
        <w:rPr>
          <w:lang w:val="en-GB"/>
        </w:rPr>
        <w:t xml:space="preserve">are being delivered </w:t>
      </w:r>
      <w:r w:rsidRPr="005D294D">
        <w:rPr>
          <w:lang w:val="en-GB"/>
        </w:rPr>
        <w:t xml:space="preserve">in accordance with </w:t>
      </w:r>
      <w:r>
        <w:rPr>
          <w:lang w:val="en-GB"/>
        </w:rPr>
        <w:t>the</w:t>
      </w:r>
      <w:r w:rsidRPr="005D294D">
        <w:rPr>
          <w:lang w:val="en-GB"/>
        </w:rPr>
        <w:t xml:space="preserve"> plan</w:t>
      </w:r>
      <w:r>
        <w:rPr>
          <w:lang w:val="en-GB"/>
        </w:rPr>
        <w:t xml:space="preserve"> and i</w:t>
      </w:r>
      <w:r w:rsidRPr="005D294D">
        <w:rPr>
          <w:lang w:val="en-GB"/>
        </w:rPr>
        <w:t>f not revis</w:t>
      </w:r>
      <w:r>
        <w:rPr>
          <w:lang w:val="en-GB"/>
        </w:rPr>
        <w:t>ing</w:t>
      </w:r>
      <w:r w:rsidRPr="005D294D">
        <w:rPr>
          <w:lang w:val="en-GB"/>
        </w:rPr>
        <w:t xml:space="preserve"> </w:t>
      </w:r>
      <w:r>
        <w:rPr>
          <w:lang w:val="en-GB"/>
        </w:rPr>
        <w:t>the</w:t>
      </w:r>
      <w:r w:rsidRPr="005D294D">
        <w:rPr>
          <w:lang w:val="en-GB"/>
        </w:rPr>
        <w:t xml:space="preserve"> implementation plan</w:t>
      </w:r>
    </w:p>
    <w:p w14:paraId="572B1CB8" w14:textId="77777777" w:rsidR="00FB3967" w:rsidRDefault="00FB3967" w:rsidP="006A474A">
      <w:pPr>
        <w:pStyle w:val="WoVGbullet1"/>
        <w:rPr>
          <w:lang w:val="en-GB"/>
        </w:rPr>
      </w:pPr>
      <w:r>
        <w:rPr>
          <w:lang w:val="en-GB"/>
        </w:rPr>
        <w:t>objectives and targets are being met and if not revising the implementation plan or the objectives and targets</w:t>
      </w:r>
    </w:p>
    <w:p w14:paraId="2BF99BAE" w14:textId="77777777" w:rsidR="00FB3967" w:rsidRDefault="00FB3967" w:rsidP="006A474A">
      <w:pPr>
        <w:pStyle w:val="WoVGbullet1"/>
        <w:rPr>
          <w:lang w:val="en-GB"/>
        </w:rPr>
      </w:pPr>
      <w:r>
        <w:rPr>
          <w:lang w:val="en-GB"/>
        </w:rPr>
        <w:t>OHS interventions (e.g. training) are effective, and if not, taking corrective action</w:t>
      </w:r>
    </w:p>
    <w:p w14:paraId="21D63E13" w14:textId="77777777" w:rsidR="00FB3967" w:rsidRDefault="00FB3967" w:rsidP="006A474A">
      <w:pPr>
        <w:pStyle w:val="WoVGbullet1"/>
        <w:rPr>
          <w:lang w:val="en-GB"/>
        </w:rPr>
      </w:pPr>
      <w:r>
        <w:rPr>
          <w:lang w:val="en-GB"/>
        </w:rPr>
        <w:t>performance is improving as measured against the</w:t>
      </w:r>
      <w:r w:rsidRPr="00CA60AE">
        <w:rPr>
          <w:lang w:val="en-GB"/>
        </w:rPr>
        <w:t xml:space="preserve"> baseline</w:t>
      </w:r>
    </w:p>
    <w:p w14:paraId="33182CE7" w14:textId="77777777" w:rsidR="000B7C6B" w:rsidRDefault="00FB3967" w:rsidP="006A474A">
      <w:pPr>
        <w:pStyle w:val="WoVGbullet1"/>
        <w:rPr>
          <w:lang w:val="en-GB"/>
        </w:rPr>
      </w:pPr>
      <w:r>
        <w:rPr>
          <w:lang w:val="en-GB"/>
        </w:rPr>
        <w:t>support can be offered or sought from similar organisations</w:t>
      </w:r>
    </w:p>
    <w:p w14:paraId="417F7721" w14:textId="77777777" w:rsidR="00D63F1A" w:rsidRPr="00D63F1A" w:rsidRDefault="00D63F1A" w:rsidP="00D63F1A">
      <w:pPr>
        <w:pStyle w:val="WoVGbody"/>
      </w:pPr>
      <w:r w:rsidRPr="00D63F1A">
        <w:br w:type="page"/>
      </w:r>
    </w:p>
    <w:p w14:paraId="520A0554" w14:textId="77777777" w:rsidR="00FB3967" w:rsidRDefault="00FB3967" w:rsidP="00FB3967">
      <w:pPr>
        <w:pStyle w:val="Heading1"/>
      </w:pPr>
      <w:bookmarkStart w:id="10" w:name="_Toc9246796"/>
      <w:r>
        <w:lastRenderedPageBreak/>
        <w:t>Framework</w:t>
      </w:r>
      <w:bookmarkEnd w:id="10"/>
    </w:p>
    <w:p w14:paraId="657B4746" w14:textId="77777777" w:rsidR="00FB3967" w:rsidRPr="00844707" w:rsidRDefault="00FB3967" w:rsidP="00D63F1A">
      <w:pPr>
        <w:pStyle w:val="Heading2"/>
        <w:rPr>
          <w:lang w:val="en-GB"/>
        </w:rPr>
      </w:pPr>
      <w:bookmarkStart w:id="11" w:name="_Toc9246797"/>
      <w:r w:rsidRPr="00844707">
        <w:rPr>
          <w:lang w:val="en-GB"/>
        </w:rPr>
        <w:t>Mental Health and Wellbeing Charter</w:t>
      </w:r>
      <w:bookmarkEnd w:id="11"/>
    </w:p>
    <w:p w14:paraId="456A2784" w14:textId="77777777" w:rsidR="00FB3967" w:rsidRDefault="00FB3967" w:rsidP="006A474A">
      <w:pPr>
        <w:pStyle w:val="WoVGbody"/>
        <w:rPr>
          <w:lang w:val="en-GB"/>
        </w:rPr>
      </w:pPr>
      <w:r>
        <w:rPr>
          <w:lang w:val="en-GB"/>
        </w:rPr>
        <w:t>All Victorian Public Sector Organisations are being asked to align to the Mental Health and Wellbeing Charter. This charter is a commitment to supporting a mentally healthy and safe workplace.</w:t>
      </w:r>
    </w:p>
    <w:p w14:paraId="147AB9B0" w14:textId="77777777" w:rsidR="00FB3967" w:rsidRDefault="00FB3967" w:rsidP="006A474A">
      <w:pPr>
        <w:pStyle w:val="WoVGbody"/>
        <w:rPr>
          <w:lang w:val="en-GB"/>
        </w:rPr>
      </w:pPr>
      <w:r>
        <w:rPr>
          <w:lang w:val="en-GB"/>
        </w:rPr>
        <w:t>The integrated approach to mental health incorporates promoting positive mental health, protecting mental health, and addressing mental injuries and illnesses.</w:t>
      </w:r>
    </w:p>
    <w:p w14:paraId="43325A65" w14:textId="77777777" w:rsidR="00FB3967" w:rsidRDefault="00FB3967" w:rsidP="006A474A">
      <w:pPr>
        <w:pStyle w:val="WoVGbody"/>
        <w:rPr>
          <w:lang w:val="en-GB"/>
        </w:rPr>
      </w:pPr>
      <w:r>
        <w:rPr>
          <w:lang w:val="en-GB"/>
        </w:rPr>
        <w:t>All organisations within the VPS should establish their framework to have relevant policies and procedures that support the charter, as well as ensuring adequate physical and financial resources are in place.</w:t>
      </w:r>
    </w:p>
    <w:p w14:paraId="7DC2BD23" w14:textId="77777777" w:rsidR="00FB3967" w:rsidRDefault="00FB3967" w:rsidP="006A474A">
      <w:pPr>
        <w:pStyle w:val="WoVGbody"/>
        <w:rPr>
          <w:lang w:val="en-GB"/>
        </w:rPr>
      </w:pPr>
      <w:r>
        <w:rPr>
          <w:lang w:val="en-GB"/>
        </w:rPr>
        <w:t>To monitor progress towards achieving a mentally healthy and safe workplace, the VPS has endorsed the ‘mental health and wellbeing minimum data set’.</w:t>
      </w:r>
    </w:p>
    <w:p w14:paraId="32DEEFDC" w14:textId="77777777" w:rsidR="00FB3967" w:rsidRPr="00844707" w:rsidRDefault="00FB3967" w:rsidP="00D63F1A">
      <w:pPr>
        <w:pStyle w:val="Heading2"/>
        <w:rPr>
          <w:lang w:val="en-GB"/>
        </w:rPr>
      </w:pPr>
      <w:bookmarkStart w:id="12" w:name="_Toc9246798"/>
      <w:r>
        <w:rPr>
          <w:lang w:val="en-GB"/>
        </w:rPr>
        <w:t>Leading the Way</w:t>
      </w:r>
      <w:bookmarkEnd w:id="12"/>
    </w:p>
    <w:p w14:paraId="2DA4A669" w14:textId="77777777" w:rsidR="000B7C6B" w:rsidRDefault="00FB3967" w:rsidP="006A474A">
      <w:pPr>
        <w:pStyle w:val="WoVGbodynospace"/>
        <w:rPr>
          <w:lang w:val="en-GB"/>
        </w:rPr>
      </w:pPr>
      <w:r>
        <w:rPr>
          <w:lang w:val="en-GB"/>
        </w:rPr>
        <w:t xml:space="preserve">Victorian Public Sector Organisations are committed to </w:t>
      </w:r>
      <w:r w:rsidRPr="00EA3DF3">
        <w:rPr>
          <w:i/>
          <w:lang w:val="en-GB"/>
        </w:rPr>
        <w:t>Leading the Way</w:t>
      </w:r>
      <w:r>
        <w:rPr>
          <w:lang w:val="en-GB"/>
        </w:rPr>
        <w:t xml:space="preserve"> in workplace occupational health, safety (OHS) management, including for psychological health and safety. This commitment is part of an ongoing effort to enhance the wellbeing of Victoria’s workforce and wider community.</w:t>
      </w:r>
    </w:p>
    <w:p w14:paraId="2090DBAB" w14:textId="77777777" w:rsidR="00FB3967" w:rsidRDefault="00FB3967" w:rsidP="006A474A">
      <w:pPr>
        <w:pStyle w:val="WoVGbodynospace"/>
        <w:rPr>
          <w:lang w:val="en-GB"/>
        </w:rPr>
      </w:pPr>
      <w:r>
        <w:rPr>
          <w:lang w:val="en-GB"/>
        </w:rPr>
        <w:t>Leading the Way is the overarching framework for the monitoring of the minimum data set.</w:t>
      </w:r>
    </w:p>
    <w:p w14:paraId="7047FA92" w14:textId="77777777" w:rsidR="00FB3967" w:rsidRPr="00844707" w:rsidRDefault="00FB3967" w:rsidP="00D63F1A">
      <w:pPr>
        <w:pStyle w:val="Heading2"/>
        <w:rPr>
          <w:lang w:val="en-GB"/>
        </w:rPr>
      </w:pPr>
      <w:bookmarkStart w:id="13" w:name="_Toc9246799"/>
      <w:r>
        <w:rPr>
          <w:lang w:val="en-GB"/>
        </w:rPr>
        <w:t>Education and Training Framework</w:t>
      </w:r>
      <w:bookmarkEnd w:id="13"/>
    </w:p>
    <w:p w14:paraId="1464AFDF" w14:textId="77777777" w:rsidR="00FB3967" w:rsidRDefault="00FB3967" w:rsidP="006A474A">
      <w:pPr>
        <w:pStyle w:val="WoVGbodynospace"/>
        <w:rPr>
          <w:lang w:val="en-GB"/>
        </w:rPr>
      </w:pPr>
      <w:r>
        <w:rPr>
          <w:lang w:val="en-GB"/>
        </w:rPr>
        <w:t>Victorian Public Sector Organisations are also committed to the development of the education and training framework that will establish training and learning opportunities for staff, supervisors and senior leaders across all organisations to improve education and awareness of mental health and mental illness.</w:t>
      </w:r>
    </w:p>
    <w:p w14:paraId="75BBC929" w14:textId="77777777" w:rsidR="00FB3967" w:rsidRPr="00844707" w:rsidRDefault="00FB3967" w:rsidP="00D63F1A">
      <w:pPr>
        <w:pStyle w:val="Heading2"/>
        <w:rPr>
          <w:lang w:val="en-GB"/>
        </w:rPr>
      </w:pPr>
      <w:bookmarkStart w:id="14" w:name="_Toc9246800"/>
      <w:r w:rsidRPr="00844707">
        <w:rPr>
          <w:lang w:val="en-GB"/>
        </w:rPr>
        <w:t>Minimum data set</w:t>
      </w:r>
      <w:bookmarkEnd w:id="14"/>
    </w:p>
    <w:p w14:paraId="40213137" w14:textId="77777777" w:rsidR="00FB3967" w:rsidRDefault="00FB3967" w:rsidP="006A474A">
      <w:pPr>
        <w:pStyle w:val="WoVGbody"/>
        <w:rPr>
          <w:lang w:val="en-GB"/>
        </w:rPr>
      </w:pPr>
      <w:r w:rsidRPr="005D294D">
        <w:rPr>
          <w:lang w:val="en-GB"/>
        </w:rPr>
        <w:t xml:space="preserve">The </w:t>
      </w:r>
      <w:r w:rsidRPr="00CA60AE">
        <w:rPr>
          <w:b/>
          <w:lang w:val="en-GB"/>
        </w:rPr>
        <w:t>minimum data set</w:t>
      </w:r>
      <w:r w:rsidRPr="005D294D">
        <w:rPr>
          <w:lang w:val="en-GB"/>
        </w:rPr>
        <w:t xml:space="preserve"> </w:t>
      </w:r>
      <w:r>
        <w:rPr>
          <w:lang w:val="en-GB"/>
        </w:rPr>
        <w:t xml:space="preserve">may be used to establish a </w:t>
      </w:r>
      <w:r w:rsidRPr="00CA60AE">
        <w:rPr>
          <w:b/>
          <w:lang w:val="en-GB"/>
        </w:rPr>
        <w:t>baseline</w:t>
      </w:r>
      <w:r>
        <w:rPr>
          <w:lang w:val="en-GB"/>
        </w:rPr>
        <w:t xml:space="preserve">, measure improvement against a </w:t>
      </w:r>
      <w:r w:rsidRPr="00CA60AE">
        <w:rPr>
          <w:lang w:val="en-GB"/>
        </w:rPr>
        <w:t>baseline</w:t>
      </w:r>
      <w:r>
        <w:rPr>
          <w:lang w:val="en-GB"/>
        </w:rPr>
        <w:t xml:space="preserve"> (</w:t>
      </w:r>
      <w:r w:rsidRPr="00CA60AE">
        <w:rPr>
          <w:b/>
          <w:lang w:val="en-GB"/>
        </w:rPr>
        <w:t>baseline benchmark</w:t>
      </w:r>
      <w:r>
        <w:rPr>
          <w:lang w:val="en-GB"/>
        </w:rPr>
        <w:t xml:space="preserve">) and to </w:t>
      </w:r>
      <w:r w:rsidRPr="00CA60AE">
        <w:rPr>
          <w:lang w:val="en-GB"/>
        </w:rPr>
        <w:t xml:space="preserve">benchmark </w:t>
      </w:r>
      <w:r>
        <w:rPr>
          <w:lang w:val="en-GB"/>
        </w:rPr>
        <w:t>performance against similar organisations (</w:t>
      </w:r>
      <w:r w:rsidRPr="00CA60AE">
        <w:rPr>
          <w:b/>
          <w:lang w:val="en-GB"/>
        </w:rPr>
        <w:t>comparison benchmark</w:t>
      </w:r>
      <w:r>
        <w:rPr>
          <w:lang w:val="en-GB"/>
        </w:rPr>
        <w:t>).</w:t>
      </w:r>
    </w:p>
    <w:p w14:paraId="5469E69E" w14:textId="77777777" w:rsidR="00FB3967" w:rsidRDefault="00FB3967" w:rsidP="006A474A">
      <w:pPr>
        <w:pStyle w:val="WoVGbody"/>
        <w:rPr>
          <w:lang w:val="en-GB"/>
        </w:rPr>
      </w:pPr>
      <w:r>
        <w:rPr>
          <w:lang w:val="en-GB"/>
        </w:rPr>
        <w:t xml:space="preserve">Benchmarking performance against other similar organisations in areas not defined in the </w:t>
      </w:r>
      <w:r w:rsidRPr="00CA60AE">
        <w:rPr>
          <w:b/>
          <w:lang w:val="en-GB"/>
        </w:rPr>
        <w:t>minimum data set</w:t>
      </w:r>
      <w:r>
        <w:rPr>
          <w:lang w:val="en-GB"/>
        </w:rPr>
        <w:t xml:space="preserve"> may provide additional value, however comparisons are most beneficial when performance indicators have a common definition and data is collected, collated and reported using a common approach.</w:t>
      </w:r>
    </w:p>
    <w:p w14:paraId="7DC11ADB" w14:textId="77777777" w:rsidR="000B7C6B" w:rsidRDefault="00FB3967" w:rsidP="006A474A">
      <w:pPr>
        <w:pStyle w:val="WoVGbody"/>
        <w:rPr>
          <w:lang w:val="en-GB"/>
        </w:rPr>
      </w:pPr>
      <w:r>
        <w:rPr>
          <w:lang w:val="en-GB"/>
        </w:rPr>
        <w:t>A management review should consider all the data and information collected in order to identify opportunities for improvement and review and update objectives and targets, actions and implementation strategy (including relevant policies and procedures).</w:t>
      </w:r>
    </w:p>
    <w:p w14:paraId="74302D21" w14:textId="77777777" w:rsidR="00D63F1A" w:rsidRPr="00D63F1A" w:rsidRDefault="00D63F1A" w:rsidP="00D63F1A">
      <w:pPr>
        <w:pStyle w:val="WoVGbody"/>
      </w:pPr>
      <w:r w:rsidRPr="00D63F1A">
        <w:br w:type="page"/>
      </w:r>
    </w:p>
    <w:p w14:paraId="774048A4" w14:textId="77777777" w:rsidR="00FB3967" w:rsidRDefault="00FB3967" w:rsidP="00FB3967">
      <w:pPr>
        <w:pStyle w:val="Heading1"/>
      </w:pPr>
      <w:bookmarkStart w:id="15" w:name="_Toc9246801"/>
      <w:r>
        <w:lastRenderedPageBreak/>
        <w:t>Performance Indicators</w:t>
      </w:r>
      <w:bookmarkEnd w:id="15"/>
    </w:p>
    <w:p w14:paraId="782FACF1" w14:textId="77777777" w:rsidR="00FB3967" w:rsidRPr="00E84F10" w:rsidRDefault="00FB3967" w:rsidP="006A474A">
      <w:pPr>
        <w:pStyle w:val="WoVGbodynospace"/>
        <w:rPr>
          <w:lang w:val="en-GB"/>
        </w:rPr>
      </w:pPr>
      <w:r w:rsidRPr="00E84F10">
        <w:rPr>
          <w:lang w:val="en-GB"/>
        </w:rPr>
        <w:t>Establishing performance indicators enables a systematic approach to review OHS performance and is useful when an organisation is seeking to:</w:t>
      </w:r>
    </w:p>
    <w:p w14:paraId="580A9302" w14:textId="77777777" w:rsidR="00FB3967" w:rsidRPr="00E84F10" w:rsidRDefault="00FB3967" w:rsidP="006A474A">
      <w:pPr>
        <w:pStyle w:val="WoVGbullet1"/>
        <w:rPr>
          <w:lang w:val="en-GB"/>
        </w:rPr>
      </w:pPr>
      <w:r w:rsidRPr="00E84F10">
        <w:rPr>
          <w:lang w:val="en-GB"/>
        </w:rPr>
        <w:t>establish and measure improvement against its baseline</w:t>
      </w:r>
    </w:p>
    <w:p w14:paraId="28B69E80" w14:textId="77777777" w:rsidR="00FB3967" w:rsidRPr="00E84F10" w:rsidRDefault="00FB3967" w:rsidP="006A474A">
      <w:pPr>
        <w:pStyle w:val="WoVGbullet1"/>
        <w:rPr>
          <w:lang w:val="en-GB"/>
        </w:rPr>
      </w:pPr>
      <w:r w:rsidRPr="00E84F10">
        <w:rPr>
          <w:lang w:val="en-GB"/>
        </w:rPr>
        <w:t>measure progress in meeting its objectives and targets</w:t>
      </w:r>
    </w:p>
    <w:p w14:paraId="00EB6820" w14:textId="77777777" w:rsidR="00FB3967" w:rsidRPr="00E84F10" w:rsidRDefault="00FB3967" w:rsidP="006A474A">
      <w:pPr>
        <w:pStyle w:val="WoVGbullet1"/>
        <w:rPr>
          <w:lang w:val="en-GB"/>
        </w:rPr>
      </w:pPr>
      <w:r w:rsidRPr="00E84F10">
        <w:rPr>
          <w:lang w:val="en-GB"/>
        </w:rPr>
        <w:t xml:space="preserve">allow for </w:t>
      </w:r>
      <w:proofErr w:type="gramStart"/>
      <w:r w:rsidRPr="00E84F10">
        <w:rPr>
          <w:lang w:val="en-GB"/>
        </w:rPr>
        <w:t>evidence based</w:t>
      </w:r>
      <w:proofErr w:type="gramEnd"/>
      <w:r w:rsidRPr="00E84F10">
        <w:rPr>
          <w:lang w:val="en-GB"/>
        </w:rPr>
        <w:t xml:space="preserve"> planning for continual improvement, and</w:t>
      </w:r>
    </w:p>
    <w:p w14:paraId="62063C02" w14:textId="77777777" w:rsidR="00FB3967" w:rsidRPr="00E84F10" w:rsidRDefault="00FB3967" w:rsidP="006A474A">
      <w:pPr>
        <w:pStyle w:val="WoVGbullet1"/>
        <w:rPr>
          <w:lang w:val="en-GB"/>
        </w:rPr>
      </w:pPr>
      <w:r w:rsidRPr="00E84F10">
        <w:rPr>
          <w:lang w:val="en-GB"/>
        </w:rPr>
        <w:t xml:space="preserve">compare performance against other organisations and learn from </w:t>
      </w:r>
      <w:r>
        <w:rPr>
          <w:lang w:val="en-GB"/>
        </w:rPr>
        <w:t xml:space="preserve">the </w:t>
      </w:r>
      <w:r w:rsidRPr="00E84F10">
        <w:rPr>
          <w:lang w:val="en-GB"/>
        </w:rPr>
        <w:t>experience of others.</w:t>
      </w:r>
    </w:p>
    <w:p w14:paraId="24391543" w14:textId="77777777" w:rsidR="00FB3967" w:rsidRPr="00E84F10" w:rsidRDefault="00FB3967" w:rsidP="00D63F1A">
      <w:pPr>
        <w:pStyle w:val="Heading2"/>
        <w:rPr>
          <w:lang w:val="en-GB"/>
        </w:rPr>
      </w:pPr>
      <w:bookmarkStart w:id="16" w:name="_Toc9246802"/>
      <w:r w:rsidRPr="00E84F10">
        <w:rPr>
          <w:lang w:val="en-GB"/>
        </w:rPr>
        <w:t>Lead indicators</w:t>
      </w:r>
      <w:bookmarkEnd w:id="16"/>
    </w:p>
    <w:p w14:paraId="3CF165EF" w14:textId="77777777" w:rsidR="00FB3967" w:rsidRDefault="00FB3967" w:rsidP="006A474A">
      <w:pPr>
        <w:pStyle w:val="WoVGbody"/>
        <w:rPr>
          <w:lang w:val="en-GB"/>
        </w:rPr>
      </w:pPr>
      <w:r w:rsidRPr="00E84F10">
        <w:rPr>
          <w:lang w:val="en-GB"/>
        </w:rPr>
        <w:t>Lead indicators (sometimes referred to as ‘</w:t>
      </w:r>
      <w:r w:rsidRPr="00E84F10">
        <w:rPr>
          <w:b/>
          <w:lang w:val="en-GB"/>
        </w:rPr>
        <w:t>process indicators</w:t>
      </w:r>
      <w:r w:rsidRPr="00E84F10">
        <w:rPr>
          <w:lang w:val="en-GB"/>
        </w:rPr>
        <w:t>’) provide a means for organisations to measure progress towards achievin</w:t>
      </w:r>
      <w:r>
        <w:rPr>
          <w:lang w:val="en-GB"/>
        </w:rPr>
        <w:t xml:space="preserve">g their objectives and targets. </w:t>
      </w:r>
      <w:r w:rsidRPr="00E84F10">
        <w:rPr>
          <w:lang w:val="en-GB"/>
        </w:rPr>
        <w:t>They provide a measure of activities, interventions or initiatives designed to drive improvement and positively impact performance. Lead indicators are therefore predictors of future performance.</w:t>
      </w:r>
    </w:p>
    <w:tbl>
      <w:tblPr>
        <w:tblStyle w:val="TableGrid"/>
        <w:tblW w:w="9027" w:type="dxa"/>
        <w:tblLook w:val="04A0" w:firstRow="1" w:lastRow="0" w:firstColumn="1" w:lastColumn="0" w:noHBand="0" w:noVBand="1"/>
      </w:tblPr>
      <w:tblGrid>
        <w:gridCol w:w="9027"/>
      </w:tblGrid>
      <w:tr w:rsidR="00D63F1A" w14:paraId="39FA04A9" w14:textId="77777777" w:rsidTr="00840C7C">
        <w:tc>
          <w:tcPr>
            <w:tcW w:w="9010" w:type="dxa"/>
          </w:tcPr>
          <w:p w14:paraId="13E05D51" w14:textId="77777777" w:rsidR="00D63F1A" w:rsidRPr="00840C7C" w:rsidRDefault="00D63F1A" w:rsidP="00840C7C">
            <w:pPr>
              <w:pStyle w:val="WoVGbody"/>
              <w:spacing w:before="120"/>
              <w:rPr>
                <w:b/>
                <w:lang w:val="en-GB"/>
              </w:rPr>
            </w:pPr>
            <w:r w:rsidRPr="00840C7C">
              <w:rPr>
                <w:b/>
                <w:lang w:val="en-GB"/>
              </w:rPr>
              <w:t>Example:</w:t>
            </w:r>
          </w:p>
          <w:p w14:paraId="21689796" w14:textId="77777777" w:rsidR="00D63F1A" w:rsidRPr="0092171E" w:rsidRDefault="00D63F1A" w:rsidP="00840C7C">
            <w:pPr>
              <w:pStyle w:val="WoVGbody"/>
              <w:rPr>
                <w:lang w:val="en-GB"/>
              </w:rPr>
            </w:pPr>
            <w:r>
              <w:rPr>
                <w:lang w:val="en-GB"/>
              </w:rPr>
              <w:t>Lead</w:t>
            </w:r>
            <w:r w:rsidRPr="0092171E">
              <w:rPr>
                <w:lang w:val="en-GB"/>
              </w:rPr>
              <w:t xml:space="preserve"> indicators may include:</w:t>
            </w:r>
          </w:p>
          <w:p w14:paraId="448C20F2" w14:textId="77777777" w:rsidR="00D63F1A" w:rsidRPr="00B1482C" w:rsidRDefault="00D63F1A" w:rsidP="00D63F1A">
            <w:pPr>
              <w:pStyle w:val="WoVGbullet1"/>
              <w:rPr>
                <w:lang w:val="en-GB"/>
              </w:rPr>
            </w:pPr>
            <w:r w:rsidRPr="00B1482C">
              <w:rPr>
                <w:lang w:val="en-GB"/>
              </w:rPr>
              <w:t>% of audits completed</w:t>
            </w:r>
          </w:p>
          <w:p w14:paraId="4ED8BA61" w14:textId="77777777" w:rsidR="00D63F1A" w:rsidRPr="00B1482C" w:rsidRDefault="00D63F1A" w:rsidP="00D63F1A">
            <w:pPr>
              <w:pStyle w:val="WoVGbullet1"/>
              <w:rPr>
                <w:lang w:val="en-GB"/>
              </w:rPr>
            </w:pPr>
            <w:r w:rsidRPr="00B1482C">
              <w:rPr>
                <w:lang w:val="en-GB"/>
              </w:rPr>
              <w:t>% remedial or corrective actions completed</w:t>
            </w:r>
          </w:p>
          <w:p w14:paraId="6B730C9A" w14:textId="77777777" w:rsidR="00D63F1A" w:rsidRPr="00B1482C" w:rsidRDefault="00D63F1A" w:rsidP="00D63F1A">
            <w:pPr>
              <w:pStyle w:val="WoVGbullet1"/>
              <w:rPr>
                <w:lang w:val="en-GB"/>
              </w:rPr>
            </w:pPr>
            <w:r w:rsidRPr="00B1482C">
              <w:rPr>
                <w:lang w:val="en-GB"/>
              </w:rPr>
              <w:t>staff participation in wellbeing programs</w:t>
            </w:r>
          </w:p>
          <w:p w14:paraId="37B76954" w14:textId="77777777" w:rsidR="00D63F1A" w:rsidRPr="00B1482C" w:rsidRDefault="00D63F1A" w:rsidP="00D63F1A">
            <w:pPr>
              <w:pStyle w:val="WoVGbullet1"/>
              <w:rPr>
                <w:lang w:val="en-GB"/>
              </w:rPr>
            </w:pPr>
            <w:r w:rsidRPr="00B1482C">
              <w:rPr>
                <w:lang w:val="en-GB"/>
              </w:rPr>
              <w:t>senior management participation in training</w:t>
            </w:r>
          </w:p>
          <w:p w14:paraId="12509F40" w14:textId="77777777" w:rsidR="00D63F1A" w:rsidRPr="00D63F1A" w:rsidRDefault="00D63F1A" w:rsidP="00840C7C">
            <w:pPr>
              <w:pStyle w:val="WoVGbullet1"/>
              <w:spacing w:after="120"/>
              <w:rPr>
                <w:lang w:val="en-GB"/>
              </w:rPr>
            </w:pPr>
            <w:r w:rsidRPr="00B1482C">
              <w:rPr>
                <w:lang w:val="en-GB"/>
              </w:rPr>
              <w:t>number of psychological health and safety communication initiatives</w:t>
            </w:r>
          </w:p>
        </w:tc>
      </w:tr>
    </w:tbl>
    <w:p w14:paraId="479199E4" w14:textId="77777777" w:rsidR="00FB3967" w:rsidRPr="00E84F10" w:rsidRDefault="00FB3967" w:rsidP="00D63F1A">
      <w:pPr>
        <w:pStyle w:val="Heading2"/>
        <w:rPr>
          <w:lang w:val="en-GB"/>
        </w:rPr>
      </w:pPr>
      <w:bookmarkStart w:id="17" w:name="_Toc9246803"/>
      <w:r w:rsidRPr="00E84F10">
        <w:rPr>
          <w:lang w:val="en-GB"/>
        </w:rPr>
        <w:t>Lag indicators</w:t>
      </w:r>
      <w:bookmarkEnd w:id="17"/>
    </w:p>
    <w:p w14:paraId="37C99925" w14:textId="77777777" w:rsidR="000B7C6B" w:rsidRDefault="00FB3967" w:rsidP="006A474A">
      <w:pPr>
        <w:pStyle w:val="WoVGbody"/>
        <w:rPr>
          <w:lang w:val="en-GB"/>
        </w:rPr>
      </w:pPr>
      <w:r w:rsidRPr="00E84F10">
        <w:rPr>
          <w:lang w:val="en-GB"/>
        </w:rPr>
        <w:t>Lag indicators (sometimes referred to as ‘</w:t>
      </w:r>
      <w:r w:rsidRPr="00E84F10">
        <w:rPr>
          <w:b/>
          <w:lang w:val="en-GB"/>
        </w:rPr>
        <w:t>outcome indicators</w:t>
      </w:r>
      <w:r w:rsidRPr="00E84F10">
        <w:rPr>
          <w:lang w:val="en-GB"/>
        </w:rPr>
        <w:t>’) reflect sys</w:t>
      </w:r>
      <w:r>
        <w:rPr>
          <w:lang w:val="en-GB"/>
        </w:rPr>
        <w:t xml:space="preserve">tem or operational performance. </w:t>
      </w:r>
      <w:proofErr w:type="gramStart"/>
      <w:r w:rsidRPr="00E84F10">
        <w:rPr>
          <w:lang w:val="en-GB"/>
        </w:rPr>
        <w:t>However</w:t>
      </w:r>
      <w:proofErr w:type="gramEnd"/>
      <w:r w:rsidRPr="00E84F10">
        <w:rPr>
          <w:lang w:val="en-GB"/>
        </w:rPr>
        <w:t xml:space="preserve"> they generally r</w:t>
      </w:r>
      <w:r>
        <w:rPr>
          <w:lang w:val="en-GB"/>
        </w:rPr>
        <w:t xml:space="preserve">eflect results of past actions. </w:t>
      </w:r>
      <w:r w:rsidRPr="00E84F10">
        <w:rPr>
          <w:lang w:val="en-GB"/>
        </w:rPr>
        <w:t>This is because there is often a delay period between implementation of an improvement initiative and achieving measurable changes in outcome results (frequency and severity of injuries/claims).</w:t>
      </w:r>
    </w:p>
    <w:p w14:paraId="4C04E7B3" w14:textId="77777777" w:rsidR="000B7C6B" w:rsidRDefault="00FB3967" w:rsidP="006A474A">
      <w:pPr>
        <w:pStyle w:val="WoVGbody"/>
        <w:rPr>
          <w:lang w:val="en-GB"/>
        </w:rPr>
      </w:pPr>
      <w:r w:rsidRPr="00E84F10">
        <w:rPr>
          <w:lang w:val="en-GB"/>
        </w:rPr>
        <w:t>Outcome performance results are generally the product of a range of interventions rather than being directly attributable to a single initiative. Lag indicators often measure failure in performance (e.g. number of injuries).</w:t>
      </w:r>
    </w:p>
    <w:p w14:paraId="73398DE6" w14:textId="77777777" w:rsidR="006A474A" w:rsidRDefault="00FB3967" w:rsidP="006A474A">
      <w:pPr>
        <w:pStyle w:val="WoVGbody"/>
        <w:rPr>
          <w:lang w:val="en-GB"/>
        </w:rPr>
      </w:pPr>
      <w:r w:rsidRPr="00E84F10">
        <w:rPr>
          <w:lang w:val="en-GB"/>
        </w:rPr>
        <w:t>Lag indicators may hide potential risks, for example, a low number of injuries is not necessarily indicative that risk controls have been effectively implemented. Similarly, rare but catastrophic risks are often not identified from lag data alone.</w:t>
      </w:r>
    </w:p>
    <w:tbl>
      <w:tblPr>
        <w:tblStyle w:val="TableGrid"/>
        <w:tblW w:w="9027" w:type="dxa"/>
        <w:tblLook w:val="04A0" w:firstRow="1" w:lastRow="0" w:firstColumn="1" w:lastColumn="0" w:noHBand="0" w:noVBand="1"/>
      </w:tblPr>
      <w:tblGrid>
        <w:gridCol w:w="9027"/>
      </w:tblGrid>
      <w:tr w:rsidR="00840C7C" w14:paraId="77E0DAC5" w14:textId="77777777" w:rsidTr="00840C7C">
        <w:tc>
          <w:tcPr>
            <w:tcW w:w="9010" w:type="dxa"/>
          </w:tcPr>
          <w:p w14:paraId="0205A286" w14:textId="77777777" w:rsidR="00840C7C" w:rsidRPr="00840C7C" w:rsidRDefault="00840C7C" w:rsidP="00840C7C">
            <w:pPr>
              <w:pStyle w:val="WoVGbody"/>
              <w:spacing w:before="120"/>
              <w:rPr>
                <w:b/>
                <w:lang w:val="en-GB"/>
              </w:rPr>
            </w:pPr>
            <w:r w:rsidRPr="00840C7C">
              <w:rPr>
                <w:b/>
                <w:lang w:val="en-GB"/>
              </w:rPr>
              <w:t>Example:</w:t>
            </w:r>
          </w:p>
          <w:p w14:paraId="2D38ACCC" w14:textId="77777777" w:rsidR="00840C7C" w:rsidRPr="0092171E" w:rsidRDefault="00840C7C" w:rsidP="00840C7C">
            <w:pPr>
              <w:pStyle w:val="WoVGbody"/>
              <w:rPr>
                <w:lang w:val="en-GB"/>
              </w:rPr>
            </w:pPr>
            <w:r>
              <w:rPr>
                <w:lang w:val="en-GB"/>
              </w:rPr>
              <w:t>Lag</w:t>
            </w:r>
            <w:r w:rsidRPr="0092171E">
              <w:rPr>
                <w:lang w:val="en-GB"/>
              </w:rPr>
              <w:t xml:space="preserve"> indicators may include:</w:t>
            </w:r>
          </w:p>
          <w:p w14:paraId="7249D7D7" w14:textId="77777777" w:rsidR="00840C7C" w:rsidRPr="0092171E" w:rsidRDefault="00840C7C" w:rsidP="00840C7C">
            <w:pPr>
              <w:pStyle w:val="WoVGbullet1"/>
              <w:rPr>
                <w:lang w:val="en-GB"/>
              </w:rPr>
            </w:pPr>
            <w:r w:rsidRPr="0092171E">
              <w:rPr>
                <w:lang w:val="en-GB"/>
              </w:rPr>
              <w:t>number of critical events (incidents)</w:t>
            </w:r>
          </w:p>
          <w:p w14:paraId="15EA39C3" w14:textId="77777777" w:rsidR="00840C7C" w:rsidRPr="0092171E" w:rsidRDefault="00840C7C" w:rsidP="00840C7C">
            <w:pPr>
              <w:pStyle w:val="WoVGbullet1"/>
              <w:rPr>
                <w:lang w:val="en-GB"/>
              </w:rPr>
            </w:pPr>
            <w:r w:rsidRPr="0092171E">
              <w:rPr>
                <w:lang w:val="en-GB"/>
              </w:rPr>
              <w:t>claim frequency</w:t>
            </w:r>
          </w:p>
          <w:p w14:paraId="55B69B9F" w14:textId="77777777" w:rsidR="00840C7C" w:rsidRPr="0092171E" w:rsidRDefault="00840C7C" w:rsidP="00840C7C">
            <w:pPr>
              <w:pStyle w:val="WoVGbullet1"/>
              <w:rPr>
                <w:lang w:val="en-GB"/>
              </w:rPr>
            </w:pPr>
            <w:r w:rsidRPr="0092171E">
              <w:rPr>
                <w:lang w:val="en-GB"/>
              </w:rPr>
              <w:t>claim severity/cost</w:t>
            </w:r>
          </w:p>
          <w:p w14:paraId="597CFBED" w14:textId="77777777" w:rsidR="00840C7C" w:rsidRPr="0092171E" w:rsidRDefault="00840C7C" w:rsidP="00840C7C">
            <w:pPr>
              <w:pStyle w:val="WoVGbullet1"/>
              <w:rPr>
                <w:lang w:val="en-GB"/>
              </w:rPr>
            </w:pPr>
            <w:r w:rsidRPr="0092171E">
              <w:rPr>
                <w:lang w:val="en-GB"/>
              </w:rPr>
              <w:t>absenteeism</w:t>
            </w:r>
          </w:p>
          <w:p w14:paraId="2AD992C8" w14:textId="77777777" w:rsidR="00840C7C" w:rsidRPr="00840C7C" w:rsidRDefault="00840C7C" w:rsidP="00840C7C">
            <w:pPr>
              <w:pStyle w:val="WoVGbullet1"/>
              <w:spacing w:after="120"/>
              <w:rPr>
                <w:lang w:val="en-GB"/>
              </w:rPr>
            </w:pPr>
            <w:r w:rsidRPr="0092171E">
              <w:rPr>
                <w:lang w:val="en-GB"/>
              </w:rPr>
              <w:t>staff turnover</w:t>
            </w:r>
          </w:p>
        </w:tc>
      </w:tr>
    </w:tbl>
    <w:p w14:paraId="0835A8C9" w14:textId="77777777" w:rsidR="00FB3967" w:rsidRPr="00E84F10" w:rsidRDefault="00FB3967" w:rsidP="00840C7C">
      <w:pPr>
        <w:pStyle w:val="WoVGbodyaftertablefigure"/>
        <w:keepNext/>
        <w:rPr>
          <w:lang w:val="en-GB"/>
        </w:rPr>
      </w:pPr>
      <w:r w:rsidRPr="00E84F10">
        <w:rPr>
          <w:lang w:val="en-GB"/>
        </w:rPr>
        <w:lastRenderedPageBreak/>
        <w:t xml:space="preserve">There are </w:t>
      </w:r>
      <w:proofErr w:type="gramStart"/>
      <w:r w:rsidRPr="00E84F10">
        <w:rPr>
          <w:lang w:val="en-GB"/>
        </w:rPr>
        <w:t>a number of</w:t>
      </w:r>
      <w:proofErr w:type="gramEnd"/>
      <w:r w:rsidRPr="00E84F10">
        <w:rPr>
          <w:lang w:val="en-GB"/>
        </w:rPr>
        <w:t xml:space="preserve"> advantages in measuring lag indicators, including that they:</w:t>
      </w:r>
    </w:p>
    <w:p w14:paraId="0D98EC2F" w14:textId="77777777" w:rsidR="00FB3967" w:rsidRPr="00E84F10" w:rsidRDefault="00FB3967" w:rsidP="006A474A">
      <w:pPr>
        <w:pStyle w:val="WoVGbullet1"/>
        <w:rPr>
          <w:lang w:val="en-GB"/>
        </w:rPr>
      </w:pPr>
      <w:r w:rsidRPr="00E84F10">
        <w:rPr>
          <w:lang w:val="en-GB"/>
        </w:rPr>
        <w:t>are relatively easy to collect</w:t>
      </w:r>
    </w:p>
    <w:p w14:paraId="3EA96D4A" w14:textId="77777777" w:rsidR="00FB3967" w:rsidRPr="00E84F10" w:rsidRDefault="00FB3967" w:rsidP="006A474A">
      <w:pPr>
        <w:pStyle w:val="WoVGbullet1"/>
        <w:rPr>
          <w:lang w:val="en-GB"/>
        </w:rPr>
      </w:pPr>
      <w:r w:rsidRPr="00E84F10">
        <w:rPr>
          <w:lang w:val="en-GB"/>
        </w:rPr>
        <w:t>are generally well understood, and</w:t>
      </w:r>
    </w:p>
    <w:p w14:paraId="04D27BCA" w14:textId="77777777" w:rsidR="00FB3967" w:rsidRPr="00E84F10" w:rsidRDefault="00FB3967" w:rsidP="006A474A">
      <w:pPr>
        <w:pStyle w:val="WoVGbullet1"/>
        <w:rPr>
          <w:lang w:val="en-GB"/>
        </w:rPr>
      </w:pPr>
      <w:r w:rsidRPr="00E84F10">
        <w:rPr>
          <w:lang w:val="en-GB"/>
        </w:rPr>
        <w:t>may be used for benchmarking or comparative analysis when a common definition and collection process is adopted.</w:t>
      </w:r>
      <w:bookmarkStart w:id="18" w:name="_GoBack"/>
      <w:bookmarkEnd w:id="18"/>
    </w:p>
    <w:p w14:paraId="19E3A7F0" w14:textId="77777777" w:rsidR="00FB3967" w:rsidRPr="009A07AC" w:rsidRDefault="00FB3967" w:rsidP="00FB3967">
      <w:pPr>
        <w:rPr>
          <w:rFonts w:ascii="Arial" w:hAnsi="Arial"/>
          <w:caps/>
          <w:color w:val="000000" w:themeColor="text1"/>
          <w:sz w:val="28"/>
          <w:szCs w:val="28"/>
        </w:rPr>
      </w:pPr>
      <w:r w:rsidRPr="009A07AC">
        <w:rPr>
          <w:rFonts w:ascii="Arial" w:hAnsi="Arial"/>
        </w:rPr>
        <w:br w:type="page"/>
      </w:r>
    </w:p>
    <w:p w14:paraId="4DAE5477" w14:textId="77777777" w:rsidR="00FB3967" w:rsidRDefault="00FB3967" w:rsidP="006A474A">
      <w:pPr>
        <w:pStyle w:val="Heading1"/>
        <w:rPr>
          <w:rFonts w:eastAsiaTheme="majorEastAsia"/>
          <w:caps/>
        </w:rPr>
      </w:pPr>
      <w:bookmarkStart w:id="19" w:name="_Toc9246804"/>
      <w:r w:rsidRPr="00793977">
        <w:rPr>
          <w:rFonts w:eastAsiaTheme="majorEastAsia"/>
        </w:rPr>
        <w:lastRenderedPageBreak/>
        <w:t>Defined minimum data set</w:t>
      </w:r>
      <w:bookmarkEnd w:id="19"/>
    </w:p>
    <w:p w14:paraId="33EB2E80" w14:textId="77777777" w:rsidR="00FB3967" w:rsidRPr="00114D61" w:rsidRDefault="00FB3967" w:rsidP="000B7C6B">
      <w:pPr>
        <w:pStyle w:val="Heading2"/>
        <w:rPr>
          <w:lang w:val="en-GB"/>
        </w:rPr>
      </w:pPr>
      <w:bookmarkStart w:id="20" w:name="_Toc9246805"/>
      <w:r>
        <w:rPr>
          <w:lang w:val="en-GB"/>
        </w:rPr>
        <w:t>Process reporting for the minimum data set</w:t>
      </w:r>
      <w:bookmarkEnd w:id="20"/>
    </w:p>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3320"/>
        <w:gridCol w:w="5707"/>
      </w:tblGrid>
      <w:tr w:rsidR="00FB3967" w:rsidRPr="00386C25" w14:paraId="40522E95" w14:textId="77777777" w:rsidTr="007D247A">
        <w:trPr>
          <w:tblHeader/>
        </w:trPr>
        <w:tc>
          <w:tcPr>
            <w:tcW w:w="3539" w:type="dxa"/>
            <w:tcBorders>
              <w:top w:val="single" w:sz="4" w:space="0" w:color="auto"/>
              <w:left w:val="single" w:sz="4" w:space="0" w:color="auto"/>
              <w:bottom w:val="single" w:sz="4" w:space="0" w:color="auto"/>
            </w:tcBorders>
            <w:shd w:val="clear" w:color="auto" w:fill="000000" w:themeFill="text1"/>
          </w:tcPr>
          <w:p w14:paraId="6063B319" w14:textId="77777777" w:rsidR="00FB3967" w:rsidRPr="00386C25" w:rsidRDefault="00FB3967" w:rsidP="006A474A">
            <w:pPr>
              <w:pStyle w:val="Heading4"/>
              <w:outlineLvl w:val="3"/>
              <w:rPr>
                <w:lang w:val="en-GB"/>
              </w:rPr>
            </w:pPr>
            <w:r>
              <w:rPr>
                <w:lang w:val="en-GB"/>
              </w:rPr>
              <w:t>Base Data</w:t>
            </w:r>
          </w:p>
        </w:tc>
        <w:tc>
          <w:tcPr>
            <w:tcW w:w="6095" w:type="dxa"/>
            <w:tcBorders>
              <w:top w:val="single" w:sz="4" w:space="0" w:color="auto"/>
              <w:bottom w:val="single" w:sz="4" w:space="0" w:color="auto"/>
              <w:right w:val="single" w:sz="4" w:space="0" w:color="auto"/>
            </w:tcBorders>
            <w:shd w:val="clear" w:color="auto" w:fill="000000" w:themeFill="text1"/>
          </w:tcPr>
          <w:p w14:paraId="6BDAB4AD" w14:textId="77777777" w:rsidR="00FB3967" w:rsidRPr="00386C25" w:rsidRDefault="00FB3967" w:rsidP="006A474A">
            <w:pPr>
              <w:pStyle w:val="Heading4"/>
              <w:outlineLvl w:val="3"/>
              <w:rPr>
                <w:lang w:val="en-GB"/>
              </w:rPr>
            </w:pPr>
            <w:r w:rsidRPr="00386C25">
              <w:rPr>
                <w:lang w:val="en-GB"/>
              </w:rPr>
              <w:t>Definitions</w:t>
            </w:r>
          </w:p>
        </w:tc>
      </w:tr>
      <w:tr w:rsidR="00FB3967" w:rsidRPr="006C53A2" w14:paraId="51F84579"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BD1ECF6" w14:textId="77777777" w:rsidR="00FB3967" w:rsidRPr="006C53A2" w:rsidRDefault="00FB3967" w:rsidP="006A474A">
            <w:pPr>
              <w:pStyle w:val="WoVGbodynospace"/>
              <w:rPr>
                <w:lang w:val="en-GB"/>
              </w:rPr>
            </w:pPr>
            <w:r w:rsidRPr="006C53A2">
              <w:rPr>
                <w:lang w:val="en-GB"/>
              </w:rPr>
              <w:t xml:space="preserve">Rates of absenteeism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7C633F" w14:textId="77777777" w:rsidR="00FB3967" w:rsidRPr="006C53A2" w:rsidRDefault="00FB3967" w:rsidP="006A474A">
            <w:pPr>
              <w:pStyle w:val="WoVGbodynospace"/>
              <w:rPr>
                <w:lang w:val="en-GB"/>
              </w:rPr>
            </w:pPr>
            <w:r w:rsidRPr="006C53A2">
              <w:rPr>
                <w:lang w:val="en-GB"/>
              </w:rPr>
              <w:t xml:space="preserve">The number of days absent due to sickness in the 12 months period </w:t>
            </w:r>
            <w:r>
              <w:rPr>
                <w:lang w:val="en-GB"/>
              </w:rPr>
              <w:t>to 30 June each year per 100 full time equivalent employees (FTE) or the Annualised Employee Equivalent (AEE)</w:t>
            </w:r>
            <w:r w:rsidRPr="006C53A2">
              <w:rPr>
                <w:lang w:val="en-GB"/>
              </w:rPr>
              <w:t>.</w:t>
            </w:r>
          </w:p>
        </w:tc>
      </w:tr>
      <w:tr w:rsidR="00FB3967" w:rsidRPr="006C53A2" w14:paraId="6C957E5E"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C8E07C7" w14:textId="77777777" w:rsidR="00FB3967" w:rsidRPr="005817F8" w:rsidRDefault="00FB3967" w:rsidP="005817F8">
            <w:pPr>
              <w:pStyle w:val="WoVGbodynospace"/>
              <w:rPr>
                <w:lang w:val="en-GB"/>
              </w:rPr>
            </w:pPr>
            <w:r w:rsidRPr="006C53A2">
              <w:rPr>
                <w:lang w:val="en-GB"/>
              </w:rPr>
              <w:t>Rates of turnover</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D2873" w14:textId="77777777" w:rsidR="00FB3967" w:rsidRPr="006C53A2" w:rsidRDefault="00FB3967" w:rsidP="006A474A">
            <w:pPr>
              <w:pStyle w:val="WoVGbodynospace"/>
              <w:rPr>
                <w:highlight w:val="yellow"/>
                <w:lang w:val="en-GB"/>
              </w:rPr>
            </w:pPr>
            <w:r w:rsidRPr="00CF525B">
              <w:rPr>
                <w:lang w:val="en-GB"/>
              </w:rPr>
              <w:t xml:space="preserve">The number of on-going employees and fixed term employees (prior to end of contract) that have left the organisation in the 12 months period to 30 June each year, </w:t>
            </w:r>
            <w:r w:rsidRPr="00885C8C">
              <w:rPr>
                <w:lang w:val="en-GB"/>
              </w:rPr>
              <w:t>per 100 full time equivalent employees (FTE) or the Annualised Employee Equivalent (AEE).</w:t>
            </w:r>
          </w:p>
        </w:tc>
      </w:tr>
      <w:tr w:rsidR="00FB3967" w:rsidRPr="006C53A2" w14:paraId="4A2AFB01"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E1DDE00" w14:textId="77777777" w:rsidR="00FB3967" w:rsidRPr="006C53A2" w:rsidRDefault="00FB3967" w:rsidP="006A474A">
            <w:pPr>
              <w:pStyle w:val="WoVGbodynospace"/>
              <w:rPr>
                <w:lang w:val="en-GB"/>
              </w:rPr>
            </w:pPr>
            <w:r w:rsidRPr="006C53A2">
              <w:rPr>
                <w:lang w:val="en-GB"/>
              </w:rPr>
              <w:t>EAP access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A7799" w14:textId="77777777" w:rsidR="00FB3967" w:rsidRPr="006C53A2" w:rsidRDefault="00FB3967" w:rsidP="006A474A">
            <w:pPr>
              <w:pStyle w:val="WoVGbodynospace"/>
              <w:rPr>
                <w:lang w:val="en-GB"/>
              </w:rPr>
            </w:pPr>
            <w:r w:rsidRPr="00CF525B">
              <w:rPr>
                <w:lang w:val="en-GB"/>
              </w:rPr>
              <w:t xml:space="preserve">The number of people and contacts made to the Employee Assistance Program service in the 12 months period to 30 June each year, </w:t>
            </w:r>
            <w:r w:rsidRPr="00885C8C">
              <w:rPr>
                <w:lang w:val="en-GB"/>
              </w:rPr>
              <w:t>year per 100 full time equivalent employees (FTE) or the Annua</w:t>
            </w:r>
            <w:r>
              <w:rPr>
                <w:lang w:val="en-GB"/>
              </w:rPr>
              <w:t>lised Employee Equivalent (AEE)</w:t>
            </w:r>
            <w:r w:rsidRPr="00CF525B">
              <w:rPr>
                <w:lang w:val="en-GB"/>
              </w:rPr>
              <w:t>.</w:t>
            </w:r>
          </w:p>
        </w:tc>
      </w:tr>
      <w:tr w:rsidR="00FB3967" w:rsidRPr="006C53A2" w14:paraId="1BAC55E9"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DEC27B5" w14:textId="77777777" w:rsidR="00FB3967" w:rsidRDefault="00FB3967" w:rsidP="006A474A">
            <w:pPr>
              <w:pStyle w:val="WoVGbodynospace"/>
              <w:rPr>
                <w:lang w:val="en-GB"/>
              </w:rPr>
            </w:pPr>
            <w:r>
              <w:rPr>
                <w:lang w:val="en-GB"/>
              </w:rPr>
              <w:t>PMS Survey results (or equivalent)</w:t>
            </w:r>
          </w:p>
          <w:p w14:paraId="17BC3C7F" w14:textId="77777777" w:rsidR="00FB3967" w:rsidRDefault="00FB3967" w:rsidP="006A474A">
            <w:pPr>
              <w:pStyle w:val="WoVGbullet1"/>
              <w:rPr>
                <w:lang w:val="en-GB"/>
              </w:rPr>
            </w:pPr>
            <w:r>
              <w:rPr>
                <w:lang w:val="en-GB"/>
              </w:rPr>
              <w:t>r</w:t>
            </w:r>
            <w:r w:rsidRPr="00C83E27">
              <w:rPr>
                <w:lang w:val="en-GB"/>
              </w:rPr>
              <w:t>esponse rate</w:t>
            </w:r>
            <w:r>
              <w:rPr>
                <w:lang w:val="en-GB"/>
              </w:rPr>
              <w:t>s</w:t>
            </w:r>
          </w:p>
          <w:p w14:paraId="2B69A3C9" w14:textId="77777777" w:rsidR="00FB3967" w:rsidRPr="005817F8" w:rsidRDefault="00FB3967" w:rsidP="005817F8">
            <w:pPr>
              <w:pStyle w:val="WoVGbullet1"/>
              <w:rPr>
                <w:lang w:val="en-GB"/>
              </w:rPr>
            </w:pPr>
            <w:r>
              <w:rPr>
                <w:lang w:val="en-GB"/>
              </w:rPr>
              <w:t>responses to specified questions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D3315" w14:textId="77777777" w:rsidR="00FB3967" w:rsidRDefault="00FB3967" w:rsidP="006A474A">
            <w:pPr>
              <w:pStyle w:val="WoVGbodynospace"/>
              <w:rPr>
                <w:lang w:val="en-GB"/>
              </w:rPr>
            </w:pPr>
            <w:r>
              <w:rPr>
                <w:lang w:val="en-GB"/>
              </w:rPr>
              <w:t>The percentage of staff who participated in the survey compared with the total number of staff eligible to participate in the survey.</w:t>
            </w:r>
          </w:p>
          <w:p w14:paraId="0B5D7709" w14:textId="77777777" w:rsidR="00FB3967" w:rsidRPr="006C53A2" w:rsidRDefault="00FB3967" w:rsidP="006A474A">
            <w:pPr>
              <w:pStyle w:val="WoVGbodynospace"/>
              <w:rPr>
                <w:lang w:val="en-GB"/>
              </w:rPr>
            </w:pPr>
            <w:r>
              <w:rPr>
                <w:lang w:val="en-GB"/>
              </w:rPr>
              <w:t xml:space="preserve">The </w:t>
            </w:r>
            <w:r w:rsidRPr="00CF525B">
              <w:rPr>
                <w:lang w:val="en-GB"/>
              </w:rPr>
              <w:t>responses from the People Matters Survey.</w:t>
            </w:r>
            <w:r w:rsidR="000B7C6B">
              <w:rPr>
                <w:lang w:val="en-GB"/>
              </w:rPr>
              <w:t xml:space="preserve"> </w:t>
            </w:r>
            <w:r>
              <w:rPr>
                <w:lang w:val="en-GB"/>
              </w:rPr>
              <w:t>See Appendix 2 for the list of PMS questions to be included.</w:t>
            </w:r>
          </w:p>
        </w:tc>
      </w:tr>
    </w:tbl>
    <w:p w14:paraId="3D68839E" w14:textId="77777777" w:rsidR="000B7C6B" w:rsidRDefault="000B7C6B"/>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3320"/>
        <w:gridCol w:w="5707"/>
      </w:tblGrid>
      <w:tr w:rsidR="00FB3967" w:rsidRPr="00386C25" w14:paraId="2CF7BB73" w14:textId="77777777" w:rsidTr="007D247A">
        <w:trPr>
          <w:tblHeader/>
        </w:trPr>
        <w:tc>
          <w:tcPr>
            <w:tcW w:w="3539" w:type="dxa"/>
            <w:tcBorders>
              <w:top w:val="single" w:sz="4" w:space="0" w:color="auto"/>
              <w:left w:val="single" w:sz="4" w:space="0" w:color="auto"/>
              <w:bottom w:val="single" w:sz="4" w:space="0" w:color="auto"/>
            </w:tcBorders>
            <w:shd w:val="clear" w:color="auto" w:fill="000000" w:themeFill="text1"/>
          </w:tcPr>
          <w:p w14:paraId="6D8E122C" w14:textId="77777777" w:rsidR="00FB3967" w:rsidRPr="00386C25" w:rsidRDefault="00FB3967" w:rsidP="006A474A">
            <w:pPr>
              <w:pStyle w:val="Heading4"/>
              <w:outlineLvl w:val="3"/>
              <w:rPr>
                <w:lang w:val="en-GB"/>
              </w:rPr>
            </w:pPr>
            <w:r>
              <w:rPr>
                <w:lang w:val="en-GB"/>
              </w:rPr>
              <w:t>Comparison Data</w:t>
            </w:r>
          </w:p>
        </w:tc>
        <w:tc>
          <w:tcPr>
            <w:tcW w:w="6095" w:type="dxa"/>
            <w:tcBorders>
              <w:top w:val="single" w:sz="4" w:space="0" w:color="auto"/>
              <w:bottom w:val="single" w:sz="4" w:space="0" w:color="auto"/>
              <w:right w:val="single" w:sz="4" w:space="0" w:color="auto"/>
            </w:tcBorders>
            <w:shd w:val="clear" w:color="auto" w:fill="000000" w:themeFill="text1"/>
          </w:tcPr>
          <w:p w14:paraId="7E5C10A6" w14:textId="77777777" w:rsidR="00FB3967" w:rsidRPr="00386C25" w:rsidRDefault="00FB3967" w:rsidP="006A474A">
            <w:pPr>
              <w:pStyle w:val="Heading4"/>
              <w:outlineLvl w:val="3"/>
              <w:rPr>
                <w:lang w:val="en-GB"/>
              </w:rPr>
            </w:pPr>
            <w:r w:rsidRPr="00386C25">
              <w:rPr>
                <w:lang w:val="en-GB"/>
              </w:rPr>
              <w:t>Definitions</w:t>
            </w:r>
          </w:p>
        </w:tc>
      </w:tr>
      <w:tr w:rsidR="00FB3967" w:rsidRPr="00523C39" w14:paraId="4AD6DAE8"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6DEEA18" w14:textId="77777777" w:rsidR="000B7C6B" w:rsidRDefault="00FB3967" w:rsidP="00FB3967">
            <w:pPr>
              <w:pStyle w:val="WoVGbodynospace"/>
              <w:rPr>
                <w:lang w:val="en-GB"/>
              </w:rPr>
            </w:pPr>
            <w:r w:rsidRPr="00157808">
              <w:rPr>
                <w:lang w:val="en-GB"/>
              </w:rPr>
              <w:t>Rates of absenteeism</w:t>
            </w:r>
          </w:p>
          <w:p w14:paraId="20C760DB" w14:textId="77777777" w:rsidR="00FB3967" w:rsidRPr="00157808" w:rsidRDefault="00FB3967" w:rsidP="00FB3967">
            <w:pPr>
              <w:pStyle w:val="WoVGbullet1"/>
              <w:rPr>
                <w:lang w:val="en-GB"/>
              </w:rPr>
            </w:pPr>
            <w:r w:rsidRPr="00157808">
              <w:rPr>
                <w:lang w:val="en-GB"/>
              </w:rPr>
              <w:t>average for Australia</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B65A3" w14:textId="77777777" w:rsidR="00FB3967" w:rsidRPr="00157808" w:rsidRDefault="00FB3967" w:rsidP="000B7C6B">
            <w:pPr>
              <w:pStyle w:val="WoVGbodynospace"/>
              <w:rPr>
                <w:lang w:val="en-GB"/>
              </w:rPr>
            </w:pPr>
            <w:r w:rsidRPr="00157808">
              <w:rPr>
                <w:lang w:val="en-GB"/>
              </w:rPr>
              <w:t>The average number of days absent due to sickness in the 12 months period to 30 June each year per 100 full time equivalent employees (FTE) or the Annualised Employee Equivalent (AEE).</w:t>
            </w:r>
          </w:p>
        </w:tc>
      </w:tr>
      <w:tr w:rsidR="00FB3967" w:rsidRPr="00523C39" w14:paraId="7DFB3196"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F98D511" w14:textId="77777777" w:rsidR="00FB3967" w:rsidRPr="00157808" w:rsidRDefault="00FB3967" w:rsidP="00FB3967">
            <w:pPr>
              <w:pStyle w:val="WoVGbodynospace"/>
              <w:rPr>
                <w:lang w:val="en-GB"/>
              </w:rPr>
            </w:pPr>
            <w:r w:rsidRPr="00157808">
              <w:rPr>
                <w:lang w:val="en-GB"/>
              </w:rPr>
              <w:t>Rates of turnover</w:t>
            </w:r>
          </w:p>
          <w:p w14:paraId="1532BE67" w14:textId="77777777" w:rsidR="00FB3967" w:rsidRPr="005817F8" w:rsidRDefault="00FB3967" w:rsidP="005817F8">
            <w:pPr>
              <w:pStyle w:val="WoVGbullet1"/>
              <w:rPr>
                <w:lang w:val="en-GB"/>
              </w:rPr>
            </w:pPr>
            <w:r w:rsidRPr="00157808">
              <w:rPr>
                <w:lang w:val="en-GB"/>
              </w:rPr>
              <w:t>average for Australia</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F24FF" w14:textId="77777777" w:rsidR="00FB3967" w:rsidRPr="00157808" w:rsidRDefault="00FB3967" w:rsidP="000B7C6B">
            <w:pPr>
              <w:pStyle w:val="WoVGbodynospace"/>
              <w:rPr>
                <w:lang w:val="en-GB"/>
              </w:rPr>
            </w:pPr>
            <w:r w:rsidRPr="00157808">
              <w:rPr>
                <w:lang w:val="en-GB"/>
              </w:rPr>
              <w:t>The average number of on-going employees and fixed term employees (prior to end of contract) that have left the organisation in the 12 months period to 30 June each year, per 100 full time equivalent employees (FTE) or the Annualised Employee Equivalent (AEE).</w:t>
            </w:r>
          </w:p>
        </w:tc>
      </w:tr>
    </w:tbl>
    <w:p w14:paraId="28AA375D" w14:textId="77777777" w:rsidR="000B7C6B" w:rsidRDefault="000B7C6B"/>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3320"/>
        <w:gridCol w:w="5707"/>
      </w:tblGrid>
      <w:tr w:rsidR="00FB3967" w:rsidRPr="00386C25" w14:paraId="3883CFC4" w14:textId="77777777" w:rsidTr="007D247A">
        <w:trPr>
          <w:tblHeader/>
        </w:trPr>
        <w:tc>
          <w:tcPr>
            <w:tcW w:w="3539" w:type="dxa"/>
            <w:tcBorders>
              <w:top w:val="single" w:sz="4" w:space="0" w:color="auto"/>
              <w:left w:val="single" w:sz="4" w:space="0" w:color="auto"/>
              <w:bottom w:val="single" w:sz="4" w:space="0" w:color="auto"/>
            </w:tcBorders>
            <w:shd w:val="clear" w:color="auto" w:fill="000000" w:themeFill="text1"/>
          </w:tcPr>
          <w:p w14:paraId="251AA59B" w14:textId="77777777" w:rsidR="00FB3967" w:rsidRPr="00386C25" w:rsidRDefault="00FB3967" w:rsidP="006A474A">
            <w:pPr>
              <w:pStyle w:val="Heading4"/>
              <w:outlineLvl w:val="3"/>
              <w:rPr>
                <w:lang w:val="en-GB"/>
              </w:rPr>
            </w:pPr>
            <w:r>
              <w:rPr>
                <w:lang w:val="en-GB"/>
              </w:rPr>
              <w:t>Mature Data</w:t>
            </w:r>
          </w:p>
        </w:tc>
        <w:tc>
          <w:tcPr>
            <w:tcW w:w="6095" w:type="dxa"/>
            <w:tcBorders>
              <w:top w:val="single" w:sz="4" w:space="0" w:color="auto"/>
              <w:bottom w:val="single" w:sz="4" w:space="0" w:color="auto"/>
              <w:right w:val="single" w:sz="4" w:space="0" w:color="auto"/>
            </w:tcBorders>
            <w:shd w:val="clear" w:color="auto" w:fill="000000" w:themeFill="text1"/>
          </w:tcPr>
          <w:p w14:paraId="0A4FF557" w14:textId="77777777" w:rsidR="00FB3967" w:rsidRPr="00386C25" w:rsidRDefault="00FB3967" w:rsidP="006A474A">
            <w:pPr>
              <w:pStyle w:val="Heading4"/>
              <w:outlineLvl w:val="3"/>
              <w:rPr>
                <w:lang w:val="en-GB"/>
              </w:rPr>
            </w:pPr>
            <w:r w:rsidRPr="00386C25">
              <w:rPr>
                <w:lang w:val="en-GB"/>
              </w:rPr>
              <w:t>Definitions</w:t>
            </w:r>
          </w:p>
        </w:tc>
      </w:tr>
      <w:tr w:rsidR="00FB3967" w:rsidRPr="006C53A2" w14:paraId="2F2BCCC0"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3C65EC8" w14:textId="77777777" w:rsidR="00FB3967" w:rsidRPr="006C53A2" w:rsidRDefault="00FB3967" w:rsidP="00FB3967">
            <w:pPr>
              <w:pStyle w:val="WoVGbodynospace"/>
              <w:rPr>
                <w:lang w:val="en-GB"/>
              </w:rPr>
            </w:pPr>
            <w:r w:rsidRPr="006C53A2">
              <w:rPr>
                <w:lang w:val="en-GB"/>
              </w:rPr>
              <w:t xml:space="preserve">Reported </w:t>
            </w:r>
            <w:r>
              <w:rPr>
                <w:lang w:val="en-GB"/>
              </w:rPr>
              <w:t>matter</w:t>
            </w:r>
            <w:r w:rsidRPr="006C53A2">
              <w:rPr>
                <w:lang w:val="en-GB"/>
              </w:rPr>
              <w:t>s</w:t>
            </w:r>
            <w:r>
              <w:rPr>
                <w:lang w:val="en-GB"/>
              </w:rPr>
              <w:t>:</w:t>
            </w:r>
          </w:p>
          <w:p w14:paraId="5C2EEA8F" w14:textId="77777777" w:rsidR="00FB3967" w:rsidRPr="006C53A2" w:rsidRDefault="00FB3967" w:rsidP="00FB3967">
            <w:pPr>
              <w:pStyle w:val="WoVGbullet1"/>
              <w:rPr>
                <w:lang w:val="en-GB"/>
              </w:rPr>
            </w:pPr>
            <w:r>
              <w:rPr>
                <w:lang w:val="en-GB"/>
              </w:rPr>
              <w:t>o</w:t>
            </w:r>
            <w:r w:rsidRPr="006C53A2">
              <w:rPr>
                <w:lang w:val="en-GB"/>
              </w:rPr>
              <w:t>cc</w:t>
            </w:r>
            <w:r>
              <w:rPr>
                <w:lang w:val="en-GB"/>
              </w:rPr>
              <w:t>upational</w:t>
            </w:r>
            <w:r w:rsidRPr="006C53A2">
              <w:rPr>
                <w:lang w:val="en-GB"/>
              </w:rPr>
              <w:t xml:space="preserve"> Violence</w:t>
            </w:r>
          </w:p>
          <w:p w14:paraId="0EE949DE" w14:textId="77777777" w:rsidR="00FB3967" w:rsidRPr="002C3F0E" w:rsidRDefault="00FB3967" w:rsidP="00FB3967">
            <w:pPr>
              <w:pStyle w:val="WoVGbullet1"/>
              <w:rPr>
                <w:lang w:val="en-GB"/>
              </w:rPr>
            </w:pPr>
            <w:r>
              <w:rPr>
                <w:lang w:val="en-GB"/>
              </w:rPr>
              <w:t>b</w:t>
            </w:r>
            <w:r w:rsidRPr="006C53A2">
              <w:rPr>
                <w:lang w:val="en-GB"/>
              </w:rPr>
              <w:t>ullying</w:t>
            </w:r>
            <w:r>
              <w:rPr>
                <w:lang w:val="en-GB"/>
              </w:rPr>
              <w:t xml:space="preserve"> / </w:t>
            </w:r>
            <w:r w:rsidRPr="002C3F0E">
              <w:rPr>
                <w:lang w:val="en-GB"/>
              </w:rPr>
              <w:t>harassment</w:t>
            </w:r>
          </w:p>
          <w:p w14:paraId="26C37BED" w14:textId="77777777" w:rsidR="00FB3967" w:rsidRPr="00293096" w:rsidRDefault="00FB3967" w:rsidP="00FB3967">
            <w:pPr>
              <w:pStyle w:val="WoVGbullet1"/>
              <w:rPr>
                <w:lang w:val="en-GB"/>
              </w:rPr>
            </w:pPr>
            <w:r>
              <w:rPr>
                <w:lang w:val="en-GB"/>
              </w:rPr>
              <w:t>t</w:t>
            </w:r>
            <w:r w:rsidRPr="006C53A2">
              <w:rPr>
                <w:lang w:val="en-GB"/>
              </w:rPr>
              <w:t>raumatic event</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6085E" w14:textId="77777777" w:rsidR="00FB3967" w:rsidRPr="006C53A2" w:rsidRDefault="00FB3967" w:rsidP="00FB3967">
            <w:pPr>
              <w:pStyle w:val="WoVGbodynospace"/>
              <w:rPr>
                <w:lang w:val="en-GB"/>
              </w:rPr>
            </w:pPr>
            <w:r w:rsidRPr="00CF525B">
              <w:rPr>
                <w:lang w:val="en-GB"/>
              </w:rPr>
              <w:t xml:space="preserve">The number of </w:t>
            </w:r>
            <w:r>
              <w:rPr>
                <w:lang w:val="en-GB"/>
              </w:rPr>
              <w:t xml:space="preserve">reported </w:t>
            </w:r>
            <w:r w:rsidRPr="00CF525B">
              <w:rPr>
                <w:lang w:val="en-GB"/>
              </w:rPr>
              <w:t xml:space="preserve">matters </w:t>
            </w:r>
            <w:r w:rsidRPr="00157808">
              <w:rPr>
                <w:lang w:val="en-GB"/>
              </w:rPr>
              <w:t>(defined as an incident report or complaint made to the organisation) in</w:t>
            </w:r>
            <w:r w:rsidRPr="00512393">
              <w:rPr>
                <w:lang w:val="en-GB"/>
              </w:rPr>
              <w:t xml:space="preserve"> </w:t>
            </w:r>
            <w:r w:rsidRPr="00CF525B">
              <w:rPr>
                <w:lang w:val="en-GB"/>
              </w:rPr>
              <w:t xml:space="preserve">the </w:t>
            </w:r>
            <w:proofErr w:type="gramStart"/>
            <w:r w:rsidRPr="00CF525B">
              <w:rPr>
                <w:lang w:val="en-GB"/>
              </w:rPr>
              <w:t>12 month</w:t>
            </w:r>
            <w:proofErr w:type="gramEnd"/>
            <w:r w:rsidRPr="00CF525B">
              <w:rPr>
                <w:lang w:val="en-GB"/>
              </w:rPr>
              <w:t xml:space="preserve"> period to 30 June each year, </w:t>
            </w:r>
            <w:r w:rsidRPr="00885C8C">
              <w:rPr>
                <w:lang w:val="en-GB"/>
              </w:rPr>
              <w:t>year per 100 full time equivalent employees (FTE) or the Annua</w:t>
            </w:r>
            <w:r>
              <w:rPr>
                <w:lang w:val="en-GB"/>
              </w:rPr>
              <w:t>lised Employee Equivalent (AEE)</w:t>
            </w:r>
            <w:r w:rsidRPr="00CF525B">
              <w:rPr>
                <w:lang w:val="en-GB"/>
              </w:rPr>
              <w:t>.</w:t>
            </w:r>
            <w:r>
              <w:rPr>
                <w:lang w:val="en-GB"/>
              </w:rPr>
              <w:t xml:space="preserve"> </w:t>
            </w:r>
          </w:p>
        </w:tc>
      </w:tr>
      <w:tr w:rsidR="00FB3967" w:rsidRPr="00CF525B" w14:paraId="75961D20"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E5AA9FB" w14:textId="77777777" w:rsidR="00FB3967" w:rsidRPr="006C53A2" w:rsidRDefault="00FB3967" w:rsidP="00FB3967">
            <w:pPr>
              <w:pStyle w:val="WoVGbodynospace"/>
              <w:rPr>
                <w:lang w:val="en-GB"/>
              </w:rPr>
            </w:pPr>
            <w:r>
              <w:rPr>
                <w:lang w:val="en-GB"/>
              </w:rPr>
              <w:t>Reported matters (as above) investigation completed</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7DFEB" w14:textId="77777777" w:rsidR="00FB3967" w:rsidRPr="00CF525B" w:rsidRDefault="00FB3967" w:rsidP="00FB3967">
            <w:pPr>
              <w:pStyle w:val="WoVGbodynospace"/>
              <w:rPr>
                <w:lang w:val="en-GB"/>
              </w:rPr>
            </w:pPr>
            <w:r>
              <w:rPr>
                <w:lang w:val="en-GB"/>
              </w:rPr>
              <w:t xml:space="preserve">The percentage of reported </w:t>
            </w:r>
            <w:r w:rsidRPr="00157808">
              <w:rPr>
                <w:lang w:val="en-GB"/>
              </w:rPr>
              <w:t>matters (defined as an incident report or complaint made to the organisation)</w:t>
            </w:r>
            <w:r w:rsidRPr="00512393">
              <w:rPr>
                <w:lang w:val="en-GB"/>
              </w:rPr>
              <w:t xml:space="preserve"> </w:t>
            </w:r>
            <w:r>
              <w:rPr>
                <w:lang w:val="en-GB"/>
              </w:rPr>
              <w:t xml:space="preserve">where an investigation has been completed for the </w:t>
            </w:r>
            <w:proofErr w:type="gramStart"/>
            <w:r>
              <w:rPr>
                <w:lang w:val="en-GB"/>
              </w:rPr>
              <w:t>12 month</w:t>
            </w:r>
            <w:proofErr w:type="gramEnd"/>
            <w:r>
              <w:rPr>
                <w:lang w:val="en-GB"/>
              </w:rPr>
              <w:t xml:space="preserve"> period to 30 June each year. </w:t>
            </w:r>
          </w:p>
        </w:tc>
      </w:tr>
      <w:tr w:rsidR="00FB3967" w:rsidRPr="006C53A2" w14:paraId="5D3B0B44"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AE83DE7" w14:textId="77777777" w:rsidR="00FB3967" w:rsidRDefault="00FB3967" w:rsidP="00FB3967">
            <w:pPr>
              <w:pStyle w:val="WoVGbodynospace"/>
              <w:rPr>
                <w:lang w:val="en-GB"/>
              </w:rPr>
            </w:pPr>
            <w:r>
              <w:rPr>
                <w:lang w:val="en-GB"/>
              </w:rPr>
              <w:lastRenderedPageBreak/>
              <w:t>Mental health and well-being training:</w:t>
            </w:r>
          </w:p>
          <w:p w14:paraId="5A9B8256" w14:textId="77777777" w:rsidR="000B7C6B" w:rsidRDefault="00FB3967" w:rsidP="00FB3967">
            <w:pPr>
              <w:pStyle w:val="WoVGbullet1"/>
              <w:rPr>
                <w:lang w:val="en-GB"/>
              </w:rPr>
            </w:pPr>
            <w:r w:rsidRPr="00C83E27">
              <w:rPr>
                <w:lang w:val="en-GB"/>
              </w:rPr>
              <w:t>% senior leaders completed</w:t>
            </w:r>
          </w:p>
          <w:p w14:paraId="1AE3F8A8" w14:textId="77777777" w:rsidR="000B7C6B" w:rsidRDefault="00FB3967" w:rsidP="00FB3967">
            <w:pPr>
              <w:pStyle w:val="WoVGbullet1"/>
              <w:rPr>
                <w:lang w:val="en-GB"/>
              </w:rPr>
            </w:pPr>
            <w:r w:rsidRPr="00C83E27">
              <w:rPr>
                <w:lang w:val="en-GB"/>
              </w:rPr>
              <w:t>% people leaders completed</w:t>
            </w:r>
          </w:p>
          <w:p w14:paraId="36C70F96" w14:textId="77777777" w:rsidR="00FB3967" w:rsidRPr="002C3F0E" w:rsidRDefault="00FB3967" w:rsidP="00FB3967">
            <w:pPr>
              <w:pStyle w:val="WoVGbullet1"/>
              <w:rPr>
                <w:lang w:val="en-GB"/>
              </w:rPr>
            </w:pPr>
            <w:r>
              <w:rPr>
                <w:lang w:val="en-GB"/>
              </w:rPr>
              <w:t xml:space="preserve">% of staff completed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DBD12" w14:textId="77777777" w:rsidR="00FB3967" w:rsidRPr="006C53A2" w:rsidRDefault="00FB3967" w:rsidP="00FB3967">
            <w:pPr>
              <w:pStyle w:val="WoVGbodynospace"/>
              <w:rPr>
                <w:highlight w:val="yellow"/>
                <w:lang w:val="en-GB"/>
              </w:rPr>
            </w:pPr>
            <w:r w:rsidRPr="00CF525B">
              <w:rPr>
                <w:lang w:val="en-GB"/>
              </w:rPr>
              <w:t xml:space="preserve">Relevant training that meets the objectives and underpinning principles </w:t>
            </w:r>
            <w:r>
              <w:rPr>
                <w:lang w:val="en-GB"/>
              </w:rPr>
              <w:t>(as adopted from the education and t</w:t>
            </w:r>
            <w:r w:rsidRPr="00CF525B">
              <w:rPr>
                <w:lang w:val="en-GB"/>
              </w:rPr>
              <w:t xml:space="preserve">raining </w:t>
            </w:r>
            <w:r>
              <w:rPr>
                <w:lang w:val="en-GB"/>
              </w:rPr>
              <w:t>framework)</w:t>
            </w:r>
            <w:r w:rsidRPr="00CF525B">
              <w:rPr>
                <w:lang w:val="en-GB"/>
              </w:rPr>
              <w:t>.</w:t>
            </w:r>
            <w:r w:rsidR="000B7C6B">
              <w:rPr>
                <w:lang w:val="en-GB"/>
              </w:rPr>
              <w:t xml:space="preserve"> </w:t>
            </w:r>
            <w:r w:rsidRPr="00AA4DBA">
              <w:rPr>
                <w:i/>
                <w:lang w:val="en-GB"/>
              </w:rPr>
              <w:t>Note, HSRs should be offered to attend external refresher training through WorkSafe approved providers</w:t>
            </w:r>
            <w:r>
              <w:rPr>
                <w:lang w:val="en-GB"/>
              </w:rPr>
              <w:t>.</w:t>
            </w:r>
          </w:p>
        </w:tc>
      </w:tr>
      <w:tr w:rsidR="00FB3967" w:rsidRPr="006C53A2" w14:paraId="3773FC8A"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D2C2497" w14:textId="77777777" w:rsidR="00FB3967" w:rsidRPr="006C53A2" w:rsidRDefault="00FB3967" w:rsidP="00FB3967">
            <w:pPr>
              <w:pStyle w:val="WoVGbodynospace"/>
              <w:rPr>
                <w:lang w:val="en-GB"/>
              </w:rPr>
            </w:pPr>
            <w:r>
              <w:rPr>
                <w:lang w:val="en-GB"/>
              </w:rPr>
              <w:t>Mental health self-assessment tool</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49C7B" w14:textId="77777777" w:rsidR="00FB3967" w:rsidRPr="006C53A2" w:rsidRDefault="00FB3967" w:rsidP="00FB3967">
            <w:pPr>
              <w:pStyle w:val="WoVGbodynospace"/>
              <w:rPr>
                <w:lang w:val="en-GB"/>
              </w:rPr>
            </w:pPr>
            <w:r>
              <w:rPr>
                <w:lang w:val="en-GB"/>
              </w:rPr>
              <w:t xml:space="preserve">Completion of an agreed self-assessment tool (based on the Canadian Standard) in the </w:t>
            </w:r>
            <w:proofErr w:type="gramStart"/>
            <w:r>
              <w:rPr>
                <w:lang w:val="en-GB"/>
              </w:rPr>
              <w:t>12 month</w:t>
            </w:r>
            <w:proofErr w:type="gramEnd"/>
            <w:r>
              <w:rPr>
                <w:lang w:val="en-GB"/>
              </w:rPr>
              <w:t xml:space="preserve"> period, and the results for % compliance</w:t>
            </w:r>
          </w:p>
        </w:tc>
      </w:tr>
      <w:tr w:rsidR="00FB3967" w:rsidRPr="006C53A2" w14:paraId="35D137EA"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7AC1C83" w14:textId="77777777" w:rsidR="00FB3967" w:rsidRPr="006C53A2" w:rsidRDefault="00FB3967" w:rsidP="00FB3967">
            <w:pPr>
              <w:pStyle w:val="WoVGbodynospace"/>
              <w:rPr>
                <w:lang w:val="en-GB"/>
              </w:rPr>
            </w:pPr>
            <w:r>
              <w:rPr>
                <w:lang w:val="en-GB"/>
              </w:rPr>
              <w:t xml:space="preserve">Peer support program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EBA63" w14:textId="77777777" w:rsidR="00FB3967" w:rsidRPr="00CF525B" w:rsidRDefault="00FB3967" w:rsidP="00FB3967">
            <w:pPr>
              <w:pStyle w:val="WoVGbodynospace"/>
              <w:rPr>
                <w:lang w:val="en-GB"/>
              </w:rPr>
            </w:pPr>
            <w:r>
              <w:rPr>
                <w:lang w:val="en-GB"/>
              </w:rPr>
              <w:t>The number of staff appointed as peer support officers as a proportion of total staff and that have attended relevant training.</w:t>
            </w:r>
          </w:p>
        </w:tc>
      </w:tr>
      <w:tr w:rsidR="00FB3967" w14:paraId="101D19DD"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65ADE94" w14:textId="77777777" w:rsidR="00FB3967" w:rsidRDefault="00FB3967" w:rsidP="00FB3967">
            <w:pPr>
              <w:pStyle w:val="WoVGbodynospace"/>
              <w:rPr>
                <w:lang w:val="en-GB"/>
              </w:rPr>
            </w:pPr>
            <w:r>
              <w:rPr>
                <w:lang w:val="en-GB"/>
              </w:rPr>
              <w:t>Calendar of Mental health and wellbeing activities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9B40C" w14:textId="77777777" w:rsidR="00FB3967" w:rsidRDefault="00FB3967" w:rsidP="00FB3967">
            <w:pPr>
              <w:pStyle w:val="WoVGbodynospace"/>
              <w:rPr>
                <w:lang w:val="en-GB"/>
              </w:rPr>
            </w:pPr>
            <w:r>
              <w:rPr>
                <w:lang w:val="en-GB"/>
              </w:rPr>
              <w:t>Completion of at least 2 wellbeing initiatives / activities and the % of staff who participated. See Appendix 3 for a list of Wellbeing Initiatives.</w:t>
            </w:r>
          </w:p>
        </w:tc>
      </w:tr>
    </w:tbl>
    <w:p w14:paraId="4775DD2C" w14:textId="77777777" w:rsidR="00FB3967" w:rsidRPr="00114D61" w:rsidRDefault="00FB3967" w:rsidP="00FB3967">
      <w:pPr>
        <w:pStyle w:val="WoVGtablecaption"/>
        <w:rPr>
          <w:lang w:val="en-GB"/>
        </w:rPr>
      </w:pPr>
      <w:r>
        <w:rPr>
          <w:lang w:val="en-GB"/>
        </w:rPr>
        <w:t>Outcomes reporting for the minimum data set</w:t>
      </w:r>
    </w:p>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3373"/>
        <w:gridCol w:w="5654"/>
      </w:tblGrid>
      <w:tr w:rsidR="00FB3967" w14:paraId="0853FB75" w14:textId="77777777" w:rsidTr="007D247A">
        <w:trPr>
          <w:tblHeader/>
        </w:trPr>
        <w:tc>
          <w:tcPr>
            <w:tcW w:w="3539" w:type="dxa"/>
            <w:tcBorders>
              <w:top w:val="single" w:sz="4" w:space="0" w:color="auto"/>
              <w:left w:val="single" w:sz="4" w:space="0" w:color="auto"/>
              <w:bottom w:val="single" w:sz="4" w:space="0" w:color="auto"/>
            </w:tcBorders>
            <w:shd w:val="clear" w:color="auto" w:fill="000000" w:themeFill="text1"/>
          </w:tcPr>
          <w:p w14:paraId="0FB2A912" w14:textId="77777777" w:rsidR="00FB3967" w:rsidRPr="00386C25" w:rsidRDefault="00FB3967" w:rsidP="00FB3967">
            <w:pPr>
              <w:pStyle w:val="Heading4"/>
              <w:outlineLvl w:val="3"/>
              <w:rPr>
                <w:lang w:val="en-GB"/>
              </w:rPr>
            </w:pPr>
            <w:r w:rsidRPr="00386C25">
              <w:rPr>
                <w:lang w:val="en-GB"/>
              </w:rPr>
              <w:t>Data</w:t>
            </w:r>
            <w:r>
              <w:rPr>
                <w:lang w:val="en-GB"/>
              </w:rPr>
              <w:t>*</w:t>
            </w:r>
          </w:p>
        </w:tc>
        <w:tc>
          <w:tcPr>
            <w:tcW w:w="6095" w:type="dxa"/>
            <w:tcBorders>
              <w:top w:val="single" w:sz="4" w:space="0" w:color="auto"/>
              <w:bottom w:val="single" w:sz="4" w:space="0" w:color="auto"/>
              <w:right w:val="single" w:sz="4" w:space="0" w:color="auto"/>
            </w:tcBorders>
            <w:shd w:val="clear" w:color="auto" w:fill="000000" w:themeFill="text1"/>
          </w:tcPr>
          <w:p w14:paraId="540CC0F9" w14:textId="77777777" w:rsidR="00FB3967" w:rsidRPr="00386C25" w:rsidRDefault="00FB3967" w:rsidP="00FB3967">
            <w:pPr>
              <w:pStyle w:val="Heading4"/>
              <w:outlineLvl w:val="3"/>
              <w:rPr>
                <w:lang w:val="en-GB"/>
              </w:rPr>
            </w:pPr>
            <w:r w:rsidRPr="00386C25">
              <w:rPr>
                <w:lang w:val="en-GB"/>
              </w:rPr>
              <w:t>Definitions</w:t>
            </w:r>
          </w:p>
        </w:tc>
      </w:tr>
      <w:tr w:rsidR="00FB3967" w14:paraId="2EC3ED85"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8E279AB" w14:textId="77777777" w:rsidR="00FB3967" w:rsidRPr="006C53A2" w:rsidRDefault="00FB3967" w:rsidP="00FB3967">
            <w:pPr>
              <w:pStyle w:val="WoVGbodynospace"/>
              <w:rPr>
                <w:lang w:val="en-GB"/>
              </w:rPr>
            </w:pPr>
            <w:r w:rsidRPr="006C53A2">
              <w:rPr>
                <w:lang w:val="en-GB"/>
              </w:rPr>
              <w:t xml:space="preserve">Mental injury claims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25782" w14:textId="77777777" w:rsidR="00FB3967" w:rsidRPr="006C53A2" w:rsidRDefault="00FB3967" w:rsidP="00FB3967">
            <w:pPr>
              <w:pStyle w:val="WoVGbodynospace"/>
              <w:rPr>
                <w:lang w:val="en-GB"/>
              </w:rPr>
            </w:pPr>
            <w:r w:rsidRPr="006C53A2">
              <w:rPr>
                <w:lang w:val="en-GB"/>
              </w:rPr>
              <w:t xml:space="preserve">The number of standardised claims* categorised as mental injury claims and reported to agents in the </w:t>
            </w:r>
            <w:proofErr w:type="gramStart"/>
            <w:r w:rsidRPr="006C53A2">
              <w:rPr>
                <w:lang w:val="en-GB"/>
              </w:rPr>
              <w:t>12 month</w:t>
            </w:r>
            <w:proofErr w:type="gramEnd"/>
            <w:r w:rsidRPr="006C53A2">
              <w:rPr>
                <w:lang w:val="en-GB"/>
              </w:rPr>
              <w:t xml:space="preserve"> period to 30 June each year, </w:t>
            </w:r>
            <w:r w:rsidRPr="00885C8C">
              <w:rPr>
                <w:lang w:val="en-GB"/>
              </w:rPr>
              <w:t>year per 100 full time equivalent employees (FTE) or the Annualised Employee Equivalent (AEE).</w:t>
            </w:r>
          </w:p>
        </w:tc>
      </w:tr>
      <w:tr w:rsidR="00FB3967" w:rsidRPr="00B5534F" w14:paraId="65258908"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D7BD23F" w14:textId="77777777" w:rsidR="000B7C6B" w:rsidRDefault="00FB3967" w:rsidP="00FB3967">
            <w:pPr>
              <w:pStyle w:val="WoVGbodynospace"/>
              <w:rPr>
                <w:lang w:val="en-GB"/>
              </w:rPr>
            </w:pPr>
            <w:r>
              <w:rPr>
                <w:lang w:val="en-GB"/>
              </w:rPr>
              <w:t>Claims by mechanism of injury</w:t>
            </w:r>
          </w:p>
          <w:p w14:paraId="023D86F1" w14:textId="77777777" w:rsidR="00FB3967" w:rsidRPr="00844707" w:rsidRDefault="00FB3967" w:rsidP="00FB3967">
            <w:pPr>
              <w:pStyle w:val="WoVGbullet1"/>
              <w:rPr>
                <w:lang w:val="en-GB"/>
              </w:rPr>
            </w:pPr>
            <w:r w:rsidRPr="00524776">
              <w:rPr>
                <w:lang w:val="en-GB"/>
              </w:rPr>
              <w:t>Occupational violence</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E8D0B" w14:textId="77777777" w:rsidR="00FB3967" w:rsidRPr="006C53A2" w:rsidRDefault="00FB3967" w:rsidP="00FB3967">
            <w:pPr>
              <w:pStyle w:val="WoVGbodynospace"/>
              <w:rPr>
                <w:lang w:val="en-GB"/>
              </w:rPr>
            </w:pPr>
            <w:r w:rsidRPr="006C53A2">
              <w:rPr>
                <w:lang w:val="en-GB"/>
              </w:rPr>
              <w:t>The number of standardised claims*</w:t>
            </w:r>
            <w:r>
              <w:rPr>
                <w:lang w:val="en-GB"/>
              </w:rPr>
              <w:t xml:space="preserve"> for the mechanism of injury</w:t>
            </w:r>
            <w:r w:rsidRPr="006C53A2">
              <w:rPr>
                <w:lang w:val="en-GB"/>
              </w:rPr>
              <w:t xml:space="preserve"> reported to agents in the </w:t>
            </w:r>
            <w:proofErr w:type="gramStart"/>
            <w:r w:rsidRPr="006C53A2">
              <w:rPr>
                <w:lang w:val="en-GB"/>
              </w:rPr>
              <w:t>12 month</w:t>
            </w:r>
            <w:proofErr w:type="gramEnd"/>
            <w:r w:rsidRPr="006C53A2">
              <w:rPr>
                <w:lang w:val="en-GB"/>
              </w:rPr>
              <w:t xml:space="preserve"> period to 30 June each year, </w:t>
            </w:r>
            <w:r w:rsidRPr="00885C8C">
              <w:rPr>
                <w:lang w:val="en-GB"/>
              </w:rPr>
              <w:t>year per 100 full time equivalent employees (FTE) or the Annualised Employee Equivalent (AEE).</w:t>
            </w:r>
          </w:p>
        </w:tc>
      </w:tr>
      <w:tr w:rsidR="00FB3967" w:rsidRPr="00B5534F" w14:paraId="2EF42300"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C06E4ED" w14:textId="77777777" w:rsidR="00FB3967" w:rsidRPr="006C53A2" w:rsidRDefault="00FB3967" w:rsidP="00FB3967">
            <w:pPr>
              <w:pStyle w:val="WoVGbodynospace"/>
              <w:rPr>
                <w:lang w:val="en-GB"/>
              </w:rPr>
            </w:pPr>
            <w:r w:rsidRPr="006C53A2">
              <w:rPr>
                <w:lang w:val="en-GB"/>
              </w:rPr>
              <w:t>Claims by affliction</w:t>
            </w:r>
            <w:r>
              <w:rPr>
                <w:lang w:val="en-GB"/>
              </w:rPr>
              <w:t xml:space="preserve"> – mental injury as a proportion of all claims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93CF3" w14:textId="77777777" w:rsidR="00FB3967" w:rsidRPr="006C53A2" w:rsidRDefault="00FB3967" w:rsidP="00FB3967">
            <w:pPr>
              <w:pStyle w:val="WoVGbodynospace"/>
              <w:rPr>
                <w:lang w:val="en-GB"/>
              </w:rPr>
            </w:pPr>
            <w:r w:rsidRPr="006C53A2">
              <w:rPr>
                <w:lang w:val="en-GB"/>
              </w:rPr>
              <w:t xml:space="preserve">The proportion of claims categorised as mental injury (in comparison to </w:t>
            </w:r>
            <w:r>
              <w:rPr>
                <w:lang w:val="en-GB"/>
              </w:rPr>
              <w:t>all</w:t>
            </w:r>
            <w:r w:rsidRPr="006C53A2">
              <w:rPr>
                <w:lang w:val="en-GB"/>
              </w:rPr>
              <w:t xml:space="preserve"> other claims) reported to agents in the </w:t>
            </w:r>
            <w:proofErr w:type="gramStart"/>
            <w:r w:rsidRPr="006C53A2">
              <w:rPr>
                <w:lang w:val="en-GB"/>
              </w:rPr>
              <w:t>12 month</w:t>
            </w:r>
            <w:proofErr w:type="gramEnd"/>
            <w:r w:rsidRPr="006C53A2">
              <w:rPr>
                <w:lang w:val="en-GB"/>
              </w:rPr>
              <w:t xml:space="preserve"> period to 30 June each year.</w:t>
            </w:r>
          </w:p>
        </w:tc>
      </w:tr>
      <w:tr w:rsidR="00FB3967" w:rsidRPr="00B5534F" w14:paraId="1B026C59"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6EF7FFA" w14:textId="77777777" w:rsidR="00FB3967" w:rsidRDefault="00FB3967" w:rsidP="00FB3967">
            <w:pPr>
              <w:pStyle w:val="WoVGbodynospace"/>
              <w:rPr>
                <w:lang w:val="en-GB"/>
              </w:rPr>
            </w:pPr>
            <w:r>
              <w:rPr>
                <w:lang w:val="en-GB"/>
              </w:rPr>
              <w:t>Claims where</w:t>
            </w:r>
            <w:r w:rsidR="000B7C6B">
              <w:rPr>
                <w:lang w:val="en-GB"/>
              </w:rPr>
              <w:t xml:space="preserve"> </w:t>
            </w:r>
            <w:r>
              <w:rPr>
                <w:lang w:val="en-GB"/>
              </w:rPr>
              <w:t>mechanism of injury was:</w:t>
            </w:r>
          </w:p>
          <w:p w14:paraId="0D0D96E1" w14:textId="77777777" w:rsidR="00FB3967" w:rsidRPr="00461850" w:rsidRDefault="00FB3967" w:rsidP="00FB3967">
            <w:pPr>
              <w:pStyle w:val="WoVGbullet1"/>
              <w:rPr>
                <w:lang w:val="en-GB"/>
              </w:rPr>
            </w:pPr>
            <w:r w:rsidRPr="00524776">
              <w:rPr>
                <w:lang w:val="en-GB"/>
              </w:rPr>
              <w:t>Bullying</w:t>
            </w:r>
            <w:r>
              <w:rPr>
                <w:lang w:val="en-GB"/>
              </w:rPr>
              <w:t xml:space="preserve"> / </w:t>
            </w:r>
            <w:r w:rsidRPr="00461850">
              <w:rPr>
                <w:lang w:val="en-GB"/>
              </w:rPr>
              <w:t>Harassment</w:t>
            </w:r>
            <w:r>
              <w:rPr>
                <w:lang w:val="en-GB"/>
              </w:rPr>
              <w:t xml:space="preserve"> / </w:t>
            </w:r>
            <w:r w:rsidRPr="00461850">
              <w:rPr>
                <w:lang w:val="en-GB"/>
              </w:rPr>
              <w:t>Discrimination</w:t>
            </w:r>
          </w:p>
          <w:p w14:paraId="5D61EF48" w14:textId="77777777" w:rsidR="00FB3967" w:rsidRPr="00524776" w:rsidRDefault="00FB3967" w:rsidP="00FB3967">
            <w:pPr>
              <w:pStyle w:val="WoVGbullet1"/>
              <w:rPr>
                <w:lang w:val="en-GB"/>
              </w:rPr>
            </w:pPr>
            <w:r w:rsidRPr="00524776">
              <w:rPr>
                <w:lang w:val="en-GB"/>
              </w:rPr>
              <w:t>Work pressure</w:t>
            </w:r>
          </w:p>
          <w:p w14:paraId="11258A2E" w14:textId="77777777" w:rsidR="00FB3967" w:rsidRDefault="00FB3967" w:rsidP="00FB3967">
            <w:pPr>
              <w:pStyle w:val="WoVGbullet1"/>
              <w:rPr>
                <w:lang w:val="en-GB"/>
              </w:rPr>
            </w:pPr>
            <w:r w:rsidRPr="00524776">
              <w:rPr>
                <w:lang w:val="en-GB"/>
              </w:rPr>
              <w:t>Conflict</w:t>
            </w:r>
          </w:p>
          <w:p w14:paraId="6832C533" w14:textId="77777777" w:rsidR="00FB3967" w:rsidRDefault="00FB3967" w:rsidP="00FB3967">
            <w:pPr>
              <w:pStyle w:val="WoVGbullet1"/>
              <w:rPr>
                <w:lang w:val="en-GB"/>
              </w:rPr>
            </w:pPr>
            <w:r>
              <w:rPr>
                <w:lang w:val="en-GB"/>
              </w:rPr>
              <w:t>Traumatic event</w:t>
            </w:r>
          </w:p>
          <w:p w14:paraId="7EC42218" w14:textId="77777777" w:rsidR="00FB3967" w:rsidRPr="00844707" w:rsidRDefault="00FB3967" w:rsidP="00FB3967">
            <w:pPr>
              <w:pStyle w:val="WoVGbullet1"/>
              <w:rPr>
                <w:lang w:val="en-GB"/>
              </w:rPr>
            </w:pPr>
            <w:r>
              <w:rPr>
                <w:lang w:val="en-GB"/>
              </w:rPr>
              <w:t>Other mental stress factors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CFA7D" w14:textId="77777777" w:rsidR="00FB3967" w:rsidRPr="006C53A2" w:rsidRDefault="00FB3967" w:rsidP="00FB3967">
            <w:pPr>
              <w:pStyle w:val="WoVGbodynospace"/>
              <w:rPr>
                <w:lang w:val="en-GB"/>
              </w:rPr>
            </w:pPr>
            <w:r w:rsidRPr="006C53A2">
              <w:rPr>
                <w:lang w:val="en-GB"/>
              </w:rPr>
              <w:t xml:space="preserve">The number of standardised claims* </w:t>
            </w:r>
            <w:r>
              <w:rPr>
                <w:lang w:val="en-GB"/>
              </w:rPr>
              <w:t xml:space="preserve">where the mechanism of injury resulted in a mental injury claim </w:t>
            </w:r>
            <w:r w:rsidRPr="006C53A2">
              <w:rPr>
                <w:lang w:val="en-GB"/>
              </w:rPr>
              <w:t xml:space="preserve">reported to agents in the </w:t>
            </w:r>
            <w:proofErr w:type="gramStart"/>
            <w:r w:rsidRPr="006C53A2">
              <w:rPr>
                <w:lang w:val="en-GB"/>
              </w:rPr>
              <w:t>12 month</w:t>
            </w:r>
            <w:proofErr w:type="gramEnd"/>
            <w:r w:rsidRPr="006C53A2">
              <w:rPr>
                <w:lang w:val="en-GB"/>
              </w:rPr>
              <w:t xml:space="preserve"> period to 30 June each year</w:t>
            </w:r>
            <w:r>
              <w:t>,</w:t>
            </w:r>
            <w:r w:rsidRPr="00885C8C">
              <w:rPr>
                <w:lang w:val="en-GB"/>
              </w:rPr>
              <w:t xml:space="preserve"> per 100 full time equivalent employees (FTE) or the Annualised Employee Equivalent (AEE).</w:t>
            </w:r>
          </w:p>
        </w:tc>
      </w:tr>
    </w:tbl>
    <w:p w14:paraId="47034B21" w14:textId="77777777" w:rsidR="000B7C6B" w:rsidRDefault="000B7C6B" w:rsidP="000B7C6B">
      <w:pPr>
        <w:spacing w:before="60" w:after="240"/>
        <w:rPr>
          <w:rFonts w:ascii="Arial" w:hAnsi="Arial" w:cs="Arial"/>
        </w:rPr>
      </w:pPr>
      <w:r w:rsidRPr="000B7C6B">
        <w:rPr>
          <w:rFonts w:ascii="Arial" w:hAnsi="Arial" w:cs="Arial"/>
        </w:rPr>
        <w:t>* data collected by WorkSafe Victoria</w:t>
      </w:r>
    </w:p>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3354"/>
        <w:gridCol w:w="5673"/>
      </w:tblGrid>
      <w:tr w:rsidR="00FB3967" w:rsidRPr="00386C25" w14:paraId="6F8E8F09" w14:textId="77777777" w:rsidTr="007D247A">
        <w:trPr>
          <w:tblHeader/>
        </w:trPr>
        <w:tc>
          <w:tcPr>
            <w:tcW w:w="3539" w:type="dxa"/>
            <w:tcBorders>
              <w:top w:val="single" w:sz="4" w:space="0" w:color="auto"/>
              <w:left w:val="single" w:sz="4" w:space="0" w:color="auto"/>
              <w:bottom w:val="single" w:sz="4" w:space="0" w:color="auto"/>
            </w:tcBorders>
            <w:shd w:val="clear" w:color="auto" w:fill="000000" w:themeFill="text1"/>
          </w:tcPr>
          <w:p w14:paraId="6465FEB0" w14:textId="77777777" w:rsidR="00FB3967" w:rsidRPr="00386C25" w:rsidRDefault="00FB3967" w:rsidP="007D247A">
            <w:pPr>
              <w:pStyle w:val="Heading4"/>
              <w:pageBreakBefore/>
              <w:outlineLvl w:val="3"/>
              <w:rPr>
                <w:lang w:val="en-GB"/>
              </w:rPr>
            </w:pPr>
            <w:r>
              <w:rPr>
                <w:lang w:val="en-GB"/>
              </w:rPr>
              <w:lastRenderedPageBreak/>
              <w:t>Mature Data</w:t>
            </w:r>
          </w:p>
        </w:tc>
        <w:tc>
          <w:tcPr>
            <w:tcW w:w="6095" w:type="dxa"/>
            <w:tcBorders>
              <w:top w:val="single" w:sz="4" w:space="0" w:color="auto"/>
              <w:bottom w:val="single" w:sz="4" w:space="0" w:color="auto"/>
              <w:right w:val="single" w:sz="4" w:space="0" w:color="auto"/>
            </w:tcBorders>
            <w:shd w:val="clear" w:color="auto" w:fill="000000" w:themeFill="text1"/>
          </w:tcPr>
          <w:p w14:paraId="37E88DA4" w14:textId="77777777" w:rsidR="00FB3967" w:rsidRPr="00386C25" w:rsidRDefault="00FB3967" w:rsidP="00FB3967">
            <w:pPr>
              <w:pStyle w:val="Heading4"/>
              <w:outlineLvl w:val="3"/>
              <w:rPr>
                <w:lang w:val="en-GB"/>
              </w:rPr>
            </w:pPr>
            <w:r w:rsidRPr="00386C25">
              <w:rPr>
                <w:lang w:val="en-GB"/>
              </w:rPr>
              <w:t>Definitions</w:t>
            </w:r>
          </w:p>
        </w:tc>
      </w:tr>
      <w:tr w:rsidR="00FB3967" w14:paraId="6C2591B5"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B1250E4" w14:textId="77777777" w:rsidR="000B7C6B" w:rsidRDefault="00FB3967" w:rsidP="00FB3967">
            <w:pPr>
              <w:pStyle w:val="WoVGbodynospace"/>
              <w:rPr>
                <w:lang w:val="en-GB"/>
              </w:rPr>
            </w:pPr>
            <w:r>
              <w:rPr>
                <w:lang w:val="en-GB"/>
              </w:rPr>
              <w:t>Mental injury claims exceeding 13 weeks</w:t>
            </w:r>
          </w:p>
          <w:p w14:paraId="18B62827" w14:textId="77777777" w:rsidR="00FB3967" w:rsidRPr="006C53A2" w:rsidRDefault="00FB3967" w:rsidP="00FB3967">
            <w:pPr>
              <w:pStyle w:val="WoVGbodynospace"/>
              <w:rPr>
                <w:lang w:val="en-GB"/>
              </w:rPr>
            </w:pPr>
            <w:r w:rsidRPr="00512393">
              <w:rPr>
                <w:lang w:val="en-GB"/>
              </w:rPr>
              <w:t>(expressed as a percentage of all claims for that organisation)</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F142C" w14:textId="77777777" w:rsidR="00FB3967" w:rsidRPr="006C53A2" w:rsidRDefault="00FB3967" w:rsidP="00FB3967">
            <w:pPr>
              <w:pStyle w:val="WoVGbodynospace"/>
              <w:rPr>
                <w:lang w:val="en-GB"/>
              </w:rPr>
            </w:pPr>
            <w:r w:rsidRPr="006C53A2">
              <w:rPr>
                <w:lang w:val="en-GB"/>
              </w:rPr>
              <w:t xml:space="preserve">The number of standardised claims* </w:t>
            </w:r>
            <w:r>
              <w:rPr>
                <w:lang w:val="en-GB"/>
              </w:rPr>
              <w:t xml:space="preserve">categorised as mental injury claims and </w:t>
            </w:r>
            <w:r w:rsidRPr="006C53A2">
              <w:rPr>
                <w:lang w:val="en-GB"/>
              </w:rPr>
              <w:t xml:space="preserve">reported in the </w:t>
            </w:r>
            <w:proofErr w:type="gramStart"/>
            <w:r w:rsidRPr="006C53A2">
              <w:rPr>
                <w:lang w:val="en-GB"/>
              </w:rPr>
              <w:t>12 month</w:t>
            </w:r>
            <w:proofErr w:type="gramEnd"/>
            <w:r w:rsidRPr="006C53A2">
              <w:rPr>
                <w:lang w:val="en-GB"/>
              </w:rPr>
              <w:t xml:space="preserve"> period to 31 March each year, </w:t>
            </w:r>
            <w:r>
              <w:rPr>
                <w:lang w:val="en-GB"/>
              </w:rPr>
              <w:t xml:space="preserve">that exceed 13 weeks of weekly payments </w:t>
            </w:r>
            <w:r w:rsidRPr="006C53A2">
              <w:rPr>
                <w:lang w:val="en-GB"/>
              </w:rPr>
              <w:t xml:space="preserve">divided by the </w:t>
            </w:r>
            <w:r>
              <w:rPr>
                <w:lang w:val="en-GB"/>
              </w:rPr>
              <w:t xml:space="preserve">total number of claims. </w:t>
            </w:r>
            <w:r w:rsidRPr="006C53A2">
              <w:rPr>
                <w:lang w:val="en-GB"/>
              </w:rPr>
              <w:t>Claims are included if the employer has paid the time loss excess (10 days of earnings) and the injured worker has been reimbursed for at least 10 additional days off work or on reduced hours.</w:t>
            </w:r>
            <w:r>
              <w:rPr>
                <w:lang w:val="en-GB"/>
              </w:rPr>
              <w:t xml:space="preserve"> </w:t>
            </w:r>
          </w:p>
        </w:tc>
      </w:tr>
      <w:tr w:rsidR="00FB3967" w:rsidRPr="00D25864" w14:paraId="085304FA"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853AFA8" w14:textId="77777777" w:rsidR="00FB3967" w:rsidRDefault="00FB3967" w:rsidP="00FB3967">
            <w:pPr>
              <w:pStyle w:val="WoVGbodynospace"/>
              <w:rPr>
                <w:lang w:val="en-GB"/>
              </w:rPr>
            </w:pPr>
            <w:r w:rsidRPr="008753B9">
              <w:rPr>
                <w:lang w:val="en-GB"/>
              </w:rPr>
              <w:t xml:space="preserve">Mental injury claims exceeding </w:t>
            </w:r>
            <w:r>
              <w:rPr>
                <w:lang w:val="en-GB"/>
              </w:rPr>
              <w:t xml:space="preserve">26 </w:t>
            </w:r>
            <w:r w:rsidRPr="008753B9">
              <w:rPr>
                <w:lang w:val="en-GB"/>
              </w:rPr>
              <w:t>weeks</w:t>
            </w:r>
          </w:p>
          <w:p w14:paraId="3D86B73E" w14:textId="77777777" w:rsidR="00FB3967" w:rsidRPr="00D25864" w:rsidRDefault="00FB3967" w:rsidP="00FB3967">
            <w:pPr>
              <w:pStyle w:val="WoVGbodynospace"/>
              <w:rPr>
                <w:lang w:val="en-GB"/>
              </w:rPr>
            </w:pPr>
            <w:r w:rsidRPr="00512393">
              <w:rPr>
                <w:lang w:val="en-GB"/>
              </w:rPr>
              <w:t>(expressed as a percentage of all claims for that organisation)</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09F0F" w14:textId="77777777" w:rsidR="00FB3967" w:rsidRPr="00D25864" w:rsidRDefault="00FB3967" w:rsidP="00FB3967">
            <w:pPr>
              <w:pStyle w:val="WoVGbodynospace"/>
              <w:rPr>
                <w:lang w:val="en-GB"/>
              </w:rPr>
            </w:pPr>
            <w:r w:rsidRPr="008753B9">
              <w:rPr>
                <w:lang w:val="en-GB"/>
              </w:rPr>
              <w:t xml:space="preserve">The number of standardised claims* categorised as mental injury claims and reported in the </w:t>
            </w:r>
            <w:proofErr w:type="gramStart"/>
            <w:r w:rsidRPr="008753B9">
              <w:rPr>
                <w:lang w:val="en-GB"/>
              </w:rPr>
              <w:t>12 month</w:t>
            </w:r>
            <w:proofErr w:type="gramEnd"/>
            <w:r w:rsidRPr="008753B9">
              <w:rPr>
                <w:lang w:val="en-GB"/>
              </w:rPr>
              <w:t xml:space="preserve"> period to 31 March each year, </w:t>
            </w:r>
            <w:r>
              <w:rPr>
                <w:lang w:val="en-GB"/>
              </w:rPr>
              <w:t>that exceed 26</w:t>
            </w:r>
            <w:r w:rsidRPr="008753B9">
              <w:rPr>
                <w:lang w:val="en-GB"/>
              </w:rPr>
              <w:t xml:space="preserve"> weeks of weekly payments divided by the total number of claims. Claims are included if the employer has paid the time loss excess (10 days of earnings) and the injured worker has been reimbursed for at least 10 additional days off work or on reduced hours.</w:t>
            </w:r>
          </w:p>
        </w:tc>
      </w:tr>
      <w:tr w:rsidR="00FB3967" w14:paraId="76A31E9F"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3F2AE7A" w14:textId="77777777" w:rsidR="00FB3967" w:rsidRPr="006C53A2" w:rsidRDefault="00FB3967" w:rsidP="00FB3967">
            <w:pPr>
              <w:pStyle w:val="WoVGbodynospace"/>
              <w:rPr>
                <w:lang w:val="en-GB"/>
              </w:rPr>
            </w:pPr>
            <w:r w:rsidRPr="006C53A2">
              <w:rPr>
                <w:lang w:val="en-GB"/>
              </w:rPr>
              <w:t>Average fully developed costs – mental injury claims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C7F59" w14:textId="77777777" w:rsidR="00FB3967" w:rsidRPr="006C53A2" w:rsidRDefault="00FB3967" w:rsidP="00FB3967">
            <w:pPr>
              <w:pStyle w:val="WoVGbodynospace"/>
              <w:rPr>
                <w:lang w:val="en-GB"/>
              </w:rPr>
            </w:pPr>
            <w:r w:rsidRPr="006C53A2">
              <w:rPr>
                <w:lang w:val="en-GB"/>
              </w:rPr>
              <w:t xml:space="preserve">For </w:t>
            </w:r>
            <w:r>
              <w:rPr>
                <w:lang w:val="en-GB"/>
              </w:rPr>
              <w:t>mental injury</w:t>
            </w:r>
            <w:r w:rsidRPr="006C53A2">
              <w:rPr>
                <w:lang w:val="en-GB"/>
              </w:rPr>
              <w:t xml:space="preserve"> claims, it is the sum of all payments </w:t>
            </w:r>
            <w:r>
              <w:rPr>
                <w:lang w:val="en-GB"/>
              </w:rPr>
              <w:t>made</w:t>
            </w:r>
            <w:r w:rsidRPr="006C53A2">
              <w:rPr>
                <w:lang w:val="en-GB"/>
              </w:rPr>
              <w:t xml:space="preserve"> plus the sum of the estimate of the future costs for those claims divided by the number of claims in the </w:t>
            </w:r>
            <w:r w:rsidRPr="00EE0E10">
              <w:rPr>
                <w:b/>
                <w:lang w:val="en-GB"/>
              </w:rPr>
              <w:t>group</w:t>
            </w:r>
            <w:r w:rsidRPr="006C53A2">
              <w:rPr>
                <w:lang w:val="en-GB"/>
              </w:rPr>
              <w:t>.</w:t>
            </w:r>
          </w:p>
          <w:p w14:paraId="204E4B15" w14:textId="77777777" w:rsidR="00FB3967" w:rsidRPr="006C53A2" w:rsidRDefault="00FB3967" w:rsidP="00FB3967">
            <w:pPr>
              <w:pStyle w:val="WoVGbodynospace"/>
              <w:rPr>
                <w:lang w:val="en-GB"/>
              </w:rPr>
            </w:pPr>
            <w:r w:rsidRPr="00EE0E10">
              <w:rPr>
                <w:b/>
                <w:lang w:val="en-GB"/>
              </w:rPr>
              <w:t>Group</w:t>
            </w:r>
            <w:r w:rsidRPr="006C53A2">
              <w:rPr>
                <w:lang w:val="en-GB"/>
              </w:rPr>
              <w:t xml:space="preserve"> = number of standardised claims* categorised as mental injury claims and reported to agents in the </w:t>
            </w:r>
            <w:proofErr w:type="gramStart"/>
            <w:r w:rsidRPr="006C53A2">
              <w:rPr>
                <w:lang w:val="en-GB"/>
              </w:rPr>
              <w:t>12 month</w:t>
            </w:r>
            <w:proofErr w:type="gramEnd"/>
            <w:r w:rsidRPr="006C53A2">
              <w:rPr>
                <w:lang w:val="en-GB"/>
              </w:rPr>
              <w:t xml:space="preserve"> period to 30 June each year</w:t>
            </w:r>
          </w:p>
        </w:tc>
      </w:tr>
      <w:tr w:rsidR="00FB3967" w14:paraId="5364EDB7"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ADAAA3A" w14:textId="77777777" w:rsidR="00FB3967" w:rsidRPr="00B15C89" w:rsidRDefault="00FB3967" w:rsidP="00FB3967">
            <w:pPr>
              <w:pStyle w:val="WoVGbodynospace"/>
              <w:rPr>
                <w:lang w:val="en-GB"/>
              </w:rPr>
            </w:pPr>
            <w:r>
              <w:rPr>
                <w:lang w:val="en-GB"/>
              </w:rPr>
              <w:t>Average number of days / shifts lost per workers compensation claim for mental injury</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165A2" w14:textId="77777777" w:rsidR="00FB3967" w:rsidRPr="006C53A2" w:rsidRDefault="00FB3967" w:rsidP="00FB3967">
            <w:pPr>
              <w:pStyle w:val="WoVGbodynospace"/>
              <w:rPr>
                <w:lang w:val="en-GB"/>
              </w:rPr>
            </w:pPr>
            <w:r>
              <w:rPr>
                <w:lang w:val="en-GB"/>
              </w:rPr>
              <w:t xml:space="preserve">The number of days / shifts lost on average on standardised </w:t>
            </w:r>
            <w:r w:rsidRPr="006C53A2">
              <w:rPr>
                <w:lang w:val="en-GB"/>
              </w:rPr>
              <w:t xml:space="preserve">claims* </w:t>
            </w:r>
            <w:r>
              <w:rPr>
                <w:lang w:val="en-GB"/>
              </w:rPr>
              <w:t xml:space="preserve">(separated for mental injury claims and physical injury claims) </w:t>
            </w:r>
            <w:r w:rsidRPr="006C53A2">
              <w:rPr>
                <w:lang w:val="en-GB"/>
              </w:rPr>
              <w:t xml:space="preserve">reported in the </w:t>
            </w:r>
            <w:proofErr w:type="gramStart"/>
            <w:r w:rsidRPr="006C53A2">
              <w:rPr>
                <w:lang w:val="en-GB"/>
              </w:rPr>
              <w:t>12 month</w:t>
            </w:r>
            <w:proofErr w:type="gramEnd"/>
            <w:r w:rsidRPr="006C53A2">
              <w:rPr>
                <w:lang w:val="en-GB"/>
              </w:rPr>
              <w:t xml:space="preserve"> period to 31 March each year</w:t>
            </w:r>
            <w:r>
              <w:rPr>
                <w:lang w:val="en-GB"/>
              </w:rPr>
              <w:t>.</w:t>
            </w:r>
          </w:p>
        </w:tc>
      </w:tr>
      <w:tr w:rsidR="00FB3967" w:rsidRPr="00D25864" w14:paraId="2D57C7E5"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200549A" w14:textId="77777777" w:rsidR="00FB3967" w:rsidRPr="00D25864" w:rsidRDefault="00FB3967" w:rsidP="00FB3967">
            <w:pPr>
              <w:pStyle w:val="WoVGbodynospace"/>
              <w:rPr>
                <w:lang w:val="en-GB"/>
              </w:rPr>
            </w:pPr>
            <w:r w:rsidRPr="00B15C89">
              <w:rPr>
                <w:lang w:val="en-GB"/>
              </w:rPr>
              <w:t>Workers compensation claims by industry groups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A90F4" w14:textId="77777777" w:rsidR="00FB3967" w:rsidRPr="00D25864" w:rsidRDefault="00FB3967" w:rsidP="00FB3967">
            <w:pPr>
              <w:pStyle w:val="WoVGbodynospace"/>
              <w:rPr>
                <w:lang w:val="en-GB"/>
              </w:rPr>
            </w:pPr>
            <w:r w:rsidRPr="00B15C89">
              <w:rPr>
                <w:lang w:val="en-GB"/>
              </w:rPr>
              <w:t xml:space="preserve">The number of standardised claims* for a defined industry group reported to agents in the </w:t>
            </w:r>
            <w:proofErr w:type="gramStart"/>
            <w:r w:rsidRPr="00B15C89">
              <w:rPr>
                <w:lang w:val="en-GB"/>
              </w:rPr>
              <w:t>12 month</w:t>
            </w:r>
            <w:proofErr w:type="gramEnd"/>
            <w:r w:rsidRPr="00B15C89">
              <w:rPr>
                <w:lang w:val="en-GB"/>
              </w:rPr>
              <w:t xml:space="preserve"> period to 30 June each year, </w:t>
            </w:r>
            <w:r w:rsidRPr="00885C8C">
              <w:rPr>
                <w:lang w:val="en-GB"/>
              </w:rPr>
              <w:t>year per 100 full time equivalent employees (FTE) or the Annuali</w:t>
            </w:r>
            <w:r>
              <w:rPr>
                <w:lang w:val="en-GB"/>
              </w:rPr>
              <w:t xml:space="preserve">sed Employee Equivalent (AEE) </w:t>
            </w:r>
            <w:r w:rsidRPr="00B15C89">
              <w:rPr>
                <w:lang w:val="en-GB"/>
              </w:rPr>
              <w:t>for that industry group. (e.g. Police Officer, Prison Officer, Nurse etc)</w:t>
            </w:r>
            <w:r>
              <w:rPr>
                <w:lang w:val="en-GB"/>
              </w:rPr>
              <w:t>.</w:t>
            </w:r>
          </w:p>
        </w:tc>
      </w:tr>
    </w:tbl>
    <w:p w14:paraId="1B9C5B35" w14:textId="77777777" w:rsidR="000B7C6B" w:rsidRDefault="00FB3967" w:rsidP="00FB3967">
      <w:pPr>
        <w:spacing w:before="60" w:after="60"/>
        <w:rPr>
          <w:rFonts w:ascii="Arial" w:hAnsi="Arial" w:cs="Arial"/>
        </w:rPr>
      </w:pPr>
      <w:r w:rsidRPr="000B7C6B">
        <w:rPr>
          <w:rFonts w:ascii="Arial" w:hAnsi="Arial" w:cs="Arial"/>
        </w:rPr>
        <w:t>* data collected by WorkSafe Victoria</w:t>
      </w:r>
    </w:p>
    <w:p w14:paraId="5863D0E0" w14:textId="77777777" w:rsidR="00FB3967" w:rsidRPr="000B7C6B" w:rsidRDefault="00FB3967" w:rsidP="00FB3967">
      <w:pPr>
        <w:spacing w:before="60" w:after="60"/>
        <w:rPr>
          <w:rFonts w:ascii="Arial" w:hAnsi="Arial" w:cs="Arial"/>
        </w:rPr>
      </w:pPr>
      <w:r w:rsidRPr="000B7C6B">
        <w:rPr>
          <w:rFonts w:ascii="Arial" w:hAnsi="Arial" w:cs="Arial"/>
        </w:rPr>
        <w:br w:type="page"/>
      </w:r>
    </w:p>
    <w:p w14:paraId="08510C4D" w14:textId="77777777" w:rsidR="00FB3967" w:rsidRDefault="00FB3967" w:rsidP="00FB3967">
      <w:pPr>
        <w:pStyle w:val="Heading1"/>
      </w:pPr>
      <w:bookmarkStart w:id="21" w:name="_Toc9246806"/>
      <w:r>
        <w:lastRenderedPageBreak/>
        <w:t>Benchmarking</w:t>
      </w:r>
      <w:bookmarkEnd w:id="21"/>
    </w:p>
    <w:p w14:paraId="2851A12B" w14:textId="77777777" w:rsidR="00FB3967" w:rsidRPr="00793977" w:rsidRDefault="00FB3967" w:rsidP="00FB3967">
      <w:pPr>
        <w:pStyle w:val="Heading2"/>
      </w:pPr>
      <w:bookmarkStart w:id="22" w:name="_Toc462926010"/>
      <w:bookmarkStart w:id="23" w:name="_Toc9246807"/>
      <w:r w:rsidRPr="00793977">
        <w:t>Data collection process</w:t>
      </w:r>
      <w:bookmarkEnd w:id="22"/>
      <w:bookmarkEnd w:id="23"/>
    </w:p>
    <w:p w14:paraId="5EA0B521" w14:textId="77777777" w:rsidR="00FB3967" w:rsidRPr="00BE585F" w:rsidRDefault="00FB3967" w:rsidP="00BB0D4C">
      <w:pPr>
        <w:pStyle w:val="WoVGbody"/>
        <w:rPr>
          <w:lang w:val="en-GB"/>
        </w:rPr>
      </w:pPr>
      <w:bookmarkStart w:id="24" w:name="_Toc449537383"/>
      <w:r>
        <w:rPr>
          <w:lang w:val="en-GB"/>
        </w:rPr>
        <w:t>The agreed data gathering process uses qualitative and</w:t>
      </w:r>
      <w:r w:rsidRPr="00BE585F">
        <w:rPr>
          <w:lang w:val="en-GB"/>
        </w:rPr>
        <w:t xml:space="preserve"> quantitative methods for collecting data for the following purposes:</w:t>
      </w:r>
      <w:bookmarkEnd w:id="24"/>
    </w:p>
    <w:p w14:paraId="565189E7" w14:textId="77777777" w:rsidR="00FB3967" w:rsidRPr="00BE585F" w:rsidRDefault="00FB3967" w:rsidP="00FB3967">
      <w:pPr>
        <w:pStyle w:val="WoVGbullet1"/>
        <w:rPr>
          <w:lang w:val="en-GB"/>
        </w:rPr>
      </w:pPr>
      <w:bookmarkStart w:id="25" w:name="_Toc449537384"/>
      <w:r w:rsidRPr="00BE585F">
        <w:rPr>
          <w:lang w:val="en-GB"/>
        </w:rPr>
        <w:t xml:space="preserve">establishing </w:t>
      </w:r>
      <w:r>
        <w:rPr>
          <w:lang w:val="en-GB"/>
        </w:rPr>
        <w:t>a</w:t>
      </w:r>
      <w:r w:rsidRPr="00BE585F">
        <w:rPr>
          <w:lang w:val="en-GB"/>
        </w:rPr>
        <w:t xml:space="preserve"> baseline</w:t>
      </w:r>
      <w:bookmarkEnd w:id="25"/>
    </w:p>
    <w:p w14:paraId="112457BC" w14:textId="77777777" w:rsidR="00FB3967" w:rsidRPr="00BE585F" w:rsidRDefault="00FB3967" w:rsidP="00FB3967">
      <w:pPr>
        <w:pStyle w:val="WoVGbullet1"/>
        <w:rPr>
          <w:lang w:val="en-GB"/>
        </w:rPr>
      </w:pPr>
      <w:bookmarkStart w:id="26" w:name="_Toc449537385"/>
      <w:r w:rsidRPr="00BE585F">
        <w:rPr>
          <w:lang w:val="en-GB"/>
        </w:rPr>
        <w:t xml:space="preserve">benchmarking performance against </w:t>
      </w:r>
      <w:r>
        <w:rPr>
          <w:lang w:val="en-GB"/>
        </w:rPr>
        <w:t>the</w:t>
      </w:r>
      <w:r w:rsidRPr="00BE585F">
        <w:rPr>
          <w:lang w:val="en-GB"/>
        </w:rPr>
        <w:t xml:space="preserve"> baseline</w:t>
      </w:r>
      <w:r>
        <w:rPr>
          <w:lang w:val="en-GB"/>
        </w:rPr>
        <w:t xml:space="preserve"> (</w:t>
      </w:r>
      <w:r w:rsidRPr="00B15C89">
        <w:rPr>
          <w:b/>
          <w:lang w:val="en-GB"/>
        </w:rPr>
        <w:t>baseline benchmarking</w:t>
      </w:r>
      <w:r>
        <w:rPr>
          <w:lang w:val="en-GB"/>
        </w:rPr>
        <w:t>)</w:t>
      </w:r>
      <w:r w:rsidRPr="00BE585F">
        <w:rPr>
          <w:lang w:val="en-GB"/>
        </w:rPr>
        <w:t xml:space="preserve"> or a</w:t>
      </w:r>
      <w:r>
        <w:rPr>
          <w:lang w:val="en-GB"/>
        </w:rPr>
        <w:t>gainst a</w:t>
      </w:r>
      <w:r w:rsidRPr="00BE585F">
        <w:rPr>
          <w:lang w:val="en-GB"/>
        </w:rPr>
        <w:t xml:space="preserve"> similar organisation</w:t>
      </w:r>
      <w:bookmarkEnd w:id="26"/>
      <w:r>
        <w:rPr>
          <w:lang w:val="en-GB"/>
        </w:rPr>
        <w:t xml:space="preserve"> (</w:t>
      </w:r>
      <w:r w:rsidRPr="00B15C89">
        <w:rPr>
          <w:b/>
          <w:lang w:val="en-GB"/>
        </w:rPr>
        <w:t>comparison benchmarking</w:t>
      </w:r>
      <w:r>
        <w:rPr>
          <w:lang w:val="en-GB"/>
        </w:rPr>
        <w:t>)</w:t>
      </w:r>
    </w:p>
    <w:p w14:paraId="3A468197" w14:textId="77777777" w:rsidR="000B7C6B" w:rsidRDefault="00FB3967" w:rsidP="00FB3967">
      <w:pPr>
        <w:pStyle w:val="WoVGbullet1"/>
        <w:rPr>
          <w:lang w:val="en-GB"/>
        </w:rPr>
      </w:pPr>
      <w:bookmarkStart w:id="27" w:name="_Toc449537386"/>
      <w:r w:rsidRPr="00BE585F">
        <w:rPr>
          <w:lang w:val="en-GB"/>
        </w:rPr>
        <w:t xml:space="preserve">measuring implementation progress of </w:t>
      </w:r>
      <w:r>
        <w:rPr>
          <w:lang w:val="en-GB"/>
        </w:rPr>
        <w:t>the</w:t>
      </w:r>
      <w:r w:rsidRPr="00BE585F">
        <w:rPr>
          <w:lang w:val="en-GB"/>
        </w:rPr>
        <w:t xml:space="preserve"> plan, and/or</w:t>
      </w:r>
      <w:bookmarkEnd w:id="27"/>
    </w:p>
    <w:p w14:paraId="3DE663D5" w14:textId="77777777" w:rsidR="00FB3967" w:rsidRPr="00BE585F" w:rsidRDefault="00FB3967" w:rsidP="00FB3967">
      <w:pPr>
        <w:pStyle w:val="WoVGbullet1"/>
        <w:rPr>
          <w:lang w:val="en-GB"/>
        </w:rPr>
      </w:pPr>
      <w:bookmarkStart w:id="28" w:name="_Toc449537387"/>
      <w:r w:rsidRPr="00BE585F">
        <w:rPr>
          <w:lang w:val="en-GB"/>
        </w:rPr>
        <w:t xml:space="preserve">measuring performance against </w:t>
      </w:r>
      <w:r>
        <w:rPr>
          <w:lang w:val="en-GB"/>
        </w:rPr>
        <w:t>the objectives and</w:t>
      </w:r>
      <w:r w:rsidRPr="00BE585F">
        <w:rPr>
          <w:lang w:val="en-GB"/>
        </w:rPr>
        <w:t xml:space="preserve"> targets.</w:t>
      </w:r>
      <w:bookmarkEnd w:id="28"/>
    </w:p>
    <w:p w14:paraId="4A90C463" w14:textId="77777777" w:rsidR="000B7C6B" w:rsidRDefault="00FB3967" w:rsidP="00BB0D4C">
      <w:pPr>
        <w:pStyle w:val="WoVGbodyafterbullets"/>
        <w:rPr>
          <w:lang w:val="en-GB"/>
        </w:rPr>
      </w:pPr>
      <w:bookmarkStart w:id="29" w:name="_Toc449537388"/>
      <w:r>
        <w:rPr>
          <w:lang w:val="en-GB"/>
        </w:rPr>
        <w:t xml:space="preserve">The </w:t>
      </w:r>
      <w:r w:rsidRPr="00BE585F">
        <w:rPr>
          <w:lang w:val="en-GB"/>
        </w:rPr>
        <w:t xml:space="preserve">data </w:t>
      </w:r>
      <w:r>
        <w:rPr>
          <w:lang w:val="en-GB"/>
        </w:rPr>
        <w:t>gathering</w:t>
      </w:r>
      <w:r w:rsidRPr="00BE585F">
        <w:rPr>
          <w:lang w:val="en-GB"/>
        </w:rPr>
        <w:t xml:space="preserve"> process </w:t>
      </w:r>
      <w:r>
        <w:rPr>
          <w:lang w:val="en-GB"/>
        </w:rPr>
        <w:t>referenced in Leading the Way reflects privacy requirements</w:t>
      </w:r>
      <w:r w:rsidRPr="00BE585F">
        <w:rPr>
          <w:lang w:val="en-GB"/>
        </w:rPr>
        <w:t>, as well as the processes and methods used to collect the data.</w:t>
      </w:r>
      <w:bookmarkEnd w:id="29"/>
    </w:p>
    <w:p w14:paraId="2ECAD3EC" w14:textId="77777777" w:rsidR="00FB3967" w:rsidRPr="00793977" w:rsidRDefault="00FB3967" w:rsidP="00FB3967">
      <w:pPr>
        <w:pStyle w:val="Heading2"/>
      </w:pPr>
      <w:bookmarkStart w:id="30" w:name="_Toc462926011"/>
      <w:bookmarkStart w:id="31" w:name="_Toc9246808"/>
      <w:r w:rsidRPr="00793977">
        <w:t>Data analysis</w:t>
      </w:r>
      <w:bookmarkEnd w:id="30"/>
      <w:bookmarkEnd w:id="31"/>
    </w:p>
    <w:p w14:paraId="3630C2ED" w14:textId="77777777" w:rsidR="00FB3967" w:rsidRDefault="00FB3967" w:rsidP="00FB3967">
      <w:pPr>
        <w:pStyle w:val="WoVGbodynospace"/>
        <w:rPr>
          <w:lang w:val="en-GB"/>
        </w:rPr>
      </w:pPr>
      <w:r w:rsidRPr="00C83E27">
        <w:rPr>
          <w:lang w:val="en-GB"/>
        </w:rPr>
        <w:t xml:space="preserve">Once </w:t>
      </w:r>
      <w:r>
        <w:rPr>
          <w:lang w:val="en-GB"/>
        </w:rPr>
        <w:t>the data is collected a review and analysis of the data is required to determine:</w:t>
      </w:r>
    </w:p>
    <w:p w14:paraId="07B2CECD" w14:textId="77777777" w:rsidR="00FB3967" w:rsidRDefault="00FB3967" w:rsidP="00FB3967">
      <w:pPr>
        <w:pStyle w:val="WoVGbullet1"/>
        <w:rPr>
          <w:lang w:val="en-GB"/>
        </w:rPr>
      </w:pPr>
      <w:r>
        <w:rPr>
          <w:lang w:val="en-GB"/>
        </w:rPr>
        <w:t>what the data is telling you</w:t>
      </w:r>
    </w:p>
    <w:p w14:paraId="71B433A2" w14:textId="77777777" w:rsidR="00FB3967" w:rsidRDefault="00FB3967" w:rsidP="00FB3967">
      <w:pPr>
        <w:pStyle w:val="WoVGbullet1"/>
        <w:rPr>
          <w:lang w:val="en-GB"/>
        </w:rPr>
      </w:pPr>
      <w:r>
        <w:rPr>
          <w:lang w:val="en-GB"/>
        </w:rPr>
        <w:t>what is working well, and</w:t>
      </w:r>
    </w:p>
    <w:p w14:paraId="292DD1A7" w14:textId="77777777" w:rsidR="00FB3967" w:rsidRPr="008B610D" w:rsidRDefault="00FB3967" w:rsidP="00FB3967">
      <w:pPr>
        <w:pStyle w:val="WoVGbullet1"/>
        <w:rPr>
          <w:lang w:val="en-GB"/>
        </w:rPr>
      </w:pPr>
      <w:r>
        <w:rPr>
          <w:lang w:val="en-GB"/>
        </w:rPr>
        <w:t>whether there are opportunities for improvement.</w:t>
      </w:r>
    </w:p>
    <w:p w14:paraId="5DD0BAA0" w14:textId="77777777" w:rsidR="000B7C6B" w:rsidRDefault="00FB3967" w:rsidP="00BB0D4C">
      <w:pPr>
        <w:pStyle w:val="WoVGbodyafterbullets"/>
        <w:rPr>
          <w:lang w:val="en-GB"/>
        </w:rPr>
      </w:pPr>
      <w:r w:rsidRPr="008B610D">
        <w:rPr>
          <w:lang w:val="en-GB"/>
        </w:rPr>
        <w:t>The</w:t>
      </w:r>
      <w:r>
        <w:rPr>
          <w:lang w:val="en-GB"/>
        </w:rPr>
        <w:t xml:space="preserve"> </w:t>
      </w:r>
      <w:r w:rsidRPr="008B610D">
        <w:rPr>
          <w:b/>
          <w:lang w:val="en-GB"/>
        </w:rPr>
        <w:t>minimum data set</w:t>
      </w:r>
      <w:r>
        <w:rPr>
          <w:lang w:val="en-GB"/>
        </w:rPr>
        <w:t xml:space="preserve"> provides baseline data to identify strengths and weaknesses in organisational systems and provide for benchmarking against other organisations who also apply analysis using the minimum data set; however, a broader set of data specific to organisations may provide a more complete profile of strengths and weaknesses.</w:t>
      </w:r>
    </w:p>
    <w:p w14:paraId="2B94667D" w14:textId="77777777" w:rsidR="00FB3967" w:rsidRPr="00793977" w:rsidRDefault="00FB3967" w:rsidP="00FB3967">
      <w:pPr>
        <w:pStyle w:val="Heading2"/>
      </w:pPr>
      <w:bookmarkStart w:id="32" w:name="_Toc462926012"/>
      <w:bookmarkStart w:id="33" w:name="_Toc9246809"/>
      <w:r w:rsidRPr="00793977">
        <w:t>Performance reporting</w:t>
      </w:r>
      <w:bookmarkEnd w:id="32"/>
      <w:bookmarkEnd w:id="33"/>
    </w:p>
    <w:p w14:paraId="772CA57E" w14:textId="77777777" w:rsidR="00FB3967" w:rsidRPr="007C4835" w:rsidRDefault="00FB3967" w:rsidP="006A474A">
      <w:pPr>
        <w:pStyle w:val="WoVGbody"/>
        <w:rPr>
          <w:lang w:val="en-GB"/>
        </w:rPr>
      </w:pPr>
      <w:r>
        <w:rPr>
          <w:lang w:val="en-GB"/>
        </w:rPr>
        <w:t xml:space="preserve">There is </w:t>
      </w:r>
      <w:r w:rsidRPr="007C4835">
        <w:rPr>
          <w:lang w:val="en-GB"/>
        </w:rPr>
        <w:t xml:space="preserve">value in publicly (or semi-publicly) reporting selected </w:t>
      </w:r>
      <w:r>
        <w:rPr>
          <w:lang w:val="en-GB"/>
        </w:rPr>
        <w:t>lead and lag</w:t>
      </w:r>
      <w:r w:rsidRPr="007C4835">
        <w:rPr>
          <w:lang w:val="en-GB"/>
        </w:rPr>
        <w:t xml:space="preserve"> indicator results </w:t>
      </w:r>
      <w:r>
        <w:rPr>
          <w:lang w:val="en-GB"/>
        </w:rPr>
        <w:t>in annual reports</w:t>
      </w:r>
      <w:r w:rsidRPr="007C4835">
        <w:rPr>
          <w:lang w:val="en-GB"/>
        </w:rPr>
        <w:t>.</w:t>
      </w:r>
    </w:p>
    <w:p w14:paraId="06D5DC0C" w14:textId="77777777" w:rsidR="000B7C6B" w:rsidRDefault="00FB3967" w:rsidP="006A474A">
      <w:pPr>
        <w:pStyle w:val="WoVGbody"/>
        <w:rPr>
          <w:lang w:val="en-GB"/>
        </w:rPr>
      </w:pPr>
      <w:r>
        <w:rPr>
          <w:lang w:val="en-GB"/>
        </w:rPr>
        <w:t>The indicators listed will assist with benchmark reporting and enable reflection on how the organisation is performing against itself through ongoing monitoring, and against other organisations as a comparison.</w:t>
      </w:r>
    </w:p>
    <w:p w14:paraId="556762D8" w14:textId="77777777" w:rsidR="000B7C6B" w:rsidRDefault="00FB3967" w:rsidP="006A474A">
      <w:pPr>
        <w:pStyle w:val="WoVGbody"/>
        <w:rPr>
          <w:lang w:val="en-GB"/>
        </w:rPr>
      </w:pPr>
      <w:r>
        <w:rPr>
          <w:lang w:val="en-GB"/>
        </w:rPr>
        <w:t xml:space="preserve">Performance reporting </w:t>
      </w:r>
      <w:r w:rsidRPr="007C4835">
        <w:rPr>
          <w:lang w:val="en-GB"/>
        </w:rPr>
        <w:t>provides opportunity for an org</w:t>
      </w:r>
      <w:r>
        <w:rPr>
          <w:lang w:val="en-GB"/>
        </w:rPr>
        <w:t>a</w:t>
      </w:r>
      <w:r w:rsidRPr="007C4835">
        <w:rPr>
          <w:lang w:val="en-GB"/>
        </w:rPr>
        <w:t xml:space="preserve">nisation to show case areas of strength </w:t>
      </w:r>
      <w:r>
        <w:rPr>
          <w:lang w:val="en-GB"/>
        </w:rPr>
        <w:t>or commitment to improve areas where there are opportunities to improve.</w:t>
      </w:r>
    </w:p>
    <w:p w14:paraId="7A47D1EE" w14:textId="77777777" w:rsidR="000B7C6B" w:rsidRDefault="00FB3967" w:rsidP="006A474A">
      <w:pPr>
        <w:pStyle w:val="WoVGbody"/>
        <w:rPr>
          <w:lang w:val="en-GB"/>
        </w:rPr>
      </w:pPr>
      <w:r w:rsidRPr="007C4835">
        <w:rPr>
          <w:lang w:val="en-GB"/>
        </w:rPr>
        <w:t xml:space="preserve">Performance reporting also </w:t>
      </w:r>
      <w:r>
        <w:rPr>
          <w:lang w:val="en-GB"/>
        </w:rPr>
        <w:t>sends a message that</w:t>
      </w:r>
      <w:r w:rsidRPr="007C4835">
        <w:rPr>
          <w:lang w:val="en-GB"/>
        </w:rPr>
        <w:t xml:space="preserve"> senior management </w:t>
      </w:r>
      <w:r>
        <w:rPr>
          <w:lang w:val="en-GB"/>
        </w:rPr>
        <w:t xml:space="preserve">acknowledge their </w:t>
      </w:r>
      <w:r w:rsidRPr="007C4835">
        <w:rPr>
          <w:lang w:val="en-GB"/>
        </w:rPr>
        <w:t>accountab</w:t>
      </w:r>
      <w:r>
        <w:rPr>
          <w:lang w:val="en-GB"/>
        </w:rPr>
        <w:t xml:space="preserve">ility to drive improved </w:t>
      </w:r>
      <w:r w:rsidRPr="007C4835">
        <w:rPr>
          <w:lang w:val="en-GB"/>
        </w:rPr>
        <w:t>organisation</w:t>
      </w:r>
      <w:r>
        <w:rPr>
          <w:lang w:val="en-GB"/>
        </w:rPr>
        <w:t>al performance</w:t>
      </w:r>
      <w:r w:rsidRPr="007C4835">
        <w:rPr>
          <w:lang w:val="en-GB"/>
        </w:rPr>
        <w:t>.</w:t>
      </w:r>
    </w:p>
    <w:p w14:paraId="304D9305" w14:textId="77777777" w:rsidR="00FB3967" w:rsidRDefault="00FB3967" w:rsidP="006A474A">
      <w:pPr>
        <w:pStyle w:val="WoVGbody"/>
        <w:rPr>
          <w:lang w:val="en-GB"/>
        </w:rPr>
      </w:pPr>
      <w:r>
        <w:rPr>
          <w:lang w:val="en-GB"/>
        </w:rPr>
        <w:t>Appendix 1 contains the template for the reports from all departments across the public sector for process and outcomes reporting.</w:t>
      </w:r>
    </w:p>
    <w:p w14:paraId="2B0DEE86" w14:textId="77777777" w:rsidR="00FB3967" w:rsidRPr="00A02AF4" w:rsidRDefault="00FB3967" w:rsidP="00FB3967">
      <w:pPr>
        <w:pStyle w:val="WoVGtablecaption"/>
        <w:rPr>
          <w:lang w:val="en-GB"/>
        </w:rPr>
      </w:pPr>
      <w:r>
        <w:rPr>
          <w:lang w:val="en-GB"/>
        </w:rPr>
        <w:t>K</w:t>
      </w:r>
      <w:r w:rsidRPr="00A02AF4">
        <w:rPr>
          <w:lang w:val="en-GB"/>
        </w:rPr>
        <w:t>ey</w:t>
      </w:r>
    </w:p>
    <w:tbl>
      <w:tblPr>
        <w:tblStyle w:val="TableGrid"/>
        <w:tblW w:w="6521" w:type="dxa"/>
        <w:tblLook w:val="04A0" w:firstRow="1" w:lastRow="0" w:firstColumn="1" w:lastColumn="0" w:noHBand="0" w:noVBand="1"/>
      </w:tblPr>
      <w:tblGrid>
        <w:gridCol w:w="993"/>
        <w:gridCol w:w="5528"/>
      </w:tblGrid>
      <w:tr w:rsidR="00FB3967" w:rsidRPr="00464667" w14:paraId="6A4AADCF" w14:textId="77777777" w:rsidTr="002473D3">
        <w:tc>
          <w:tcPr>
            <w:tcW w:w="993" w:type="dxa"/>
            <w:shd w:val="clear" w:color="auto" w:fill="92D050"/>
          </w:tcPr>
          <w:p w14:paraId="50845E00" w14:textId="77777777" w:rsidR="00FB3967" w:rsidRPr="009A07AC" w:rsidRDefault="00FB3967" w:rsidP="00FB3967">
            <w:pPr>
              <w:suppressAutoHyphens/>
              <w:spacing w:before="60" w:after="60"/>
              <w:rPr>
                <w:rFonts w:ascii="Arial" w:hAnsi="Arial" w:cs="Arial"/>
                <w:b/>
                <w:spacing w:val="-3"/>
                <w:lang w:val="en-GB"/>
              </w:rPr>
            </w:pPr>
            <w:r w:rsidRPr="009A07AC">
              <w:rPr>
                <w:rFonts w:ascii="Arial" w:hAnsi="Arial" w:cs="Arial"/>
                <w:b/>
                <w:spacing w:val="-3"/>
                <w:lang w:val="en-GB"/>
              </w:rPr>
              <w:t>↑ x%</w:t>
            </w:r>
          </w:p>
        </w:tc>
        <w:tc>
          <w:tcPr>
            <w:tcW w:w="5528" w:type="dxa"/>
            <w:shd w:val="clear" w:color="auto" w:fill="F2F2F2" w:themeFill="background1" w:themeFillShade="F2"/>
          </w:tcPr>
          <w:p w14:paraId="0116FF3E" w14:textId="77777777" w:rsidR="00FB3967" w:rsidRPr="009A07AC" w:rsidRDefault="00FB3967" w:rsidP="00FB3967">
            <w:pPr>
              <w:suppressAutoHyphens/>
              <w:spacing w:before="60" w:after="60"/>
              <w:rPr>
                <w:rFonts w:ascii="Arial" w:hAnsi="Arial" w:cs="Arial"/>
                <w:spacing w:val="-3"/>
                <w:lang w:val="en-GB"/>
              </w:rPr>
            </w:pPr>
            <w:r w:rsidRPr="009A07AC">
              <w:rPr>
                <w:rFonts w:ascii="Arial" w:hAnsi="Arial" w:cs="Arial"/>
                <w:spacing w:val="-3"/>
                <w:lang w:val="en-GB"/>
              </w:rPr>
              <w:t>Green is an improvement of 5% or more on the base period</w:t>
            </w:r>
          </w:p>
        </w:tc>
      </w:tr>
      <w:tr w:rsidR="00FB3967" w:rsidRPr="00464667" w14:paraId="201BBF7D" w14:textId="77777777" w:rsidTr="002473D3">
        <w:tc>
          <w:tcPr>
            <w:tcW w:w="993" w:type="dxa"/>
            <w:shd w:val="clear" w:color="auto" w:fill="FFFF00"/>
          </w:tcPr>
          <w:p w14:paraId="4DFAD88F" w14:textId="77777777" w:rsidR="00FB3967" w:rsidRPr="009A07AC" w:rsidRDefault="00FB3967" w:rsidP="00FB3967">
            <w:pPr>
              <w:suppressAutoHyphens/>
              <w:spacing w:before="60" w:after="60"/>
              <w:rPr>
                <w:rFonts w:ascii="Arial" w:hAnsi="Arial" w:cs="Arial"/>
                <w:b/>
                <w:spacing w:val="-3"/>
                <w:lang w:val="en-GB"/>
              </w:rPr>
            </w:pPr>
            <w:r w:rsidRPr="009A07AC">
              <w:rPr>
                <w:rFonts w:ascii="Arial" w:hAnsi="Arial" w:cs="Arial"/>
                <w:b/>
                <w:spacing w:val="-3"/>
                <w:lang w:val="en-GB"/>
              </w:rPr>
              <w:t>--</w:t>
            </w:r>
          </w:p>
        </w:tc>
        <w:tc>
          <w:tcPr>
            <w:tcW w:w="5528" w:type="dxa"/>
            <w:shd w:val="clear" w:color="auto" w:fill="F2F2F2" w:themeFill="background1" w:themeFillShade="F2"/>
          </w:tcPr>
          <w:p w14:paraId="2B52BCA5" w14:textId="77777777" w:rsidR="00FB3967" w:rsidRPr="009A07AC" w:rsidRDefault="00FB3967" w:rsidP="00FB3967">
            <w:pPr>
              <w:suppressAutoHyphens/>
              <w:spacing w:before="60" w:after="60"/>
              <w:rPr>
                <w:rFonts w:ascii="Arial" w:hAnsi="Arial" w:cs="Arial"/>
                <w:spacing w:val="-3"/>
                <w:lang w:val="en-GB"/>
              </w:rPr>
            </w:pPr>
            <w:r w:rsidRPr="009A07AC">
              <w:rPr>
                <w:rFonts w:ascii="Arial" w:hAnsi="Arial" w:cs="Arial"/>
                <w:spacing w:val="-3"/>
                <w:lang w:val="en-GB"/>
              </w:rPr>
              <w:t>Yellow is within 5%.</w:t>
            </w:r>
          </w:p>
        </w:tc>
      </w:tr>
      <w:tr w:rsidR="00FB3967" w:rsidRPr="00464667" w14:paraId="01E9D31E" w14:textId="77777777" w:rsidTr="002473D3">
        <w:tc>
          <w:tcPr>
            <w:tcW w:w="993" w:type="dxa"/>
            <w:shd w:val="clear" w:color="auto" w:fill="FF0000"/>
          </w:tcPr>
          <w:p w14:paraId="638DE511" w14:textId="77777777" w:rsidR="00FB3967" w:rsidRPr="009A07AC" w:rsidRDefault="00FB3967" w:rsidP="00FB3967">
            <w:pPr>
              <w:suppressAutoHyphens/>
              <w:spacing w:before="60" w:after="60"/>
              <w:rPr>
                <w:rFonts w:ascii="Arial" w:hAnsi="Arial" w:cs="Arial"/>
                <w:b/>
                <w:spacing w:val="-3"/>
                <w:lang w:val="en-GB"/>
              </w:rPr>
            </w:pPr>
            <w:r w:rsidRPr="009A07AC">
              <w:rPr>
                <w:rFonts w:ascii="Arial" w:hAnsi="Arial" w:cs="Arial"/>
                <w:b/>
                <w:spacing w:val="-3"/>
                <w:lang w:val="en-GB"/>
              </w:rPr>
              <w:t>↓ x%</w:t>
            </w:r>
          </w:p>
        </w:tc>
        <w:tc>
          <w:tcPr>
            <w:tcW w:w="5528" w:type="dxa"/>
            <w:shd w:val="clear" w:color="auto" w:fill="F2F2F2" w:themeFill="background1" w:themeFillShade="F2"/>
          </w:tcPr>
          <w:p w14:paraId="5599A207" w14:textId="77777777" w:rsidR="00FB3967" w:rsidRPr="009A07AC" w:rsidRDefault="00FB3967" w:rsidP="00FB3967">
            <w:pPr>
              <w:suppressAutoHyphens/>
              <w:spacing w:before="60" w:after="60"/>
              <w:rPr>
                <w:rFonts w:ascii="Arial" w:hAnsi="Arial" w:cs="Arial"/>
                <w:spacing w:val="-3"/>
                <w:lang w:val="en-GB"/>
              </w:rPr>
            </w:pPr>
            <w:r w:rsidRPr="009A07AC">
              <w:rPr>
                <w:rFonts w:ascii="Arial" w:hAnsi="Arial" w:cs="Arial"/>
                <w:spacing w:val="-3"/>
                <w:lang w:val="en-GB"/>
              </w:rPr>
              <w:t>Red is a deterioration of 5% or more</w:t>
            </w:r>
          </w:p>
        </w:tc>
      </w:tr>
    </w:tbl>
    <w:p w14:paraId="0254E0F2" w14:textId="77777777" w:rsidR="00FB3967" w:rsidRDefault="00FB3967" w:rsidP="00FB3967">
      <w:pPr>
        <w:pStyle w:val="Heading1"/>
      </w:pPr>
      <w:bookmarkStart w:id="34" w:name="_Toc9246810"/>
      <w:r>
        <w:lastRenderedPageBreak/>
        <w:t>Appendices</w:t>
      </w:r>
      <w:bookmarkEnd w:id="34"/>
    </w:p>
    <w:p w14:paraId="0D465C7E" w14:textId="77777777" w:rsidR="00FB3967" w:rsidRDefault="00FB3967" w:rsidP="00FB3967">
      <w:pPr>
        <w:pStyle w:val="Heading2"/>
      </w:pPr>
      <w:bookmarkStart w:id="35" w:name="_Toc9246811"/>
      <w:r>
        <w:t>Appendix 1:</w:t>
      </w:r>
      <w:r w:rsidRPr="00FF7CB6">
        <w:t xml:space="preserve"> report template for minimum data set</w:t>
      </w:r>
      <w:bookmarkEnd w:id="35"/>
    </w:p>
    <w:p w14:paraId="5F56F734" w14:textId="77777777" w:rsidR="00FB3967" w:rsidRPr="00114D61" w:rsidRDefault="00CD2492" w:rsidP="00FB3967">
      <w:pPr>
        <w:pStyle w:val="WoVGtablecaption"/>
        <w:rPr>
          <w:lang w:val="en-GB"/>
        </w:rPr>
      </w:pPr>
      <w:r>
        <w:rPr>
          <w:lang w:val="en-GB"/>
        </w:rPr>
        <w:t>Part</w:t>
      </w:r>
      <w:r w:rsidR="00FB3967">
        <w:rPr>
          <w:lang w:val="en-GB"/>
        </w:rPr>
        <w:t xml:space="preserve"> 1</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63"/>
        <w:gridCol w:w="4463"/>
      </w:tblGrid>
      <w:tr w:rsidR="00FB3967" w:rsidRPr="00386C25" w14:paraId="18573052" w14:textId="77777777" w:rsidTr="007E777B">
        <w:trPr>
          <w:tblHeader/>
        </w:trPr>
        <w:tc>
          <w:tcPr>
            <w:tcW w:w="4463" w:type="dxa"/>
            <w:tcBorders>
              <w:top w:val="single" w:sz="4" w:space="0" w:color="auto"/>
              <w:left w:val="single" w:sz="4" w:space="0" w:color="auto"/>
              <w:bottom w:val="single" w:sz="4" w:space="0" w:color="auto"/>
            </w:tcBorders>
            <w:shd w:val="clear" w:color="auto" w:fill="000000" w:themeFill="text1"/>
          </w:tcPr>
          <w:p w14:paraId="26566944" w14:textId="77777777" w:rsidR="00FB3967" w:rsidRPr="00386C25" w:rsidRDefault="00FB3967" w:rsidP="00FB3967">
            <w:pPr>
              <w:pStyle w:val="Heading4"/>
              <w:outlineLvl w:val="3"/>
              <w:rPr>
                <w:lang w:val="en-GB"/>
              </w:rPr>
            </w:pPr>
            <w:r>
              <w:rPr>
                <w:lang w:val="en-GB"/>
              </w:rPr>
              <w:t>Base Data</w:t>
            </w:r>
          </w:p>
        </w:tc>
        <w:tc>
          <w:tcPr>
            <w:tcW w:w="4463" w:type="dxa"/>
            <w:tcBorders>
              <w:top w:val="single" w:sz="4" w:space="0" w:color="auto"/>
              <w:bottom w:val="single" w:sz="4" w:space="0" w:color="auto"/>
              <w:right w:val="single" w:sz="4" w:space="0" w:color="auto"/>
            </w:tcBorders>
            <w:shd w:val="clear" w:color="auto" w:fill="000000" w:themeFill="text1"/>
          </w:tcPr>
          <w:p w14:paraId="5C112221" w14:textId="77777777" w:rsidR="00FB3967" w:rsidRDefault="00581C08" w:rsidP="00FB3967">
            <w:pPr>
              <w:pStyle w:val="Heading4"/>
              <w:outlineLvl w:val="3"/>
              <w:rPr>
                <w:lang w:val="en-GB"/>
              </w:rPr>
            </w:pPr>
            <w:r>
              <w:rPr>
                <w:lang w:val="en-GB"/>
              </w:rPr>
              <w:t xml:space="preserve">[Insert </w:t>
            </w:r>
            <w:r w:rsidR="00FB3967">
              <w:rPr>
                <w:lang w:val="en-GB"/>
              </w:rPr>
              <w:t xml:space="preserve">Department </w:t>
            </w:r>
            <w:r>
              <w:rPr>
                <w:lang w:val="en-GB"/>
              </w:rPr>
              <w:t>Name]</w:t>
            </w:r>
          </w:p>
        </w:tc>
      </w:tr>
      <w:tr w:rsidR="00FB3967" w:rsidRPr="006C53A2" w14:paraId="50E67521"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3E57594" w14:textId="77777777" w:rsidR="00FB3967" w:rsidRPr="006C53A2" w:rsidRDefault="00FB3967" w:rsidP="00FB3967">
            <w:pPr>
              <w:pStyle w:val="WoVGbodynospace"/>
              <w:rPr>
                <w:lang w:val="en-GB"/>
              </w:rPr>
            </w:pPr>
            <w:r w:rsidRPr="006C53A2">
              <w:rPr>
                <w:lang w:val="en-GB"/>
              </w:rPr>
              <w:t xml:space="preserve">Rates of absenteeism </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CAD04" w14:textId="77777777" w:rsidR="00FB3967" w:rsidRPr="006C53A2" w:rsidRDefault="00FB3967" w:rsidP="009A07AC">
            <w:pPr>
              <w:pStyle w:val="WoVGbodynospace"/>
              <w:rPr>
                <w:lang w:val="en-GB"/>
              </w:rPr>
            </w:pPr>
          </w:p>
        </w:tc>
      </w:tr>
      <w:tr w:rsidR="00FB3967" w:rsidRPr="006C53A2" w14:paraId="18183F69"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4284470" w14:textId="77777777" w:rsidR="00FB3967" w:rsidRDefault="00FB3967" w:rsidP="00FB3967">
            <w:pPr>
              <w:pStyle w:val="WoVGbodynospace"/>
              <w:rPr>
                <w:lang w:val="en-GB"/>
              </w:rPr>
            </w:pPr>
            <w:r w:rsidRPr="006C53A2">
              <w:rPr>
                <w:lang w:val="en-GB"/>
              </w:rPr>
              <w:t>Rates of turnover</w:t>
            </w:r>
          </w:p>
          <w:p w14:paraId="07D6412D" w14:textId="77777777" w:rsidR="00FB3967" w:rsidRPr="005F076E" w:rsidRDefault="00FB3967" w:rsidP="00FB3967">
            <w:pPr>
              <w:pStyle w:val="WoVGbullet1"/>
              <w:rPr>
                <w:lang w:val="en-GB"/>
              </w:rPr>
            </w:pPr>
            <w:r w:rsidRPr="005F076E">
              <w:rPr>
                <w:lang w:val="en-GB"/>
              </w:rPr>
              <w:t>better job</w:t>
            </w:r>
            <w:r>
              <w:rPr>
                <w:lang w:val="en-GB"/>
              </w:rPr>
              <w:t xml:space="preserve"> / </w:t>
            </w:r>
            <w:r w:rsidRPr="005F076E">
              <w:rPr>
                <w:lang w:val="en-GB"/>
              </w:rPr>
              <w:t>promotion</w:t>
            </w:r>
          </w:p>
          <w:p w14:paraId="418F0F93" w14:textId="77777777" w:rsidR="00FB3967" w:rsidRPr="005F076E" w:rsidRDefault="00FB3967" w:rsidP="00FB3967">
            <w:pPr>
              <w:pStyle w:val="WoVGbullet1"/>
              <w:rPr>
                <w:lang w:val="en-GB"/>
              </w:rPr>
            </w:pPr>
            <w:r w:rsidRPr="005F076E">
              <w:rPr>
                <w:lang w:val="en-GB"/>
              </w:rPr>
              <w:t>family</w:t>
            </w:r>
            <w:r>
              <w:rPr>
                <w:lang w:val="en-GB"/>
              </w:rPr>
              <w:t xml:space="preserve"> / health / retirement</w:t>
            </w:r>
          </w:p>
          <w:p w14:paraId="28554508" w14:textId="77777777" w:rsidR="00FB3967" w:rsidRPr="005F076E" w:rsidRDefault="00FB3967" w:rsidP="00FB3967">
            <w:pPr>
              <w:pStyle w:val="WoVGbullet1"/>
              <w:rPr>
                <w:lang w:val="en-GB"/>
              </w:rPr>
            </w:pPr>
            <w:r w:rsidRPr="005F076E">
              <w:rPr>
                <w:lang w:val="en-GB"/>
              </w:rPr>
              <w:t xml:space="preserve">poor </w:t>
            </w:r>
            <w:r>
              <w:rPr>
                <w:lang w:val="en-GB"/>
              </w:rPr>
              <w:t>environment / management</w:t>
            </w:r>
          </w:p>
          <w:p w14:paraId="6A461A72" w14:textId="77777777" w:rsidR="00FB3967" w:rsidRDefault="00FB3967" w:rsidP="00FB3967">
            <w:pPr>
              <w:pStyle w:val="WoVGbullet1"/>
              <w:rPr>
                <w:lang w:val="en-GB"/>
              </w:rPr>
            </w:pPr>
            <w:r w:rsidRPr="005F076E">
              <w:rPr>
                <w:lang w:val="en-GB"/>
              </w:rPr>
              <w:t>bullying/harassment/discrimination</w:t>
            </w:r>
          </w:p>
          <w:p w14:paraId="1E717FC0" w14:textId="77777777" w:rsidR="00FB3967" w:rsidRPr="006C53A2" w:rsidRDefault="00FB3967" w:rsidP="00FB3967">
            <w:pPr>
              <w:pStyle w:val="WoVGbullet1"/>
              <w:rPr>
                <w:lang w:val="en-GB"/>
              </w:rPr>
            </w:pPr>
            <w:r>
              <w:rPr>
                <w:lang w:val="en-GB"/>
              </w:rPr>
              <w:t>other</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EB7A7" w14:textId="77777777" w:rsidR="00FB3967" w:rsidRPr="006C53A2" w:rsidRDefault="00FB3967" w:rsidP="009A07AC">
            <w:pPr>
              <w:pStyle w:val="WoVGbodynospace"/>
              <w:rPr>
                <w:highlight w:val="yellow"/>
                <w:lang w:val="en-GB"/>
              </w:rPr>
            </w:pPr>
          </w:p>
        </w:tc>
      </w:tr>
      <w:tr w:rsidR="00FB3967" w:rsidRPr="006C53A2" w14:paraId="08F3917A"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5456C65" w14:textId="77777777" w:rsidR="00FB3967" w:rsidRPr="006C53A2" w:rsidRDefault="00FB3967" w:rsidP="00FB3967">
            <w:pPr>
              <w:pStyle w:val="WoVGbodynospace"/>
              <w:rPr>
                <w:lang w:val="en-GB"/>
              </w:rPr>
            </w:pPr>
            <w:r w:rsidRPr="006C53A2">
              <w:rPr>
                <w:lang w:val="en-GB"/>
              </w:rPr>
              <w:t>EAP access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C59F4" w14:textId="77777777" w:rsidR="00FB3967" w:rsidRPr="006C53A2" w:rsidRDefault="00FB3967" w:rsidP="009A07AC">
            <w:pPr>
              <w:pStyle w:val="WoVGbodynospace"/>
              <w:rPr>
                <w:lang w:val="en-GB"/>
              </w:rPr>
            </w:pPr>
          </w:p>
        </w:tc>
      </w:tr>
      <w:tr w:rsidR="00FB3967" w:rsidRPr="006C53A2" w14:paraId="33BC1732"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320B2C4" w14:textId="77777777" w:rsidR="00FB3967" w:rsidRDefault="00FB3967" w:rsidP="00FB3967">
            <w:pPr>
              <w:pStyle w:val="WoVGbodynospace"/>
              <w:rPr>
                <w:lang w:val="en-GB"/>
              </w:rPr>
            </w:pPr>
            <w:r>
              <w:rPr>
                <w:lang w:val="en-GB"/>
              </w:rPr>
              <w:t>PMS Survey results (or equivalent)</w:t>
            </w:r>
          </w:p>
          <w:p w14:paraId="1876BA95" w14:textId="77777777" w:rsidR="00FB3967" w:rsidRPr="005817F8" w:rsidRDefault="00FB3967" w:rsidP="005817F8">
            <w:pPr>
              <w:pStyle w:val="WoVGbullet1"/>
              <w:rPr>
                <w:lang w:val="en-GB"/>
              </w:rPr>
            </w:pPr>
            <w:r>
              <w:rPr>
                <w:lang w:val="en-GB"/>
              </w:rPr>
              <w:t>r</w:t>
            </w:r>
            <w:r w:rsidRPr="00C83E27">
              <w:rPr>
                <w:lang w:val="en-GB"/>
              </w:rPr>
              <w:t>esponse rate</w:t>
            </w:r>
            <w:r>
              <w:rPr>
                <w:lang w:val="en-GB"/>
              </w:rPr>
              <w:t>s</w:t>
            </w:r>
          </w:p>
          <w:p w14:paraId="1DE0B482" w14:textId="77777777" w:rsidR="00FB3967" w:rsidRPr="006C53A2" w:rsidRDefault="00FB3967" w:rsidP="00FB3967">
            <w:pPr>
              <w:pStyle w:val="WoVGbodynospace"/>
              <w:rPr>
                <w:lang w:val="en-GB"/>
              </w:rPr>
            </w:pPr>
            <w:r>
              <w:rPr>
                <w:lang w:val="en-GB"/>
              </w:rPr>
              <w:t>Questions</w:t>
            </w:r>
            <w:r w:rsidRPr="006C53A2">
              <w:rPr>
                <w:lang w:val="en-GB"/>
              </w:rPr>
              <w:t>:</w:t>
            </w:r>
          </w:p>
          <w:p w14:paraId="5079A98E" w14:textId="77777777" w:rsidR="00FB3967" w:rsidRDefault="00FB3967" w:rsidP="00FB3967">
            <w:pPr>
              <w:pStyle w:val="WoVGbullet1"/>
              <w:rPr>
                <w:lang w:val="en-GB"/>
              </w:rPr>
            </w:pPr>
            <w:r>
              <w:rPr>
                <w:lang w:val="en-GB"/>
              </w:rPr>
              <w:t>bullying</w:t>
            </w:r>
          </w:p>
          <w:p w14:paraId="666A8D9E" w14:textId="77777777" w:rsidR="000B7C6B" w:rsidRDefault="00FB3967" w:rsidP="00FB3967">
            <w:pPr>
              <w:pStyle w:val="WoVGbullet1"/>
              <w:rPr>
                <w:lang w:val="en-GB"/>
              </w:rPr>
            </w:pPr>
            <w:r>
              <w:rPr>
                <w:lang w:val="en-GB"/>
              </w:rPr>
              <w:t>wellbeing</w:t>
            </w:r>
          </w:p>
          <w:p w14:paraId="20C7C8DB" w14:textId="77777777" w:rsidR="00FB3967" w:rsidRPr="006C53A2" w:rsidRDefault="00FB3967" w:rsidP="00FB3967">
            <w:pPr>
              <w:pStyle w:val="WoVGbullet1"/>
              <w:rPr>
                <w:lang w:val="en-GB"/>
              </w:rPr>
            </w:pPr>
            <w:r>
              <w:rPr>
                <w:lang w:val="en-GB"/>
              </w:rPr>
              <w:t>psychological health (from 2017)</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146F6" w14:textId="77777777" w:rsidR="00FB3967" w:rsidRDefault="00FB3967" w:rsidP="009A07AC">
            <w:pPr>
              <w:pStyle w:val="WoVGbodynospace"/>
              <w:rPr>
                <w:lang w:val="en-GB"/>
              </w:rPr>
            </w:pPr>
          </w:p>
        </w:tc>
      </w:tr>
    </w:tbl>
    <w:p w14:paraId="51D2AC1C" w14:textId="77777777" w:rsidR="000B7C6B" w:rsidRDefault="000B7C6B"/>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63"/>
        <w:gridCol w:w="4463"/>
      </w:tblGrid>
      <w:tr w:rsidR="00FB3967" w:rsidRPr="00386C25" w14:paraId="7189AFF6" w14:textId="77777777" w:rsidTr="007E777B">
        <w:trPr>
          <w:tblHeader/>
        </w:trPr>
        <w:tc>
          <w:tcPr>
            <w:tcW w:w="4463" w:type="dxa"/>
            <w:tcBorders>
              <w:top w:val="single" w:sz="4" w:space="0" w:color="auto"/>
              <w:left w:val="single" w:sz="4" w:space="0" w:color="auto"/>
              <w:bottom w:val="single" w:sz="4" w:space="0" w:color="auto"/>
            </w:tcBorders>
            <w:shd w:val="clear" w:color="auto" w:fill="000000" w:themeFill="text1"/>
          </w:tcPr>
          <w:p w14:paraId="1A218AF0" w14:textId="77777777" w:rsidR="00FB3967" w:rsidRPr="00386C25" w:rsidRDefault="00FB3967" w:rsidP="00FB3967">
            <w:pPr>
              <w:pStyle w:val="Heading4"/>
              <w:outlineLvl w:val="3"/>
              <w:rPr>
                <w:lang w:val="en-GB"/>
              </w:rPr>
            </w:pPr>
            <w:r>
              <w:rPr>
                <w:lang w:val="en-GB"/>
              </w:rPr>
              <w:t>Mature Data</w:t>
            </w:r>
          </w:p>
        </w:tc>
        <w:tc>
          <w:tcPr>
            <w:tcW w:w="4463" w:type="dxa"/>
            <w:tcBorders>
              <w:top w:val="single" w:sz="4" w:space="0" w:color="auto"/>
              <w:bottom w:val="single" w:sz="4" w:space="0" w:color="auto"/>
              <w:right w:val="single" w:sz="4" w:space="0" w:color="auto"/>
            </w:tcBorders>
            <w:shd w:val="clear" w:color="auto" w:fill="000000" w:themeFill="text1"/>
          </w:tcPr>
          <w:p w14:paraId="13DBC7B9" w14:textId="77777777" w:rsidR="00FB3967" w:rsidRPr="00386C25" w:rsidRDefault="00581C08" w:rsidP="00FB3967">
            <w:pPr>
              <w:pStyle w:val="Heading4"/>
              <w:outlineLvl w:val="3"/>
              <w:rPr>
                <w:lang w:val="en-GB"/>
              </w:rPr>
            </w:pPr>
            <w:r>
              <w:rPr>
                <w:lang w:val="en-GB"/>
              </w:rPr>
              <w:t>[Insert Department Name]</w:t>
            </w:r>
          </w:p>
        </w:tc>
      </w:tr>
      <w:tr w:rsidR="00FB3967" w:rsidRPr="006C53A2" w14:paraId="0AB98FAB"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A307391" w14:textId="77777777" w:rsidR="00FB3967" w:rsidRPr="006C53A2" w:rsidRDefault="00FB3967" w:rsidP="00FB3967">
            <w:pPr>
              <w:pStyle w:val="WoVGbodynospace"/>
              <w:rPr>
                <w:lang w:val="en-GB"/>
              </w:rPr>
            </w:pPr>
            <w:r w:rsidRPr="006C53A2">
              <w:rPr>
                <w:lang w:val="en-GB"/>
              </w:rPr>
              <w:t xml:space="preserve">Reported </w:t>
            </w:r>
            <w:r>
              <w:rPr>
                <w:lang w:val="en-GB"/>
              </w:rPr>
              <w:t>matter</w:t>
            </w:r>
            <w:r w:rsidRPr="006C53A2">
              <w:rPr>
                <w:lang w:val="en-GB"/>
              </w:rPr>
              <w:t>s</w:t>
            </w:r>
            <w:r>
              <w:rPr>
                <w:lang w:val="en-GB"/>
              </w:rPr>
              <w:t>:</w:t>
            </w:r>
          </w:p>
          <w:p w14:paraId="3FCE5D9D" w14:textId="77777777" w:rsidR="00FB3967" w:rsidRPr="006C53A2" w:rsidRDefault="00FB3967" w:rsidP="00FB3967">
            <w:pPr>
              <w:pStyle w:val="WoVGbullet1"/>
              <w:rPr>
                <w:lang w:val="en-GB"/>
              </w:rPr>
            </w:pPr>
            <w:r>
              <w:rPr>
                <w:lang w:val="en-GB"/>
              </w:rPr>
              <w:t>o</w:t>
            </w:r>
            <w:r w:rsidRPr="006C53A2">
              <w:rPr>
                <w:lang w:val="en-GB"/>
              </w:rPr>
              <w:t>cc</w:t>
            </w:r>
            <w:r>
              <w:rPr>
                <w:lang w:val="en-GB"/>
              </w:rPr>
              <w:t>upational</w:t>
            </w:r>
            <w:r w:rsidRPr="006C53A2">
              <w:rPr>
                <w:lang w:val="en-GB"/>
              </w:rPr>
              <w:t xml:space="preserve"> Violence</w:t>
            </w:r>
          </w:p>
          <w:p w14:paraId="6AEA2500" w14:textId="77777777" w:rsidR="00FB3967" w:rsidRPr="002C3F0E" w:rsidRDefault="00FB3967" w:rsidP="00FB3967">
            <w:pPr>
              <w:pStyle w:val="WoVGbullet1"/>
              <w:rPr>
                <w:lang w:val="en-GB"/>
              </w:rPr>
            </w:pPr>
            <w:r>
              <w:rPr>
                <w:lang w:val="en-GB"/>
              </w:rPr>
              <w:t>b</w:t>
            </w:r>
            <w:r w:rsidRPr="006C53A2">
              <w:rPr>
                <w:lang w:val="en-GB"/>
              </w:rPr>
              <w:t>ullying</w:t>
            </w:r>
            <w:r>
              <w:rPr>
                <w:lang w:val="en-GB"/>
              </w:rPr>
              <w:t xml:space="preserve"> / </w:t>
            </w:r>
            <w:r w:rsidRPr="002C3F0E">
              <w:rPr>
                <w:lang w:val="en-GB"/>
              </w:rPr>
              <w:t>harassment</w:t>
            </w:r>
          </w:p>
          <w:p w14:paraId="339A7074" w14:textId="77777777" w:rsidR="00FB3967" w:rsidRPr="00293096" w:rsidRDefault="00FB3967" w:rsidP="00FB3967">
            <w:pPr>
              <w:pStyle w:val="WoVGbullet1"/>
              <w:rPr>
                <w:lang w:val="en-GB"/>
              </w:rPr>
            </w:pPr>
            <w:r>
              <w:rPr>
                <w:lang w:val="en-GB"/>
              </w:rPr>
              <w:t>t</w:t>
            </w:r>
            <w:r w:rsidRPr="006C53A2">
              <w:rPr>
                <w:lang w:val="en-GB"/>
              </w:rPr>
              <w:t>raumatic event</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8EAEE" w14:textId="77777777" w:rsidR="00FB3967" w:rsidRPr="00CF525B" w:rsidRDefault="00FB3967" w:rsidP="009A07AC">
            <w:pPr>
              <w:pStyle w:val="WoVGbodynospace"/>
              <w:rPr>
                <w:lang w:val="en-GB"/>
              </w:rPr>
            </w:pPr>
          </w:p>
        </w:tc>
      </w:tr>
      <w:tr w:rsidR="00FB3967" w:rsidRPr="00CF525B" w14:paraId="66732C73"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BC9597B" w14:textId="77777777" w:rsidR="00FB3967" w:rsidRPr="006C53A2" w:rsidRDefault="00FB3967" w:rsidP="00FB3967">
            <w:pPr>
              <w:pStyle w:val="WoVGbodynospace"/>
              <w:rPr>
                <w:lang w:val="en-GB"/>
              </w:rPr>
            </w:pPr>
            <w:r>
              <w:rPr>
                <w:lang w:val="en-GB"/>
              </w:rPr>
              <w:t>Percentage of reported matters (as above) investigation completed</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A8CAA" w14:textId="77777777" w:rsidR="00FB3967" w:rsidRDefault="00FB3967" w:rsidP="009A07AC">
            <w:pPr>
              <w:pStyle w:val="WoVGbodynospace"/>
              <w:rPr>
                <w:lang w:val="en-GB"/>
              </w:rPr>
            </w:pPr>
          </w:p>
        </w:tc>
      </w:tr>
      <w:tr w:rsidR="00FB3967" w:rsidRPr="006C53A2" w14:paraId="3C20C7E7"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B7D17AF" w14:textId="77777777" w:rsidR="00FB3967" w:rsidRDefault="00FB3967" w:rsidP="00FB3967">
            <w:pPr>
              <w:pStyle w:val="WoVGbodynospace"/>
              <w:rPr>
                <w:lang w:val="en-GB"/>
              </w:rPr>
            </w:pPr>
            <w:r>
              <w:rPr>
                <w:lang w:val="en-GB"/>
              </w:rPr>
              <w:t>Mental health and well-being training:</w:t>
            </w:r>
          </w:p>
          <w:p w14:paraId="39028198" w14:textId="77777777" w:rsidR="000B7C6B" w:rsidRDefault="00FB3967" w:rsidP="00FB3967">
            <w:pPr>
              <w:pStyle w:val="WoVGbullet1"/>
              <w:rPr>
                <w:lang w:val="en-GB"/>
              </w:rPr>
            </w:pPr>
            <w:r w:rsidRPr="00C83E27">
              <w:rPr>
                <w:lang w:val="en-GB"/>
              </w:rPr>
              <w:t>% senior leaders completed</w:t>
            </w:r>
          </w:p>
          <w:p w14:paraId="30328926" w14:textId="77777777" w:rsidR="000B7C6B" w:rsidRDefault="00FB3967" w:rsidP="00FB3967">
            <w:pPr>
              <w:pStyle w:val="WoVGbullet1"/>
              <w:rPr>
                <w:lang w:val="en-GB"/>
              </w:rPr>
            </w:pPr>
            <w:r w:rsidRPr="00C83E27">
              <w:rPr>
                <w:lang w:val="en-GB"/>
              </w:rPr>
              <w:t>% people leaders completed</w:t>
            </w:r>
          </w:p>
          <w:p w14:paraId="1DC443FC" w14:textId="77777777" w:rsidR="00FB3967" w:rsidRPr="002C3F0E" w:rsidRDefault="00FB3967" w:rsidP="00FB3967">
            <w:pPr>
              <w:pStyle w:val="WoVGbullet1"/>
              <w:rPr>
                <w:lang w:val="en-GB"/>
              </w:rPr>
            </w:pPr>
            <w:r>
              <w:rPr>
                <w:lang w:val="en-GB"/>
              </w:rPr>
              <w:t xml:space="preserve">% of staff completed </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0D179" w14:textId="77777777" w:rsidR="00FB3967" w:rsidRPr="00CF525B" w:rsidRDefault="00FB3967" w:rsidP="009A07AC">
            <w:pPr>
              <w:pStyle w:val="WoVGbodynospace"/>
              <w:rPr>
                <w:lang w:val="en-GB"/>
              </w:rPr>
            </w:pPr>
          </w:p>
        </w:tc>
      </w:tr>
      <w:tr w:rsidR="00FB3967" w:rsidRPr="006C53A2" w14:paraId="00F79E93"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50A1C48E" w14:textId="77777777" w:rsidR="00FB3967" w:rsidRPr="006C53A2" w:rsidRDefault="00FB3967" w:rsidP="00FB3967">
            <w:pPr>
              <w:pStyle w:val="WoVGbodynospace"/>
              <w:rPr>
                <w:lang w:val="en-GB"/>
              </w:rPr>
            </w:pPr>
            <w:r>
              <w:rPr>
                <w:lang w:val="en-GB"/>
              </w:rPr>
              <w:t>Mental health self-assessment tool</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E5B0B" w14:textId="77777777" w:rsidR="00FB3967" w:rsidRDefault="00FB3967" w:rsidP="009A07AC">
            <w:pPr>
              <w:pStyle w:val="WoVGbodynospace"/>
              <w:rPr>
                <w:lang w:val="en-GB"/>
              </w:rPr>
            </w:pPr>
          </w:p>
        </w:tc>
      </w:tr>
      <w:tr w:rsidR="00FB3967" w:rsidRPr="006C53A2" w14:paraId="39960BD3"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68B1E42" w14:textId="77777777" w:rsidR="00FB3967" w:rsidRPr="006C53A2" w:rsidRDefault="00FB3967" w:rsidP="00FB3967">
            <w:pPr>
              <w:pStyle w:val="WoVGbodynospace"/>
              <w:rPr>
                <w:lang w:val="en-GB"/>
              </w:rPr>
            </w:pPr>
            <w:r>
              <w:rPr>
                <w:lang w:val="en-GB"/>
              </w:rPr>
              <w:t xml:space="preserve">Peer support program </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48DF1" w14:textId="77777777" w:rsidR="00FB3967" w:rsidRDefault="00FB3967" w:rsidP="009A07AC">
            <w:pPr>
              <w:pStyle w:val="WoVGbodynospace"/>
              <w:rPr>
                <w:lang w:val="en-GB"/>
              </w:rPr>
            </w:pPr>
          </w:p>
        </w:tc>
      </w:tr>
      <w:tr w:rsidR="00FB3967" w14:paraId="14DD6A9B"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C507D1C" w14:textId="77777777" w:rsidR="00FB3967" w:rsidRDefault="00FB3967" w:rsidP="00FB3967">
            <w:pPr>
              <w:pStyle w:val="WoVGbodynospace"/>
              <w:rPr>
                <w:lang w:val="en-GB"/>
              </w:rPr>
            </w:pPr>
            <w:r>
              <w:rPr>
                <w:lang w:val="en-GB"/>
              </w:rPr>
              <w:t>Completed Mental health and wellbeing activities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C84BF" w14:textId="77777777" w:rsidR="00FB3967" w:rsidRDefault="00FB3967" w:rsidP="009A07AC">
            <w:pPr>
              <w:pStyle w:val="WoVGbodynospace"/>
              <w:rPr>
                <w:lang w:val="en-GB"/>
              </w:rPr>
            </w:pPr>
          </w:p>
        </w:tc>
      </w:tr>
    </w:tbl>
    <w:p w14:paraId="0D4F8046" w14:textId="77777777" w:rsidR="00FB3967" w:rsidRDefault="00FB3967" w:rsidP="00FB3967">
      <w:pPr>
        <w:rPr>
          <w:caps/>
          <w:color w:val="000000" w:themeColor="text1"/>
          <w:sz w:val="28"/>
          <w:szCs w:val="28"/>
        </w:rPr>
      </w:pPr>
      <w:r>
        <w:br w:type="page"/>
      </w:r>
    </w:p>
    <w:p w14:paraId="3DF8A73D" w14:textId="77777777" w:rsidR="00FB3967" w:rsidRDefault="00CD2492" w:rsidP="00FB3967">
      <w:pPr>
        <w:pStyle w:val="WoVGtablecaption"/>
        <w:rPr>
          <w:lang w:val="en-GB"/>
        </w:rPr>
      </w:pPr>
      <w:r>
        <w:rPr>
          <w:lang w:val="en-GB"/>
        </w:rPr>
        <w:lastRenderedPageBreak/>
        <w:t>Part</w:t>
      </w:r>
      <w:r w:rsidR="00FB3967">
        <w:rPr>
          <w:lang w:val="en-GB"/>
        </w:rPr>
        <w:t xml:space="preserve"> 2</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3"/>
        <w:gridCol w:w="4463"/>
      </w:tblGrid>
      <w:tr w:rsidR="00FB3967" w14:paraId="5C0185F9" w14:textId="77777777" w:rsidTr="007E777B">
        <w:trPr>
          <w:tblHeader/>
        </w:trPr>
        <w:tc>
          <w:tcPr>
            <w:tcW w:w="4463" w:type="dxa"/>
            <w:tcBorders>
              <w:top w:val="single" w:sz="4" w:space="0" w:color="auto"/>
              <w:left w:val="single" w:sz="4" w:space="0" w:color="auto"/>
              <w:bottom w:val="single" w:sz="4" w:space="0" w:color="auto"/>
            </w:tcBorders>
            <w:shd w:val="clear" w:color="auto" w:fill="000000" w:themeFill="text1"/>
          </w:tcPr>
          <w:p w14:paraId="0734B6A4" w14:textId="77777777" w:rsidR="00FB3967" w:rsidRPr="00386C25" w:rsidRDefault="00FB3967" w:rsidP="00FB3967">
            <w:pPr>
              <w:pStyle w:val="Heading4"/>
              <w:outlineLvl w:val="3"/>
              <w:rPr>
                <w:lang w:val="en-GB"/>
              </w:rPr>
            </w:pPr>
            <w:r w:rsidRPr="00386C25">
              <w:rPr>
                <w:lang w:val="en-GB"/>
              </w:rPr>
              <w:t>Data</w:t>
            </w:r>
            <w:r>
              <w:rPr>
                <w:lang w:val="en-GB"/>
              </w:rPr>
              <w:t>*</w:t>
            </w:r>
          </w:p>
        </w:tc>
        <w:tc>
          <w:tcPr>
            <w:tcW w:w="4463" w:type="dxa"/>
            <w:tcBorders>
              <w:top w:val="single" w:sz="4" w:space="0" w:color="auto"/>
              <w:bottom w:val="single" w:sz="4" w:space="0" w:color="auto"/>
              <w:right w:val="single" w:sz="4" w:space="0" w:color="auto"/>
            </w:tcBorders>
            <w:shd w:val="clear" w:color="auto" w:fill="000000" w:themeFill="text1"/>
          </w:tcPr>
          <w:p w14:paraId="0C4F5F23" w14:textId="77777777" w:rsidR="00FB3967" w:rsidRPr="00386C25" w:rsidRDefault="002473D3" w:rsidP="00FB3967">
            <w:pPr>
              <w:pStyle w:val="Heading4"/>
              <w:outlineLvl w:val="3"/>
              <w:rPr>
                <w:lang w:val="en-GB"/>
              </w:rPr>
            </w:pPr>
            <w:r>
              <w:rPr>
                <w:lang w:val="en-GB"/>
              </w:rPr>
              <w:t>[Insert Department Name]</w:t>
            </w:r>
          </w:p>
        </w:tc>
      </w:tr>
      <w:tr w:rsidR="00FB3967" w14:paraId="0BEBFAFB"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17D8D81" w14:textId="77777777" w:rsidR="00FB3967" w:rsidRPr="006C53A2" w:rsidRDefault="00FB3967" w:rsidP="00FB3967">
            <w:pPr>
              <w:pStyle w:val="WoVGbodynospace"/>
              <w:rPr>
                <w:lang w:val="en-GB"/>
              </w:rPr>
            </w:pPr>
            <w:r w:rsidRPr="006C53A2">
              <w:rPr>
                <w:lang w:val="en-GB"/>
              </w:rPr>
              <w:t xml:space="preserve">Mental injury claims per </w:t>
            </w:r>
            <w:r>
              <w:rPr>
                <w:lang w:val="en-GB"/>
              </w:rPr>
              <w:t>100 FTE or AEE</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A64DC" w14:textId="77777777" w:rsidR="00FB3967" w:rsidRPr="006C53A2" w:rsidRDefault="00FB3967" w:rsidP="009A07AC">
            <w:pPr>
              <w:pStyle w:val="WoVGbodynospace"/>
              <w:rPr>
                <w:lang w:val="en-GB"/>
              </w:rPr>
            </w:pPr>
          </w:p>
        </w:tc>
      </w:tr>
      <w:tr w:rsidR="00FB3967" w:rsidRPr="00B5534F" w14:paraId="7875F7F0"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708255B" w14:textId="77777777" w:rsidR="000B7C6B" w:rsidRDefault="00FB3967" w:rsidP="00FB3967">
            <w:pPr>
              <w:pStyle w:val="WoVGbodynospace"/>
              <w:rPr>
                <w:lang w:val="en-GB"/>
              </w:rPr>
            </w:pPr>
            <w:r>
              <w:rPr>
                <w:lang w:val="en-GB"/>
              </w:rPr>
              <w:t xml:space="preserve">Claims per </w:t>
            </w:r>
            <w:r w:rsidRPr="005C719F">
              <w:rPr>
                <w:lang w:val="en-GB"/>
              </w:rPr>
              <w:t>100 FTE or AEE</w:t>
            </w:r>
            <w:r>
              <w:rPr>
                <w:lang w:val="en-GB"/>
              </w:rPr>
              <w:t xml:space="preserve"> by mechanism of injury</w:t>
            </w:r>
          </w:p>
          <w:p w14:paraId="0E8DFA6A" w14:textId="77777777" w:rsidR="00FB3967" w:rsidRPr="00844707" w:rsidRDefault="00FB3967" w:rsidP="00FB3967">
            <w:pPr>
              <w:pStyle w:val="WoVGbullet1"/>
              <w:rPr>
                <w:lang w:val="en-GB"/>
              </w:rPr>
            </w:pPr>
            <w:r w:rsidRPr="00524776">
              <w:rPr>
                <w:lang w:val="en-GB"/>
              </w:rPr>
              <w:t>Occupational violence</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C6CC7" w14:textId="77777777" w:rsidR="00FB3967" w:rsidRPr="006C53A2" w:rsidRDefault="00FB3967" w:rsidP="009A07AC">
            <w:pPr>
              <w:pStyle w:val="WoVGbodynospace"/>
              <w:rPr>
                <w:lang w:val="en-GB"/>
              </w:rPr>
            </w:pPr>
          </w:p>
        </w:tc>
      </w:tr>
      <w:tr w:rsidR="00FB3967" w:rsidRPr="00B5534F" w14:paraId="4E5122B3"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0B5B6E2" w14:textId="77777777" w:rsidR="00FB3967" w:rsidRPr="006C53A2" w:rsidRDefault="00FB3967" w:rsidP="00FB3967">
            <w:pPr>
              <w:pStyle w:val="WoVGbodynospace"/>
              <w:rPr>
                <w:lang w:val="en-GB"/>
              </w:rPr>
            </w:pPr>
            <w:r w:rsidRPr="006C53A2">
              <w:rPr>
                <w:lang w:val="en-GB"/>
              </w:rPr>
              <w:t>Claims by affliction</w:t>
            </w:r>
            <w:r>
              <w:rPr>
                <w:lang w:val="en-GB"/>
              </w:rPr>
              <w:t xml:space="preserve"> – mental injury as a proportion of all claims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5F051" w14:textId="77777777" w:rsidR="00FB3967" w:rsidRPr="006C53A2" w:rsidRDefault="00FB3967" w:rsidP="009A07AC">
            <w:pPr>
              <w:pStyle w:val="WoVGbodynospace"/>
              <w:rPr>
                <w:lang w:val="en-GB"/>
              </w:rPr>
            </w:pPr>
          </w:p>
        </w:tc>
      </w:tr>
      <w:tr w:rsidR="00FB3967" w:rsidRPr="00B5534F" w14:paraId="415BAB1A"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9AD0D9D" w14:textId="77777777" w:rsidR="00FB3967" w:rsidRDefault="00FB3967" w:rsidP="00FB3967">
            <w:pPr>
              <w:pStyle w:val="WoVGbodynospace"/>
              <w:rPr>
                <w:lang w:val="en-GB"/>
              </w:rPr>
            </w:pPr>
            <w:r>
              <w:rPr>
                <w:lang w:val="en-GB"/>
              </w:rPr>
              <w:t xml:space="preserve">Claims per </w:t>
            </w:r>
            <w:r w:rsidRPr="005C719F">
              <w:rPr>
                <w:lang w:val="en-GB"/>
              </w:rPr>
              <w:t xml:space="preserve">100 FTE or AEE </w:t>
            </w:r>
            <w:r>
              <w:rPr>
                <w:lang w:val="en-GB"/>
              </w:rPr>
              <w:t>where</w:t>
            </w:r>
            <w:r w:rsidR="000B7C6B">
              <w:rPr>
                <w:lang w:val="en-GB"/>
              </w:rPr>
              <w:t xml:space="preserve"> </w:t>
            </w:r>
            <w:r>
              <w:rPr>
                <w:lang w:val="en-GB"/>
              </w:rPr>
              <w:t>mechanism of injury was:</w:t>
            </w:r>
          </w:p>
          <w:p w14:paraId="1EEFF8AF" w14:textId="77777777" w:rsidR="00FB3967" w:rsidRPr="00461850" w:rsidRDefault="00FB3967" w:rsidP="00FB3967">
            <w:pPr>
              <w:pStyle w:val="WoVGbullet1"/>
              <w:rPr>
                <w:lang w:val="en-GB"/>
              </w:rPr>
            </w:pPr>
            <w:r w:rsidRPr="00524776">
              <w:rPr>
                <w:lang w:val="en-GB"/>
              </w:rPr>
              <w:t>Bullying</w:t>
            </w:r>
            <w:r>
              <w:rPr>
                <w:lang w:val="en-GB"/>
              </w:rPr>
              <w:t xml:space="preserve"> / </w:t>
            </w:r>
            <w:r w:rsidRPr="00461850">
              <w:rPr>
                <w:lang w:val="en-GB"/>
              </w:rPr>
              <w:t>Harassment</w:t>
            </w:r>
            <w:r>
              <w:rPr>
                <w:lang w:val="en-GB"/>
              </w:rPr>
              <w:t xml:space="preserve"> / </w:t>
            </w:r>
            <w:r w:rsidRPr="00461850">
              <w:rPr>
                <w:lang w:val="en-GB"/>
              </w:rPr>
              <w:t>Discrimination</w:t>
            </w:r>
          </w:p>
          <w:p w14:paraId="77241156" w14:textId="77777777" w:rsidR="00FB3967" w:rsidRPr="00524776" w:rsidRDefault="00FB3967" w:rsidP="00FB3967">
            <w:pPr>
              <w:pStyle w:val="WoVGbullet1"/>
              <w:rPr>
                <w:lang w:val="en-GB"/>
              </w:rPr>
            </w:pPr>
            <w:r w:rsidRPr="00524776">
              <w:rPr>
                <w:lang w:val="en-GB"/>
              </w:rPr>
              <w:t>Work pressure</w:t>
            </w:r>
          </w:p>
          <w:p w14:paraId="3DBA002F" w14:textId="77777777" w:rsidR="00FB3967" w:rsidRDefault="00FB3967" w:rsidP="00FB3967">
            <w:pPr>
              <w:pStyle w:val="WoVGbullet1"/>
              <w:rPr>
                <w:lang w:val="en-GB"/>
              </w:rPr>
            </w:pPr>
            <w:r w:rsidRPr="00524776">
              <w:rPr>
                <w:lang w:val="en-GB"/>
              </w:rPr>
              <w:t>Conflict</w:t>
            </w:r>
          </w:p>
          <w:p w14:paraId="23A5F34D" w14:textId="77777777" w:rsidR="00FB3967" w:rsidRDefault="00FB3967" w:rsidP="00FB3967">
            <w:pPr>
              <w:pStyle w:val="WoVGbullet1"/>
              <w:rPr>
                <w:lang w:val="en-GB"/>
              </w:rPr>
            </w:pPr>
            <w:r>
              <w:rPr>
                <w:lang w:val="en-GB"/>
              </w:rPr>
              <w:t>Traumatic event</w:t>
            </w:r>
          </w:p>
          <w:p w14:paraId="30739DDA" w14:textId="77777777" w:rsidR="00FB3967" w:rsidRPr="00844707" w:rsidRDefault="00FB3967" w:rsidP="00FB3967">
            <w:pPr>
              <w:pStyle w:val="WoVGbullet1"/>
              <w:rPr>
                <w:lang w:val="en-GB"/>
              </w:rPr>
            </w:pPr>
            <w:r>
              <w:rPr>
                <w:lang w:val="en-GB"/>
              </w:rPr>
              <w:t>Other mental stress factors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759B" w14:textId="77777777" w:rsidR="00FB3967" w:rsidRPr="006C53A2" w:rsidRDefault="00FB3967" w:rsidP="009A07AC">
            <w:pPr>
              <w:pStyle w:val="WoVGbodynospace"/>
              <w:rPr>
                <w:lang w:val="en-GB"/>
              </w:rPr>
            </w:pPr>
          </w:p>
        </w:tc>
      </w:tr>
    </w:tbl>
    <w:p w14:paraId="74BFDE95" w14:textId="77777777" w:rsidR="000B7C6B" w:rsidRDefault="007A6383" w:rsidP="00D16E0E">
      <w:pPr>
        <w:spacing w:before="60" w:after="240"/>
      </w:pPr>
      <w:r w:rsidRPr="000B7C6B">
        <w:rPr>
          <w:rFonts w:ascii="Arial" w:hAnsi="Arial" w:cs="Arial"/>
        </w:rPr>
        <w:t>* data collected by WorkSafe Victoria</w:t>
      </w: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4463"/>
        <w:gridCol w:w="4463"/>
      </w:tblGrid>
      <w:tr w:rsidR="00FB3967" w:rsidRPr="00386C25" w14:paraId="32F79BA8" w14:textId="77777777" w:rsidTr="007E777B">
        <w:trPr>
          <w:tblHeader/>
        </w:trPr>
        <w:tc>
          <w:tcPr>
            <w:tcW w:w="4463" w:type="dxa"/>
            <w:tcBorders>
              <w:top w:val="single" w:sz="4" w:space="0" w:color="auto"/>
              <w:left w:val="single" w:sz="4" w:space="0" w:color="auto"/>
              <w:bottom w:val="single" w:sz="4" w:space="0" w:color="auto"/>
            </w:tcBorders>
            <w:shd w:val="clear" w:color="auto" w:fill="000000" w:themeFill="text1"/>
          </w:tcPr>
          <w:p w14:paraId="7FCAE7AC" w14:textId="77777777" w:rsidR="00FB3967" w:rsidRPr="00386C25" w:rsidRDefault="00FB3967" w:rsidP="00FB3967">
            <w:pPr>
              <w:pStyle w:val="Heading4"/>
              <w:outlineLvl w:val="3"/>
              <w:rPr>
                <w:lang w:val="en-GB"/>
              </w:rPr>
            </w:pPr>
            <w:r>
              <w:rPr>
                <w:lang w:val="en-GB"/>
              </w:rPr>
              <w:t>Mature Data</w:t>
            </w:r>
            <w:r w:rsidR="007A6383">
              <w:rPr>
                <w:lang w:val="en-GB"/>
              </w:rPr>
              <w:t>*</w:t>
            </w:r>
          </w:p>
        </w:tc>
        <w:tc>
          <w:tcPr>
            <w:tcW w:w="4463" w:type="dxa"/>
            <w:tcBorders>
              <w:top w:val="single" w:sz="4" w:space="0" w:color="auto"/>
              <w:bottom w:val="single" w:sz="4" w:space="0" w:color="auto"/>
              <w:right w:val="single" w:sz="4" w:space="0" w:color="auto"/>
            </w:tcBorders>
            <w:shd w:val="clear" w:color="auto" w:fill="000000" w:themeFill="text1"/>
          </w:tcPr>
          <w:p w14:paraId="2626A0E8" w14:textId="77777777" w:rsidR="00FB3967" w:rsidRPr="00386C25" w:rsidRDefault="002473D3" w:rsidP="00FB3967">
            <w:pPr>
              <w:pStyle w:val="Heading4"/>
              <w:outlineLvl w:val="3"/>
              <w:rPr>
                <w:lang w:val="en-GB"/>
              </w:rPr>
            </w:pPr>
            <w:r>
              <w:rPr>
                <w:lang w:val="en-GB"/>
              </w:rPr>
              <w:t>[Insert Department Name]</w:t>
            </w:r>
          </w:p>
        </w:tc>
      </w:tr>
      <w:tr w:rsidR="00FB3967" w14:paraId="1BF90CF0"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01B386C" w14:textId="77777777" w:rsidR="00FB3967" w:rsidRPr="006C53A2" w:rsidRDefault="00FB3967" w:rsidP="00FB3967">
            <w:pPr>
              <w:pStyle w:val="WoVGbodynospace"/>
              <w:rPr>
                <w:lang w:val="en-GB"/>
              </w:rPr>
            </w:pPr>
            <w:r>
              <w:rPr>
                <w:lang w:val="en-GB"/>
              </w:rPr>
              <w:t>Mental injury 13-week claims as a percentage of total claims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07083" w14:textId="77777777" w:rsidR="00FB3967" w:rsidRPr="006C53A2" w:rsidRDefault="00FB3967" w:rsidP="009A07AC">
            <w:pPr>
              <w:pStyle w:val="WoVGbodynospace"/>
              <w:rPr>
                <w:lang w:val="en-GB"/>
              </w:rPr>
            </w:pPr>
          </w:p>
        </w:tc>
      </w:tr>
      <w:tr w:rsidR="00FB3967" w:rsidRPr="00D25864" w14:paraId="414F8239"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C720145" w14:textId="77777777" w:rsidR="00FB3967" w:rsidRPr="00D25864" w:rsidRDefault="00FB3967" w:rsidP="00FB3967">
            <w:pPr>
              <w:pStyle w:val="WoVGbodynospace"/>
              <w:rPr>
                <w:lang w:val="en-GB"/>
              </w:rPr>
            </w:pPr>
            <w:r>
              <w:rPr>
                <w:lang w:val="en-GB"/>
              </w:rPr>
              <w:t>Mental injury 26-week claims as a percentage of total claims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782BD" w14:textId="77777777" w:rsidR="00FB3967" w:rsidRPr="00D25864" w:rsidRDefault="00FB3967" w:rsidP="009A07AC">
            <w:pPr>
              <w:pStyle w:val="WoVGbodynospace"/>
              <w:rPr>
                <w:lang w:val="en-GB"/>
              </w:rPr>
            </w:pPr>
          </w:p>
        </w:tc>
      </w:tr>
      <w:tr w:rsidR="00FB3967" w14:paraId="52E09103"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2439E66" w14:textId="77777777" w:rsidR="00FB3967" w:rsidRPr="006C53A2" w:rsidRDefault="00FB3967" w:rsidP="00FB3967">
            <w:pPr>
              <w:pStyle w:val="WoVGbodynospace"/>
              <w:rPr>
                <w:lang w:val="en-GB"/>
              </w:rPr>
            </w:pPr>
            <w:r w:rsidRPr="006C53A2">
              <w:rPr>
                <w:lang w:val="en-GB"/>
              </w:rPr>
              <w:t>Average fully developed costs – mental injury claims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072CB" w14:textId="77777777" w:rsidR="00FB3967" w:rsidRPr="006C53A2" w:rsidRDefault="00FB3967" w:rsidP="009A07AC">
            <w:pPr>
              <w:pStyle w:val="WoVGbodynospace"/>
              <w:rPr>
                <w:lang w:val="en-GB"/>
              </w:rPr>
            </w:pPr>
          </w:p>
        </w:tc>
      </w:tr>
      <w:tr w:rsidR="00FB3967" w14:paraId="7CC006CC"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C2813EF" w14:textId="77777777" w:rsidR="00FB3967" w:rsidRPr="00B15C89" w:rsidRDefault="00FB3967" w:rsidP="00FB3967">
            <w:pPr>
              <w:pStyle w:val="WoVGbodynospace"/>
              <w:rPr>
                <w:lang w:val="en-GB"/>
              </w:rPr>
            </w:pPr>
            <w:r>
              <w:rPr>
                <w:lang w:val="en-GB"/>
              </w:rPr>
              <w:t>Average number of days / shifts lost per workers compensation claim for mental injury</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16441" w14:textId="77777777" w:rsidR="00FB3967" w:rsidRDefault="00FB3967" w:rsidP="009A07AC">
            <w:pPr>
              <w:pStyle w:val="WoVGbodynospace"/>
              <w:rPr>
                <w:lang w:val="en-GB"/>
              </w:rPr>
            </w:pPr>
          </w:p>
        </w:tc>
      </w:tr>
      <w:tr w:rsidR="00FB3967" w:rsidRPr="00D25864" w14:paraId="6A4CAED2" w14:textId="77777777" w:rsidTr="007E777B">
        <w:tc>
          <w:tcPr>
            <w:tcW w:w="4463"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DD1C39B" w14:textId="77777777" w:rsidR="00FB3967" w:rsidRPr="00D25864" w:rsidRDefault="00FB3967" w:rsidP="00FB3967">
            <w:pPr>
              <w:pStyle w:val="WoVGbodynospace"/>
              <w:rPr>
                <w:lang w:val="en-GB"/>
              </w:rPr>
            </w:pPr>
            <w:r w:rsidRPr="00B15C89">
              <w:rPr>
                <w:lang w:val="en-GB"/>
              </w:rPr>
              <w:t>Workers compensation claims by industry groups</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A091F" w14:textId="77777777" w:rsidR="00FB3967" w:rsidRPr="00B15C89" w:rsidRDefault="00FB3967" w:rsidP="009A07AC">
            <w:pPr>
              <w:pStyle w:val="WoVGbodynospace"/>
              <w:rPr>
                <w:lang w:val="en-GB"/>
              </w:rPr>
            </w:pPr>
          </w:p>
        </w:tc>
      </w:tr>
    </w:tbl>
    <w:p w14:paraId="1ADB8FD9" w14:textId="77777777" w:rsidR="007A6383" w:rsidRDefault="007A6383" w:rsidP="007A6383">
      <w:pPr>
        <w:spacing w:before="60" w:after="240"/>
        <w:rPr>
          <w:rFonts w:ascii="Arial" w:hAnsi="Arial" w:cs="Arial"/>
        </w:rPr>
      </w:pPr>
      <w:r w:rsidRPr="000B7C6B">
        <w:rPr>
          <w:rFonts w:ascii="Arial" w:hAnsi="Arial" w:cs="Arial"/>
        </w:rPr>
        <w:t>* data collected by WorkSafe Victoria</w:t>
      </w:r>
    </w:p>
    <w:p w14:paraId="742A3E56" w14:textId="77777777" w:rsidR="00FB3967" w:rsidRDefault="00FB3967" w:rsidP="00FB3967">
      <w:pPr>
        <w:rPr>
          <w:rFonts w:asciiTheme="majorHAnsi" w:hAnsiTheme="majorHAnsi"/>
          <w:color w:val="000000" w:themeColor="text1"/>
        </w:rPr>
      </w:pPr>
      <w:r>
        <w:br w:type="page"/>
      </w:r>
    </w:p>
    <w:p w14:paraId="13A66686" w14:textId="77777777" w:rsidR="000B7C6B" w:rsidRPr="00036B22" w:rsidRDefault="00FB3967" w:rsidP="15806442">
      <w:pPr>
        <w:pStyle w:val="Heading2"/>
      </w:pPr>
      <w:bookmarkStart w:id="36" w:name="_Toc9246812"/>
      <w:r w:rsidRPr="00036B22">
        <w:lastRenderedPageBreak/>
        <w:t>Appendix 2:</w:t>
      </w:r>
      <w:r w:rsidR="00AC77E3" w:rsidRPr="00036B22">
        <w:t xml:space="preserve"> survey q</w:t>
      </w:r>
      <w:r w:rsidRPr="00036B22">
        <w:t>uestions</w:t>
      </w:r>
      <w:bookmarkEnd w:id="36"/>
    </w:p>
    <w:p w14:paraId="71B7F120" w14:textId="77777777" w:rsidR="00FB3967" w:rsidRPr="00036B22" w:rsidRDefault="00FB3967" w:rsidP="15806442">
      <w:pPr>
        <w:pStyle w:val="WoVGtablecaption"/>
        <w:rPr>
          <w:lang w:val="en-GB"/>
        </w:rPr>
      </w:pPr>
      <w:r w:rsidRPr="00036B22">
        <w:rPr>
          <w:lang w:val="en-GB"/>
        </w:rPr>
        <w:t>People Matter Survey (PMS)</w:t>
      </w:r>
    </w:p>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59"/>
        <w:gridCol w:w="6968"/>
      </w:tblGrid>
      <w:tr w:rsidR="00FB3967" w:rsidRPr="00036B22" w14:paraId="3462331F" w14:textId="77777777" w:rsidTr="15806442">
        <w:trPr>
          <w:tblHeader/>
        </w:trPr>
        <w:tc>
          <w:tcPr>
            <w:tcW w:w="2122" w:type="dxa"/>
            <w:tcBorders>
              <w:top w:val="single" w:sz="4" w:space="0" w:color="auto"/>
              <w:left w:val="single" w:sz="4" w:space="0" w:color="auto"/>
              <w:bottom w:val="single" w:sz="4" w:space="0" w:color="auto"/>
            </w:tcBorders>
            <w:shd w:val="clear" w:color="auto" w:fill="000000" w:themeFill="text1"/>
          </w:tcPr>
          <w:p w14:paraId="38AA5FA6" w14:textId="77777777" w:rsidR="00FB3967" w:rsidRPr="00036B22" w:rsidRDefault="00FB3967" w:rsidP="15806442">
            <w:pPr>
              <w:pStyle w:val="Heading4"/>
              <w:outlineLvl w:val="3"/>
              <w:rPr>
                <w:lang w:val="en-GB"/>
              </w:rPr>
            </w:pPr>
            <w:r w:rsidRPr="00036B22">
              <w:rPr>
                <w:lang w:val="en-GB"/>
              </w:rPr>
              <w:t>Category</w:t>
            </w:r>
          </w:p>
        </w:tc>
        <w:tc>
          <w:tcPr>
            <w:tcW w:w="7512" w:type="dxa"/>
            <w:tcBorders>
              <w:top w:val="single" w:sz="4" w:space="0" w:color="auto"/>
              <w:bottom w:val="single" w:sz="4" w:space="0" w:color="auto"/>
              <w:right w:val="single" w:sz="4" w:space="0" w:color="auto"/>
            </w:tcBorders>
            <w:shd w:val="clear" w:color="auto" w:fill="000000" w:themeFill="text1"/>
          </w:tcPr>
          <w:p w14:paraId="7B242311" w14:textId="77777777" w:rsidR="00FB3967" w:rsidRPr="00036B22" w:rsidRDefault="00FB3967" w:rsidP="15806442">
            <w:pPr>
              <w:pStyle w:val="Heading4"/>
              <w:outlineLvl w:val="3"/>
              <w:rPr>
                <w:lang w:val="en-GB"/>
              </w:rPr>
            </w:pPr>
            <w:r w:rsidRPr="00036B22">
              <w:rPr>
                <w:lang w:val="en-GB"/>
              </w:rPr>
              <w:t>Question</w:t>
            </w:r>
          </w:p>
        </w:tc>
      </w:tr>
      <w:tr w:rsidR="00FB3967" w:rsidRPr="00036B22" w14:paraId="082A8F5D" w14:textId="77777777" w:rsidTr="15806442">
        <w:tc>
          <w:tcPr>
            <w:tcW w:w="2122" w:type="dxa"/>
            <w:tcBorders>
              <w:top w:val="single" w:sz="4" w:space="0" w:color="auto"/>
              <w:left w:val="single" w:sz="4" w:space="0" w:color="auto"/>
              <w:bottom w:val="single" w:sz="4" w:space="0" w:color="auto"/>
              <w:right w:val="single" w:sz="4" w:space="0" w:color="auto"/>
            </w:tcBorders>
            <w:shd w:val="clear" w:color="auto" w:fill="CCCCCC"/>
          </w:tcPr>
          <w:p w14:paraId="364FEE20" w14:textId="77777777" w:rsidR="00FB3967" w:rsidRPr="00036B22" w:rsidRDefault="00FB3967" w:rsidP="15806442">
            <w:pPr>
              <w:pStyle w:val="WoVGbodynospace"/>
              <w:rPr>
                <w:lang w:val="en-GB"/>
              </w:rPr>
            </w:pPr>
            <w:r w:rsidRPr="00036B22">
              <w:rPr>
                <w:lang w:val="en-GB"/>
              </w:rPr>
              <w:t>Bullying</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F0E81" w14:textId="0DB20520" w:rsidR="00FB3967" w:rsidRPr="00036B22" w:rsidRDefault="00FB3967" w:rsidP="15806442">
            <w:pPr>
              <w:pStyle w:val="WoVGbodynospace"/>
              <w:rPr>
                <w:lang w:val="en-GB"/>
              </w:rPr>
            </w:pPr>
            <w:r w:rsidRPr="00036B22">
              <w:rPr>
                <w:lang w:val="en-GB"/>
              </w:rPr>
              <w:t xml:space="preserve">1.1 </w:t>
            </w:r>
            <w:r w:rsidR="006F4F25" w:rsidRPr="00036B22">
              <w:rPr>
                <w:lang w:val="en-GB"/>
              </w:rPr>
              <w:t>My organisation takes steps to eliminate bullying, harassment and discrimination</w:t>
            </w:r>
            <w:r w:rsidR="00562BFB">
              <w:rPr>
                <w:lang w:val="en-GB"/>
              </w:rPr>
              <w:t xml:space="preserve"> </w:t>
            </w:r>
            <w:r w:rsidR="00562BFB" w:rsidRPr="00036B22">
              <w:rPr>
                <w:lang w:val="en-GB"/>
              </w:rPr>
              <w:t>(Agree %)</w:t>
            </w:r>
          </w:p>
          <w:p w14:paraId="468C2C47" w14:textId="0115F64F" w:rsidR="00FB3967" w:rsidRPr="00036B22" w:rsidRDefault="00FB3967" w:rsidP="15806442">
            <w:pPr>
              <w:pStyle w:val="WoVGbodynospace"/>
              <w:rPr>
                <w:lang w:val="en-GB"/>
              </w:rPr>
            </w:pPr>
            <w:r w:rsidRPr="00036B22">
              <w:rPr>
                <w:lang w:val="en-GB"/>
              </w:rPr>
              <w:t>OR</w:t>
            </w:r>
          </w:p>
          <w:p w14:paraId="0A8B693A" w14:textId="093C9358" w:rsidR="00FB3967" w:rsidRPr="00036B22" w:rsidRDefault="00FB3967" w:rsidP="15806442">
            <w:pPr>
              <w:pStyle w:val="WoVGbodynospace"/>
              <w:rPr>
                <w:lang w:val="en-GB"/>
              </w:rPr>
            </w:pPr>
            <w:r w:rsidRPr="00036B22">
              <w:rPr>
                <w:lang w:val="en-GB"/>
              </w:rPr>
              <w:t xml:space="preserve">1.1 </w:t>
            </w:r>
            <w:r w:rsidR="003A7295" w:rsidRPr="00036B22">
              <w:t>During the last 12 months, in your current organisation have you personally experienced bullying at work (Yes %)</w:t>
            </w:r>
          </w:p>
          <w:p w14:paraId="215089D9" w14:textId="0148EA72" w:rsidR="00FB3967" w:rsidRPr="00036B22" w:rsidRDefault="00FB3967" w:rsidP="15806442">
            <w:pPr>
              <w:pStyle w:val="WoVGbodynospace"/>
              <w:rPr>
                <w:lang w:val="en-GB"/>
              </w:rPr>
            </w:pPr>
            <w:r w:rsidRPr="00036B22">
              <w:rPr>
                <w:lang w:val="en-GB"/>
              </w:rPr>
              <w:t xml:space="preserve">1.2 </w:t>
            </w:r>
            <w:r w:rsidR="003A7295" w:rsidRPr="00036B22">
              <w:t>Did you tell anyone about the bullying (Submitted a formal complaint</w:t>
            </w:r>
            <w:r w:rsidR="003A7295" w:rsidRPr="00036B22">
              <w:rPr>
                <w:lang w:val="en-GB"/>
              </w:rPr>
              <w:t xml:space="preserve"> %)</w:t>
            </w:r>
          </w:p>
          <w:p w14:paraId="29C51104" w14:textId="3F07A8B5" w:rsidR="00FB3967" w:rsidRPr="00036B22" w:rsidRDefault="00FB3967" w:rsidP="15806442">
            <w:pPr>
              <w:pStyle w:val="WoVGbodynospace"/>
              <w:rPr>
                <w:lang w:val="en-GB"/>
              </w:rPr>
            </w:pPr>
            <w:r w:rsidRPr="00036B22">
              <w:rPr>
                <w:lang w:val="en-GB"/>
              </w:rPr>
              <w:t>1.3 Were you satisfied with the way your formal complaint was handled</w:t>
            </w:r>
            <w:r w:rsidR="003A7295" w:rsidRPr="00036B22">
              <w:rPr>
                <w:lang w:val="en-GB"/>
              </w:rPr>
              <w:t xml:space="preserve"> (Yes%)</w:t>
            </w:r>
          </w:p>
        </w:tc>
      </w:tr>
      <w:tr w:rsidR="00FB3967" w:rsidRPr="00036B22" w14:paraId="4E421D53" w14:textId="77777777" w:rsidTr="15806442">
        <w:tc>
          <w:tcPr>
            <w:tcW w:w="2122" w:type="dxa"/>
            <w:tcBorders>
              <w:top w:val="single" w:sz="4" w:space="0" w:color="auto"/>
              <w:left w:val="single" w:sz="4" w:space="0" w:color="auto"/>
              <w:bottom w:val="single" w:sz="4" w:space="0" w:color="auto"/>
              <w:right w:val="single" w:sz="4" w:space="0" w:color="auto"/>
            </w:tcBorders>
            <w:shd w:val="clear" w:color="auto" w:fill="CCCCCC"/>
          </w:tcPr>
          <w:p w14:paraId="63CA8C25" w14:textId="77777777" w:rsidR="00FB3967" w:rsidRPr="00036B22" w:rsidRDefault="00FB3967" w:rsidP="15806442">
            <w:pPr>
              <w:pStyle w:val="WoVGbodynospace"/>
              <w:rPr>
                <w:lang w:val="en-GB"/>
              </w:rPr>
            </w:pPr>
            <w:r w:rsidRPr="00036B22">
              <w:rPr>
                <w:lang w:val="en-GB"/>
              </w:rPr>
              <w:t>Wellbeing</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F273E" w14:textId="7DBCBDF4" w:rsidR="00FB3967" w:rsidRPr="00036B22" w:rsidRDefault="00FB3967" w:rsidP="15806442">
            <w:pPr>
              <w:pStyle w:val="WoVGbodynospace"/>
              <w:rPr>
                <w:lang w:val="en-GB"/>
              </w:rPr>
            </w:pPr>
            <w:r w:rsidRPr="00036B22">
              <w:rPr>
                <w:lang w:val="en-GB"/>
              </w:rPr>
              <w:t>2.</w:t>
            </w:r>
            <w:r w:rsidR="003A7295" w:rsidRPr="00036B22">
              <w:rPr>
                <w:lang w:val="en-GB"/>
              </w:rPr>
              <w:t>1</w:t>
            </w:r>
            <w:r w:rsidRPr="00036B22">
              <w:rPr>
                <w:lang w:val="en-GB"/>
              </w:rPr>
              <w:t xml:space="preserve"> The workload I have is appropriate for the job that I do</w:t>
            </w:r>
            <w:r w:rsidR="003A7295" w:rsidRPr="00036B22">
              <w:rPr>
                <w:lang w:val="en-GB"/>
              </w:rPr>
              <w:t xml:space="preserve"> (Agree %)</w:t>
            </w:r>
          </w:p>
          <w:p w14:paraId="4E8137AF" w14:textId="34C7F6F5" w:rsidR="00FB3967" w:rsidRPr="00036B22" w:rsidRDefault="00FB3967" w:rsidP="15806442">
            <w:pPr>
              <w:pStyle w:val="WoVGbodynospace"/>
              <w:rPr>
                <w:lang w:val="en-GB"/>
              </w:rPr>
            </w:pPr>
            <w:r w:rsidRPr="00036B22">
              <w:rPr>
                <w:lang w:val="en-GB"/>
              </w:rPr>
              <w:t>2.</w:t>
            </w:r>
            <w:r w:rsidR="003A7295" w:rsidRPr="00036B22">
              <w:rPr>
                <w:lang w:val="en-GB"/>
              </w:rPr>
              <w:t>2</w:t>
            </w:r>
            <w:r w:rsidRPr="00036B22">
              <w:rPr>
                <w:lang w:val="en-GB"/>
              </w:rPr>
              <w:t xml:space="preserve"> </w:t>
            </w:r>
            <w:r w:rsidR="003A7295" w:rsidRPr="00036B22">
              <w:t>How satisfied are you with the work/life balance in your current job (Satisfied %)</w:t>
            </w:r>
          </w:p>
        </w:tc>
      </w:tr>
      <w:tr w:rsidR="00FB3967" w14:paraId="540912C8" w14:textId="77777777" w:rsidTr="15806442">
        <w:tc>
          <w:tcPr>
            <w:tcW w:w="2122" w:type="dxa"/>
            <w:tcBorders>
              <w:top w:val="single" w:sz="4" w:space="0" w:color="auto"/>
              <w:left w:val="single" w:sz="4" w:space="0" w:color="auto"/>
              <w:bottom w:val="single" w:sz="4" w:space="0" w:color="auto"/>
              <w:right w:val="single" w:sz="4" w:space="0" w:color="auto"/>
            </w:tcBorders>
            <w:shd w:val="clear" w:color="auto" w:fill="CCCCCC"/>
          </w:tcPr>
          <w:p w14:paraId="596BD071" w14:textId="77777777" w:rsidR="00FB3967" w:rsidRPr="00036B22" w:rsidRDefault="00FB3967" w:rsidP="15806442">
            <w:pPr>
              <w:pStyle w:val="WoVGbodynospace"/>
              <w:rPr>
                <w:lang w:val="en-GB"/>
              </w:rPr>
            </w:pPr>
            <w:r w:rsidRPr="00036B22">
              <w:rPr>
                <w:lang w:val="en-GB"/>
              </w:rPr>
              <w:t>Psychological health in the workplace</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623AB" w14:textId="4DEF510A" w:rsidR="00FB3967" w:rsidRPr="00036B22" w:rsidRDefault="00FB3967" w:rsidP="15806442">
            <w:pPr>
              <w:pStyle w:val="WoVGbodynospace"/>
              <w:rPr>
                <w:lang w:val="en-GB"/>
              </w:rPr>
            </w:pPr>
            <w:r w:rsidRPr="00036B22">
              <w:rPr>
                <w:lang w:val="en-GB"/>
              </w:rPr>
              <w:t>3.</w:t>
            </w:r>
            <w:r w:rsidR="003A7295" w:rsidRPr="00036B22">
              <w:rPr>
                <w:lang w:val="en-GB"/>
              </w:rPr>
              <w:t>1</w:t>
            </w:r>
            <w:r w:rsidRPr="00036B22">
              <w:rPr>
                <w:lang w:val="en-GB"/>
              </w:rPr>
              <w:t xml:space="preserve"> Senior </w:t>
            </w:r>
            <w:r w:rsidR="003A7295" w:rsidRPr="00036B22">
              <w:rPr>
                <w:lang w:val="en-GB"/>
              </w:rPr>
              <w:t>leaders</w:t>
            </w:r>
            <w:r w:rsidRPr="00036B22">
              <w:rPr>
                <w:lang w:val="en-GB"/>
              </w:rPr>
              <w:t xml:space="preserve"> show support for stress prevention through involvement and commitment</w:t>
            </w:r>
            <w:r w:rsidR="003A7295" w:rsidRPr="00036B22">
              <w:rPr>
                <w:lang w:val="en-GB"/>
              </w:rPr>
              <w:t xml:space="preserve"> (Agree %)</w:t>
            </w:r>
          </w:p>
          <w:p w14:paraId="2FFD7DCD" w14:textId="1D21E3A2" w:rsidR="00FB3967" w:rsidRPr="00036B22" w:rsidRDefault="00FB3967" w:rsidP="15806442">
            <w:pPr>
              <w:pStyle w:val="WoVGbodynospace"/>
              <w:rPr>
                <w:lang w:val="en-GB"/>
              </w:rPr>
            </w:pPr>
            <w:r w:rsidRPr="00036B22">
              <w:rPr>
                <w:lang w:val="en-GB"/>
              </w:rPr>
              <w:t>3.</w:t>
            </w:r>
            <w:r w:rsidR="003A7295" w:rsidRPr="00036B22">
              <w:rPr>
                <w:lang w:val="en-GB"/>
              </w:rPr>
              <w:t>2</w:t>
            </w:r>
            <w:r w:rsidRPr="00036B22">
              <w:rPr>
                <w:lang w:val="en-GB"/>
              </w:rPr>
              <w:t xml:space="preserve"> </w:t>
            </w:r>
            <w:r w:rsidR="003A7295" w:rsidRPr="00036B22">
              <w:rPr>
                <w:lang w:val="en-GB"/>
              </w:rPr>
              <w:t>Senior leaders consider the psychological health of employees to be as important as productivity (Agree %)</w:t>
            </w:r>
          </w:p>
          <w:p w14:paraId="2ACFE6DC" w14:textId="382673BA" w:rsidR="00FB3967" w:rsidRPr="00036B22" w:rsidRDefault="00FB3967" w:rsidP="15806442">
            <w:pPr>
              <w:pStyle w:val="WoVGbodynospace"/>
              <w:rPr>
                <w:lang w:val="en-GB"/>
              </w:rPr>
            </w:pPr>
            <w:r w:rsidRPr="00036B22">
              <w:rPr>
                <w:lang w:val="en-GB"/>
              </w:rPr>
              <w:t>3.</w:t>
            </w:r>
            <w:r w:rsidR="003A7295" w:rsidRPr="00036B22">
              <w:rPr>
                <w:lang w:val="en-GB"/>
              </w:rPr>
              <w:t>3</w:t>
            </w:r>
            <w:r w:rsidRPr="00036B22">
              <w:rPr>
                <w:lang w:val="en-GB"/>
              </w:rPr>
              <w:t xml:space="preserve"> In my workplace, there is good communication about psychological safety issues that affect me</w:t>
            </w:r>
            <w:r w:rsidR="003A7295" w:rsidRPr="00036B22">
              <w:rPr>
                <w:lang w:val="en-GB"/>
              </w:rPr>
              <w:t xml:space="preserve"> (Agree %)</w:t>
            </w:r>
          </w:p>
          <w:p w14:paraId="27CBE47B" w14:textId="2ED3A16E" w:rsidR="00FB3967" w:rsidRPr="00036B22" w:rsidRDefault="00FB3967" w:rsidP="15806442">
            <w:pPr>
              <w:pStyle w:val="WoVGbodynospace"/>
              <w:rPr>
                <w:lang w:val="en-GB"/>
              </w:rPr>
            </w:pPr>
            <w:r w:rsidRPr="00036B22">
              <w:rPr>
                <w:lang w:val="en-GB"/>
              </w:rPr>
              <w:t>3.</w:t>
            </w:r>
            <w:r w:rsidR="003A7295" w:rsidRPr="00036B22">
              <w:rPr>
                <w:lang w:val="en-GB"/>
              </w:rPr>
              <w:t>4</w:t>
            </w:r>
            <w:r w:rsidRPr="00036B22">
              <w:rPr>
                <w:lang w:val="en-GB"/>
              </w:rPr>
              <w:t xml:space="preserve"> </w:t>
            </w:r>
            <w:r w:rsidR="003A7295" w:rsidRPr="00036B22">
              <w:t>All levels of my organisation are involved in the prevention of stress</w:t>
            </w:r>
            <w:r w:rsidR="003A7295" w:rsidRPr="00036B22">
              <w:rPr>
                <w:lang w:val="en-GB"/>
              </w:rPr>
              <w:t xml:space="preserve"> (Agree %)</w:t>
            </w:r>
          </w:p>
        </w:tc>
      </w:tr>
    </w:tbl>
    <w:p w14:paraId="7B226329" w14:textId="77777777" w:rsidR="00FB3967" w:rsidRPr="00BB0D4C" w:rsidRDefault="00FB3967" w:rsidP="00BB0D4C">
      <w:pPr>
        <w:pStyle w:val="WoVGbody"/>
      </w:pPr>
      <w:r w:rsidRPr="00BB0D4C">
        <w:br w:type="page"/>
      </w:r>
    </w:p>
    <w:p w14:paraId="71431A4C" w14:textId="77777777" w:rsidR="000B7C6B" w:rsidRDefault="00FB3967" w:rsidP="00FB3967">
      <w:pPr>
        <w:pStyle w:val="Heading2"/>
      </w:pPr>
      <w:bookmarkStart w:id="37" w:name="_Toc9246813"/>
      <w:r>
        <w:lastRenderedPageBreak/>
        <w:t>Appendix 3:</w:t>
      </w:r>
      <w:r w:rsidRPr="00FF7CB6">
        <w:t xml:space="preserve"> </w:t>
      </w:r>
      <w:r w:rsidR="00AC77E3">
        <w:t>wellbeing initiatives</w:t>
      </w:r>
      <w:bookmarkEnd w:id="37"/>
    </w:p>
    <w:p w14:paraId="3654BFEF" w14:textId="77777777" w:rsidR="00FB3967" w:rsidRPr="008753B9" w:rsidRDefault="00FB3967" w:rsidP="00FB3967">
      <w:pPr>
        <w:pStyle w:val="WoVGtablecaption"/>
        <w:rPr>
          <w:lang w:val="en-GB"/>
        </w:rPr>
      </w:pPr>
      <w:r w:rsidRPr="008753B9">
        <w:rPr>
          <w:lang w:val="en-GB"/>
        </w:rPr>
        <w:t>Select at least 2 initiatives per year</w:t>
      </w:r>
    </w:p>
    <w:tbl>
      <w:tblPr>
        <w:tblStyle w:val="TableGrid"/>
        <w:tblW w:w="9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9"/>
        <w:gridCol w:w="6048"/>
      </w:tblGrid>
      <w:tr w:rsidR="00FB3967" w14:paraId="528AD77F" w14:textId="77777777" w:rsidTr="007D247A">
        <w:trPr>
          <w:tblHeader/>
        </w:trPr>
        <w:tc>
          <w:tcPr>
            <w:tcW w:w="3114" w:type="dxa"/>
            <w:tcBorders>
              <w:top w:val="single" w:sz="4" w:space="0" w:color="auto"/>
              <w:left w:val="single" w:sz="4" w:space="0" w:color="auto"/>
              <w:bottom w:val="single" w:sz="4" w:space="0" w:color="auto"/>
            </w:tcBorders>
            <w:shd w:val="clear" w:color="auto" w:fill="000000" w:themeFill="text1"/>
          </w:tcPr>
          <w:p w14:paraId="6C540412" w14:textId="77777777" w:rsidR="00FB3967" w:rsidRPr="00386C25" w:rsidRDefault="00FB3967" w:rsidP="00FB3967">
            <w:pPr>
              <w:pStyle w:val="Heading4"/>
              <w:outlineLvl w:val="3"/>
              <w:rPr>
                <w:lang w:val="en-GB"/>
              </w:rPr>
            </w:pPr>
            <w:r>
              <w:rPr>
                <w:lang w:val="en-GB"/>
              </w:rPr>
              <w:t>Initiative</w:t>
            </w:r>
          </w:p>
        </w:tc>
        <w:tc>
          <w:tcPr>
            <w:tcW w:w="6520" w:type="dxa"/>
            <w:tcBorders>
              <w:top w:val="single" w:sz="4" w:space="0" w:color="auto"/>
              <w:bottom w:val="single" w:sz="4" w:space="0" w:color="auto"/>
              <w:right w:val="single" w:sz="4" w:space="0" w:color="auto"/>
            </w:tcBorders>
            <w:shd w:val="clear" w:color="auto" w:fill="000000" w:themeFill="text1"/>
          </w:tcPr>
          <w:p w14:paraId="6E2D14FB" w14:textId="77777777" w:rsidR="00FB3967" w:rsidRPr="00386C25" w:rsidRDefault="00FB3967" w:rsidP="00FB3967">
            <w:pPr>
              <w:pStyle w:val="Heading4"/>
              <w:outlineLvl w:val="3"/>
              <w:rPr>
                <w:lang w:val="en-GB"/>
              </w:rPr>
            </w:pPr>
            <w:r>
              <w:rPr>
                <w:lang w:val="en-GB"/>
              </w:rPr>
              <w:t>Description</w:t>
            </w:r>
          </w:p>
        </w:tc>
      </w:tr>
      <w:tr w:rsidR="00FB3967" w14:paraId="167F09A9"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379F5C9" w14:textId="77777777" w:rsidR="00FB3967" w:rsidRPr="006C53A2" w:rsidRDefault="00FB3967" w:rsidP="00FB3967">
            <w:pPr>
              <w:pStyle w:val="WoVGbodynospace"/>
              <w:rPr>
                <w:lang w:val="en-GB"/>
              </w:rPr>
            </w:pPr>
            <w:r>
              <w:rPr>
                <w:lang w:val="en-GB"/>
              </w:rPr>
              <w:t>Mental Health Communications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6E0E8" w14:textId="77777777" w:rsidR="00FB3967" w:rsidRPr="006C53A2" w:rsidRDefault="00FB3967" w:rsidP="00FB3967">
            <w:pPr>
              <w:pStyle w:val="WoVGbodynospace"/>
              <w:rPr>
                <w:lang w:val="en-GB"/>
              </w:rPr>
            </w:pPr>
            <w:r>
              <w:rPr>
                <w:lang w:val="en-GB"/>
              </w:rPr>
              <w:t>Information provided to staff on resources available to them such as Beyond Blue, Sane Australia and Heads Up</w:t>
            </w:r>
          </w:p>
        </w:tc>
      </w:tr>
      <w:tr w:rsidR="00FB3967" w14:paraId="60A5A96E"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2A26905" w14:textId="77777777" w:rsidR="00FB3967" w:rsidRPr="006C53A2" w:rsidRDefault="00FB3967" w:rsidP="00FB3967">
            <w:pPr>
              <w:pStyle w:val="WoVGbodynospace"/>
              <w:rPr>
                <w:lang w:val="en-GB"/>
              </w:rPr>
            </w:pPr>
            <w:r>
              <w:rPr>
                <w:lang w:val="en-GB"/>
              </w:rPr>
              <w:t>Go home on time day</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3A960" w14:textId="77777777" w:rsidR="00FB3967" w:rsidRPr="006C53A2" w:rsidRDefault="00FB3967" w:rsidP="00FB3967">
            <w:pPr>
              <w:pStyle w:val="WoVGbodynospace"/>
              <w:rPr>
                <w:lang w:val="en-GB"/>
              </w:rPr>
            </w:pPr>
            <w:r>
              <w:rPr>
                <w:lang w:val="en-GB"/>
              </w:rPr>
              <w:t>Focus awareness on working hours and ensure work/life balance encouragement to staff to go home on time</w:t>
            </w:r>
          </w:p>
        </w:tc>
      </w:tr>
      <w:tr w:rsidR="00FB3967" w14:paraId="5149A10F"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E61CDD5" w14:textId="77777777" w:rsidR="00FB3967" w:rsidRPr="006C53A2" w:rsidRDefault="00FB3967" w:rsidP="00FB3967">
            <w:pPr>
              <w:pStyle w:val="WoVGbodynospace"/>
              <w:rPr>
                <w:lang w:val="en-GB"/>
              </w:rPr>
            </w:pPr>
            <w:r>
              <w:rPr>
                <w:lang w:val="en-GB"/>
              </w:rPr>
              <w:t>Healthy eating challenges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23B4C" w14:textId="77777777" w:rsidR="00FB3967" w:rsidRPr="006C53A2" w:rsidRDefault="00FB3967" w:rsidP="00FB3967">
            <w:pPr>
              <w:pStyle w:val="WoVGbodynospace"/>
              <w:rPr>
                <w:lang w:val="en-GB"/>
              </w:rPr>
            </w:pPr>
            <w:r>
              <w:rPr>
                <w:lang w:val="en-GB"/>
              </w:rPr>
              <w:t>provide healthy eating options and relevant information is available for staff in the workplace</w:t>
            </w:r>
          </w:p>
        </w:tc>
      </w:tr>
      <w:tr w:rsidR="00FB3967" w14:paraId="0CD0D307"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0B49D1C" w14:textId="77777777" w:rsidR="00FB3967" w:rsidRPr="006C53A2" w:rsidRDefault="00FB3967" w:rsidP="00FB3967">
            <w:pPr>
              <w:pStyle w:val="WoVGbodynospace"/>
              <w:rPr>
                <w:lang w:val="en-GB"/>
              </w:rPr>
            </w:pPr>
            <w:r>
              <w:rPr>
                <w:lang w:val="en-GB"/>
              </w:rPr>
              <w:t>Healthy living challenges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BFAC8" w14:textId="77777777" w:rsidR="00FB3967" w:rsidRPr="006C53A2" w:rsidRDefault="00FB3967" w:rsidP="00FB3967">
            <w:pPr>
              <w:pStyle w:val="WoVGbodynospace"/>
              <w:rPr>
                <w:lang w:val="en-GB"/>
              </w:rPr>
            </w:pPr>
            <w:r>
              <w:rPr>
                <w:lang w:val="en-GB"/>
              </w:rPr>
              <w:t>provide healthy exercise options to improve their mental and physical health</w:t>
            </w:r>
          </w:p>
        </w:tc>
      </w:tr>
      <w:tr w:rsidR="00FB3967" w14:paraId="1F8F3800"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23C7D7F" w14:textId="77777777" w:rsidR="00FB3967" w:rsidRPr="006C53A2" w:rsidRDefault="00FB3967" w:rsidP="00FB3967">
            <w:pPr>
              <w:pStyle w:val="WoVGbodynospace"/>
              <w:rPr>
                <w:lang w:val="en-GB"/>
              </w:rPr>
            </w:pPr>
            <w:proofErr w:type="spellStart"/>
            <w:r>
              <w:rPr>
                <w:lang w:val="en-GB"/>
              </w:rPr>
              <w:t>Mens</w:t>
            </w:r>
            <w:proofErr w:type="spellEnd"/>
            <w:r>
              <w:rPr>
                <w:lang w:val="en-GB"/>
              </w:rPr>
              <w:t xml:space="preserve"> / </w:t>
            </w:r>
            <w:proofErr w:type="spellStart"/>
            <w:r>
              <w:rPr>
                <w:lang w:val="en-GB"/>
              </w:rPr>
              <w:t>Womens</w:t>
            </w:r>
            <w:proofErr w:type="spellEnd"/>
            <w:r>
              <w:rPr>
                <w:lang w:val="en-GB"/>
              </w:rPr>
              <w:t xml:space="preserve"> health</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755B1" w14:textId="77777777" w:rsidR="00FB3967" w:rsidRPr="006C53A2" w:rsidRDefault="00FB3967" w:rsidP="00FB3967">
            <w:pPr>
              <w:pStyle w:val="WoVGbodynospace"/>
              <w:rPr>
                <w:lang w:val="en-GB"/>
              </w:rPr>
            </w:pPr>
            <w:r>
              <w:rPr>
                <w:lang w:val="en-GB"/>
              </w:rPr>
              <w:t xml:space="preserve">Weeks dedicated to men and women that focus on their </w:t>
            </w:r>
            <w:proofErr w:type="gramStart"/>
            <w:r>
              <w:rPr>
                <w:lang w:val="en-GB"/>
              </w:rPr>
              <w:t>particular health</w:t>
            </w:r>
            <w:proofErr w:type="gramEnd"/>
            <w:r>
              <w:rPr>
                <w:lang w:val="en-GB"/>
              </w:rPr>
              <w:t xml:space="preserve"> issues (prostate, breast cancer, etc)</w:t>
            </w:r>
          </w:p>
        </w:tc>
      </w:tr>
      <w:tr w:rsidR="00FB3967" w14:paraId="2D2B6891"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54642387" w14:textId="77777777" w:rsidR="00FB3967" w:rsidRPr="006C53A2" w:rsidRDefault="00FB3967" w:rsidP="00FB3967">
            <w:pPr>
              <w:pStyle w:val="WoVGbodynospace"/>
              <w:rPr>
                <w:lang w:val="en-GB"/>
              </w:rPr>
            </w:pPr>
            <w:r>
              <w:rPr>
                <w:lang w:val="en-GB"/>
              </w:rPr>
              <w:t>Mental Health Week</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3CF7B" w14:textId="77777777" w:rsidR="00FB3967" w:rsidRPr="006C53A2" w:rsidRDefault="00FB3967" w:rsidP="00FB3967">
            <w:pPr>
              <w:pStyle w:val="WoVGbodynospace"/>
              <w:rPr>
                <w:lang w:val="en-GB"/>
              </w:rPr>
            </w:pPr>
            <w:r>
              <w:rPr>
                <w:lang w:val="en-GB"/>
              </w:rPr>
              <w:t>Engagement of staff on being mentally healthy through seminars and other events</w:t>
            </w:r>
          </w:p>
        </w:tc>
      </w:tr>
      <w:tr w:rsidR="00FB3967" w14:paraId="058E11EC"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5575611" w14:textId="77777777" w:rsidR="00FB3967" w:rsidRPr="006C53A2" w:rsidRDefault="00FB3967" w:rsidP="00FB3967">
            <w:pPr>
              <w:pStyle w:val="WoVGbodynospace"/>
              <w:rPr>
                <w:lang w:val="en-GB"/>
              </w:rPr>
            </w:pPr>
            <w:proofErr w:type="spellStart"/>
            <w:r>
              <w:rPr>
                <w:lang w:val="en-GB"/>
              </w:rPr>
              <w:t>Movember</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DD0C0" w14:textId="77777777" w:rsidR="00FB3967" w:rsidRPr="006C53A2" w:rsidRDefault="00FB3967" w:rsidP="00FB3967">
            <w:pPr>
              <w:pStyle w:val="WoVGbodynospace"/>
              <w:rPr>
                <w:lang w:val="en-GB"/>
              </w:rPr>
            </w:pPr>
            <w:r>
              <w:rPr>
                <w:lang w:val="en-GB"/>
              </w:rPr>
              <w:t>Workplace challenges to raise awareness of good health for men</w:t>
            </w:r>
          </w:p>
        </w:tc>
      </w:tr>
      <w:tr w:rsidR="00FB3967" w14:paraId="3A8B1141"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65238BE" w14:textId="77777777" w:rsidR="00FB3967" w:rsidRPr="006C53A2" w:rsidRDefault="00FB3967" w:rsidP="00FB3967">
            <w:pPr>
              <w:pStyle w:val="WoVGbodynospace"/>
              <w:rPr>
                <w:lang w:val="en-GB"/>
              </w:rPr>
            </w:pPr>
            <w:r>
              <w:rPr>
                <w:lang w:val="en-GB"/>
              </w:rPr>
              <w:t>Peer support programs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798BC" w14:textId="77777777" w:rsidR="00FB3967" w:rsidRPr="006C53A2" w:rsidRDefault="00FB3967" w:rsidP="00FB3967">
            <w:pPr>
              <w:pStyle w:val="WoVGbodynospace"/>
              <w:rPr>
                <w:lang w:val="en-GB"/>
              </w:rPr>
            </w:pPr>
            <w:r>
              <w:rPr>
                <w:lang w:val="en-GB"/>
              </w:rPr>
              <w:t>Confidential services for staff by their peers who are trained in psychological first aid</w:t>
            </w:r>
          </w:p>
        </w:tc>
      </w:tr>
      <w:tr w:rsidR="00FB3967" w14:paraId="66BA20D3"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421C3DB" w14:textId="77777777" w:rsidR="00FB3967" w:rsidRPr="006C53A2" w:rsidRDefault="00FB3967" w:rsidP="00FB3967">
            <w:pPr>
              <w:pStyle w:val="WoVGbodynospace"/>
              <w:rPr>
                <w:lang w:val="en-GB"/>
              </w:rPr>
            </w:pPr>
            <w:r>
              <w:rPr>
                <w:lang w:val="en-GB"/>
              </w:rPr>
              <w:t>Resilience information &amp; training</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368D9" w14:textId="77777777" w:rsidR="00FB3967" w:rsidRPr="006C53A2" w:rsidRDefault="00FB3967" w:rsidP="00FB3967">
            <w:pPr>
              <w:pStyle w:val="WoVGbodynospace"/>
              <w:rPr>
                <w:lang w:val="en-GB"/>
              </w:rPr>
            </w:pPr>
            <w:r>
              <w:rPr>
                <w:lang w:val="en-GB"/>
              </w:rPr>
              <w:t>Training programs that encourage staff to focus on their own resilience in challenging situations</w:t>
            </w:r>
          </w:p>
        </w:tc>
      </w:tr>
      <w:tr w:rsidR="00FB3967" w14:paraId="3489ED25"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D8A303F" w14:textId="77777777" w:rsidR="00FB3967" w:rsidRPr="006C53A2" w:rsidRDefault="00FB3967" w:rsidP="00FB3967">
            <w:pPr>
              <w:pStyle w:val="WoVGbodynospace"/>
              <w:rPr>
                <w:lang w:val="en-GB"/>
              </w:rPr>
            </w:pPr>
            <w:r>
              <w:rPr>
                <w:lang w:val="en-GB"/>
              </w:rPr>
              <w:t xml:space="preserve">RUOK day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9A274" w14:textId="77777777" w:rsidR="00FB3967" w:rsidRPr="006C53A2" w:rsidRDefault="00FB3967" w:rsidP="00FB3967">
            <w:pPr>
              <w:pStyle w:val="WoVGbodynospace"/>
              <w:rPr>
                <w:lang w:val="en-GB"/>
              </w:rPr>
            </w:pPr>
            <w:r>
              <w:rPr>
                <w:lang w:val="en-GB"/>
              </w:rPr>
              <w:t xml:space="preserve">Promoting awareness of checking on your </w:t>
            </w:r>
            <w:proofErr w:type="gramStart"/>
            <w:r>
              <w:rPr>
                <w:lang w:val="en-GB"/>
              </w:rPr>
              <w:t>mates</w:t>
            </w:r>
            <w:proofErr w:type="gramEnd"/>
            <w:r>
              <w:rPr>
                <w:lang w:val="en-GB"/>
              </w:rPr>
              <w:t xml:space="preserve"> mental health (suicide prevention)</w:t>
            </w:r>
          </w:p>
        </w:tc>
      </w:tr>
      <w:tr w:rsidR="00FB3967" w14:paraId="1A7602FF"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A5B7657" w14:textId="77777777" w:rsidR="00FB3967" w:rsidRPr="006C53A2" w:rsidRDefault="00FB3967" w:rsidP="00FB3967">
            <w:pPr>
              <w:pStyle w:val="WoVGbodynospace"/>
              <w:rPr>
                <w:lang w:val="en-GB"/>
              </w:rPr>
            </w:pPr>
            <w:r>
              <w:rPr>
                <w:lang w:val="en-GB"/>
              </w:rPr>
              <w:t>Social events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7AF8A" w14:textId="77777777" w:rsidR="00FB3967" w:rsidRPr="006C53A2" w:rsidRDefault="00FB3967" w:rsidP="00FB3967">
            <w:pPr>
              <w:pStyle w:val="WoVGbodynospace"/>
              <w:rPr>
                <w:lang w:val="en-GB"/>
              </w:rPr>
            </w:pPr>
            <w:r>
              <w:rPr>
                <w:lang w:val="en-GB"/>
              </w:rPr>
              <w:t>Any event where staff are encouraged to be more engaged in the workplace through social interactions</w:t>
            </w:r>
          </w:p>
        </w:tc>
      </w:tr>
      <w:tr w:rsidR="00FB3967" w14:paraId="67650993"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C5DBD84" w14:textId="77777777" w:rsidR="00FB3967" w:rsidRPr="006C53A2" w:rsidRDefault="00FB3967" w:rsidP="00FB3967">
            <w:pPr>
              <w:pStyle w:val="WoVGbodynospace"/>
              <w:rPr>
                <w:lang w:val="en-GB"/>
              </w:rPr>
            </w:pPr>
            <w:r>
              <w:rPr>
                <w:lang w:val="en-GB"/>
              </w:rPr>
              <w:t>White Ribbon</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C325D" w14:textId="77777777" w:rsidR="00FB3967" w:rsidRPr="006C53A2" w:rsidRDefault="00FB3967" w:rsidP="00FB3967">
            <w:pPr>
              <w:pStyle w:val="WoVGbodynospace"/>
              <w:rPr>
                <w:lang w:val="en-GB"/>
              </w:rPr>
            </w:pPr>
            <w:r>
              <w:rPr>
                <w:lang w:val="en-GB"/>
              </w:rPr>
              <w:t>Movement of men and boys working to end violence against women and promote gender equality</w:t>
            </w:r>
          </w:p>
        </w:tc>
      </w:tr>
      <w:tr w:rsidR="00FB3967" w14:paraId="4CB2C923"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A2D4CE8" w14:textId="77777777" w:rsidR="00FB3967" w:rsidRPr="006C53A2" w:rsidRDefault="00FB3967" w:rsidP="00FB3967">
            <w:pPr>
              <w:pStyle w:val="WoVGbodynospace"/>
              <w:rPr>
                <w:lang w:val="en-GB"/>
              </w:rPr>
            </w:pPr>
            <w:r>
              <w:rPr>
                <w:lang w:val="en-GB"/>
              </w:rPr>
              <w:t>Work life balance priorities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C2777" w14:textId="77777777" w:rsidR="00FB3967" w:rsidRPr="006C53A2" w:rsidRDefault="00FB3967" w:rsidP="00FB3967">
            <w:pPr>
              <w:pStyle w:val="WoVGbodynospace"/>
              <w:rPr>
                <w:lang w:val="en-GB"/>
              </w:rPr>
            </w:pPr>
            <w:r>
              <w:rPr>
                <w:lang w:val="en-GB"/>
              </w:rPr>
              <w:t>Promoting healthy work and life balance through information for staff on self and time management</w:t>
            </w:r>
          </w:p>
        </w:tc>
      </w:tr>
      <w:tr w:rsidR="00FB3967" w14:paraId="3B80C021" w14:textId="77777777" w:rsidTr="007D247A">
        <w:tc>
          <w:tcPr>
            <w:tcW w:w="3114"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1DB1371" w14:textId="77777777" w:rsidR="00FB3967" w:rsidRPr="006C53A2" w:rsidRDefault="00FB3967" w:rsidP="00FB3967">
            <w:pPr>
              <w:pStyle w:val="WoVGbodynospace"/>
              <w:rPr>
                <w:lang w:val="en-GB"/>
              </w:rPr>
            </w:pPr>
            <w:r>
              <w:rPr>
                <w:lang w:val="en-GB"/>
              </w:rPr>
              <w:t>World Health Day</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593B7" w14:textId="77777777" w:rsidR="00FB3967" w:rsidRPr="006C53A2" w:rsidRDefault="00FB3967" w:rsidP="00FB3967">
            <w:pPr>
              <w:pStyle w:val="WoVGbodynospace"/>
              <w:rPr>
                <w:lang w:val="en-GB"/>
              </w:rPr>
            </w:pPr>
            <w:r>
              <w:rPr>
                <w:lang w:val="en-GB"/>
              </w:rPr>
              <w:t>Theme selected to highlight a priority area of public health and how to be involved to improve your community</w:t>
            </w:r>
          </w:p>
        </w:tc>
      </w:tr>
    </w:tbl>
    <w:p w14:paraId="55578B01" w14:textId="77777777" w:rsidR="00FB3967" w:rsidRDefault="00FB3967" w:rsidP="00FB3967">
      <w:pPr>
        <w:sectPr w:rsidR="00FB3967" w:rsidSect="00ED7DCF">
          <w:headerReference w:type="default" r:id="rId19"/>
          <w:footerReference w:type="even" r:id="rId20"/>
          <w:footerReference w:type="default" r:id="rId21"/>
          <w:headerReference w:type="first" r:id="rId22"/>
          <w:pgSz w:w="11900" w:h="16840" w:code="9"/>
          <w:pgMar w:top="1440" w:right="1440" w:bottom="1440" w:left="1440" w:header="708" w:footer="708" w:gutter="0"/>
          <w:cols w:space="708"/>
          <w:docGrid w:linePitch="360"/>
        </w:sectPr>
      </w:pPr>
      <w:r>
        <w:br w:type="page"/>
      </w:r>
    </w:p>
    <w:p w14:paraId="1A7C771D" w14:textId="77777777" w:rsidR="000B7C6B" w:rsidRDefault="00FB3967" w:rsidP="005817F8">
      <w:pPr>
        <w:pStyle w:val="Heading2"/>
        <w:spacing w:before="0"/>
      </w:pPr>
      <w:bookmarkStart w:id="38" w:name="_Toc9246814"/>
      <w:r>
        <w:lastRenderedPageBreak/>
        <w:t>Appendix 4:</w:t>
      </w:r>
      <w:r w:rsidRPr="00FF7CB6">
        <w:t xml:space="preserve"> </w:t>
      </w:r>
      <w:r>
        <w:t>mental health self-assessment tool</w:t>
      </w:r>
      <w:bookmarkEnd w:id="38"/>
    </w:p>
    <w:p w14:paraId="33F24D88" w14:textId="77777777" w:rsidR="00CD2492" w:rsidRDefault="00FB3967" w:rsidP="00CD2492">
      <w:pPr>
        <w:pStyle w:val="WoVGbody"/>
      </w:pPr>
      <w:r>
        <w:t>Based on the Canadian Standard</w:t>
      </w:r>
    </w:p>
    <w:p w14:paraId="71952482" w14:textId="77777777" w:rsidR="00CD2492" w:rsidRDefault="00FB3967" w:rsidP="00CD2492">
      <w:pPr>
        <w:pStyle w:val="WoVGbody"/>
      </w:pPr>
      <w:r w:rsidRPr="00DD0AC8">
        <w:t>*</w:t>
      </w:r>
      <w:r w:rsidR="00CD2492">
        <w:t xml:space="preserve"> S</w:t>
      </w:r>
      <w:r w:rsidRPr="00DD0AC8">
        <w:t>ee notes at the end of the tool</w:t>
      </w:r>
      <w:bookmarkStart w:id="39" w:name="_Toc381359882"/>
    </w:p>
    <w:p w14:paraId="01A681B9" w14:textId="77777777" w:rsidR="00FB3967" w:rsidRDefault="00FB3967" w:rsidP="00CD2492">
      <w:pPr>
        <w:pStyle w:val="WoVGbody"/>
      </w:pPr>
      <w:r>
        <w:t>^</w:t>
      </w:r>
      <w:r w:rsidR="00CD2492">
        <w:t xml:space="preserve"> See </w:t>
      </w:r>
      <w:r>
        <w:t>LTW notes at the end of the tool</w:t>
      </w:r>
    </w:p>
    <w:p w14:paraId="6BCB384C" w14:textId="77777777" w:rsidR="002D4018" w:rsidRDefault="002D4018" w:rsidP="002D4018">
      <w:pPr>
        <w:pStyle w:val="WoVGtablecaption"/>
      </w:pPr>
      <w:r>
        <w:rPr>
          <w:lang w:val="en-GB"/>
        </w:rPr>
        <w:t>Part</w:t>
      </w:r>
      <w:r w:rsidRPr="00274A97">
        <w:rPr>
          <w:lang w:val="en-GB"/>
        </w:rPr>
        <w:t xml:space="preserve"> 1: Framework</w:t>
      </w:r>
    </w:p>
    <w:tbl>
      <w:tblPr>
        <w:tblStyle w:val="TableGrid"/>
        <w:tblW w:w="140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7826"/>
        <w:gridCol w:w="810"/>
        <w:gridCol w:w="863"/>
        <w:gridCol w:w="810"/>
        <w:gridCol w:w="2268"/>
        <w:gridCol w:w="1428"/>
      </w:tblGrid>
      <w:tr w:rsidR="00FB3967" w14:paraId="183B9700" w14:textId="77777777" w:rsidTr="002473D3">
        <w:trPr>
          <w:tblHeader/>
        </w:trPr>
        <w:tc>
          <w:tcPr>
            <w:tcW w:w="8359" w:type="dxa"/>
            <w:tcBorders>
              <w:top w:val="single" w:sz="4" w:space="0" w:color="auto"/>
              <w:left w:val="single" w:sz="4" w:space="0" w:color="auto"/>
              <w:bottom w:val="single" w:sz="4" w:space="0" w:color="auto"/>
            </w:tcBorders>
            <w:shd w:val="clear" w:color="auto" w:fill="000000" w:themeFill="text1"/>
          </w:tcPr>
          <w:p w14:paraId="6E3BAE40" w14:textId="77777777" w:rsidR="00FB3967" w:rsidRPr="00386C25" w:rsidRDefault="00FB3967" w:rsidP="00FB3967">
            <w:pPr>
              <w:pStyle w:val="Heading4"/>
              <w:outlineLvl w:val="3"/>
              <w:rPr>
                <w:lang w:val="en-GB"/>
              </w:rPr>
            </w:pPr>
            <w:r>
              <w:rPr>
                <w:lang w:val="en-GB"/>
              </w:rPr>
              <w:t>Item</w:t>
            </w:r>
          </w:p>
        </w:tc>
        <w:tc>
          <w:tcPr>
            <w:tcW w:w="850" w:type="dxa"/>
            <w:tcBorders>
              <w:top w:val="single" w:sz="4" w:space="0" w:color="auto"/>
              <w:bottom w:val="single" w:sz="4" w:space="0" w:color="auto"/>
            </w:tcBorders>
            <w:shd w:val="clear" w:color="auto" w:fill="000000" w:themeFill="text1"/>
          </w:tcPr>
          <w:p w14:paraId="0298AF2F" w14:textId="77777777" w:rsidR="00FB3967" w:rsidRPr="00386C25" w:rsidRDefault="00FB3967" w:rsidP="00FB3967">
            <w:pPr>
              <w:pStyle w:val="Heading4"/>
              <w:outlineLvl w:val="3"/>
              <w:rPr>
                <w:lang w:val="en-GB"/>
              </w:rPr>
            </w:pPr>
            <w:r>
              <w:rPr>
                <w:lang w:val="en-GB"/>
              </w:rPr>
              <w:t>Yes</w:t>
            </w:r>
          </w:p>
        </w:tc>
        <w:tc>
          <w:tcPr>
            <w:tcW w:w="907" w:type="dxa"/>
            <w:tcBorders>
              <w:top w:val="single" w:sz="4" w:space="0" w:color="auto"/>
              <w:bottom w:val="single" w:sz="4" w:space="0" w:color="auto"/>
            </w:tcBorders>
            <w:shd w:val="clear" w:color="auto" w:fill="000000" w:themeFill="text1"/>
          </w:tcPr>
          <w:p w14:paraId="36856123" w14:textId="77777777" w:rsidR="00FB3967" w:rsidRPr="00386C25" w:rsidRDefault="00FB3967" w:rsidP="00FB3967">
            <w:pPr>
              <w:pStyle w:val="Heading4"/>
              <w:outlineLvl w:val="3"/>
              <w:rPr>
                <w:lang w:val="en-GB"/>
              </w:rPr>
            </w:pPr>
            <w:r>
              <w:rPr>
                <w:lang w:val="en-GB"/>
              </w:rPr>
              <w:t>Partial</w:t>
            </w:r>
          </w:p>
        </w:tc>
        <w:tc>
          <w:tcPr>
            <w:tcW w:w="850" w:type="dxa"/>
            <w:tcBorders>
              <w:top w:val="single" w:sz="4" w:space="0" w:color="auto"/>
              <w:bottom w:val="single" w:sz="4" w:space="0" w:color="auto"/>
            </w:tcBorders>
            <w:shd w:val="clear" w:color="auto" w:fill="000000" w:themeFill="text1"/>
          </w:tcPr>
          <w:p w14:paraId="35EC44FF" w14:textId="77777777" w:rsidR="00FB3967" w:rsidRPr="00386C25" w:rsidRDefault="00FB3967" w:rsidP="00FB3967">
            <w:pPr>
              <w:pStyle w:val="Heading4"/>
              <w:outlineLvl w:val="3"/>
              <w:rPr>
                <w:lang w:val="en-GB"/>
              </w:rPr>
            </w:pPr>
            <w:r>
              <w:rPr>
                <w:lang w:val="en-GB"/>
              </w:rPr>
              <w:t>No</w:t>
            </w:r>
          </w:p>
        </w:tc>
        <w:tc>
          <w:tcPr>
            <w:tcW w:w="2410" w:type="dxa"/>
            <w:tcBorders>
              <w:top w:val="single" w:sz="4" w:space="0" w:color="auto"/>
              <w:bottom w:val="single" w:sz="4" w:space="0" w:color="auto"/>
            </w:tcBorders>
            <w:shd w:val="clear" w:color="auto" w:fill="000000" w:themeFill="text1"/>
          </w:tcPr>
          <w:p w14:paraId="441FCDD8" w14:textId="77777777" w:rsidR="00FB3967" w:rsidRDefault="00FB3967" w:rsidP="00FB3967">
            <w:pPr>
              <w:pStyle w:val="Heading4"/>
              <w:outlineLvl w:val="3"/>
              <w:rPr>
                <w:lang w:val="en-GB"/>
              </w:rPr>
            </w:pPr>
            <w:r>
              <w:rPr>
                <w:lang w:val="en-GB"/>
              </w:rPr>
              <w:t>Comments</w:t>
            </w:r>
          </w:p>
        </w:tc>
        <w:tc>
          <w:tcPr>
            <w:tcW w:w="1512" w:type="dxa"/>
            <w:tcBorders>
              <w:top w:val="single" w:sz="4" w:space="0" w:color="auto"/>
              <w:bottom w:val="single" w:sz="4" w:space="0" w:color="auto"/>
              <w:right w:val="single" w:sz="4" w:space="0" w:color="auto"/>
            </w:tcBorders>
            <w:shd w:val="clear" w:color="auto" w:fill="000000" w:themeFill="text1"/>
          </w:tcPr>
          <w:p w14:paraId="13289DD4" w14:textId="77777777" w:rsidR="00FB3967" w:rsidRPr="00386C25" w:rsidRDefault="00FB3967" w:rsidP="00FB3967">
            <w:pPr>
              <w:pStyle w:val="Heading4"/>
              <w:outlineLvl w:val="3"/>
              <w:rPr>
                <w:lang w:val="en-GB"/>
              </w:rPr>
            </w:pPr>
            <w:r>
              <w:rPr>
                <w:lang w:val="en-GB"/>
              </w:rPr>
              <w:t>LTW^</w:t>
            </w:r>
          </w:p>
        </w:tc>
      </w:tr>
      <w:tr w:rsidR="00FB3967" w:rsidRPr="00B5534F" w14:paraId="4AA6DBE0"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11C8B54" w14:textId="77777777" w:rsidR="00FB3967" w:rsidRPr="005F076E" w:rsidRDefault="00FB3967" w:rsidP="00FB3967">
            <w:pPr>
              <w:pStyle w:val="WoVGbodynospace"/>
              <w:rPr>
                <w:lang w:val="en-GB"/>
              </w:rPr>
            </w:pPr>
            <w:r>
              <w:rPr>
                <w:lang w:val="en-GB"/>
              </w:rPr>
              <w:t>1.01 The safety management system (SMS) includes mental health and safety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9F56C"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91D42"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42B8C"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740AC"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8E3C4" w14:textId="77777777" w:rsidR="00FB3967" w:rsidRPr="006C53A2" w:rsidRDefault="00FB3967" w:rsidP="00FB3967">
            <w:pPr>
              <w:pStyle w:val="WoVGbodynospace"/>
              <w:rPr>
                <w:lang w:val="en-GB"/>
              </w:rPr>
            </w:pPr>
            <w:r>
              <w:rPr>
                <w:lang w:val="en-GB"/>
              </w:rPr>
              <w:t>OHS 2</w:t>
            </w:r>
          </w:p>
        </w:tc>
      </w:tr>
      <w:tr w:rsidR="00FB3967" w:rsidRPr="00B5534F" w14:paraId="4B5168E2"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E4DFC02" w14:textId="77777777" w:rsidR="00FB3967" w:rsidRDefault="00FB3967" w:rsidP="00FB3967">
            <w:pPr>
              <w:pStyle w:val="WoVGbodynospace"/>
              <w:rPr>
                <w:lang w:val="en-GB"/>
              </w:rPr>
            </w:pPr>
            <w:r>
              <w:rPr>
                <w:lang w:val="en-GB"/>
              </w:rPr>
              <w:t xml:space="preserve">1.02 Responsibilities and authorities for mental health and safety are defined and communicated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9DE8D"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B8A96"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05B48"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ABB3D"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DE415" w14:textId="77777777" w:rsidR="000B7C6B" w:rsidRDefault="00FB3967" w:rsidP="00FB3967">
            <w:pPr>
              <w:pStyle w:val="WoVGbodynospace"/>
              <w:rPr>
                <w:lang w:val="en-GB"/>
              </w:rPr>
            </w:pPr>
            <w:r>
              <w:rPr>
                <w:lang w:val="en-GB"/>
              </w:rPr>
              <w:t>OHS 10</w:t>
            </w:r>
          </w:p>
          <w:p w14:paraId="4683DA10" w14:textId="77777777" w:rsidR="00FB3967" w:rsidRPr="006C53A2" w:rsidRDefault="00FB3967" w:rsidP="00FB3967">
            <w:pPr>
              <w:pStyle w:val="WoVGbodynospace"/>
              <w:rPr>
                <w:lang w:val="en-GB"/>
              </w:rPr>
            </w:pPr>
            <w:r>
              <w:rPr>
                <w:lang w:val="en-GB"/>
              </w:rPr>
              <w:t>Acct 2</w:t>
            </w:r>
          </w:p>
        </w:tc>
      </w:tr>
      <w:tr w:rsidR="00FB3967" w:rsidRPr="00B5534F" w14:paraId="4A93D508"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D319479" w14:textId="77777777" w:rsidR="00FB3967" w:rsidRPr="005F076E" w:rsidRDefault="00FB3967" w:rsidP="00FB3967">
            <w:pPr>
              <w:pStyle w:val="WoVGbodynospace"/>
              <w:rPr>
                <w:lang w:val="en-GB"/>
              </w:rPr>
            </w:pPr>
            <w:r>
              <w:rPr>
                <w:lang w:val="en-GB"/>
              </w:rPr>
              <w:t xml:space="preserve">1.03 The endorsed Health and Safety policy statement includes mental health and safety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9AECA"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34423"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9DADE"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E3CB4"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BBF3A" w14:textId="77777777" w:rsidR="00FB3967" w:rsidRPr="006C53A2" w:rsidRDefault="00FB3967" w:rsidP="00FB3967">
            <w:pPr>
              <w:pStyle w:val="WoVGbodynospace"/>
              <w:rPr>
                <w:lang w:val="en-GB"/>
              </w:rPr>
            </w:pPr>
            <w:r>
              <w:rPr>
                <w:lang w:val="en-GB"/>
              </w:rPr>
              <w:t>OHS 1</w:t>
            </w:r>
          </w:p>
        </w:tc>
      </w:tr>
      <w:tr w:rsidR="00FB3967" w:rsidRPr="00B5534F" w14:paraId="0BAF15CB"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4608041" w14:textId="77777777" w:rsidR="00FB3967" w:rsidRPr="005F076E" w:rsidRDefault="00FB3967" w:rsidP="00FB3967">
            <w:pPr>
              <w:pStyle w:val="WoVGbodynospace"/>
              <w:rPr>
                <w:lang w:val="en-GB"/>
              </w:rPr>
            </w:pPr>
            <w:r>
              <w:rPr>
                <w:lang w:val="en-GB"/>
              </w:rPr>
              <w:t>1.04 The organisation has adopted the commitments defined in the Mental Health and Wellbeing Charter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50A1E"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1E5D6"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FA69"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58CC7"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660DE" w14:textId="77777777" w:rsidR="00FB3967" w:rsidRPr="006C53A2" w:rsidRDefault="00FB3967" w:rsidP="00FB3967">
            <w:pPr>
              <w:pStyle w:val="WoVGbodynospace"/>
              <w:rPr>
                <w:lang w:val="en-GB"/>
              </w:rPr>
            </w:pPr>
            <w:r>
              <w:rPr>
                <w:lang w:val="en-GB"/>
              </w:rPr>
              <w:t>OHS 5 &amp; 6</w:t>
            </w:r>
          </w:p>
        </w:tc>
      </w:tr>
      <w:tr w:rsidR="00FB3967" w:rsidRPr="00B5534F" w14:paraId="46AB03F3"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56E3CADC" w14:textId="77777777" w:rsidR="00FB3967" w:rsidRPr="005F076E" w:rsidRDefault="00FB3967" w:rsidP="00FB3967">
            <w:pPr>
              <w:pStyle w:val="WoVGbodynospace"/>
              <w:rPr>
                <w:lang w:val="en-GB"/>
              </w:rPr>
            </w:pPr>
            <w:r>
              <w:rPr>
                <w:lang w:val="en-GB"/>
              </w:rPr>
              <w:t xml:space="preserve">1.05 The requirements for consultation with employee representatives includes mental health and wellbeing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A4A03"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64B1A"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C0194"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58280"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C4C61" w14:textId="77777777" w:rsidR="00FB3967" w:rsidRPr="006C53A2" w:rsidRDefault="00FB3967" w:rsidP="00FB3967">
            <w:pPr>
              <w:pStyle w:val="WoVGbodynospace"/>
              <w:rPr>
                <w:lang w:val="en-GB"/>
              </w:rPr>
            </w:pPr>
            <w:r>
              <w:rPr>
                <w:lang w:val="en-GB"/>
              </w:rPr>
              <w:t>OHS 13</w:t>
            </w:r>
          </w:p>
        </w:tc>
      </w:tr>
    </w:tbl>
    <w:p w14:paraId="29C34B88" w14:textId="77777777" w:rsidR="002D4018" w:rsidRDefault="002D4018" w:rsidP="002D4018">
      <w:pPr>
        <w:pStyle w:val="WoVGtablecaption"/>
        <w:spacing w:before="180" w:after="60"/>
      </w:pPr>
      <w:r>
        <w:rPr>
          <w:lang w:val="en-GB"/>
        </w:rPr>
        <w:t>Part</w:t>
      </w:r>
      <w:r w:rsidRPr="00274A97">
        <w:rPr>
          <w:lang w:val="en-GB"/>
        </w:rPr>
        <w:t xml:space="preserve"> 2: Planning</w:t>
      </w:r>
    </w:p>
    <w:tbl>
      <w:tblPr>
        <w:tblStyle w:val="TableGrid"/>
        <w:tblW w:w="140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7826"/>
        <w:gridCol w:w="810"/>
        <w:gridCol w:w="863"/>
        <w:gridCol w:w="810"/>
        <w:gridCol w:w="2268"/>
        <w:gridCol w:w="1428"/>
      </w:tblGrid>
      <w:tr w:rsidR="002D4018" w:rsidRPr="00386C25" w14:paraId="705868DC" w14:textId="77777777" w:rsidTr="002473D3">
        <w:trPr>
          <w:tblHeader/>
        </w:trPr>
        <w:tc>
          <w:tcPr>
            <w:tcW w:w="8359" w:type="dxa"/>
            <w:tcBorders>
              <w:top w:val="single" w:sz="4" w:space="0" w:color="auto"/>
              <w:left w:val="single" w:sz="4" w:space="0" w:color="auto"/>
              <w:bottom w:val="single" w:sz="4" w:space="0" w:color="auto"/>
            </w:tcBorders>
            <w:shd w:val="clear" w:color="auto" w:fill="000000" w:themeFill="text1"/>
          </w:tcPr>
          <w:p w14:paraId="44357A78" w14:textId="77777777" w:rsidR="002D4018" w:rsidRPr="00386C25" w:rsidRDefault="002D4018" w:rsidP="004A6B98">
            <w:pPr>
              <w:pStyle w:val="Heading4"/>
              <w:outlineLvl w:val="3"/>
              <w:rPr>
                <w:lang w:val="en-GB"/>
              </w:rPr>
            </w:pPr>
            <w:r>
              <w:rPr>
                <w:lang w:val="en-GB"/>
              </w:rPr>
              <w:t>Item</w:t>
            </w:r>
          </w:p>
        </w:tc>
        <w:tc>
          <w:tcPr>
            <w:tcW w:w="850" w:type="dxa"/>
            <w:tcBorders>
              <w:top w:val="single" w:sz="4" w:space="0" w:color="auto"/>
              <w:bottom w:val="single" w:sz="4" w:space="0" w:color="auto"/>
            </w:tcBorders>
            <w:shd w:val="clear" w:color="auto" w:fill="000000" w:themeFill="text1"/>
          </w:tcPr>
          <w:p w14:paraId="52A8342B" w14:textId="77777777" w:rsidR="002D4018" w:rsidRPr="00386C25" w:rsidRDefault="002D4018" w:rsidP="004A6B98">
            <w:pPr>
              <w:pStyle w:val="Heading4"/>
              <w:outlineLvl w:val="3"/>
              <w:rPr>
                <w:lang w:val="en-GB"/>
              </w:rPr>
            </w:pPr>
            <w:r>
              <w:rPr>
                <w:lang w:val="en-GB"/>
              </w:rPr>
              <w:t>Yes</w:t>
            </w:r>
          </w:p>
        </w:tc>
        <w:tc>
          <w:tcPr>
            <w:tcW w:w="907" w:type="dxa"/>
            <w:tcBorders>
              <w:top w:val="single" w:sz="4" w:space="0" w:color="auto"/>
              <w:bottom w:val="single" w:sz="4" w:space="0" w:color="auto"/>
            </w:tcBorders>
            <w:shd w:val="clear" w:color="auto" w:fill="000000" w:themeFill="text1"/>
          </w:tcPr>
          <w:p w14:paraId="19E64903" w14:textId="77777777" w:rsidR="002D4018" w:rsidRPr="00386C25" w:rsidRDefault="002D4018" w:rsidP="004A6B98">
            <w:pPr>
              <w:pStyle w:val="Heading4"/>
              <w:outlineLvl w:val="3"/>
              <w:rPr>
                <w:lang w:val="en-GB"/>
              </w:rPr>
            </w:pPr>
            <w:r>
              <w:rPr>
                <w:lang w:val="en-GB"/>
              </w:rPr>
              <w:t>Partial</w:t>
            </w:r>
          </w:p>
        </w:tc>
        <w:tc>
          <w:tcPr>
            <w:tcW w:w="850" w:type="dxa"/>
            <w:tcBorders>
              <w:top w:val="single" w:sz="4" w:space="0" w:color="auto"/>
              <w:bottom w:val="single" w:sz="4" w:space="0" w:color="auto"/>
            </w:tcBorders>
            <w:shd w:val="clear" w:color="auto" w:fill="000000" w:themeFill="text1"/>
          </w:tcPr>
          <w:p w14:paraId="328BC771" w14:textId="77777777" w:rsidR="002D4018" w:rsidRPr="00386C25" w:rsidRDefault="002D4018" w:rsidP="004A6B98">
            <w:pPr>
              <w:pStyle w:val="Heading4"/>
              <w:outlineLvl w:val="3"/>
              <w:rPr>
                <w:lang w:val="en-GB"/>
              </w:rPr>
            </w:pPr>
            <w:r>
              <w:rPr>
                <w:lang w:val="en-GB"/>
              </w:rPr>
              <w:t>No</w:t>
            </w:r>
          </w:p>
        </w:tc>
        <w:tc>
          <w:tcPr>
            <w:tcW w:w="2410" w:type="dxa"/>
            <w:tcBorders>
              <w:top w:val="single" w:sz="4" w:space="0" w:color="auto"/>
              <w:bottom w:val="single" w:sz="4" w:space="0" w:color="auto"/>
            </w:tcBorders>
            <w:shd w:val="clear" w:color="auto" w:fill="000000" w:themeFill="text1"/>
          </w:tcPr>
          <w:p w14:paraId="376EFB3D" w14:textId="77777777" w:rsidR="002D4018" w:rsidRDefault="002D4018" w:rsidP="004A6B98">
            <w:pPr>
              <w:pStyle w:val="Heading4"/>
              <w:outlineLvl w:val="3"/>
              <w:rPr>
                <w:lang w:val="en-GB"/>
              </w:rPr>
            </w:pPr>
            <w:r>
              <w:rPr>
                <w:lang w:val="en-GB"/>
              </w:rPr>
              <w:t>Comments</w:t>
            </w:r>
          </w:p>
        </w:tc>
        <w:tc>
          <w:tcPr>
            <w:tcW w:w="1512" w:type="dxa"/>
            <w:tcBorders>
              <w:top w:val="single" w:sz="4" w:space="0" w:color="auto"/>
              <w:bottom w:val="single" w:sz="4" w:space="0" w:color="auto"/>
              <w:right w:val="single" w:sz="4" w:space="0" w:color="auto"/>
            </w:tcBorders>
            <w:shd w:val="clear" w:color="auto" w:fill="000000" w:themeFill="text1"/>
          </w:tcPr>
          <w:p w14:paraId="37A92E0D" w14:textId="77777777" w:rsidR="002D4018" w:rsidRPr="00386C25" w:rsidRDefault="002D4018" w:rsidP="004A6B98">
            <w:pPr>
              <w:pStyle w:val="Heading4"/>
              <w:outlineLvl w:val="3"/>
              <w:rPr>
                <w:lang w:val="en-GB"/>
              </w:rPr>
            </w:pPr>
            <w:r>
              <w:rPr>
                <w:lang w:val="en-GB"/>
              </w:rPr>
              <w:t>LTW^</w:t>
            </w:r>
          </w:p>
        </w:tc>
      </w:tr>
      <w:tr w:rsidR="00FB3967" w:rsidRPr="00B5534F" w14:paraId="6FE2E57F"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ABBAC59" w14:textId="77777777" w:rsidR="00FB3967" w:rsidRPr="005F076E" w:rsidRDefault="00FB3967" w:rsidP="00FB3967">
            <w:pPr>
              <w:pStyle w:val="WoVGbodynospace"/>
              <w:rPr>
                <w:lang w:val="en-GB"/>
              </w:rPr>
            </w:pPr>
            <w:r>
              <w:rPr>
                <w:lang w:val="en-GB"/>
              </w:rPr>
              <w:t xml:space="preserve">2.01 Processes include preventing mental injury and managing mental health and safety – </w:t>
            </w:r>
            <w:proofErr w:type="spellStart"/>
            <w:r>
              <w:rPr>
                <w:lang w:val="en-GB"/>
              </w:rPr>
              <w:t>ie</w:t>
            </w:r>
            <w:proofErr w:type="spellEnd"/>
            <w:r>
              <w:rPr>
                <w:lang w:val="en-GB"/>
              </w:rPr>
              <w:t xml:space="preserve"> assessment of impacts to workers*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F7F83"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BB2BD"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4B097"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73F9D"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02AB3" w14:textId="77777777" w:rsidR="00FB3967" w:rsidRPr="006C53A2" w:rsidRDefault="00FB3967" w:rsidP="00FB3967">
            <w:pPr>
              <w:pStyle w:val="WoVGbodynospace"/>
              <w:rPr>
                <w:lang w:val="en-GB"/>
              </w:rPr>
            </w:pPr>
            <w:r>
              <w:rPr>
                <w:lang w:val="en-GB"/>
              </w:rPr>
              <w:t>OHS 3</w:t>
            </w:r>
          </w:p>
        </w:tc>
      </w:tr>
      <w:tr w:rsidR="00FB3967" w:rsidRPr="00B5534F" w14:paraId="1A8843F3"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E8B3C7C" w14:textId="77777777" w:rsidR="00FB3967" w:rsidRPr="005F076E" w:rsidRDefault="00FB3967" w:rsidP="00FB3967">
            <w:pPr>
              <w:pStyle w:val="WoVGbodynospace"/>
              <w:rPr>
                <w:lang w:val="en-GB"/>
              </w:rPr>
            </w:pPr>
            <w:r>
              <w:rPr>
                <w:lang w:val="en-GB"/>
              </w:rPr>
              <w:t>2.02 Employee representatives participate in planning processes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C4AEB"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30C88"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4C4A8"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90F42"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B59F3" w14:textId="77777777" w:rsidR="000B7C6B" w:rsidRDefault="00FB3967" w:rsidP="00FB3967">
            <w:pPr>
              <w:pStyle w:val="WoVGbodynospace"/>
              <w:rPr>
                <w:lang w:val="en-GB"/>
              </w:rPr>
            </w:pPr>
            <w:r>
              <w:rPr>
                <w:lang w:val="en-GB"/>
              </w:rPr>
              <w:t>SC 7</w:t>
            </w:r>
          </w:p>
          <w:p w14:paraId="2636AC9A" w14:textId="77777777" w:rsidR="00FB3967" w:rsidRPr="006C53A2" w:rsidRDefault="00FB3967" w:rsidP="00FB3967">
            <w:pPr>
              <w:pStyle w:val="WoVGbodynospace"/>
              <w:rPr>
                <w:lang w:val="en-GB"/>
              </w:rPr>
            </w:pPr>
            <w:r>
              <w:rPr>
                <w:lang w:val="en-GB"/>
              </w:rPr>
              <w:t>OHS 13</w:t>
            </w:r>
          </w:p>
        </w:tc>
      </w:tr>
      <w:tr w:rsidR="00FB3967" w:rsidRPr="00B5534F" w14:paraId="53544F11"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8A376FF" w14:textId="77777777" w:rsidR="000B7C6B" w:rsidRDefault="00FB3967" w:rsidP="00FB3967">
            <w:pPr>
              <w:pStyle w:val="WoVGbodynospace"/>
              <w:rPr>
                <w:lang w:val="en-GB"/>
              </w:rPr>
            </w:pPr>
            <w:r>
              <w:rPr>
                <w:lang w:val="en-GB"/>
              </w:rPr>
              <w:t>2.03 There is a risk management approach for mental health and safety which includes:</w:t>
            </w:r>
          </w:p>
          <w:p w14:paraId="32191DE8" w14:textId="77777777" w:rsidR="00FB3967" w:rsidRDefault="00FB3967" w:rsidP="00FB3967">
            <w:pPr>
              <w:pStyle w:val="WoVGbodynospace"/>
              <w:rPr>
                <w:lang w:val="en-GB"/>
              </w:rPr>
            </w:pPr>
            <w:r>
              <w:rPr>
                <w:lang w:val="en-GB"/>
              </w:rPr>
              <w:t>(a) identification,</w:t>
            </w:r>
          </w:p>
          <w:p w14:paraId="089D1E22" w14:textId="77777777" w:rsidR="000B7C6B" w:rsidRDefault="00FB3967" w:rsidP="00FB3967">
            <w:pPr>
              <w:pStyle w:val="WoVGbodynospace"/>
              <w:rPr>
                <w:lang w:val="en-GB"/>
              </w:rPr>
            </w:pPr>
            <w:r>
              <w:rPr>
                <w:lang w:val="en-GB"/>
              </w:rPr>
              <w:t>(b) assessment and</w:t>
            </w:r>
          </w:p>
          <w:p w14:paraId="0E99B175" w14:textId="77777777" w:rsidR="00FB3967" w:rsidRDefault="00FB3967" w:rsidP="00FB3967">
            <w:pPr>
              <w:pStyle w:val="WoVGbodynospace"/>
              <w:rPr>
                <w:lang w:val="en-GB"/>
              </w:rPr>
            </w:pPr>
            <w:r>
              <w:rPr>
                <w:lang w:val="en-GB"/>
              </w:rPr>
              <w:t>(c) risk control (prevention and protective measures)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98456"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69EDF"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9C3BB"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69402"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8D79D" w14:textId="77777777" w:rsidR="00FB3967" w:rsidRPr="006C53A2" w:rsidRDefault="00FB3967" w:rsidP="00FB3967">
            <w:pPr>
              <w:pStyle w:val="WoVGbodynospace"/>
              <w:rPr>
                <w:lang w:val="en-GB"/>
              </w:rPr>
            </w:pPr>
            <w:r>
              <w:rPr>
                <w:lang w:val="en-GB"/>
              </w:rPr>
              <w:t>OHS 19</w:t>
            </w:r>
          </w:p>
        </w:tc>
      </w:tr>
      <w:tr w:rsidR="00FB3967" w:rsidRPr="00B5534F" w14:paraId="3B7A86C4"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46A1F62" w14:textId="77777777" w:rsidR="00FB3967" w:rsidRDefault="00FB3967" w:rsidP="00FB3967">
            <w:pPr>
              <w:pStyle w:val="WoVGbodynospace"/>
              <w:rPr>
                <w:lang w:val="en-GB"/>
              </w:rPr>
            </w:pPr>
            <w:r>
              <w:rPr>
                <w:lang w:val="en-GB"/>
              </w:rPr>
              <w:lastRenderedPageBreak/>
              <w:t>2.04 There is a process for workers to seek assistance (internally or externally) for mental issues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2D522"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74DB8"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D79EB"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AD955"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044C1" w14:textId="77777777" w:rsidR="00FB3967" w:rsidRPr="006C53A2" w:rsidRDefault="00FB3967" w:rsidP="00FB3967">
            <w:pPr>
              <w:pStyle w:val="WoVGbodynospace"/>
              <w:rPr>
                <w:lang w:val="en-GB"/>
              </w:rPr>
            </w:pPr>
            <w:r>
              <w:rPr>
                <w:lang w:val="en-GB"/>
              </w:rPr>
              <w:t>Not specific</w:t>
            </w:r>
          </w:p>
        </w:tc>
      </w:tr>
      <w:tr w:rsidR="00FB3967" w:rsidRPr="00B5534F" w14:paraId="478393A5"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6690ECA9" w14:textId="77777777" w:rsidR="00FB3967" w:rsidRDefault="00FB3967" w:rsidP="00FB3967">
            <w:pPr>
              <w:pStyle w:val="WoVGbodynospace"/>
              <w:rPr>
                <w:lang w:val="en-GB"/>
              </w:rPr>
            </w:pPr>
            <w:r>
              <w:rPr>
                <w:lang w:val="en-GB"/>
              </w:rPr>
              <w:t>2.05 There are links to internal and external resources provided for staff when accessing information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3F8F8"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31950"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ED605"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5745B"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D8852" w14:textId="77777777" w:rsidR="00FB3967" w:rsidRPr="006C53A2" w:rsidRDefault="00FB3967" w:rsidP="00FB3967">
            <w:pPr>
              <w:pStyle w:val="WoVGbodynospace"/>
              <w:rPr>
                <w:lang w:val="en-GB"/>
              </w:rPr>
            </w:pPr>
            <w:r>
              <w:rPr>
                <w:lang w:val="en-GB"/>
              </w:rPr>
              <w:t>OHS 15</w:t>
            </w:r>
          </w:p>
        </w:tc>
      </w:tr>
      <w:tr w:rsidR="00FB3967" w:rsidRPr="00B5534F" w14:paraId="1E62790C"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DC40353" w14:textId="77777777" w:rsidR="00FB3967" w:rsidRDefault="00FB3967" w:rsidP="00FB3967">
            <w:pPr>
              <w:pStyle w:val="WoVGbodynospace"/>
              <w:rPr>
                <w:lang w:val="en-GB"/>
              </w:rPr>
            </w:pPr>
            <w:r>
              <w:rPr>
                <w:lang w:val="en-GB"/>
              </w:rPr>
              <w:t>2.06 There is a workplan that details how the Mental Health and Wellbeing Charter targets and objectives will be achieved (including timeframes and responsible people)</w:t>
            </w:r>
          </w:p>
          <w:p w14:paraId="03C04D97" w14:textId="77777777" w:rsidR="00FB3967"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D4372"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118A0"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A6C0C"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FCB7F"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E9762" w14:textId="77777777" w:rsidR="00FB3967" w:rsidRPr="006C53A2" w:rsidRDefault="00FB3967" w:rsidP="00FB3967">
            <w:pPr>
              <w:pStyle w:val="WoVGbodynospace"/>
              <w:rPr>
                <w:lang w:val="en-GB"/>
              </w:rPr>
            </w:pPr>
            <w:r>
              <w:rPr>
                <w:lang w:val="en-GB"/>
              </w:rPr>
              <w:t>OHS 6</w:t>
            </w:r>
          </w:p>
        </w:tc>
      </w:tr>
    </w:tbl>
    <w:p w14:paraId="42CA9128" w14:textId="77777777" w:rsidR="002D4018" w:rsidRDefault="002D4018" w:rsidP="002D4018">
      <w:pPr>
        <w:pStyle w:val="WoVGtablecaption"/>
        <w:spacing w:before="180" w:after="60"/>
      </w:pPr>
      <w:r>
        <w:rPr>
          <w:lang w:val="en-GB"/>
        </w:rPr>
        <w:t>Part</w:t>
      </w:r>
      <w:r w:rsidRPr="00274A97">
        <w:rPr>
          <w:lang w:val="en-GB"/>
        </w:rPr>
        <w:t xml:space="preserve"> 3: Implementation</w:t>
      </w:r>
    </w:p>
    <w:tbl>
      <w:tblPr>
        <w:tblStyle w:val="TableGrid"/>
        <w:tblW w:w="140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7826"/>
        <w:gridCol w:w="810"/>
        <w:gridCol w:w="863"/>
        <w:gridCol w:w="810"/>
        <w:gridCol w:w="2268"/>
        <w:gridCol w:w="1428"/>
      </w:tblGrid>
      <w:tr w:rsidR="002D4018" w:rsidRPr="00386C25" w14:paraId="6221A1B5" w14:textId="77777777" w:rsidTr="002473D3">
        <w:trPr>
          <w:tblHeader/>
        </w:trPr>
        <w:tc>
          <w:tcPr>
            <w:tcW w:w="8359" w:type="dxa"/>
            <w:tcBorders>
              <w:top w:val="single" w:sz="4" w:space="0" w:color="auto"/>
              <w:left w:val="single" w:sz="4" w:space="0" w:color="auto"/>
              <w:bottom w:val="single" w:sz="4" w:space="0" w:color="auto"/>
            </w:tcBorders>
            <w:shd w:val="clear" w:color="auto" w:fill="000000" w:themeFill="text1"/>
          </w:tcPr>
          <w:p w14:paraId="702F9687" w14:textId="77777777" w:rsidR="002D4018" w:rsidRPr="00386C25" w:rsidRDefault="002D4018" w:rsidP="004A6B98">
            <w:pPr>
              <w:pStyle w:val="Heading4"/>
              <w:outlineLvl w:val="3"/>
              <w:rPr>
                <w:lang w:val="en-GB"/>
              </w:rPr>
            </w:pPr>
            <w:r>
              <w:rPr>
                <w:lang w:val="en-GB"/>
              </w:rPr>
              <w:t>Item</w:t>
            </w:r>
          </w:p>
        </w:tc>
        <w:tc>
          <w:tcPr>
            <w:tcW w:w="850" w:type="dxa"/>
            <w:tcBorders>
              <w:top w:val="single" w:sz="4" w:space="0" w:color="auto"/>
              <w:bottom w:val="single" w:sz="4" w:space="0" w:color="auto"/>
            </w:tcBorders>
            <w:shd w:val="clear" w:color="auto" w:fill="000000" w:themeFill="text1"/>
          </w:tcPr>
          <w:p w14:paraId="6CAEA191" w14:textId="77777777" w:rsidR="002D4018" w:rsidRPr="00386C25" w:rsidRDefault="002D4018" w:rsidP="004A6B98">
            <w:pPr>
              <w:pStyle w:val="Heading4"/>
              <w:outlineLvl w:val="3"/>
              <w:rPr>
                <w:lang w:val="en-GB"/>
              </w:rPr>
            </w:pPr>
            <w:r>
              <w:rPr>
                <w:lang w:val="en-GB"/>
              </w:rPr>
              <w:t>Yes</w:t>
            </w:r>
          </w:p>
        </w:tc>
        <w:tc>
          <w:tcPr>
            <w:tcW w:w="907" w:type="dxa"/>
            <w:tcBorders>
              <w:top w:val="single" w:sz="4" w:space="0" w:color="auto"/>
              <w:bottom w:val="single" w:sz="4" w:space="0" w:color="auto"/>
            </w:tcBorders>
            <w:shd w:val="clear" w:color="auto" w:fill="000000" w:themeFill="text1"/>
          </w:tcPr>
          <w:p w14:paraId="02792081" w14:textId="77777777" w:rsidR="002D4018" w:rsidRPr="00386C25" w:rsidRDefault="002D4018" w:rsidP="004A6B98">
            <w:pPr>
              <w:pStyle w:val="Heading4"/>
              <w:outlineLvl w:val="3"/>
              <w:rPr>
                <w:lang w:val="en-GB"/>
              </w:rPr>
            </w:pPr>
            <w:r>
              <w:rPr>
                <w:lang w:val="en-GB"/>
              </w:rPr>
              <w:t>Partial</w:t>
            </w:r>
          </w:p>
        </w:tc>
        <w:tc>
          <w:tcPr>
            <w:tcW w:w="850" w:type="dxa"/>
            <w:tcBorders>
              <w:top w:val="single" w:sz="4" w:space="0" w:color="auto"/>
              <w:bottom w:val="single" w:sz="4" w:space="0" w:color="auto"/>
            </w:tcBorders>
            <w:shd w:val="clear" w:color="auto" w:fill="000000" w:themeFill="text1"/>
          </w:tcPr>
          <w:p w14:paraId="7BE0ACD5" w14:textId="77777777" w:rsidR="002D4018" w:rsidRPr="00386C25" w:rsidRDefault="002D4018" w:rsidP="004A6B98">
            <w:pPr>
              <w:pStyle w:val="Heading4"/>
              <w:outlineLvl w:val="3"/>
              <w:rPr>
                <w:lang w:val="en-GB"/>
              </w:rPr>
            </w:pPr>
            <w:r>
              <w:rPr>
                <w:lang w:val="en-GB"/>
              </w:rPr>
              <w:t>No</w:t>
            </w:r>
          </w:p>
        </w:tc>
        <w:tc>
          <w:tcPr>
            <w:tcW w:w="2410" w:type="dxa"/>
            <w:tcBorders>
              <w:top w:val="single" w:sz="4" w:space="0" w:color="auto"/>
              <w:bottom w:val="single" w:sz="4" w:space="0" w:color="auto"/>
            </w:tcBorders>
            <w:shd w:val="clear" w:color="auto" w:fill="000000" w:themeFill="text1"/>
          </w:tcPr>
          <w:p w14:paraId="75535B84" w14:textId="77777777" w:rsidR="002D4018" w:rsidRDefault="002D4018" w:rsidP="004A6B98">
            <w:pPr>
              <w:pStyle w:val="Heading4"/>
              <w:outlineLvl w:val="3"/>
              <w:rPr>
                <w:lang w:val="en-GB"/>
              </w:rPr>
            </w:pPr>
            <w:r>
              <w:rPr>
                <w:lang w:val="en-GB"/>
              </w:rPr>
              <w:t>Comments</w:t>
            </w:r>
          </w:p>
        </w:tc>
        <w:tc>
          <w:tcPr>
            <w:tcW w:w="1512" w:type="dxa"/>
            <w:tcBorders>
              <w:top w:val="single" w:sz="4" w:space="0" w:color="auto"/>
              <w:bottom w:val="single" w:sz="4" w:space="0" w:color="auto"/>
              <w:right w:val="single" w:sz="4" w:space="0" w:color="auto"/>
            </w:tcBorders>
            <w:shd w:val="clear" w:color="auto" w:fill="000000" w:themeFill="text1"/>
          </w:tcPr>
          <w:p w14:paraId="19EADCB4" w14:textId="77777777" w:rsidR="002D4018" w:rsidRPr="00386C25" w:rsidRDefault="002D4018" w:rsidP="004A6B98">
            <w:pPr>
              <w:pStyle w:val="Heading4"/>
              <w:outlineLvl w:val="3"/>
              <w:rPr>
                <w:lang w:val="en-GB"/>
              </w:rPr>
            </w:pPr>
            <w:r>
              <w:rPr>
                <w:lang w:val="en-GB"/>
              </w:rPr>
              <w:t>LTW^</w:t>
            </w:r>
          </w:p>
        </w:tc>
      </w:tr>
      <w:tr w:rsidR="00FB3967" w:rsidRPr="00B5534F" w14:paraId="495E586F"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F457F0F" w14:textId="77777777" w:rsidR="00FB3967" w:rsidRPr="005F076E" w:rsidRDefault="00FB3967" w:rsidP="00FB3967">
            <w:pPr>
              <w:pStyle w:val="WoVGbodynospace"/>
              <w:rPr>
                <w:lang w:val="en-GB"/>
              </w:rPr>
            </w:pPr>
            <w:r>
              <w:rPr>
                <w:lang w:val="en-GB"/>
              </w:rPr>
              <w:t>3.01 The workplan is sponsored by leadership and senior management at all levels of the organisation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84846"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99FDC"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6B37C"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05991"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8C806" w14:textId="77777777" w:rsidR="00FB3967" w:rsidRPr="006C53A2" w:rsidRDefault="00FB3967" w:rsidP="00FB3967">
            <w:pPr>
              <w:pStyle w:val="WoVGbodynospace"/>
              <w:rPr>
                <w:lang w:val="en-GB"/>
              </w:rPr>
            </w:pPr>
            <w:r>
              <w:rPr>
                <w:lang w:val="en-GB"/>
              </w:rPr>
              <w:t>OHS 8</w:t>
            </w:r>
          </w:p>
        </w:tc>
      </w:tr>
      <w:tr w:rsidR="00FB3967" w:rsidRPr="00B5534F" w14:paraId="538BC0CF"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3737463" w14:textId="77777777" w:rsidR="00FB3967" w:rsidRDefault="00FB3967" w:rsidP="00FB3967">
            <w:pPr>
              <w:pStyle w:val="WoVGbodynospace"/>
              <w:rPr>
                <w:lang w:val="en-GB"/>
              </w:rPr>
            </w:pPr>
            <w:r>
              <w:rPr>
                <w:lang w:val="en-GB"/>
              </w:rPr>
              <w:t xml:space="preserve">3.02 There is </w:t>
            </w:r>
            <w:proofErr w:type="gramStart"/>
            <w:r>
              <w:rPr>
                <w:lang w:val="en-GB"/>
              </w:rPr>
              <w:t>sufficient</w:t>
            </w:r>
            <w:proofErr w:type="gramEnd"/>
            <w:r>
              <w:rPr>
                <w:lang w:val="en-GB"/>
              </w:rPr>
              <w:t xml:space="preserve"> resourcing (including financial) allocated to manage mental health and safety programs*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4E08B"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70186"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24108"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59118"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C209C" w14:textId="77777777" w:rsidR="00FB3967" w:rsidRPr="006C53A2" w:rsidRDefault="00FB3967" w:rsidP="00FB3967">
            <w:pPr>
              <w:pStyle w:val="WoVGbodynospace"/>
              <w:rPr>
                <w:lang w:val="en-GB"/>
              </w:rPr>
            </w:pPr>
            <w:r>
              <w:rPr>
                <w:lang w:val="en-GB"/>
              </w:rPr>
              <w:t>OHS 9</w:t>
            </w:r>
          </w:p>
        </w:tc>
      </w:tr>
      <w:tr w:rsidR="00FB3967" w:rsidRPr="00B5534F" w14:paraId="0756D688"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370B19F" w14:textId="77777777" w:rsidR="00FB3967" w:rsidRPr="005F076E" w:rsidRDefault="00FB3967" w:rsidP="00FB3967">
            <w:pPr>
              <w:pStyle w:val="WoVGbodynospace"/>
              <w:rPr>
                <w:lang w:val="en-GB"/>
              </w:rPr>
            </w:pPr>
            <w:r>
              <w:rPr>
                <w:lang w:val="en-GB"/>
              </w:rPr>
              <w:t xml:space="preserve">3.03 Staff outlined in the workplan are skilled and qualified to implement the requirements of the mental health and safety elements of the SMS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AF43C"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8629D"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BD916"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3CF60"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75A0F" w14:textId="77777777" w:rsidR="00FB3967" w:rsidRPr="006C53A2" w:rsidRDefault="00FB3967" w:rsidP="00FB3967">
            <w:pPr>
              <w:pStyle w:val="WoVGbodynospace"/>
              <w:rPr>
                <w:lang w:val="en-GB"/>
              </w:rPr>
            </w:pPr>
            <w:r>
              <w:rPr>
                <w:lang w:val="en-GB"/>
              </w:rPr>
              <w:t>OHS 12</w:t>
            </w:r>
          </w:p>
        </w:tc>
      </w:tr>
      <w:tr w:rsidR="00FB3967" w:rsidRPr="00B5534F" w14:paraId="69A5CA73"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970D43B" w14:textId="77777777" w:rsidR="00FB3967" w:rsidRPr="005F076E" w:rsidRDefault="00FB3967" w:rsidP="00FB3967">
            <w:pPr>
              <w:pStyle w:val="WoVGbodynospace"/>
              <w:rPr>
                <w:lang w:val="en-GB"/>
              </w:rPr>
            </w:pPr>
            <w:r>
              <w:rPr>
                <w:lang w:val="en-GB"/>
              </w:rPr>
              <w:t xml:space="preserve">3.04 </w:t>
            </w:r>
            <w:r w:rsidRPr="00F76B6C">
              <w:rPr>
                <w:lang w:val="en-GB"/>
              </w:rPr>
              <w:t xml:space="preserve">There </w:t>
            </w:r>
            <w:r>
              <w:rPr>
                <w:lang w:val="en-GB"/>
              </w:rPr>
              <w:t>are programs for</w:t>
            </w:r>
            <w:r w:rsidRPr="00F76B6C">
              <w:rPr>
                <w:lang w:val="en-GB"/>
              </w:rPr>
              <w:t xml:space="preserve"> education, awareness and understanding of </w:t>
            </w:r>
            <w:r>
              <w:rPr>
                <w:lang w:val="en-GB"/>
              </w:rPr>
              <w:t>mental health and safety</w:t>
            </w:r>
            <w:r w:rsidRPr="00F76B6C">
              <w:rPr>
                <w:lang w:val="en-GB"/>
              </w:rPr>
              <w:t xml:space="preserve"> and mental health issues (inc</w:t>
            </w:r>
            <w:r>
              <w:rPr>
                <w:lang w:val="en-GB"/>
              </w:rPr>
              <w:t>luding</w:t>
            </w:r>
            <w:r w:rsidRPr="00F76B6C">
              <w:rPr>
                <w:lang w:val="en-GB"/>
              </w:rPr>
              <w:t xml:space="preserve"> training)</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AB772"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6C5A"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8DA9"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88BD9"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9DC9F" w14:textId="77777777" w:rsidR="00FB3967" w:rsidRDefault="00FB3967" w:rsidP="00FB3967">
            <w:pPr>
              <w:pStyle w:val="WoVGbodynospace"/>
              <w:rPr>
                <w:lang w:val="en-GB"/>
              </w:rPr>
            </w:pPr>
            <w:r>
              <w:rPr>
                <w:lang w:val="en-GB"/>
              </w:rPr>
              <w:t>SC 6 &amp; 8</w:t>
            </w:r>
          </w:p>
          <w:p w14:paraId="3211A2F8" w14:textId="77777777" w:rsidR="00FB3967" w:rsidRPr="006C53A2" w:rsidRDefault="00FB3967" w:rsidP="00FB3967">
            <w:pPr>
              <w:pStyle w:val="WoVGbodynospace"/>
              <w:rPr>
                <w:lang w:val="en-GB"/>
              </w:rPr>
            </w:pPr>
            <w:r>
              <w:rPr>
                <w:lang w:val="en-GB"/>
              </w:rPr>
              <w:t>OHS 11</w:t>
            </w:r>
          </w:p>
        </w:tc>
      </w:tr>
      <w:tr w:rsidR="00FB3967" w:rsidRPr="00B5534F" w14:paraId="74877359"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8548D20" w14:textId="77777777" w:rsidR="00FB3967" w:rsidRDefault="00FB3967" w:rsidP="00FB3967">
            <w:pPr>
              <w:pStyle w:val="WoVGbodynospace"/>
              <w:rPr>
                <w:lang w:val="en-GB"/>
              </w:rPr>
            </w:pPr>
            <w:r>
              <w:rPr>
                <w:lang w:val="en-GB"/>
              </w:rPr>
              <w:t>3.05 There are systems that enable communications, information sharing and support for workers for:</w:t>
            </w:r>
          </w:p>
          <w:p w14:paraId="7EB6B4F3" w14:textId="77777777" w:rsidR="00FB3967" w:rsidRDefault="00FB3967" w:rsidP="00FB3967">
            <w:pPr>
              <w:pStyle w:val="WoVGbodynospace"/>
              <w:rPr>
                <w:lang w:val="en-GB"/>
              </w:rPr>
            </w:pPr>
            <w:r>
              <w:rPr>
                <w:lang w:val="en-GB"/>
              </w:rPr>
              <w:t>(a) change processes</w:t>
            </w:r>
          </w:p>
          <w:p w14:paraId="4248D48D" w14:textId="77777777" w:rsidR="00FB3967" w:rsidRDefault="00FB3967" w:rsidP="00FB3967">
            <w:pPr>
              <w:pStyle w:val="WoVGbodynospace"/>
              <w:rPr>
                <w:lang w:val="en-GB"/>
              </w:rPr>
            </w:pPr>
            <w:r>
              <w:rPr>
                <w:lang w:val="en-GB"/>
              </w:rPr>
              <w:t>(b) critical incidents</w:t>
            </w:r>
          </w:p>
          <w:p w14:paraId="7F0EEBE0" w14:textId="77777777" w:rsidR="000B7C6B" w:rsidRDefault="00FB3967" w:rsidP="00FB3967">
            <w:pPr>
              <w:pStyle w:val="WoVGbodynospace"/>
              <w:rPr>
                <w:lang w:val="en-GB"/>
              </w:rPr>
            </w:pPr>
            <w:r>
              <w:rPr>
                <w:lang w:val="en-GB"/>
              </w:rPr>
              <w:t>(</w:t>
            </w:r>
            <w:proofErr w:type="gramStart"/>
            <w:r>
              <w:rPr>
                <w:lang w:val="en-GB"/>
              </w:rPr>
              <w:t>c )</w:t>
            </w:r>
            <w:proofErr w:type="gramEnd"/>
            <w:r>
              <w:rPr>
                <w:lang w:val="en-GB"/>
              </w:rPr>
              <w:t xml:space="preserve"> investigation outcomes*</w:t>
            </w:r>
          </w:p>
          <w:p w14:paraId="7A7BFB97" w14:textId="77777777" w:rsidR="00FB3967" w:rsidRDefault="00FB3967" w:rsidP="00FB3967">
            <w:pPr>
              <w:pStyle w:val="WoVGbodynospace"/>
              <w:rPr>
                <w:lang w:val="en-GB"/>
              </w:rPr>
            </w:pPr>
            <w:r>
              <w:rPr>
                <w:lang w:val="en-GB"/>
              </w:rPr>
              <w:t>(d) hazard reduction activities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BC95"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242D2"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A4FF4"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A0486"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C946D" w14:textId="77777777" w:rsidR="00FB3967" w:rsidRDefault="00FB3967" w:rsidP="00FB3967">
            <w:pPr>
              <w:pStyle w:val="WoVGbodynospace"/>
              <w:rPr>
                <w:lang w:val="en-GB"/>
              </w:rPr>
            </w:pPr>
            <w:r>
              <w:rPr>
                <w:lang w:val="en-GB"/>
              </w:rPr>
              <w:t>SC 12</w:t>
            </w:r>
          </w:p>
          <w:p w14:paraId="6EB6C3EE" w14:textId="77777777" w:rsidR="00FB3967" w:rsidRPr="006C53A2" w:rsidRDefault="00FB3967" w:rsidP="00FB3967">
            <w:pPr>
              <w:pStyle w:val="WoVGbodynospace"/>
              <w:rPr>
                <w:lang w:val="en-GB"/>
              </w:rPr>
            </w:pPr>
            <w:r>
              <w:rPr>
                <w:lang w:val="en-GB"/>
              </w:rPr>
              <w:t>OHS 13 &amp; 19</w:t>
            </w:r>
          </w:p>
        </w:tc>
      </w:tr>
      <w:tr w:rsidR="00FB3967" w:rsidRPr="00B5534F" w14:paraId="10C584F3"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B612122" w14:textId="77777777" w:rsidR="00FB3967" w:rsidRPr="005F076E" w:rsidRDefault="00FB3967" w:rsidP="00FB3967">
            <w:pPr>
              <w:pStyle w:val="WoVGbodynospace"/>
              <w:rPr>
                <w:lang w:val="en-GB"/>
              </w:rPr>
            </w:pPr>
            <w:r>
              <w:rPr>
                <w:lang w:val="en-GB"/>
              </w:rPr>
              <w:t>3.06 External parties are advised of the policies and expectations to protec</w:t>
            </w:r>
            <w:r w:rsidR="006A474A">
              <w:rPr>
                <w:lang w:val="en-GB"/>
              </w:rPr>
              <w:t>t the mental health of workers*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0DC4F" w14:textId="77777777" w:rsidR="00FB3967" w:rsidRPr="006C53A2" w:rsidRDefault="00FB3967" w:rsidP="00FB3967">
            <w:pPr>
              <w:pStyle w:val="WoVGbodynospace"/>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09D10" w14:textId="77777777" w:rsidR="00FB3967" w:rsidRPr="006C53A2" w:rsidRDefault="00FB3967" w:rsidP="00FB3967">
            <w:pPr>
              <w:pStyle w:val="WoVGbodynospace"/>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64AE6" w14:textId="77777777" w:rsidR="00FB3967" w:rsidRPr="006C53A2" w:rsidRDefault="00FB3967" w:rsidP="00FB3967">
            <w:pPr>
              <w:pStyle w:val="WoVGbodynospace"/>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43C77" w14:textId="77777777" w:rsidR="00FB3967" w:rsidRPr="006C53A2" w:rsidRDefault="00FB3967" w:rsidP="00FB3967">
            <w:pPr>
              <w:pStyle w:val="WoVGbodynospace"/>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04BB7" w14:textId="77777777" w:rsidR="00FB3967" w:rsidRPr="006C53A2" w:rsidRDefault="00FB3967" w:rsidP="00FB3967">
            <w:pPr>
              <w:pStyle w:val="WoVGbodynospace"/>
              <w:rPr>
                <w:lang w:val="en-GB"/>
              </w:rPr>
            </w:pPr>
            <w:r>
              <w:rPr>
                <w:lang w:val="en-GB"/>
              </w:rPr>
              <w:t>OHS 20</w:t>
            </w:r>
          </w:p>
        </w:tc>
      </w:tr>
    </w:tbl>
    <w:p w14:paraId="048A0D1D" w14:textId="77777777" w:rsidR="002D4018" w:rsidRDefault="002D4018">
      <w:pPr>
        <w:rPr>
          <w:rFonts w:ascii="Arial" w:hAnsi="Arial"/>
          <w:b/>
          <w:lang w:val="en-GB"/>
        </w:rPr>
      </w:pPr>
      <w:r>
        <w:rPr>
          <w:lang w:val="en-GB"/>
        </w:rPr>
        <w:br w:type="page"/>
      </w:r>
    </w:p>
    <w:p w14:paraId="3F25B2CE" w14:textId="77777777" w:rsidR="002D4018" w:rsidRDefault="002D4018" w:rsidP="002D4018">
      <w:pPr>
        <w:pStyle w:val="WoVGtablecaption"/>
        <w:spacing w:before="180" w:after="60"/>
      </w:pPr>
      <w:r>
        <w:rPr>
          <w:lang w:val="en-GB"/>
        </w:rPr>
        <w:lastRenderedPageBreak/>
        <w:t>Part</w:t>
      </w:r>
      <w:r w:rsidRPr="00274A97">
        <w:rPr>
          <w:lang w:val="en-GB"/>
        </w:rPr>
        <w:t xml:space="preserve"> 4: Processes</w:t>
      </w:r>
    </w:p>
    <w:tbl>
      <w:tblPr>
        <w:tblStyle w:val="TableGrid"/>
        <w:tblW w:w="140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7826"/>
        <w:gridCol w:w="810"/>
        <w:gridCol w:w="863"/>
        <w:gridCol w:w="810"/>
        <w:gridCol w:w="2268"/>
        <w:gridCol w:w="1428"/>
      </w:tblGrid>
      <w:tr w:rsidR="002D4018" w:rsidRPr="00386C25" w14:paraId="6C76FF35" w14:textId="77777777" w:rsidTr="002473D3">
        <w:trPr>
          <w:tblHeader/>
        </w:trPr>
        <w:tc>
          <w:tcPr>
            <w:tcW w:w="8359" w:type="dxa"/>
            <w:tcBorders>
              <w:top w:val="single" w:sz="4" w:space="0" w:color="auto"/>
              <w:left w:val="single" w:sz="4" w:space="0" w:color="auto"/>
              <w:bottom w:val="single" w:sz="4" w:space="0" w:color="auto"/>
            </w:tcBorders>
            <w:shd w:val="clear" w:color="auto" w:fill="000000" w:themeFill="text1"/>
          </w:tcPr>
          <w:p w14:paraId="24495531" w14:textId="77777777" w:rsidR="002D4018" w:rsidRPr="00386C25" w:rsidRDefault="002D4018" w:rsidP="004A6B98">
            <w:pPr>
              <w:pStyle w:val="Heading4"/>
              <w:outlineLvl w:val="3"/>
              <w:rPr>
                <w:lang w:val="en-GB"/>
              </w:rPr>
            </w:pPr>
            <w:r>
              <w:rPr>
                <w:lang w:val="en-GB"/>
              </w:rPr>
              <w:t>Item</w:t>
            </w:r>
          </w:p>
        </w:tc>
        <w:tc>
          <w:tcPr>
            <w:tcW w:w="850" w:type="dxa"/>
            <w:tcBorders>
              <w:top w:val="single" w:sz="4" w:space="0" w:color="auto"/>
              <w:bottom w:val="single" w:sz="4" w:space="0" w:color="auto"/>
            </w:tcBorders>
            <w:shd w:val="clear" w:color="auto" w:fill="000000" w:themeFill="text1"/>
          </w:tcPr>
          <w:p w14:paraId="2C55EFCD" w14:textId="77777777" w:rsidR="002D4018" w:rsidRPr="00386C25" w:rsidRDefault="002D4018" w:rsidP="004A6B98">
            <w:pPr>
              <w:pStyle w:val="Heading4"/>
              <w:outlineLvl w:val="3"/>
              <w:rPr>
                <w:lang w:val="en-GB"/>
              </w:rPr>
            </w:pPr>
            <w:r>
              <w:rPr>
                <w:lang w:val="en-GB"/>
              </w:rPr>
              <w:t>Yes</w:t>
            </w:r>
          </w:p>
        </w:tc>
        <w:tc>
          <w:tcPr>
            <w:tcW w:w="907" w:type="dxa"/>
            <w:tcBorders>
              <w:top w:val="single" w:sz="4" w:space="0" w:color="auto"/>
              <w:bottom w:val="single" w:sz="4" w:space="0" w:color="auto"/>
            </w:tcBorders>
            <w:shd w:val="clear" w:color="auto" w:fill="000000" w:themeFill="text1"/>
          </w:tcPr>
          <w:p w14:paraId="77DD4B62" w14:textId="77777777" w:rsidR="002D4018" w:rsidRPr="00386C25" w:rsidRDefault="002D4018" w:rsidP="004A6B98">
            <w:pPr>
              <w:pStyle w:val="Heading4"/>
              <w:outlineLvl w:val="3"/>
              <w:rPr>
                <w:lang w:val="en-GB"/>
              </w:rPr>
            </w:pPr>
            <w:r>
              <w:rPr>
                <w:lang w:val="en-GB"/>
              </w:rPr>
              <w:t>Partial</w:t>
            </w:r>
          </w:p>
        </w:tc>
        <w:tc>
          <w:tcPr>
            <w:tcW w:w="850" w:type="dxa"/>
            <w:tcBorders>
              <w:top w:val="single" w:sz="4" w:space="0" w:color="auto"/>
              <w:bottom w:val="single" w:sz="4" w:space="0" w:color="auto"/>
            </w:tcBorders>
            <w:shd w:val="clear" w:color="auto" w:fill="000000" w:themeFill="text1"/>
          </w:tcPr>
          <w:p w14:paraId="7FA1EC7A" w14:textId="77777777" w:rsidR="002D4018" w:rsidRPr="00386C25" w:rsidRDefault="002D4018" w:rsidP="004A6B98">
            <w:pPr>
              <w:pStyle w:val="Heading4"/>
              <w:outlineLvl w:val="3"/>
              <w:rPr>
                <w:lang w:val="en-GB"/>
              </w:rPr>
            </w:pPr>
            <w:r>
              <w:rPr>
                <w:lang w:val="en-GB"/>
              </w:rPr>
              <w:t>No</w:t>
            </w:r>
          </w:p>
        </w:tc>
        <w:tc>
          <w:tcPr>
            <w:tcW w:w="2410" w:type="dxa"/>
            <w:tcBorders>
              <w:top w:val="single" w:sz="4" w:space="0" w:color="auto"/>
              <w:bottom w:val="single" w:sz="4" w:space="0" w:color="auto"/>
            </w:tcBorders>
            <w:shd w:val="clear" w:color="auto" w:fill="000000" w:themeFill="text1"/>
          </w:tcPr>
          <w:p w14:paraId="01FA0A85" w14:textId="77777777" w:rsidR="002D4018" w:rsidRDefault="002D4018" w:rsidP="004A6B98">
            <w:pPr>
              <w:pStyle w:val="Heading4"/>
              <w:outlineLvl w:val="3"/>
              <w:rPr>
                <w:lang w:val="en-GB"/>
              </w:rPr>
            </w:pPr>
            <w:r>
              <w:rPr>
                <w:lang w:val="en-GB"/>
              </w:rPr>
              <w:t>Comments</w:t>
            </w:r>
          </w:p>
        </w:tc>
        <w:tc>
          <w:tcPr>
            <w:tcW w:w="1512" w:type="dxa"/>
            <w:tcBorders>
              <w:top w:val="single" w:sz="4" w:space="0" w:color="auto"/>
              <w:bottom w:val="single" w:sz="4" w:space="0" w:color="auto"/>
              <w:right w:val="single" w:sz="4" w:space="0" w:color="auto"/>
            </w:tcBorders>
            <w:shd w:val="clear" w:color="auto" w:fill="000000" w:themeFill="text1"/>
          </w:tcPr>
          <w:p w14:paraId="70725014" w14:textId="77777777" w:rsidR="002D4018" w:rsidRPr="00386C25" w:rsidRDefault="002D4018" w:rsidP="004A6B98">
            <w:pPr>
              <w:pStyle w:val="Heading4"/>
              <w:outlineLvl w:val="3"/>
              <w:rPr>
                <w:lang w:val="en-GB"/>
              </w:rPr>
            </w:pPr>
            <w:r>
              <w:rPr>
                <w:lang w:val="en-GB"/>
              </w:rPr>
              <w:t>LTW^</w:t>
            </w:r>
          </w:p>
        </w:tc>
      </w:tr>
      <w:tr w:rsidR="00FB3967" w:rsidRPr="00B5534F" w14:paraId="2E8E586B"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C299369" w14:textId="77777777" w:rsidR="00FB3967" w:rsidRPr="005F076E" w:rsidRDefault="00FB3967" w:rsidP="002D4018">
            <w:pPr>
              <w:pStyle w:val="WoVGbodynospace"/>
              <w:spacing w:line="260" w:lineRule="atLeast"/>
              <w:rPr>
                <w:lang w:val="en-GB"/>
              </w:rPr>
            </w:pPr>
            <w:r>
              <w:rPr>
                <w:lang w:val="en-GB"/>
              </w:rPr>
              <w:t>4.01 There are processes to provide staff with information about workplace hazards (including psychological) and the relevant risk control options*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8E00F"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89324"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190F0"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21E41"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F7FFF" w14:textId="77777777" w:rsidR="00FB3967" w:rsidRPr="006C53A2" w:rsidRDefault="00FB3967" w:rsidP="002D4018">
            <w:pPr>
              <w:pStyle w:val="WoVGbodynospace"/>
              <w:spacing w:line="260" w:lineRule="atLeast"/>
              <w:rPr>
                <w:lang w:val="en-GB"/>
              </w:rPr>
            </w:pPr>
            <w:r>
              <w:rPr>
                <w:lang w:val="en-GB"/>
              </w:rPr>
              <w:t>~ OHS 3, 15 &amp; 19</w:t>
            </w:r>
          </w:p>
        </w:tc>
      </w:tr>
      <w:tr w:rsidR="00FB3967" w:rsidRPr="00B5534F" w14:paraId="61AD0F80"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5E2C13D" w14:textId="77777777" w:rsidR="00FB3967" w:rsidRPr="005F076E" w:rsidRDefault="00FB3967" w:rsidP="002D4018">
            <w:pPr>
              <w:pStyle w:val="WoVGbodynospace"/>
              <w:spacing w:line="260" w:lineRule="atLeast"/>
              <w:rPr>
                <w:lang w:val="en-GB"/>
              </w:rPr>
            </w:pPr>
            <w:r>
              <w:rPr>
                <w:lang w:val="en-GB"/>
              </w:rPr>
              <w:t>4.02 There are processes to ensure protection of privacy and confidentiality of stakeholders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BF5C3"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000F2"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12C37"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A0DD3"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13B4F" w14:textId="77777777" w:rsidR="00FB3967" w:rsidRPr="006C53A2" w:rsidRDefault="00FB3967" w:rsidP="002D4018">
            <w:pPr>
              <w:pStyle w:val="WoVGbodynospace"/>
              <w:spacing w:line="260" w:lineRule="atLeast"/>
              <w:rPr>
                <w:lang w:val="en-GB"/>
              </w:rPr>
            </w:pPr>
            <w:r>
              <w:rPr>
                <w:lang w:val="en-GB"/>
              </w:rPr>
              <w:t>OHS 15</w:t>
            </w:r>
          </w:p>
        </w:tc>
      </w:tr>
      <w:tr w:rsidR="00FB3967" w:rsidRPr="00B5534F" w14:paraId="69C4CC2E"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47389E7B" w14:textId="77777777" w:rsidR="00FB3967" w:rsidRPr="005F076E" w:rsidRDefault="00FB3967" w:rsidP="002D4018">
            <w:pPr>
              <w:pStyle w:val="WoVGbodynospace"/>
              <w:spacing w:line="260" w:lineRule="atLeast"/>
              <w:rPr>
                <w:lang w:val="en-GB"/>
              </w:rPr>
            </w:pPr>
            <w:r>
              <w:rPr>
                <w:lang w:val="en-GB"/>
              </w:rPr>
              <w:t>4.03 There are processes to support stakeholders*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4AD9F"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59DE8"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78B66"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B91C8"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49BAB" w14:textId="77777777" w:rsidR="00FB3967" w:rsidRPr="006C53A2" w:rsidRDefault="00FB3967" w:rsidP="002D4018">
            <w:pPr>
              <w:pStyle w:val="WoVGbodynospace"/>
              <w:spacing w:line="260" w:lineRule="atLeast"/>
              <w:rPr>
                <w:lang w:val="en-GB"/>
              </w:rPr>
            </w:pPr>
            <w:r>
              <w:rPr>
                <w:lang w:val="en-GB"/>
              </w:rPr>
              <w:t>Not specific</w:t>
            </w:r>
          </w:p>
        </w:tc>
      </w:tr>
      <w:tr w:rsidR="00FB3967" w:rsidRPr="00B5534F" w14:paraId="410CAF3A"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DD9F17A" w14:textId="77777777" w:rsidR="00FB3967" w:rsidRPr="005F076E" w:rsidRDefault="00FB3967" w:rsidP="002D4018">
            <w:pPr>
              <w:pStyle w:val="WoVGbodynospace"/>
              <w:spacing w:line="260" w:lineRule="atLeast"/>
              <w:rPr>
                <w:lang w:val="en-GB"/>
              </w:rPr>
            </w:pPr>
            <w:r>
              <w:rPr>
                <w:lang w:val="en-GB"/>
              </w:rPr>
              <w:t>4.04 There are processes for identifying risks of critical events and the likelihood of psychological injury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1BD51"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8D11F"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B8679"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2C599"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338F3" w14:textId="77777777" w:rsidR="00FB3967" w:rsidRPr="006C53A2" w:rsidRDefault="00FB3967" w:rsidP="002D4018">
            <w:pPr>
              <w:pStyle w:val="WoVGbodynospace"/>
              <w:spacing w:line="260" w:lineRule="atLeast"/>
              <w:rPr>
                <w:lang w:val="en-GB"/>
              </w:rPr>
            </w:pPr>
            <w:r>
              <w:rPr>
                <w:lang w:val="en-GB"/>
              </w:rPr>
              <w:t>SMC 12</w:t>
            </w:r>
          </w:p>
        </w:tc>
      </w:tr>
      <w:tr w:rsidR="00FB3967" w:rsidRPr="00B5534F" w14:paraId="2747809D"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EAB12AC" w14:textId="77777777" w:rsidR="00FB3967" w:rsidRPr="005F076E" w:rsidRDefault="00FB3967" w:rsidP="002D4018">
            <w:pPr>
              <w:pStyle w:val="WoVGbodynospace"/>
              <w:spacing w:line="260" w:lineRule="atLeast"/>
              <w:rPr>
                <w:lang w:val="en-GB"/>
              </w:rPr>
            </w:pPr>
            <w:r>
              <w:rPr>
                <w:lang w:val="en-GB"/>
              </w:rPr>
              <w:t xml:space="preserve">4.05 There is a response process for critical events that includes debriefing, follow up and training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818B8"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90236"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6DABC"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247B9"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64D7C" w14:textId="77777777" w:rsidR="00FB3967" w:rsidRPr="006C53A2" w:rsidRDefault="00FB3967" w:rsidP="002D4018">
            <w:pPr>
              <w:pStyle w:val="WoVGbodynospace"/>
              <w:spacing w:line="260" w:lineRule="atLeast"/>
              <w:rPr>
                <w:lang w:val="en-GB"/>
              </w:rPr>
            </w:pPr>
            <w:r>
              <w:rPr>
                <w:lang w:val="en-GB"/>
              </w:rPr>
              <w:t>~ OHS 22</w:t>
            </w:r>
          </w:p>
        </w:tc>
      </w:tr>
      <w:tr w:rsidR="00FB3967" w:rsidRPr="00B5534F" w14:paraId="28F0B903"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D1DD688" w14:textId="77777777" w:rsidR="00FB3967" w:rsidRPr="005F076E" w:rsidRDefault="00FB3967" w:rsidP="002D4018">
            <w:pPr>
              <w:pStyle w:val="WoVGbodynospace"/>
              <w:spacing w:line="260" w:lineRule="atLeast"/>
              <w:rPr>
                <w:lang w:val="en-GB"/>
              </w:rPr>
            </w:pPr>
            <w:r>
              <w:rPr>
                <w:lang w:val="en-GB"/>
              </w:rPr>
              <w:t>4.06 There is a process to assess the impacts of critical events and ensure adequate management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C14E4"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A67D6"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6412"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1CC86"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FFD2F" w14:textId="77777777" w:rsidR="00FB3967" w:rsidRPr="006C53A2" w:rsidRDefault="00FB3967" w:rsidP="002D4018">
            <w:pPr>
              <w:pStyle w:val="WoVGbodynospace"/>
              <w:spacing w:line="260" w:lineRule="atLeast"/>
              <w:rPr>
                <w:lang w:val="en-GB"/>
              </w:rPr>
            </w:pPr>
            <w:r>
              <w:rPr>
                <w:lang w:val="en-GB"/>
              </w:rPr>
              <w:t>~ OHS 22</w:t>
            </w:r>
          </w:p>
        </w:tc>
      </w:tr>
      <w:tr w:rsidR="00FB3967" w:rsidRPr="00B5534F" w14:paraId="2626D20F"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5F65FC3" w14:textId="77777777" w:rsidR="00FB3967" w:rsidRPr="005F076E" w:rsidRDefault="00FB3967" w:rsidP="002D4018">
            <w:pPr>
              <w:pStyle w:val="WoVGbodynospace"/>
              <w:spacing w:line="260" w:lineRule="atLeast"/>
              <w:rPr>
                <w:lang w:val="en-GB"/>
              </w:rPr>
            </w:pPr>
            <w:r>
              <w:rPr>
                <w:lang w:val="en-GB"/>
              </w:rPr>
              <w:t>4.07 There is a system for reporting and investigating work related psychological incidents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4941B"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2A899"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AD8C9"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B83BE"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9D901" w14:textId="77777777" w:rsidR="00FB3967" w:rsidRPr="006C53A2" w:rsidRDefault="00FB3967" w:rsidP="002D4018">
            <w:pPr>
              <w:pStyle w:val="WoVGbodynospace"/>
              <w:spacing w:line="260" w:lineRule="atLeast"/>
              <w:rPr>
                <w:lang w:val="en-GB"/>
              </w:rPr>
            </w:pPr>
            <w:r>
              <w:rPr>
                <w:lang w:val="en-GB"/>
              </w:rPr>
              <w:t>~ OHS 23</w:t>
            </w:r>
          </w:p>
        </w:tc>
      </w:tr>
      <w:tr w:rsidR="00FB3967" w:rsidRPr="00B5534F" w14:paraId="1AF6B820"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A5542FF" w14:textId="77777777" w:rsidR="00FB3967" w:rsidRPr="005F076E" w:rsidRDefault="00FB3967" w:rsidP="002D4018">
            <w:pPr>
              <w:pStyle w:val="WoVGbodynospace"/>
              <w:spacing w:line="260" w:lineRule="atLeast"/>
              <w:rPr>
                <w:lang w:val="en-GB"/>
              </w:rPr>
            </w:pPr>
            <w:r>
              <w:rPr>
                <w:lang w:val="en-GB"/>
              </w:rPr>
              <w:t>4.08 The investigation process is carried out by stakeholders who are competent*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7F74B"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6DD1A"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F4CD"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84BD0"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167C4" w14:textId="77777777" w:rsidR="00FB3967" w:rsidRPr="006C53A2" w:rsidRDefault="00FB3967" w:rsidP="002D4018">
            <w:pPr>
              <w:pStyle w:val="WoVGbodynospace"/>
              <w:spacing w:line="260" w:lineRule="atLeast"/>
              <w:rPr>
                <w:lang w:val="en-GB"/>
              </w:rPr>
            </w:pPr>
            <w:r>
              <w:rPr>
                <w:lang w:val="en-GB"/>
              </w:rPr>
              <w:t>OHS 16</w:t>
            </w:r>
          </w:p>
        </w:tc>
      </w:tr>
      <w:tr w:rsidR="00FB3967" w:rsidRPr="00B5534F" w14:paraId="09B40EB4"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6026903" w14:textId="77777777" w:rsidR="00FB3967" w:rsidRPr="005F076E" w:rsidRDefault="00FB3967" w:rsidP="002D4018">
            <w:pPr>
              <w:pStyle w:val="WoVGbodynospace"/>
              <w:spacing w:line="260" w:lineRule="atLeast"/>
              <w:rPr>
                <w:lang w:val="en-GB"/>
              </w:rPr>
            </w:pPr>
            <w:r>
              <w:rPr>
                <w:lang w:val="en-GB"/>
              </w:rPr>
              <w:t>4.09 Investigation outcomes and recommended control measures are documented and communicated*</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35336"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BFE28"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21F91"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1F21E"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226B8" w14:textId="77777777" w:rsidR="00FB3967" w:rsidRPr="006C53A2" w:rsidRDefault="00FB3967" w:rsidP="002D4018">
            <w:pPr>
              <w:pStyle w:val="WoVGbodynospace"/>
              <w:spacing w:line="260" w:lineRule="atLeast"/>
              <w:rPr>
                <w:lang w:val="en-GB"/>
              </w:rPr>
            </w:pPr>
            <w:r>
              <w:rPr>
                <w:lang w:val="en-GB"/>
              </w:rPr>
              <w:t>SC 12</w:t>
            </w:r>
          </w:p>
        </w:tc>
      </w:tr>
    </w:tbl>
    <w:p w14:paraId="5BA4C929" w14:textId="77777777" w:rsidR="002D4018" w:rsidRDefault="002D4018" w:rsidP="002D4018">
      <w:pPr>
        <w:pStyle w:val="WoVGtablecaption"/>
        <w:spacing w:before="180" w:after="60"/>
      </w:pPr>
      <w:r>
        <w:rPr>
          <w:lang w:val="en-GB"/>
        </w:rPr>
        <w:t>Part</w:t>
      </w:r>
      <w:r w:rsidRPr="00274A97">
        <w:rPr>
          <w:lang w:val="en-GB"/>
        </w:rPr>
        <w:t xml:space="preserve"> 5: Evaluation</w:t>
      </w:r>
    </w:p>
    <w:tbl>
      <w:tblPr>
        <w:tblStyle w:val="TableGrid"/>
        <w:tblW w:w="140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7826"/>
        <w:gridCol w:w="810"/>
        <w:gridCol w:w="863"/>
        <w:gridCol w:w="810"/>
        <w:gridCol w:w="2268"/>
        <w:gridCol w:w="1428"/>
      </w:tblGrid>
      <w:tr w:rsidR="002D4018" w:rsidRPr="00386C25" w14:paraId="4301D30C" w14:textId="77777777" w:rsidTr="002473D3">
        <w:trPr>
          <w:tblHeader/>
        </w:trPr>
        <w:tc>
          <w:tcPr>
            <w:tcW w:w="8359" w:type="dxa"/>
            <w:tcBorders>
              <w:top w:val="single" w:sz="4" w:space="0" w:color="auto"/>
              <w:left w:val="single" w:sz="4" w:space="0" w:color="auto"/>
              <w:bottom w:val="single" w:sz="4" w:space="0" w:color="auto"/>
            </w:tcBorders>
            <w:shd w:val="clear" w:color="auto" w:fill="000000" w:themeFill="text1"/>
          </w:tcPr>
          <w:p w14:paraId="5BC60575" w14:textId="77777777" w:rsidR="002D4018" w:rsidRPr="00386C25" w:rsidRDefault="002D4018" w:rsidP="004A6B98">
            <w:pPr>
              <w:pStyle w:val="Heading4"/>
              <w:outlineLvl w:val="3"/>
              <w:rPr>
                <w:lang w:val="en-GB"/>
              </w:rPr>
            </w:pPr>
            <w:r>
              <w:rPr>
                <w:lang w:val="en-GB"/>
              </w:rPr>
              <w:t>Item</w:t>
            </w:r>
          </w:p>
        </w:tc>
        <w:tc>
          <w:tcPr>
            <w:tcW w:w="850" w:type="dxa"/>
            <w:tcBorders>
              <w:top w:val="single" w:sz="4" w:space="0" w:color="auto"/>
              <w:bottom w:val="single" w:sz="4" w:space="0" w:color="auto"/>
            </w:tcBorders>
            <w:shd w:val="clear" w:color="auto" w:fill="000000" w:themeFill="text1"/>
          </w:tcPr>
          <w:p w14:paraId="56CC31FE" w14:textId="77777777" w:rsidR="002D4018" w:rsidRPr="00386C25" w:rsidRDefault="002D4018" w:rsidP="004A6B98">
            <w:pPr>
              <w:pStyle w:val="Heading4"/>
              <w:outlineLvl w:val="3"/>
              <w:rPr>
                <w:lang w:val="en-GB"/>
              </w:rPr>
            </w:pPr>
            <w:r>
              <w:rPr>
                <w:lang w:val="en-GB"/>
              </w:rPr>
              <w:t>Yes</w:t>
            </w:r>
          </w:p>
        </w:tc>
        <w:tc>
          <w:tcPr>
            <w:tcW w:w="907" w:type="dxa"/>
            <w:tcBorders>
              <w:top w:val="single" w:sz="4" w:space="0" w:color="auto"/>
              <w:bottom w:val="single" w:sz="4" w:space="0" w:color="auto"/>
            </w:tcBorders>
            <w:shd w:val="clear" w:color="auto" w:fill="000000" w:themeFill="text1"/>
          </w:tcPr>
          <w:p w14:paraId="72A6CAF7" w14:textId="77777777" w:rsidR="002D4018" w:rsidRPr="00386C25" w:rsidRDefault="002D4018" w:rsidP="004A6B98">
            <w:pPr>
              <w:pStyle w:val="Heading4"/>
              <w:outlineLvl w:val="3"/>
              <w:rPr>
                <w:lang w:val="en-GB"/>
              </w:rPr>
            </w:pPr>
            <w:r>
              <w:rPr>
                <w:lang w:val="en-GB"/>
              </w:rPr>
              <w:t>Partial</w:t>
            </w:r>
          </w:p>
        </w:tc>
        <w:tc>
          <w:tcPr>
            <w:tcW w:w="850" w:type="dxa"/>
            <w:tcBorders>
              <w:top w:val="single" w:sz="4" w:space="0" w:color="auto"/>
              <w:bottom w:val="single" w:sz="4" w:space="0" w:color="auto"/>
            </w:tcBorders>
            <w:shd w:val="clear" w:color="auto" w:fill="000000" w:themeFill="text1"/>
          </w:tcPr>
          <w:p w14:paraId="03C562F1" w14:textId="77777777" w:rsidR="002D4018" w:rsidRPr="00386C25" w:rsidRDefault="002D4018" w:rsidP="004A6B98">
            <w:pPr>
              <w:pStyle w:val="Heading4"/>
              <w:outlineLvl w:val="3"/>
              <w:rPr>
                <w:lang w:val="en-GB"/>
              </w:rPr>
            </w:pPr>
            <w:r>
              <w:rPr>
                <w:lang w:val="en-GB"/>
              </w:rPr>
              <w:t>No</w:t>
            </w:r>
          </w:p>
        </w:tc>
        <w:tc>
          <w:tcPr>
            <w:tcW w:w="2410" w:type="dxa"/>
            <w:tcBorders>
              <w:top w:val="single" w:sz="4" w:space="0" w:color="auto"/>
              <w:bottom w:val="single" w:sz="4" w:space="0" w:color="auto"/>
            </w:tcBorders>
            <w:shd w:val="clear" w:color="auto" w:fill="000000" w:themeFill="text1"/>
          </w:tcPr>
          <w:p w14:paraId="467158BE" w14:textId="77777777" w:rsidR="002D4018" w:rsidRDefault="002D4018" w:rsidP="004A6B98">
            <w:pPr>
              <w:pStyle w:val="Heading4"/>
              <w:outlineLvl w:val="3"/>
              <w:rPr>
                <w:lang w:val="en-GB"/>
              </w:rPr>
            </w:pPr>
            <w:r>
              <w:rPr>
                <w:lang w:val="en-GB"/>
              </w:rPr>
              <w:t>Comments</w:t>
            </w:r>
          </w:p>
        </w:tc>
        <w:tc>
          <w:tcPr>
            <w:tcW w:w="1512" w:type="dxa"/>
            <w:tcBorders>
              <w:top w:val="single" w:sz="4" w:space="0" w:color="auto"/>
              <w:bottom w:val="single" w:sz="4" w:space="0" w:color="auto"/>
              <w:right w:val="single" w:sz="4" w:space="0" w:color="auto"/>
            </w:tcBorders>
            <w:shd w:val="clear" w:color="auto" w:fill="000000" w:themeFill="text1"/>
          </w:tcPr>
          <w:p w14:paraId="05665CC6" w14:textId="77777777" w:rsidR="002D4018" w:rsidRPr="00386C25" w:rsidRDefault="002D4018" w:rsidP="004A6B98">
            <w:pPr>
              <w:pStyle w:val="Heading4"/>
              <w:outlineLvl w:val="3"/>
              <w:rPr>
                <w:lang w:val="en-GB"/>
              </w:rPr>
            </w:pPr>
            <w:r>
              <w:rPr>
                <w:lang w:val="en-GB"/>
              </w:rPr>
              <w:t>LTW^</w:t>
            </w:r>
          </w:p>
        </w:tc>
      </w:tr>
      <w:tr w:rsidR="00FB3967" w:rsidRPr="006C53A2" w14:paraId="11292333"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80A5943" w14:textId="77777777" w:rsidR="00FB3967" w:rsidRPr="005F076E" w:rsidRDefault="00FB3967" w:rsidP="002D4018">
            <w:pPr>
              <w:pStyle w:val="WoVGbodynospace"/>
              <w:spacing w:line="260" w:lineRule="atLeast"/>
              <w:rPr>
                <w:lang w:val="en-GB"/>
              </w:rPr>
            </w:pPr>
            <w:r>
              <w:rPr>
                <w:lang w:val="en-GB"/>
              </w:rPr>
              <w:t>5.01 The organisation has an effective accident information reporting system which includes reporting of psychological issues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F3A62"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F6950"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8063F"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45A61"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C1D9E" w14:textId="77777777" w:rsidR="00FB3967" w:rsidRPr="006C53A2" w:rsidRDefault="00FB3967" w:rsidP="002D4018">
            <w:pPr>
              <w:pStyle w:val="WoVGbodynospace"/>
              <w:spacing w:line="260" w:lineRule="atLeast"/>
              <w:rPr>
                <w:lang w:val="en-GB"/>
              </w:rPr>
            </w:pPr>
            <w:r>
              <w:rPr>
                <w:lang w:val="en-GB"/>
              </w:rPr>
              <w:t>OHS 16</w:t>
            </w:r>
          </w:p>
        </w:tc>
      </w:tr>
      <w:tr w:rsidR="00FB3967" w:rsidRPr="006C53A2" w14:paraId="0D90E9B2"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238051C" w14:textId="77777777" w:rsidR="00FB3967" w:rsidRDefault="00FB3967" w:rsidP="002D4018">
            <w:pPr>
              <w:pStyle w:val="WoVGbodynospace"/>
              <w:spacing w:line="260" w:lineRule="atLeast"/>
              <w:rPr>
                <w:lang w:val="en-GB"/>
              </w:rPr>
            </w:pPr>
            <w:r>
              <w:rPr>
                <w:lang w:val="en-GB"/>
              </w:rPr>
              <w:t>5.02 The organisation has an effective audit program and continuous improvement process that includes mental health and safety*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8FC1B"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C783E"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DB399"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FBC96"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2B5AF" w14:textId="77777777" w:rsidR="00FB3967" w:rsidRPr="006C53A2" w:rsidRDefault="00FB3967" w:rsidP="002D4018">
            <w:pPr>
              <w:pStyle w:val="WoVGbodynospace"/>
              <w:spacing w:line="260" w:lineRule="atLeast"/>
              <w:rPr>
                <w:lang w:val="en-GB"/>
              </w:rPr>
            </w:pPr>
            <w:r>
              <w:rPr>
                <w:lang w:val="en-GB"/>
              </w:rPr>
              <w:t>OHS 23</w:t>
            </w:r>
          </w:p>
        </w:tc>
      </w:tr>
      <w:tr w:rsidR="00FB3967" w:rsidRPr="006C53A2" w14:paraId="17D6E66B"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0B621388" w14:textId="77777777" w:rsidR="00FB3967" w:rsidRDefault="00FB3967" w:rsidP="002D4018">
            <w:pPr>
              <w:pStyle w:val="WoVGbodynospace"/>
              <w:spacing w:line="260" w:lineRule="atLeast"/>
              <w:rPr>
                <w:lang w:val="en-GB"/>
              </w:rPr>
            </w:pPr>
            <w:r>
              <w:rPr>
                <w:lang w:val="en-GB"/>
              </w:rPr>
              <w:t xml:space="preserve">5.03 The organisation reports corrective actions / continuous improvement actions related to psychological health and safety activities through appropriate governance committees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3EEEB"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19525"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39C3D"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D83EF"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B555E" w14:textId="77777777" w:rsidR="00FB3967" w:rsidRPr="006C53A2" w:rsidRDefault="00FB3967" w:rsidP="002D4018">
            <w:pPr>
              <w:pStyle w:val="WoVGbodynospace"/>
              <w:spacing w:line="260" w:lineRule="atLeast"/>
              <w:rPr>
                <w:lang w:val="en-GB"/>
              </w:rPr>
            </w:pPr>
            <w:r>
              <w:rPr>
                <w:lang w:val="en-GB"/>
              </w:rPr>
              <w:t>OHS 17 &amp; 24 Acct 6</w:t>
            </w:r>
          </w:p>
        </w:tc>
      </w:tr>
      <w:tr w:rsidR="00FB3967" w:rsidRPr="006C53A2" w14:paraId="6656FF0E"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A526699" w14:textId="77777777" w:rsidR="00FB3967" w:rsidRDefault="00FB3967" w:rsidP="002D4018">
            <w:pPr>
              <w:pStyle w:val="WoVGbodynospace"/>
              <w:spacing w:line="260" w:lineRule="atLeast"/>
              <w:rPr>
                <w:lang w:val="en-GB"/>
              </w:rPr>
            </w:pPr>
            <w:r>
              <w:rPr>
                <w:lang w:val="en-GB"/>
              </w:rPr>
              <w:t>5.04 The results of this self- assessment and any audits are communicated to appropriate safety committees and stakeholders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6B940"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D9288"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B53C8"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9FA8B"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D8D00" w14:textId="77777777" w:rsidR="00FB3967" w:rsidRPr="006C53A2" w:rsidRDefault="00FB3967" w:rsidP="002D4018">
            <w:pPr>
              <w:pStyle w:val="WoVGbodynospace"/>
              <w:spacing w:line="260" w:lineRule="atLeast"/>
              <w:rPr>
                <w:lang w:val="en-GB"/>
              </w:rPr>
            </w:pPr>
            <w:r>
              <w:rPr>
                <w:lang w:val="en-GB"/>
              </w:rPr>
              <w:t>SC 12</w:t>
            </w:r>
          </w:p>
        </w:tc>
      </w:tr>
      <w:tr w:rsidR="00FB3967" w:rsidRPr="006C53A2" w14:paraId="4EABBAC7"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283B5EC" w14:textId="77777777" w:rsidR="00FB3967" w:rsidRDefault="00FB3967" w:rsidP="002D4018">
            <w:pPr>
              <w:pStyle w:val="WoVGbodynospace"/>
              <w:spacing w:line="260" w:lineRule="atLeast"/>
              <w:rPr>
                <w:lang w:val="en-GB"/>
              </w:rPr>
            </w:pPr>
            <w:r>
              <w:rPr>
                <w:lang w:val="en-GB"/>
              </w:rPr>
              <w:t>5.05 The self-assessment and audit program results feed into the planning process for health and safety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6DF8D"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ADC46"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117D0"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B61C0"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1DEC4" w14:textId="77777777" w:rsidR="00FB3967" w:rsidRPr="006C53A2" w:rsidRDefault="00FB3967" w:rsidP="002D4018">
            <w:pPr>
              <w:pStyle w:val="WoVGbodynospace"/>
              <w:spacing w:line="260" w:lineRule="atLeast"/>
              <w:rPr>
                <w:lang w:val="en-GB"/>
              </w:rPr>
            </w:pPr>
            <w:r>
              <w:rPr>
                <w:lang w:val="en-GB"/>
              </w:rPr>
              <w:t>OHS 7 &amp; 24</w:t>
            </w:r>
          </w:p>
        </w:tc>
      </w:tr>
      <w:tr w:rsidR="00FB3967" w:rsidRPr="006C53A2" w14:paraId="36BAEF9A"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D293943" w14:textId="77777777" w:rsidR="00FB3967" w:rsidRDefault="00FB3967" w:rsidP="002D4018">
            <w:pPr>
              <w:pStyle w:val="WoVGbodynospace"/>
              <w:spacing w:line="260" w:lineRule="atLeast"/>
              <w:rPr>
                <w:lang w:val="en-GB"/>
              </w:rPr>
            </w:pPr>
            <w:r>
              <w:rPr>
                <w:lang w:val="en-GB"/>
              </w:rPr>
              <w:lastRenderedPageBreak/>
              <w:t>5.06 Use of the self-assessment tool is considered part of business as usual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6986F"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28CAD"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BA515"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90778"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0758F" w14:textId="77777777" w:rsidR="00FB3967" w:rsidRPr="006C53A2" w:rsidRDefault="00FB3967" w:rsidP="002D4018">
            <w:pPr>
              <w:pStyle w:val="WoVGbodynospace"/>
              <w:spacing w:line="260" w:lineRule="atLeast"/>
              <w:rPr>
                <w:lang w:val="en-GB"/>
              </w:rPr>
            </w:pPr>
            <w:r>
              <w:rPr>
                <w:lang w:val="en-GB"/>
              </w:rPr>
              <w:t>SMC7</w:t>
            </w:r>
          </w:p>
        </w:tc>
      </w:tr>
      <w:tr w:rsidR="00FB3967" w:rsidRPr="006C53A2" w14:paraId="1705A24D" w14:textId="77777777" w:rsidTr="002473D3">
        <w:tc>
          <w:tcPr>
            <w:tcW w:w="835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C86BC24" w14:textId="77777777" w:rsidR="00FB3967" w:rsidRPr="00080758" w:rsidRDefault="00FB3967" w:rsidP="002D4018">
            <w:pPr>
              <w:pStyle w:val="WoVGbodynospace"/>
              <w:spacing w:line="260" w:lineRule="atLeast"/>
              <w:rPr>
                <w:i/>
                <w:lang w:val="en-GB"/>
              </w:rPr>
            </w:pPr>
            <w:r w:rsidRPr="00080758">
              <w:rPr>
                <w:i/>
                <w:lang w:val="en-GB"/>
              </w:rPr>
              <w:t>Scores of ‘no’ or ‘partial’ prompt action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C78B6" w14:textId="77777777" w:rsidR="00FB3967" w:rsidRPr="006C53A2" w:rsidRDefault="00FB3967" w:rsidP="002D4018">
            <w:pPr>
              <w:pStyle w:val="WoVGbodynospace"/>
              <w:spacing w:line="260" w:lineRule="atLeast"/>
              <w:rPr>
                <w:lang w:val="en-GB"/>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FAA78" w14:textId="77777777" w:rsidR="00FB3967" w:rsidRPr="006C53A2" w:rsidRDefault="00FB3967" w:rsidP="002D4018">
            <w:pPr>
              <w:pStyle w:val="WoVGbodynospace"/>
              <w:spacing w:line="260" w:lineRule="atLeast"/>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B9AF4" w14:textId="77777777" w:rsidR="00FB3967" w:rsidRPr="006C53A2" w:rsidRDefault="00FB3967" w:rsidP="002D4018">
            <w:pPr>
              <w:pStyle w:val="WoVGbodynospace"/>
              <w:spacing w:line="260" w:lineRule="atLeast"/>
              <w:rPr>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468EA" w14:textId="77777777" w:rsidR="00FB3967" w:rsidRPr="006C53A2" w:rsidRDefault="00FB3967" w:rsidP="002D4018">
            <w:pPr>
              <w:pStyle w:val="WoVGbodynospace"/>
              <w:spacing w:line="260" w:lineRule="atLeast"/>
              <w:rPr>
                <w:lang w:val="en-GB"/>
              </w:rPr>
            </w:pP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9D6E3" w14:textId="77777777" w:rsidR="00FB3967" w:rsidRPr="006C53A2" w:rsidRDefault="00FB3967" w:rsidP="002D4018">
            <w:pPr>
              <w:pStyle w:val="WoVGbodynospace"/>
              <w:spacing w:line="260" w:lineRule="atLeast"/>
              <w:rPr>
                <w:lang w:val="en-GB"/>
              </w:rPr>
            </w:pPr>
          </w:p>
        </w:tc>
      </w:tr>
    </w:tbl>
    <w:p w14:paraId="4E3023A9" w14:textId="77777777" w:rsidR="00FB3967" w:rsidRPr="00137C99" w:rsidRDefault="00FB3967" w:rsidP="00FB3967">
      <w:pPr>
        <w:pStyle w:val="WoVGbodynospace"/>
        <w:rPr>
          <w:b/>
          <w:lang w:val="en-GB"/>
        </w:rPr>
      </w:pPr>
      <w:r w:rsidRPr="00137C99">
        <w:rPr>
          <w:b/>
          <w:lang w:val="en-GB"/>
        </w:rPr>
        <w:t>*</w:t>
      </w:r>
      <w:r w:rsidR="002D4018">
        <w:rPr>
          <w:b/>
          <w:lang w:val="en-GB"/>
        </w:rPr>
        <w:t xml:space="preserve"> </w:t>
      </w:r>
      <w:r w:rsidRPr="00137C99">
        <w:rPr>
          <w:b/>
          <w:lang w:val="en-GB"/>
        </w:rPr>
        <w:t>Notes to consider when using this self-assessment tool</w:t>
      </w:r>
    </w:p>
    <w:p w14:paraId="27D4F35F" w14:textId="77777777" w:rsidR="00FB3967" w:rsidRPr="00137C99" w:rsidRDefault="00FB3967" w:rsidP="00FB3967">
      <w:pPr>
        <w:pStyle w:val="WoVGbodynospace"/>
        <w:rPr>
          <w:lang w:val="en-GB"/>
        </w:rPr>
      </w:pPr>
      <w:r w:rsidRPr="00137C99">
        <w:rPr>
          <w:lang w:val="en-GB"/>
        </w:rPr>
        <w:t>Suitable people to administer this self-assessment tool are managers, senior managers and management representatives with assistance from HSRs as appropriate</w:t>
      </w:r>
    </w:p>
    <w:p w14:paraId="2F894959" w14:textId="77777777" w:rsidR="00FB3967" w:rsidRPr="00137C99" w:rsidRDefault="00FB3967" w:rsidP="00FB3967">
      <w:pPr>
        <w:pStyle w:val="WoVGbodynospace"/>
        <w:rPr>
          <w:lang w:val="en-GB"/>
        </w:rPr>
      </w:pPr>
      <w:r w:rsidRPr="00137C99">
        <w:rPr>
          <w:b/>
          <w:lang w:val="en-GB"/>
        </w:rPr>
        <w:t>2.01</w:t>
      </w:r>
      <w:r w:rsidRPr="00137C99">
        <w:rPr>
          <w:lang w:val="en-GB"/>
        </w:rPr>
        <w:t xml:space="preserve"> consider Job Safety Analysis and risk management processes</w:t>
      </w:r>
    </w:p>
    <w:p w14:paraId="40CF99E6" w14:textId="77777777" w:rsidR="00FB3967" w:rsidRPr="00137C99" w:rsidRDefault="00FB3967" w:rsidP="00FB3967">
      <w:pPr>
        <w:pStyle w:val="WoVGbodynospace"/>
        <w:rPr>
          <w:lang w:val="en-GB"/>
        </w:rPr>
      </w:pPr>
      <w:r w:rsidRPr="00137C99">
        <w:rPr>
          <w:b/>
          <w:lang w:val="en-GB"/>
        </w:rPr>
        <w:t>3.02</w:t>
      </w:r>
      <w:r w:rsidRPr="00137C99">
        <w:rPr>
          <w:lang w:val="en-GB"/>
        </w:rPr>
        <w:t xml:space="preserve"> health and safety programs may include but are not limited to: policy reviews, process mapping, debriefing programs, access to supports for resources, training needs and skill development, information sharing, change management programs and processes</w:t>
      </w:r>
    </w:p>
    <w:p w14:paraId="774FD9BA" w14:textId="77777777" w:rsidR="00FB3967" w:rsidRPr="00137C99" w:rsidRDefault="00FB3967" w:rsidP="00FB3967">
      <w:pPr>
        <w:pStyle w:val="WoVGbodynospace"/>
        <w:rPr>
          <w:lang w:val="en-GB"/>
        </w:rPr>
      </w:pPr>
      <w:r w:rsidRPr="00137C99">
        <w:rPr>
          <w:b/>
          <w:lang w:val="en-GB"/>
        </w:rPr>
        <w:t>3.05c</w:t>
      </w:r>
      <w:r w:rsidRPr="00137C99">
        <w:rPr>
          <w:lang w:val="en-GB"/>
        </w:rPr>
        <w:t xml:space="preserve"> consider privacy and confidentiality implications</w:t>
      </w:r>
    </w:p>
    <w:p w14:paraId="4D60B838" w14:textId="77777777" w:rsidR="00FB3967" w:rsidRPr="00137C99" w:rsidRDefault="00FB3967" w:rsidP="00FB3967">
      <w:pPr>
        <w:pStyle w:val="WoVGbodynospace"/>
        <w:rPr>
          <w:lang w:val="en-GB"/>
        </w:rPr>
      </w:pPr>
      <w:r w:rsidRPr="00137C99">
        <w:rPr>
          <w:b/>
          <w:lang w:val="en-GB"/>
        </w:rPr>
        <w:t>3.06</w:t>
      </w:r>
      <w:r w:rsidRPr="00137C99">
        <w:rPr>
          <w:lang w:val="en-GB"/>
        </w:rPr>
        <w:t xml:space="preserve"> external parties may include but is not limited to: external providers, suppliers, contractors, visitors</w:t>
      </w:r>
    </w:p>
    <w:p w14:paraId="12881BBB" w14:textId="77777777" w:rsidR="00FB3967" w:rsidRPr="00137C99" w:rsidRDefault="00FB3967" w:rsidP="00FB3967">
      <w:pPr>
        <w:pStyle w:val="WoVGbodynospace"/>
        <w:rPr>
          <w:lang w:val="en-GB"/>
        </w:rPr>
      </w:pPr>
      <w:r w:rsidRPr="00137C99">
        <w:rPr>
          <w:b/>
          <w:lang w:val="en-GB"/>
        </w:rPr>
        <w:t>4.01</w:t>
      </w:r>
      <w:r w:rsidRPr="00137C99">
        <w:rPr>
          <w:lang w:val="en-GB"/>
        </w:rPr>
        <w:t xml:space="preserve"> information delivered through appropriate means for your organisation: consider induction, staff forums, meetings, newsletters, articles</w:t>
      </w:r>
    </w:p>
    <w:p w14:paraId="0A9C912E" w14:textId="77777777" w:rsidR="00FB3967" w:rsidRPr="00137C99" w:rsidRDefault="00FB3967" w:rsidP="00FB3967">
      <w:pPr>
        <w:pStyle w:val="WoVGbodynospace"/>
        <w:rPr>
          <w:lang w:val="en-GB"/>
        </w:rPr>
      </w:pPr>
      <w:r w:rsidRPr="00137C99">
        <w:rPr>
          <w:b/>
          <w:lang w:val="en-GB"/>
        </w:rPr>
        <w:t>4.03</w:t>
      </w:r>
      <w:r w:rsidRPr="00137C99">
        <w:rPr>
          <w:lang w:val="en-GB"/>
        </w:rPr>
        <w:t xml:space="preserve"> Stakeholder support could include communication, information sharing, wellbeing activities and training</w:t>
      </w:r>
    </w:p>
    <w:p w14:paraId="337A46B0" w14:textId="77777777" w:rsidR="00FB3967" w:rsidRPr="00137C99" w:rsidRDefault="00FB3967" w:rsidP="00FB3967">
      <w:pPr>
        <w:pStyle w:val="WoVGbodynospace"/>
        <w:rPr>
          <w:lang w:val="en-GB"/>
        </w:rPr>
      </w:pPr>
      <w:r w:rsidRPr="00137C99">
        <w:rPr>
          <w:b/>
          <w:lang w:val="en-GB"/>
        </w:rPr>
        <w:t>4.08</w:t>
      </w:r>
      <w:r w:rsidRPr="00137C99">
        <w:rPr>
          <w:lang w:val="en-GB"/>
        </w:rPr>
        <w:t xml:space="preserve"> stakeholders may include but are not limited to: senior managers, managers, executive, HSRs, management representatives, Health and Safety manager / director</w:t>
      </w:r>
    </w:p>
    <w:p w14:paraId="74F69185" w14:textId="77777777" w:rsidR="00FB3967" w:rsidRPr="00137C99" w:rsidRDefault="00FB3967" w:rsidP="00FB3967">
      <w:pPr>
        <w:pStyle w:val="WoVGbodynospace"/>
        <w:rPr>
          <w:lang w:val="en-GB"/>
        </w:rPr>
      </w:pPr>
      <w:r w:rsidRPr="00137C99">
        <w:rPr>
          <w:b/>
          <w:lang w:val="en-GB"/>
        </w:rPr>
        <w:t>4.09</w:t>
      </w:r>
      <w:r w:rsidRPr="00137C99">
        <w:rPr>
          <w:lang w:val="en-GB"/>
        </w:rPr>
        <w:t xml:space="preserve"> consider privacy and confidentiality when communicating investigation outcomes</w:t>
      </w:r>
    </w:p>
    <w:p w14:paraId="32399560" w14:textId="77777777" w:rsidR="00FB3967" w:rsidRDefault="00FB3967" w:rsidP="00FB3967">
      <w:pPr>
        <w:pStyle w:val="WoVGbodynospace"/>
        <w:rPr>
          <w:lang w:val="en-GB"/>
        </w:rPr>
      </w:pPr>
      <w:r w:rsidRPr="00137C99">
        <w:rPr>
          <w:b/>
          <w:lang w:val="en-GB"/>
        </w:rPr>
        <w:t>5.02</w:t>
      </w:r>
      <w:r w:rsidRPr="00137C99">
        <w:rPr>
          <w:lang w:val="en-GB"/>
        </w:rPr>
        <w:t xml:space="preserve"> audit program could be through risk management reporting</w:t>
      </w:r>
      <w:bookmarkEnd w:id="39"/>
    </w:p>
    <w:p w14:paraId="662459AA" w14:textId="77777777" w:rsidR="00FB3967" w:rsidRPr="00814CC5" w:rsidRDefault="00FB3967" w:rsidP="005817F8">
      <w:pPr>
        <w:pStyle w:val="WoVGbodynospace"/>
        <w:spacing w:before="120"/>
        <w:rPr>
          <w:b/>
          <w:lang w:val="en-GB"/>
        </w:rPr>
      </w:pPr>
      <w:r w:rsidRPr="00814CC5">
        <w:rPr>
          <w:b/>
          <w:lang w:val="en-GB"/>
        </w:rPr>
        <w:t>^ Leading the Way (LTW) self-assessment tool references:</w:t>
      </w:r>
    </w:p>
    <w:p w14:paraId="1B90CE23" w14:textId="77777777" w:rsidR="00FB3967" w:rsidRDefault="00FB3967" w:rsidP="00FB3967">
      <w:pPr>
        <w:pStyle w:val="WoVGbodynospace"/>
        <w:rPr>
          <w:lang w:val="en-GB"/>
        </w:rPr>
      </w:pPr>
      <w:r>
        <w:rPr>
          <w:lang w:val="en-GB"/>
        </w:rPr>
        <w:t>SMC – Senior Management Commitment</w:t>
      </w:r>
    </w:p>
    <w:p w14:paraId="1D40E677" w14:textId="77777777" w:rsidR="00FB3967" w:rsidRDefault="00FB3967" w:rsidP="00FB3967">
      <w:pPr>
        <w:pStyle w:val="WoVGbodynospace"/>
        <w:rPr>
          <w:lang w:val="en-GB"/>
        </w:rPr>
      </w:pPr>
      <w:r>
        <w:rPr>
          <w:lang w:val="en-GB"/>
        </w:rPr>
        <w:t>SC – Safety Culture</w:t>
      </w:r>
    </w:p>
    <w:p w14:paraId="5DD61D39" w14:textId="77777777" w:rsidR="00FB3967" w:rsidRDefault="00FB3967" w:rsidP="00FB3967">
      <w:pPr>
        <w:pStyle w:val="WoVGbodynospace"/>
        <w:rPr>
          <w:lang w:val="en-GB"/>
        </w:rPr>
      </w:pPr>
      <w:r>
        <w:rPr>
          <w:lang w:val="en-GB"/>
        </w:rPr>
        <w:t>OHS – OHS Systems</w:t>
      </w:r>
    </w:p>
    <w:p w14:paraId="7A2C042C" w14:textId="77777777" w:rsidR="00FB3967" w:rsidRDefault="00FB3967" w:rsidP="00FB3967">
      <w:pPr>
        <w:pStyle w:val="WoVGbodynospace"/>
      </w:pPr>
      <w:r>
        <w:rPr>
          <w:lang w:val="en-GB"/>
        </w:rPr>
        <w:t>Acct - Accountability</w:t>
      </w:r>
      <w:r>
        <w:br w:type="page"/>
      </w:r>
    </w:p>
    <w:p w14:paraId="05A8FE7B" w14:textId="77777777" w:rsidR="00FB3967" w:rsidRDefault="00FB3967" w:rsidP="00FB3967">
      <w:pPr>
        <w:sectPr w:rsidR="00FB3967" w:rsidSect="00FB3967">
          <w:headerReference w:type="default" r:id="rId23"/>
          <w:pgSz w:w="16840" w:h="11900" w:orient="landscape" w:code="9"/>
          <w:pgMar w:top="1440" w:right="1440" w:bottom="1276" w:left="1440" w:header="708" w:footer="708" w:gutter="0"/>
          <w:cols w:space="708"/>
          <w:docGrid w:linePitch="360"/>
        </w:sectPr>
      </w:pPr>
    </w:p>
    <w:p w14:paraId="3F3756C7" w14:textId="77777777" w:rsidR="00FB3967" w:rsidRDefault="00FB3967" w:rsidP="00FB3967">
      <w:pPr>
        <w:pStyle w:val="Heading1"/>
      </w:pPr>
      <w:bookmarkStart w:id="40" w:name="_Toc9246815"/>
      <w:r>
        <w:lastRenderedPageBreak/>
        <w:t>Definitions</w:t>
      </w:r>
      <w:bookmarkEnd w:id="40"/>
    </w:p>
    <w:p w14:paraId="4908DC92" w14:textId="77777777" w:rsidR="006411C4" w:rsidRDefault="00FB3967" w:rsidP="006411C4">
      <w:pPr>
        <w:pStyle w:val="WoVGtablecaption"/>
      </w:pPr>
      <w:r>
        <w:rPr>
          <w:lang w:val="en-GB"/>
        </w:rPr>
        <w:t>Reporting outcomes in the minimum data set</w:t>
      </w:r>
    </w:p>
    <w:tbl>
      <w:tblPr>
        <w:tblStyle w:val="TableGrid"/>
        <w:tblW w:w="90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1"/>
        <w:gridCol w:w="5700"/>
      </w:tblGrid>
      <w:tr w:rsidR="006411C4" w14:paraId="7755A98F" w14:textId="77777777" w:rsidTr="007D247A">
        <w:trPr>
          <w:tblHeader/>
        </w:trPr>
        <w:tc>
          <w:tcPr>
            <w:tcW w:w="3539" w:type="dxa"/>
            <w:tcBorders>
              <w:top w:val="single" w:sz="4" w:space="0" w:color="auto"/>
              <w:left w:val="single" w:sz="4" w:space="0" w:color="auto"/>
              <w:bottom w:val="single" w:sz="4" w:space="0" w:color="auto"/>
            </w:tcBorders>
            <w:shd w:val="clear" w:color="auto" w:fill="000000" w:themeFill="text1"/>
          </w:tcPr>
          <w:p w14:paraId="7402A36E" w14:textId="77777777" w:rsidR="006411C4" w:rsidRPr="00386C25" w:rsidRDefault="006411C4" w:rsidP="005817F8">
            <w:pPr>
              <w:pStyle w:val="Heading4"/>
              <w:keepNext w:val="0"/>
              <w:outlineLvl w:val="3"/>
              <w:rPr>
                <w:lang w:val="en-GB"/>
              </w:rPr>
            </w:pPr>
            <w:r>
              <w:rPr>
                <w:lang w:val="en-GB"/>
              </w:rPr>
              <w:t>Term</w:t>
            </w:r>
          </w:p>
        </w:tc>
        <w:tc>
          <w:tcPr>
            <w:tcW w:w="6095" w:type="dxa"/>
            <w:tcBorders>
              <w:top w:val="single" w:sz="4" w:space="0" w:color="auto"/>
              <w:bottom w:val="single" w:sz="4" w:space="0" w:color="auto"/>
              <w:right w:val="single" w:sz="4" w:space="0" w:color="auto"/>
            </w:tcBorders>
            <w:shd w:val="clear" w:color="auto" w:fill="000000" w:themeFill="text1"/>
          </w:tcPr>
          <w:p w14:paraId="24449D5C" w14:textId="77777777" w:rsidR="006411C4" w:rsidRPr="00386C25" w:rsidRDefault="006411C4" w:rsidP="00840C7C">
            <w:pPr>
              <w:pStyle w:val="Heading4"/>
              <w:outlineLvl w:val="3"/>
              <w:rPr>
                <w:lang w:val="en-GB"/>
              </w:rPr>
            </w:pPr>
            <w:r w:rsidRPr="00386C25">
              <w:rPr>
                <w:lang w:val="en-GB"/>
              </w:rPr>
              <w:t>Definition</w:t>
            </w:r>
          </w:p>
        </w:tc>
      </w:tr>
      <w:tr w:rsidR="006411C4" w14:paraId="5F3963D8"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2C56DCAB" w14:textId="77777777" w:rsidR="006411C4" w:rsidRPr="006C53A2" w:rsidRDefault="006411C4" w:rsidP="005817F8">
            <w:pPr>
              <w:pStyle w:val="Heading4"/>
              <w:keepNext w:val="0"/>
              <w:outlineLvl w:val="3"/>
              <w:rPr>
                <w:lang w:val="en-GB"/>
              </w:rPr>
            </w:pPr>
            <w:r>
              <w:rPr>
                <w:lang w:val="en-GB"/>
              </w:rPr>
              <w:t xml:space="preserve">Bullying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C6091" w14:textId="77777777" w:rsidR="006411C4" w:rsidRDefault="006411C4" w:rsidP="00840C7C">
            <w:pPr>
              <w:pStyle w:val="WoVGbodynospace"/>
              <w:rPr>
                <w:lang w:val="en-GB"/>
              </w:rPr>
            </w:pPr>
            <w:r w:rsidRPr="00157808">
              <w:rPr>
                <w:lang w:val="en-GB"/>
              </w:rPr>
              <w:t>As per the WorkSafe Victoria definition</w:t>
            </w:r>
            <w:r>
              <w:rPr>
                <w:lang w:val="en-GB"/>
              </w:rPr>
              <w:t>:</w:t>
            </w:r>
          </w:p>
          <w:p w14:paraId="41F1695A" w14:textId="77777777" w:rsidR="006411C4" w:rsidRDefault="006411C4" w:rsidP="005817F8">
            <w:pPr>
              <w:pStyle w:val="WoVGbodynospace"/>
              <w:spacing w:after="120"/>
              <w:rPr>
                <w:lang w:val="en-GB"/>
              </w:rPr>
            </w:pPr>
            <w:r w:rsidRPr="004F082D">
              <w:rPr>
                <w:lang w:val="en-GB"/>
              </w:rPr>
              <w:t>Workplace bullying is characterised by persistent and repeated negative behaviour directed at an employee that creates a risk to health and safety.</w:t>
            </w:r>
          </w:p>
          <w:p w14:paraId="656370E4" w14:textId="77777777" w:rsidR="006411C4" w:rsidRDefault="006411C4" w:rsidP="00840C7C">
            <w:pPr>
              <w:pStyle w:val="WoVGbodynospace"/>
              <w:rPr>
                <w:lang w:val="en-GB"/>
              </w:rPr>
            </w:pPr>
            <w:r w:rsidRPr="00157808">
              <w:rPr>
                <w:lang w:val="en-GB"/>
              </w:rPr>
              <w:t>As per Fair Work Ombudsman definition</w:t>
            </w:r>
            <w:r>
              <w:rPr>
                <w:lang w:val="en-GB"/>
              </w:rPr>
              <w:t>:</w:t>
            </w:r>
          </w:p>
          <w:p w14:paraId="32EEDACF" w14:textId="77777777" w:rsidR="006411C4" w:rsidRPr="00DE7153" w:rsidRDefault="006411C4" w:rsidP="00840C7C">
            <w:pPr>
              <w:pStyle w:val="WoVGbodynospace"/>
            </w:pPr>
            <w:r w:rsidRPr="00DE7153">
              <w:t>A worker is bullied at work if:</w:t>
            </w:r>
          </w:p>
          <w:p w14:paraId="104CF3F8" w14:textId="77777777" w:rsidR="006411C4" w:rsidRPr="00DE7153" w:rsidRDefault="006411C4" w:rsidP="00840C7C">
            <w:pPr>
              <w:pStyle w:val="WoVGbullet1"/>
            </w:pPr>
            <w:r w:rsidRPr="00DE7153">
              <w:t>a person or group of people repeatedly act unreasonably towards them or a group of workers</w:t>
            </w:r>
          </w:p>
          <w:p w14:paraId="7338307B" w14:textId="77777777" w:rsidR="006411C4" w:rsidRPr="00DE7153" w:rsidRDefault="006411C4" w:rsidP="00840C7C">
            <w:pPr>
              <w:pStyle w:val="WoVGbullet1"/>
            </w:pPr>
            <w:r w:rsidRPr="00DE7153">
              <w:t>the behaviour creates a risk to health and safety.</w:t>
            </w:r>
          </w:p>
          <w:p w14:paraId="4DA8D226" w14:textId="77777777" w:rsidR="006411C4" w:rsidRPr="00DE7153" w:rsidRDefault="006411C4" w:rsidP="005817F8">
            <w:pPr>
              <w:pStyle w:val="WoVGbodynospace"/>
              <w:spacing w:after="120"/>
            </w:pPr>
            <w:r w:rsidRPr="00DE7153">
              <w:t>Unreasonable behaviour includes victimising, humiliating, intimidating or threatening. Whether a behaviour is unreasonable can depend on whether a reasonable person might see the behaviour as unreasonable in the circumstances.</w:t>
            </w:r>
          </w:p>
          <w:p w14:paraId="6092D232" w14:textId="77777777" w:rsidR="006411C4" w:rsidRPr="00DE7153" w:rsidRDefault="006411C4" w:rsidP="00840C7C">
            <w:pPr>
              <w:pStyle w:val="WoVGbodynospace"/>
            </w:pPr>
            <w:r w:rsidRPr="00DE7153">
              <w:t>Examples of bullying include:</w:t>
            </w:r>
          </w:p>
          <w:p w14:paraId="7B96B28F" w14:textId="77777777" w:rsidR="006411C4" w:rsidRPr="00DE7153" w:rsidRDefault="006411C4" w:rsidP="00840C7C">
            <w:pPr>
              <w:pStyle w:val="WoVGbullet1"/>
            </w:pPr>
            <w:r w:rsidRPr="00DE7153">
              <w:t>behaving aggressively</w:t>
            </w:r>
          </w:p>
          <w:p w14:paraId="5F4D1574" w14:textId="77777777" w:rsidR="006411C4" w:rsidRPr="00DE7153" w:rsidRDefault="006411C4" w:rsidP="00840C7C">
            <w:pPr>
              <w:pStyle w:val="WoVGbullet1"/>
            </w:pPr>
            <w:r w:rsidRPr="00DE7153">
              <w:t>teasing or practical jokes</w:t>
            </w:r>
          </w:p>
          <w:p w14:paraId="2B3CE692" w14:textId="77777777" w:rsidR="006411C4" w:rsidRPr="00DE7153" w:rsidRDefault="006411C4" w:rsidP="00840C7C">
            <w:pPr>
              <w:pStyle w:val="WoVGbullet1"/>
            </w:pPr>
            <w:r w:rsidRPr="00DE7153">
              <w:t>pressuring someone to behave inappropriately</w:t>
            </w:r>
          </w:p>
          <w:p w14:paraId="5A664A4D" w14:textId="77777777" w:rsidR="006411C4" w:rsidRPr="00DE7153" w:rsidRDefault="006411C4" w:rsidP="00840C7C">
            <w:pPr>
              <w:pStyle w:val="WoVGbullet1"/>
            </w:pPr>
            <w:r w:rsidRPr="00DE7153">
              <w:t>excluding someone from work-related events or</w:t>
            </w:r>
          </w:p>
          <w:p w14:paraId="213D4EF5" w14:textId="77777777" w:rsidR="006411C4" w:rsidRPr="00DE7153" w:rsidRDefault="006411C4" w:rsidP="00840C7C">
            <w:pPr>
              <w:pStyle w:val="WoVGbullet1"/>
            </w:pPr>
            <w:r w:rsidRPr="00DE7153">
              <w:t>unreasonable work demands.</w:t>
            </w:r>
          </w:p>
          <w:p w14:paraId="480ABE75" w14:textId="77777777" w:rsidR="006411C4" w:rsidRPr="00162512" w:rsidRDefault="006411C4" w:rsidP="00840C7C">
            <w:pPr>
              <w:pStyle w:val="WoVGbodynospace"/>
              <w:rPr>
                <w:lang w:val="en-GB"/>
              </w:rPr>
            </w:pPr>
            <w:r w:rsidRPr="00162512">
              <w:rPr>
                <w:lang w:val="en-GB"/>
              </w:rPr>
              <w:t xml:space="preserve">Note that this excludes behaviours by non-employees which is covered </w:t>
            </w:r>
            <w:r>
              <w:rPr>
                <w:lang w:val="en-GB"/>
              </w:rPr>
              <w:t>under</w:t>
            </w:r>
            <w:r w:rsidRPr="00162512">
              <w:rPr>
                <w:lang w:val="en-GB"/>
              </w:rPr>
              <w:t xml:space="preserve"> occupational violence.</w:t>
            </w:r>
          </w:p>
        </w:tc>
      </w:tr>
      <w:tr w:rsidR="006411C4" w14:paraId="607B6C66"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7B85167" w14:textId="77777777" w:rsidR="006411C4" w:rsidRDefault="006411C4" w:rsidP="005817F8">
            <w:pPr>
              <w:pStyle w:val="Heading4"/>
              <w:keepNext w:val="0"/>
              <w:outlineLvl w:val="3"/>
              <w:rPr>
                <w:lang w:val="en-GB"/>
              </w:rPr>
            </w:pPr>
            <w:r w:rsidRPr="003A1F83">
              <w:t>Discrimination</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7A087" w14:textId="77777777" w:rsidR="006411C4" w:rsidRDefault="006411C4" w:rsidP="00840C7C">
            <w:pPr>
              <w:pStyle w:val="WoVGbodynospace"/>
              <w:rPr>
                <w:lang w:val="en-GB"/>
              </w:rPr>
            </w:pPr>
            <w:r w:rsidRPr="00157808">
              <w:rPr>
                <w:lang w:val="en-GB"/>
              </w:rPr>
              <w:t>As per the VEOHRC definition</w:t>
            </w:r>
            <w:r>
              <w:rPr>
                <w:lang w:val="en-GB"/>
              </w:rPr>
              <w:t>:</w:t>
            </w:r>
          </w:p>
          <w:p w14:paraId="66763927" w14:textId="77777777" w:rsidR="006411C4" w:rsidRPr="005817F8" w:rsidRDefault="006411C4" w:rsidP="005817F8">
            <w:pPr>
              <w:pStyle w:val="WoVGbodynospace"/>
              <w:rPr>
                <w:lang w:val="en-GB"/>
              </w:rPr>
            </w:pPr>
            <w:r w:rsidRPr="00814832">
              <w:rPr>
                <w:lang w:val="en-GB"/>
              </w:rPr>
              <w:t>Discrimination is treating, or proposing to treat, someone unfavourably because of a personal characteristic protected by the law. This includes bullying someone because of a protected characteristic.</w:t>
            </w:r>
          </w:p>
        </w:tc>
      </w:tr>
      <w:tr w:rsidR="006411C4" w14:paraId="7A04A7C4"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79FA8015" w14:textId="77777777" w:rsidR="006411C4" w:rsidRDefault="006411C4" w:rsidP="005817F8">
            <w:pPr>
              <w:pStyle w:val="Heading4"/>
              <w:keepNext w:val="0"/>
              <w:outlineLvl w:val="3"/>
              <w:rPr>
                <w:lang w:val="en-GB"/>
              </w:rPr>
            </w:pPr>
            <w:r w:rsidRPr="003A1F83">
              <w:t xml:space="preserve">Harassment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0AF93" w14:textId="77777777" w:rsidR="006411C4" w:rsidRDefault="006411C4" w:rsidP="00840C7C">
            <w:pPr>
              <w:pStyle w:val="WoVGbodynospace"/>
              <w:rPr>
                <w:lang w:val="en-GB"/>
              </w:rPr>
            </w:pPr>
            <w:r w:rsidRPr="00157808">
              <w:rPr>
                <w:lang w:val="en-GB"/>
              </w:rPr>
              <w:t>As per the VEOHRC definition</w:t>
            </w:r>
            <w:r>
              <w:rPr>
                <w:lang w:val="en-GB"/>
              </w:rPr>
              <w:t>:</w:t>
            </w:r>
          </w:p>
          <w:p w14:paraId="0D2C5D51" w14:textId="77777777" w:rsidR="006411C4" w:rsidRPr="005817F8" w:rsidRDefault="006411C4" w:rsidP="005817F8">
            <w:pPr>
              <w:pStyle w:val="WoVGbodynospace"/>
              <w:rPr>
                <w:lang w:val="en-GB"/>
              </w:rPr>
            </w:pPr>
            <w:r w:rsidRPr="004F082D">
              <w:rPr>
                <w:lang w:val="en-GB"/>
              </w:rPr>
              <w:t>Sexual harassment is unwelcome sexual behaviour, which could be expected to make a person feel offended, humiliated or intimidated. It can be physical, verbal or written.</w:t>
            </w:r>
          </w:p>
        </w:tc>
      </w:tr>
      <w:tr w:rsidR="006411C4" w:rsidRPr="00B5534F" w14:paraId="2F42F592"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1FA50503" w14:textId="77777777" w:rsidR="006411C4" w:rsidRPr="00A86986" w:rsidRDefault="006411C4" w:rsidP="00840C7C">
            <w:pPr>
              <w:pStyle w:val="Heading4"/>
              <w:outlineLvl w:val="3"/>
              <w:rPr>
                <w:lang w:val="en-GB"/>
              </w:rPr>
            </w:pPr>
            <w:r w:rsidRPr="00A86986">
              <w:rPr>
                <w:lang w:val="en-GB"/>
              </w:rPr>
              <w:lastRenderedPageBreak/>
              <w:t>Occupational violence</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E12D8" w14:textId="77777777" w:rsidR="006411C4" w:rsidRDefault="006411C4" w:rsidP="00840C7C">
            <w:pPr>
              <w:pStyle w:val="WoVGbodynospace"/>
              <w:rPr>
                <w:lang w:val="en-GB"/>
              </w:rPr>
            </w:pPr>
            <w:r w:rsidRPr="00157808">
              <w:rPr>
                <w:lang w:val="en-GB"/>
              </w:rPr>
              <w:t>As per the WorkSafe Victoria Definition</w:t>
            </w:r>
            <w:r>
              <w:rPr>
                <w:lang w:val="en-GB"/>
              </w:rPr>
              <w:t>:</w:t>
            </w:r>
          </w:p>
          <w:p w14:paraId="4EE59846" w14:textId="77777777" w:rsidR="006411C4" w:rsidRPr="004F082D" w:rsidRDefault="006411C4" w:rsidP="00F37E58">
            <w:pPr>
              <w:pStyle w:val="WoVGbodynospace"/>
              <w:spacing w:after="120"/>
              <w:rPr>
                <w:lang w:val="en-GB"/>
              </w:rPr>
            </w:pPr>
            <w:r w:rsidRPr="004F082D">
              <w:rPr>
                <w:lang w:val="en-GB"/>
              </w:rPr>
              <w:t>Work-related violence involves incidents in which a person is abused, threatened or assaulted in circumstances relating to their work. This definition covers a broad range of actions and behaviours that can create a risk to the health and safety of employees.</w:t>
            </w:r>
          </w:p>
          <w:p w14:paraId="590F8AEC" w14:textId="77777777" w:rsidR="006411C4" w:rsidRPr="004F082D" w:rsidRDefault="006411C4" w:rsidP="00840C7C">
            <w:pPr>
              <w:pStyle w:val="WoVGbodynospace"/>
              <w:rPr>
                <w:lang w:val="en-GB"/>
              </w:rPr>
            </w:pPr>
            <w:r w:rsidRPr="004F082D">
              <w:rPr>
                <w:lang w:val="en-GB"/>
              </w:rPr>
              <w:t>Examples of work-related violence can include:</w:t>
            </w:r>
          </w:p>
          <w:p w14:paraId="4451633D" w14:textId="77777777" w:rsidR="006411C4" w:rsidRPr="004F082D" w:rsidRDefault="006411C4" w:rsidP="00840C7C">
            <w:pPr>
              <w:pStyle w:val="WoVGbullet1"/>
              <w:rPr>
                <w:lang w:val="en-GB"/>
              </w:rPr>
            </w:pPr>
            <w:r w:rsidRPr="004F082D">
              <w:rPr>
                <w:lang w:val="en-GB"/>
              </w:rPr>
              <w:t>biting, spitting, scratching, hitting, kicking</w:t>
            </w:r>
          </w:p>
          <w:p w14:paraId="0158FD65" w14:textId="77777777" w:rsidR="006411C4" w:rsidRPr="004F082D" w:rsidRDefault="006411C4" w:rsidP="00840C7C">
            <w:pPr>
              <w:pStyle w:val="WoVGbullet1"/>
              <w:rPr>
                <w:lang w:val="en-GB"/>
              </w:rPr>
            </w:pPr>
            <w:r w:rsidRPr="004F082D">
              <w:rPr>
                <w:lang w:val="en-GB"/>
              </w:rPr>
              <w:t>pushing, shoving, tripping, grabbing</w:t>
            </w:r>
          </w:p>
          <w:p w14:paraId="4DFDC430" w14:textId="77777777" w:rsidR="006411C4" w:rsidRPr="004F082D" w:rsidRDefault="006411C4" w:rsidP="00840C7C">
            <w:pPr>
              <w:pStyle w:val="WoVGbullet1"/>
              <w:rPr>
                <w:lang w:val="en-GB"/>
              </w:rPr>
            </w:pPr>
            <w:r w:rsidRPr="004F082D">
              <w:rPr>
                <w:lang w:val="en-GB"/>
              </w:rPr>
              <w:t>throwing objects</w:t>
            </w:r>
          </w:p>
          <w:p w14:paraId="1B5C3DA2" w14:textId="77777777" w:rsidR="006411C4" w:rsidRPr="004F082D" w:rsidRDefault="006411C4" w:rsidP="00840C7C">
            <w:pPr>
              <w:pStyle w:val="WoVGbullet1"/>
              <w:rPr>
                <w:lang w:val="en-GB"/>
              </w:rPr>
            </w:pPr>
            <w:r w:rsidRPr="004F082D">
              <w:rPr>
                <w:lang w:val="en-GB"/>
              </w:rPr>
              <w:t>verbal threats</w:t>
            </w:r>
          </w:p>
          <w:p w14:paraId="3CB526C6" w14:textId="77777777" w:rsidR="006411C4" w:rsidRPr="004F082D" w:rsidRDefault="006411C4" w:rsidP="00840C7C">
            <w:pPr>
              <w:pStyle w:val="WoVGbullet1"/>
              <w:rPr>
                <w:lang w:val="en-GB"/>
              </w:rPr>
            </w:pPr>
            <w:r w:rsidRPr="004F082D">
              <w:rPr>
                <w:lang w:val="en-GB"/>
              </w:rPr>
              <w:t>threatening someone with a weapon, armed robbery</w:t>
            </w:r>
          </w:p>
          <w:p w14:paraId="0C9D593E" w14:textId="77777777" w:rsidR="006411C4" w:rsidRPr="004F082D" w:rsidRDefault="006411C4" w:rsidP="00840C7C">
            <w:pPr>
              <w:pStyle w:val="WoVGbullet1"/>
              <w:rPr>
                <w:lang w:val="en-GB"/>
              </w:rPr>
            </w:pPr>
            <w:r w:rsidRPr="004F082D">
              <w:rPr>
                <w:lang w:val="en-GB"/>
              </w:rPr>
              <w:t>sexual assault.</w:t>
            </w:r>
          </w:p>
          <w:p w14:paraId="0B7554CD" w14:textId="77777777" w:rsidR="006411C4" w:rsidRPr="006C53A2" w:rsidRDefault="006411C4" w:rsidP="00840C7C">
            <w:pPr>
              <w:pStyle w:val="WoVGbodynospace"/>
              <w:rPr>
                <w:lang w:val="en-GB"/>
              </w:rPr>
            </w:pPr>
            <w:r>
              <w:rPr>
                <w:lang w:val="en-GB"/>
              </w:rPr>
              <w:t>Any behaviours by the public, clients, visitors etc (non-employees) including stalking, harassment, etc.</w:t>
            </w:r>
          </w:p>
        </w:tc>
      </w:tr>
      <w:tr w:rsidR="006411C4" w:rsidRPr="00B5534F" w14:paraId="47DDD2C6" w14:textId="77777777" w:rsidTr="007D247A">
        <w:tc>
          <w:tcPr>
            <w:tcW w:w="3539" w:type="dxa"/>
            <w:tcBorders>
              <w:top w:val="single" w:sz="4" w:space="0" w:color="auto"/>
              <w:left w:val="single" w:sz="4" w:space="0" w:color="auto"/>
              <w:bottom w:val="single" w:sz="4" w:space="0" w:color="auto"/>
              <w:right w:val="single" w:sz="4" w:space="0" w:color="auto"/>
            </w:tcBorders>
            <w:shd w:val="clear" w:color="auto" w:fill="CCCCCC" w:themeFill="text1" w:themeFillTint="33"/>
          </w:tcPr>
          <w:p w14:paraId="36D3A540" w14:textId="77777777" w:rsidR="006411C4" w:rsidRPr="006C53A2" w:rsidRDefault="006411C4" w:rsidP="00840C7C">
            <w:pPr>
              <w:pStyle w:val="Heading4"/>
              <w:outlineLvl w:val="3"/>
              <w:rPr>
                <w:lang w:val="en-GB"/>
              </w:rPr>
            </w:pPr>
            <w:r>
              <w:rPr>
                <w:lang w:val="en-GB"/>
              </w:rPr>
              <w:t>Traumatic Event</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75F77" w14:textId="77777777" w:rsidR="000B7C6B" w:rsidRDefault="006411C4" w:rsidP="00840C7C">
            <w:pPr>
              <w:pStyle w:val="WoVGbodynospace"/>
              <w:rPr>
                <w:lang w:val="en-GB"/>
              </w:rPr>
            </w:pPr>
            <w:r w:rsidRPr="006C53A2">
              <w:rPr>
                <w:lang w:val="en-GB"/>
              </w:rPr>
              <w:t>The</w:t>
            </w:r>
            <w:r>
              <w:rPr>
                <w:lang w:val="en-GB"/>
              </w:rPr>
              <w:t xml:space="preserve"> </w:t>
            </w:r>
            <w:r w:rsidRPr="00162512">
              <w:rPr>
                <w:lang w:val="en-GB"/>
              </w:rPr>
              <w:t xml:space="preserve">involvement in or exposure to a </w:t>
            </w:r>
            <w:proofErr w:type="gramStart"/>
            <w:r w:rsidRPr="00162512">
              <w:rPr>
                <w:lang w:val="en-GB"/>
              </w:rPr>
              <w:t>work related</w:t>
            </w:r>
            <w:proofErr w:type="gramEnd"/>
            <w:r w:rsidRPr="00162512">
              <w:rPr>
                <w:lang w:val="en-GB"/>
              </w:rPr>
              <w:t xml:space="preserve"> event that is or has the potential to be distressing or disturbing in nature</w:t>
            </w:r>
            <w:r>
              <w:rPr>
                <w:lang w:val="en-GB"/>
              </w:rPr>
              <w:t xml:space="preserve"> including circumstances such as:</w:t>
            </w:r>
          </w:p>
          <w:p w14:paraId="2E96428E" w14:textId="77777777" w:rsidR="000B7C6B" w:rsidRDefault="006411C4" w:rsidP="00840C7C">
            <w:pPr>
              <w:pStyle w:val="WoVGbullet1"/>
              <w:rPr>
                <w:lang w:val="en-GB"/>
              </w:rPr>
            </w:pPr>
            <w:r w:rsidRPr="004F082D">
              <w:rPr>
                <w:lang w:val="en-GB"/>
              </w:rPr>
              <w:t>attendance at a location where a person has been seriously injured or has died,</w:t>
            </w:r>
          </w:p>
          <w:p w14:paraId="558411D5" w14:textId="77777777" w:rsidR="006411C4" w:rsidRDefault="006411C4" w:rsidP="00840C7C">
            <w:pPr>
              <w:pStyle w:val="WoVGbullet1"/>
              <w:rPr>
                <w:lang w:val="en-GB"/>
              </w:rPr>
            </w:pPr>
            <w:r>
              <w:rPr>
                <w:lang w:val="en-GB"/>
              </w:rPr>
              <w:t>viewing materials that contain sensitive details</w:t>
            </w:r>
          </w:p>
          <w:p w14:paraId="46AD06D3" w14:textId="77777777" w:rsidR="006411C4" w:rsidRDefault="006411C4" w:rsidP="00840C7C">
            <w:pPr>
              <w:pStyle w:val="WoVGbullet1"/>
              <w:rPr>
                <w:lang w:val="en-GB"/>
              </w:rPr>
            </w:pPr>
            <w:r>
              <w:rPr>
                <w:lang w:val="en-GB"/>
              </w:rPr>
              <w:t>hearing testimony or evidence of a serious event</w:t>
            </w:r>
          </w:p>
          <w:p w14:paraId="76EB9C73" w14:textId="77777777" w:rsidR="006411C4" w:rsidRPr="004F082D" w:rsidRDefault="006411C4" w:rsidP="00840C7C">
            <w:pPr>
              <w:pStyle w:val="WoVGbodynospace"/>
              <w:rPr>
                <w:lang w:val="en-GB"/>
              </w:rPr>
            </w:pPr>
            <w:r>
              <w:rPr>
                <w:lang w:val="en-GB"/>
              </w:rPr>
              <w:t>That causes the employee to experience any type of issue related to their health and wellbeing (or causes a mental injury)</w:t>
            </w:r>
          </w:p>
        </w:tc>
      </w:tr>
    </w:tbl>
    <w:p w14:paraId="23EBDE75" w14:textId="77777777" w:rsidR="00FB3967" w:rsidRPr="006411C4" w:rsidRDefault="00FB3967" w:rsidP="006411C4">
      <w:pPr>
        <w:pStyle w:val="WoVGtablecaption"/>
        <w:rPr>
          <w:lang w:val="en-GB"/>
        </w:rPr>
      </w:pPr>
      <w:r>
        <w:br w:type="page"/>
      </w:r>
    </w:p>
    <w:p w14:paraId="2AC1F0E4" w14:textId="77777777" w:rsidR="00FB3967" w:rsidRDefault="00FB3967" w:rsidP="00FB3967">
      <w:pPr>
        <w:pStyle w:val="Heading1"/>
      </w:pPr>
      <w:bookmarkStart w:id="41" w:name="_Toc9246816"/>
      <w:r>
        <w:lastRenderedPageBreak/>
        <w:t>References</w:t>
      </w:r>
      <w:bookmarkEnd w:id="41"/>
    </w:p>
    <w:p w14:paraId="6D43321E" w14:textId="77777777" w:rsidR="00FB3967" w:rsidRDefault="00FB3967" w:rsidP="00FB3967">
      <w:pPr>
        <w:pStyle w:val="WoVGtablebullet1"/>
      </w:pPr>
      <w:r>
        <w:t xml:space="preserve">De </w:t>
      </w:r>
      <w:proofErr w:type="spellStart"/>
      <w:r>
        <w:t>Cieri</w:t>
      </w:r>
      <w:proofErr w:type="spellEnd"/>
      <w:r>
        <w:t xml:space="preserve"> H et al. (2012) Measuring the leading indicators of occupational health and safety: A snapshot review.</w:t>
      </w:r>
    </w:p>
    <w:p w14:paraId="45E69A31" w14:textId="77777777" w:rsidR="00FB3967" w:rsidRDefault="00FB3967" w:rsidP="00FB3967">
      <w:pPr>
        <w:pStyle w:val="WoVGtablebullet1"/>
      </w:pPr>
      <w:r>
        <w:t>Mental Health Commission of Canada (2014) Assembling the Pieces, An Implementation Guide to the National Standard for Psychological Health and Safety in the Workplace.</w:t>
      </w:r>
    </w:p>
    <w:p w14:paraId="3AB615DB" w14:textId="77777777" w:rsidR="000B7C6B" w:rsidRDefault="00FB3967" w:rsidP="00FB3967">
      <w:pPr>
        <w:pStyle w:val="WoVGtablebullet1"/>
      </w:pPr>
      <w:r>
        <w:t>Mental Health Commission of Canada (2013) CAN/CSA-Z1003-13 BNQ 9700-803/2013 National Standard of Canada, Psychological health and safety in the workplace – Prevention, promotion and guidance to staged implementation.</w:t>
      </w:r>
    </w:p>
    <w:p w14:paraId="7671340B" w14:textId="77777777" w:rsidR="00FB3967" w:rsidRDefault="00FB3967" w:rsidP="00FB3967">
      <w:pPr>
        <w:pStyle w:val="WoVGtablebullet1"/>
      </w:pPr>
      <w:r>
        <w:t>Safe Work Australia (2004) Safe and Sound, A discussion paper on safety leadership in government workplaces.</w:t>
      </w:r>
    </w:p>
    <w:p w14:paraId="6FE680C1" w14:textId="77777777" w:rsidR="000B7C6B" w:rsidRDefault="00FB3967" w:rsidP="00FB3967">
      <w:pPr>
        <w:pStyle w:val="WoVGtablebullet1"/>
      </w:pPr>
      <w:r>
        <w:t>Standards Australia (2001) AS/NZS 4801:2001 Occupational health and safety management systems - Specification with guidance for use.</w:t>
      </w:r>
    </w:p>
    <w:p w14:paraId="78E66891" w14:textId="77777777" w:rsidR="00FB3967" w:rsidRDefault="00FB3967" w:rsidP="00FB3967">
      <w:pPr>
        <w:pStyle w:val="WoVGtablebullet1"/>
      </w:pPr>
      <w:r>
        <w:t>Leading the way (2017) – Victorian Public Service publication</w:t>
      </w:r>
    </w:p>
    <w:p w14:paraId="3A4677A4" w14:textId="77777777" w:rsidR="00FB3967" w:rsidRDefault="00FB3967" w:rsidP="00FB3967">
      <w:pPr>
        <w:pStyle w:val="WoVGtablebullet1"/>
      </w:pPr>
      <w:r>
        <w:t>Mental Health and Wellbeing Charter (2016) – Victorian Public Service publication</w:t>
      </w:r>
    </w:p>
    <w:p w14:paraId="3C6896E2" w14:textId="77777777" w:rsidR="00FB3967" w:rsidRDefault="00FB3967" w:rsidP="00FB3967">
      <w:pPr>
        <w:pStyle w:val="WoVGtablebullet1"/>
      </w:pPr>
      <w:r>
        <w:t>Mental Health and Wellbeing Charter Education and Training Framework (2017) – Victorian Public Service publication</w:t>
      </w:r>
    </w:p>
    <w:p w14:paraId="2CDA54EB" w14:textId="6EB4CC6A" w:rsidR="008409D9" w:rsidRDefault="00FB3967" w:rsidP="00D52C39">
      <w:pPr>
        <w:pStyle w:val="WoVGtablebullet1"/>
      </w:pPr>
      <w:r>
        <w:t>Guide for Violence and Aggression Training in the Victorian Public Service (2017) – Victorian Public Service publication</w:t>
      </w:r>
    </w:p>
    <w:p w14:paraId="44BD4B94" w14:textId="5B6C6A2D" w:rsidR="008409D9" w:rsidRDefault="008409D9" w:rsidP="00D52C39">
      <w:pPr>
        <w:pStyle w:val="Heading1"/>
      </w:pPr>
      <w:r>
        <w:t>Document Control</w:t>
      </w:r>
    </w:p>
    <w:p w14:paraId="2D094974" w14:textId="77777777" w:rsidR="008409D9" w:rsidRPr="00036B22" w:rsidRDefault="008409D9" w:rsidP="15806442">
      <w:pPr>
        <w:pStyle w:val="WoVGtablebullet1"/>
        <w:numPr>
          <w:ilvl w:val="0"/>
          <w:numId w:val="0"/>
        </w:numPr>
        <w:ind w:left="227" w:hanging="227"/>
        <w:rPr>
          <w:b/>
          <w:bCs/>
        </w:rPr>
      </w:pPr>
      <w:r w:rsidRPr="00036B22">
        <w:rPr>
          <w:b/>
          <w:bCs/>
        </w:rPr>
        <w:t>Revision History</w:t>
      </w:r>
    </w:p>
    <w:p w14:paraId="5853B511" w14:textId="77777777" w:rsidR="008409D9" w:rsidRPr="00036B22" w:rsidRDefault="008409D9" w:rsidP="15806442">
      <w:pPr>
        <w:pStyle w:val="WoVGtablebullet1"/>
        <w:numPr>
          <w:ilvl w:val="0"/>
          <w:numId w:val="0"/>
        </w:numPr>
        <w:ind w:left="227" w:hanging="227"/>
      </w:pPr>
      <w:r w:rsidRPr="00036B22">
        <w:t>The following updates have been made to this document.</w:t>
      </w:r>
    </w:p>
    <w:tbl>
      <w:tblPr>
        <w:tblStyle w:val="InternalTable1"/>
        <w:tblW w:w="9322" w:type="dxa"/>
        <w:tblLook w:val="00A0" w:firstRow="1" w:lastRow="0" w:firstColumn="1" w:lastColumn="0" w:noHBand="0" w:noVBand="0"/>
        <w:tblCaption w:val="Table - Revision"/>
        <w:tblDescription w:val="Contains the list of revisions or edits made to the document. Contains the verison number, revision date, author and the summary of changes."/>
      </w:tblPr>
      <w:tblGrid>
        <w:gridCol w:w="1384"/>
        <w:gridCol w:w="1701"/>
        <w:gridCol w:w="2126"/>
        <w:gridCol w:w="4111"/>
      </w:tblGrid>
      <w:tr w:rsidR="00E82C5D" w:rsidRPr="00036B22" w14:paraId="0B1C9C40" w14:textId="77777777" w:rsidTr="00AC0E41">
        <w:trPr>
          <w:cnfStyle w:val="100000000000" w:firstRow="1" w:lastRow="0" w:firstColumn="0" w:lastColumn="0" w:oddVBand="0" w:evenVBand="0" w:oddHBand="0" w:evenHBand="0" w:firstRowFirstColumn="0" w:firstRowLastColumn="0" w:lastRowFirstColumn="0" w:lastRowLastColumn="0"/>
          <w:tblHeader/>
        </w:trPr>
        <w:tc>
          <w:tcPr>
            <w:tcW w:w="1384" w:type="dxa"/>
            <w:shd w:val="clear" w:color="auto" w:fill="1F497D" w:themeFill="text2"/>
          </w:tcPr>
          <w:p w14:paraId="33F0AA5A" w14:textId="77777777" w:rsidR="00E82C5D" w:rsidRPr="00036B22" w:rsidRDefault="00E82C5D" w:rsidP="15806442">
            <w:pPr>
              <w:pStyle w:val="TableH1VPSC"/>
              <w:rPr>
                <w:color w:val="FFFFFF" w:themeColor="background1"/>
              </w:rPr>
            </w:pPr>
            <w:r w:rsidRPr="00036B22">
              <w:rPr>
                <w:color w:val="FFFFFF" w:themeColor="background1"/>
              </w:rPr>
              <w:t>Version</w:t>
            </w:r>
          </w:p>
        </w:tc>
        <w:tc>
          <w:tcPr>
            <w:tcW w:w="1701" w:type="dxa"/>
            <w:shd w:val="clear" w:color="auto" w:fill="1F497D" w:themeFill="text2"/>
          </w:tcPr>
          <w:p w14:paraId="32C417C9" w14:textId="77777777" w:rsidR="00E82C5D" w:rsidRPr="00036B22" w:rsidRDefault="00E82C5D" w:rsidP="15806442">
            <w:pPr>
              <w:pStyle w:val="TableH1VPSC"/>
              <w:rPr>
                <w:color w:val="FFFFFF" w:themeColor="background1"/>
              </w:rPr>
            </w:pPr>
            <w:r w:rsidRPr="00036B22">
              <w:rPr>
                <w:color w:val="FFFFFF" w:themeColor="background1"/>
              </w:rPr>
              <w:t>Revision Date</w:t>
            </w:r>
          </w:p>
        </w:tc>
        <w:tc>
          <w:tcPr>
            <w:tcW w:w="2126" w:type="dxa"/>
            <w:shd w:val="clear" w:color="auto" w:fill="1F497D" w:themeFill="text2"/>
          </w:tcPr>
          <w:p w14:paraId="27D152BD" w14:textId="77777777" w:rsidR="00E82C5D" w:rsidRPr="00036B22" w:rsidRDefault="00E82C5D" w:rsidP="15806442">
            <w:pPr>
              <w:pStyle w:val="TableH1VPSC"/>
              <w:rPr>
                <w:color w:val="FFFFFF" w:themeColor="background1"/>
              </w:rPr>
            </w:pPr>
            <w:r w:rsidRPr="00036B22">
              <w:rPr>
                <w:color w:val="FFFFFF" w:themeColor="background1"/>
              </w:rPr>
              <w:t>Author</w:t>
            </w:r>
          </w:p>
        </w:tc>
        <w:tc>
          <w:tcPr>
            <w:tcW w:w="4111" w:type="dxa"/>
            <w:shd w:val="clear" w:color="auto" w:fill="1F497D" w:themeFill="text2"/>
          </w:tcPr>
          <w:p w14:paraId="245FD289" w14:textId="77777777" w:rsidR="00E82C5D" w:rsidRPr="00036B22" w:rsidRDefault="00E82C5D" w:rsidP="15806442">
            <w:pPr>
              <w:pStyle w:val="TableH1VPSC"/>
              <w:rPr>
                <w:color w:val="FFFFFF" w:themeColor="background1"/>
              </w:rPr>
            </w:pPr>
            <w:r w:rsidRPr="00036B22">
              <w:rPr>
                <w:color w:val="FFFFFF" w:themeColor="background1"/>
              </w:rPr>
              <w:t>Summary of Changes</w:t>
            </w:r>
          </w:p>
        </w:tc>
      </w:tr>
      <w:tr w:rsidR="00E82C5D" w:rsidRPr="00EB4D31" w14:paraId="7B11DC1B" w14:textId="77777777" w:rsidTr="15806442">
        <w:tc>
          <w:tcPr>
            <w:tcW w:w="1384" w:type="dxa"/>
          </w:tcPr>
          <w:p w14:paraId="63A30BDB" w14:textId="616A13CC" w:rsidR="00E82C5D" w:rsidRPr="00036B22" w:rsidRDefault="00022F2D" w:rsidP="15806442">
            <w:pPr>
              <w:pStyle w:val="TableTextVPSC"/>
            </w:pPr>
            <w:r w:rsidRPr="00036B22">
              <w:t>1.1</w:t>
            </w:r>
          </w:p>
        </w:tc>
        <w:tc>
          <w:tcPr>
            <w:tcW w:w="1701" w:type="dxa"/>
          </w:tcPr>
          <w:p w14:paraId="010AAAC7" w14:textId="768DA4D9" w:rsidR="00E82C5D" w:rsidRPr="00036B22" w:rsidRDefault="00D60F18" w:rsidP="15806442">
            <w:pPr>
              <w:pStyle w:val="TableTextVPSC"/>
            </w:pPr>
            <w:r w:rsidRPr="00036B22">
              <w:t>23 Ju</w:t>
            </w:r>
            <w:r w:rsidR="009412E1" w:rsidRPr="00036B22">
              <w:t>ly</w:t>
            </w:r>
            <w:r w:rsidRPr="00036B22">
              <w:t xml:space="preserve"> 2020</w:t>
            </w:r>
          </w:p>
        </w:tc>
        <w:tc>
          <w:tcPr>
            <w:tcW w:w="2126" w:type="dxa"/>
          </w:tcPr>
          <w:p w14:paraId="11463C15" w14:textId="34C1F245" w:rsidR="00E82C5D" w:rsidRPr="00036B22" w:rsidRDefault="00036B22" w:rsidP="15806442">
            <w:pPr>
              <w:pStyle w:val="TableTextVPSC"/>
            </w:pPr>
            <w:r>
              <w:t>Victorian Public Sector Commission</w:t>
            </w:r>
          </w:p>
        </w:tc>
        <w:tc>
          <w:tcPr>
            <w:tcW w:w="4111" w:type="dxa"/>
          </w:tcPr>
          <w:p w14:paraId="4E7BB66A" w14:textId="2B21210D" w:rsidR="000421CF" w:rsidRPr="00036B22" w:rsidRDefault="00D60F18" w:rsidP="15806442">
            <w:pPr>
              <w:pStyle w:val="TableTextVPSC"/>
            </w:pPr>
            <w:r w:rsidRPr="00036B22">
              <w:t>Update</w:t>
            </w:r>
            <w:r w:rsidR="009412E1" w:rsidRPr="00036B22">
              <w:t xml:space="preserve"> to data derived from the People Matter Survey, as detailed</w:t>
            </w:r>
            <w:r w:rsidRPr="00036B22">
              <w:t xml:space="preserve"> in Appendix 2</w:t>
            </w:r>
            <w:r w:rsidR="009412E1" w:rsidRPr="00036B22">
              <w:t>,</w:t>
            </w:r>
            <w:r w:rsidR="000421CF" w:rsidRPr="00036B22">
              <w:t xml:space="preserve"> reflecting </w:t>
            </w:r>
            <w:r w:rsidR="009412E1" w:rsidRPr="00036B22">
              <w:t>survey</w:t>
            </w:r>
            <w:r w:rsidR="000421CF" w:rsidRPr="00036B22">
              <w:t xml:space="preserve"> </w:t>
            </w:r>
            <w:r w:rsidR="009412E1" w:rsidRPr="00036B22">
              <w:t xml:space="preserve">improvements made </w:t>
            </w:r>
            <w:r w:rsidR="000421CF" w:rsidRPr="00036B22">
              <w:t>in 2019 and 2020</w:t>
            </w:r>
            <w:r w:rsidR="009412E1" w:rsidRPr="00036B22">
              <w:t xml:space="preserve">, including improved </w:t>
            </w:r>
            <w:r w:rsidR="000421CF" w:rsidRPr="00036B22">
              <w:t>wording</w:t>
            </w:r>
            <w:r w:rsidR="009412E1" w:rsidRPr="00036B22">
              <w:t>, removal of duplicative questions, and the shift to a more concise set of Psychological Safety Climate questions.</w:t>
            </w:r>
          </w:p>
        </w:tc>
      </w:tr>
      <w:tr w:rsidR="00E82C5D" w:rsidRPr="00EB4D31" w14:paraId="01B46F48" w14:textId="77777777" w:rsidTr="15806442">
        <w:tc>
          <w:tcPr>
            <w:tcW w:w="1384" w:type="dxa"/>
          </w:tcPr>
          <w:p w14:paraId="7735E700" w14:textId="77777777" w:rsidR="00E82C5D" w:rsidRPr="00EB4D31" w:rsidRDefault="00E82C5D" w:rsidP="004B7FDF">
            <w:pPr>
              <w:pStyle w:val="TableTextVPSC"/>
            </w:pPr>
          </w:p>
        </w:tc>
        <w:tc>
          <w:tcPr>
            <w:tcW w:w="1701" w:type="dxa"/>
          </w:tcPr>
          <w:p w14:paraId="69EBDA1E" w14:textId="77777777" w:rsidR="00E82C5D" w:rsidRPr="00EB4D31" w:rsidRDefault="00E82C5D" w:rsidP="004B7FDF">
            <w:pPr>
              <w:pStyle w:val="TableTextVPSC"/>
            </w:pPr>
          </w:p>
        </w:tc>
        <w:tc>
          <w:tcPr>
            <w:tcW w:w="2126" w:type="dxa"/>
          </w:tcPr>
          <w:p w14:paraId="181B9920" w14:textId="77777777" w:rsidR="00E82C5D" w:rsidRPr="00EB4D31" w:rsidRDefault="00E82C5D" w:rsidP="004B7FDF">
            <w:pPr>
              <w:pStyle w:val="TableTextVPSC"/>
            </w:pPr>
          </w:p>
        </w:tc>
        <w:tc>
          <w:tcPr>
            <w:tcW w:w="4111" w:type="dxa"/>
          </w:tcPr>
          <w:p w14:paraId="75CE2D80" w14:textId="77777777" w:rsidR="00E82C5D" w:rsidRPr="00EB4D31" w:rsidRDefault="00E82C5D" w:rsidP="004B7FDF">
            <w:pPr>
              <w:pStyle w:val="TableTextVPSC"/>
            </w:pPr>
          </w:p>
        </w:tc>
      </w:tr>
      <w:tr w:rsidR="00E82C5D" w:rsidRPr="00EB4D31" w14:paraId="0171766F" w14:textId="77777777" w:rsidTr="15806442">
        <w:tc>
          <w:tcPr>
            <w:tcW w:w="1384" w:type="dxa"/>
          </w:tcPr>
          <w:p w14:paraId="021DC04D" w14:textId="77777777" w:rsidR="00E82C5D" w:rsidRPr="00EB4D31" w:rsidRDefault="00E82C5D" w:rsidP="004B7FDF">
            <w:pPr>
              <w:pStyle w:val="TableTextVPSC"/>
            </w:pPr>
          </w:p>
        </w:tc>
        <w:tc>
          <w:tcPr>
            <w:tcW w:w="1701" w:type="dxa"/>
          </w:tcPr>
          <w:p w14:paraId="4A6704B8" w14:textId="77777777" w:rsidR="00E82C5D" w:rsidRPr="00EB4D31" w:rsidRDefault="00E82C5D" w:rsidP="004B7FDF">
            <w:pPr>
              <w:pStyle w:val="TableTextVPSC"/>
            </w:pPr>
          </w:p>
        </w:tc>
        <w:tc>
          <w:tcPr>
            <w:tcW w:w="2126" w:type="dxa"/>
          </w:tcPr>
          <w:p w14:paraId="6D2CE0E7" w14:textId="77777777" w:rsidR="00E82C5D" w:rsidRPr="00EB4D31" w:rsidRDefault="00E82C5D" w:rsidP="004B7FDF">
            <w:pPr>
              <w:pStyle w:val="TableTextVPSC"/>
            </w:pPr>
          </w:p>
        </w:tc>
        <w:tc>
          <w:tcPr>
            <w:tcW w:w="4111" w:type="dxa"/>
          </w:tcPr>
          <w:p w14:paraId="6DBCDCDA" w14:textId="77777777" w:rsidR="00E82C5D" w:rsidRPr="00EB4D31" w:rsidRDefault="00E82C5D" w:rsidP="004B7FDF">
            <w:pPr>
              <w:pStyle w:val="TableTextVPSC"/>
            </w:pPr>
          </w:p>
        </w:tc>
      </w:tr>
    </w:tbl>
    <w:p w14:paraId="2CEC3F0E" w14:textId="2D507846" w:rsidR="008409D9" w:rsidRPr="000B5593" w:rsidRDefault="008409D9" w:rsidP="00D52C39">
      <w:pPr>
        <w:pStyle w:val="WoVGtablebullet1"/>
        <w:numPr>
          <w:ilvl w:val="0"/>
          <w:numId w:val="0"/>
        </w:numPr>
      </w:pPr>
    </w:p>
    <w:sectPr w:rsidR="008409D9" w:rsidRPr="000B5593" w:rsidSect="00BA5E47">
      <w:headerReference w:type="even" r:id="rId24"/>
      <w:headerReference w:type="default" r:id="rId25"/>
      <w:footerReference w:type="first" r:id="rId26"/>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E68A" w14:textId="77777777" w:rsidR="00577EBD" w:rsidRDefault="00577EBD">
      <w:r>
        <w:separator/>
      </w:r>
    </w:p>
  </w:endnote>
  <w:endnote w:type="continuationSeparator" w:id="0">
    <w:p w14:paraId="4FC10372" w14:textId="77777777" w:rsidR="00577EBD" w:rsidRDefault="0057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50D4" w14:textId="0B7CD863" w:rsidR="006F4F25" w:rsidRDefault="00AC0E41">
    <w:pPr>
      <w:pStyle w:val="Footer"/>
    </w:pPr>
    <w:r>
      <w:rPr>
        <w:noProof/>
      </w:rPr>
      <mc:AlternateContent>
        <mc:Choice Requires="wps">
          <w:drawing>
            <wp:anchor distT="0" distB="0" distL="114300" distR="114300" simplePos="0" relativeHeight="251667903" behindDoc="0" locked="0" layoutInCell="0" allowOverlap="1" wp14:anchorId="4F85F41A" wp14:editId="4EC6334D">
              <wp:simplePos x="0" y="0"/>
              <wp:positionH relativeFrom="page">
                <wp:align>left</wp:align>
              </wp:positionH>
              <wp:positionV relativeFrom="page">
                <wp:align>bottom</wp:align>
              </wp:positionV>
              <wp:extent cx="7772400" cy="266700"/>
              <wp:effectExtent l="0" t="0" r="0" b="0"/>
              <wp:wrapNone/>
              <wp:docPr id="9" name="MSIPCM3a2c452fb8a357da9e9541e0" descr="{&quot;HashCode&quot;:-1267603503,&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57B0F" w14:textId="54419176"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85F41A" id="_x0000_t202" coordsize="21600,21600" o:spt="202" path="m,l,21600r21600,l21600,xe">
              <v:stroke joinstyle="miter"/>
              <v:path gradientshapeok="t" o:connecttype="rect"/>
            </v:shapetype>
            <v:shape id="MSIPCM3a2c452fb8a357da9e9541e0" o:spid="_x0000_s1026" type="#_x0000_t202" alt="{&quot;HashCode&quot;:-1267603503,&quot;Height&quot;:9999999.0,&quot;Width&quot;:9999999.0,&quot;Placement&quot;:&quot;Footer&quot;,&quot;Index&quot;:&quot;OddAndEven&quot;,&quot;Section&quot;:1,&quot;Top&quot;:0.0,&quot;Left&quot;:0.0}" style="position:absolute;margin-left:0;margin-top:0;width:612pt;height:21pt;z-index:251667903;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" o:allowincell="f" filled="f" stroked="f" strokeweight=".5pt">
              <v:textbox inset="20pt,0,,0">
                <w:txbxContent>
                  <w:p w14:paraId="50757B0F" w14:textId="54419176"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812E" w14:textId="2996B55A" w:rsidR="006F4F25" w:rsidRDefault="00AC0E41">
    <w:pPr>
      <w:pStyle w:val="Footer"/>
    </w:pPr>
    <w:r>
      <w:rPr>
        <w:noProof/>
      </w:rPr>
      <mc:AlternateContent>
        <mc:Choice Requires="wps">
          <w:drawing>
            <wp:anchor distT="0" distB="0" distL="114300" distR="114300" simplePos="0" relativeHeight="251667327" behindDoc="0" locked="0" layoutInCell="0" allowOverlap="1" wp14:anchorId="15B7F8F7" wp14:editId="4EA5FA2C">
              <wp:simplePos x="0" y="0"/>
              <wp:positionH relativeFrom="page">
                <wp:align>left</wp:align>
              </wp:positionH>
              <wp:positionV relativeFrom="page">
                <wp:align>bottom</wp:align>
              </wp:positionV>
              <wp:extent cx="7772400" cy="266700"/>
              <wp:effectExtent l="0" t="0" r="0" b="0"/>
              <wp:wrapNone/>
              <wp:docPr id="8" name="MSIPCM255641489f7d860460ecc27a"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D690D" w14:textId="69E3BE17"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B7F8F7" id="_x0000_t202" coordsize="21600,21600" o:spt="202" path="m,l,21600r21600,l21600,xe">
              <v:stroke joinstyle="miter"/>
              <v:path gradientshapeok="t" o:connecttype="rect"/>
            </v:shapetype>
            <v:shape id="MSIPCM255641489f7d860460ecc27a" o:spid="_x0000_s1027" type="#_x0000_t202" alt="{&quot;HashCode&quot;:-1267603503,&quot;Height&quot;:9999999.0,&quot;Width&quot;:9999999.0,&quot;Placement&quot;:&quot;Footer&quot;,&quot;Index&quot;:&quot;Primary&quot;,&quot;Section&quot;:1,&quot;Top&quot;:0.0,&quot;Left&quot;:0.0}" style="position:absolute;margin-left:0;margin-top:0;width:612pt;height:21pt;z-index:251667327;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" o:allowincell="f" filled="f" stroked="f" strokeweight=".5pt">
              <v:textbox inset="20pt,0,,0">
                <w:txbxContent>
                  <w:p w14:paraId="48BD690D" w14:textId="69E3BE17"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D3DA" w14:textId="1ADBE1C9" w:rsidR="006F4F25" w:rsidRDefault="00AC0E41" w:rsidP="00ED7DCF">
    <w:pPr>
      <w:pStyle w:val="Footer"/>
      <w:ind w:right="360"/>
    </w:pPr>
    <w:r>
      <w:rPr>
        <w:noProof/>
      </w:rPr>
      <mc:AlternateContent>
        <mc:Choice Requires="wps">
          <w:drawing>
            <wp:anchor distT="0" distB="0" distL="114300" distR="114300" simplePos="0" relativeHeight="251671552" behindDoc="0" locked="0" layoutInCell="0" allowOverlap="1" wp14:anchorId="007191D2" wp14:editId="6018A3D7">
              <wp:simplePos x="0" y="0"/>
              <wp:positionH relativeFrom="page">
                <wp:align>left</wp:align>
              </wp:positionH>
              <wp:positionV relativeFrom="page">
                <wp:align>bottom</wp:align>
              </wp:positionV>
              <wp:extent cx="7772400" cy="266700"/>
              <wp:effectExtent l="0" t="0" r="0" b="0"/>
              <wp:wrapNone/>
              <wp:docPr id="11" name="MSIPCM195e4845ac769d9c317aa850" descr="{&quot;HashCode&quot;:-1267603503,&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36CD33" w14:textId="7BA56547"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7191D2" id="_x0000_t202" coordsize="21600,21600" o:spt="202" path="m,l,21600r21600,l21600,xe">
              <v:stroke joinstyle="miter"/>
              <v:path gradientshapeok="t" o:connecttype="rect"/>
            </v:shapetype>
            <v:shape id="MSIPCM195e4845ac769d9c317aa850" o:spid="_x0000_s1028" type="#_x0000_t202" alt="{&quot;HashCode&quot;:-1267603503,&quot;Height&quot;:9999999.0,&quot;Width&quot;:9999999.0,&quot;Placement&quot;:&quot;Footer&quot;,&quot;Index&quot;:&quot;OddAndEven&quot;,&quot;Section&quot;:3,&quot;Top&quot;:0.0,&quot;Left&quot;:0.0}" style="position:absolute;margin-left:0;margin-top:0;width:612pt;height:21pt;z-index:25167155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" o:allowincell="f" filled="f" stroked="f" strokeweight=".5pt">
              <v:textbox inset="20pt,0,,0">
                <w:txbxContent>
                  <w:p w14:paraId="6B36CD33" w14:textId="7BA56547"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v:textbox>
              <w10:wrap anchorx="page" anchory="page"/>
            </v:shape>
          </w:pict>
        </mc:Fallback>
      </mc:AlternateContent>
    </w:r>
    <w:r w:rsidR="006F4F25" w:rsidRPr="00ED7DCF">
      <w:rPr>
        <w:rStyle w:val="PageNumber"/>
      </w:rPr>
      <w:fldChar w:fldCharType="begin"/>
    </w:r>
    <w:r w:rsidR="006F4F25" w:rsidRPr="00ED7DCF">
      <w:rPr>
        <w:rStyle w:val="PageNumber"/>
      </w:rPr>
      <w:instrText xml:space="preserve"> PAGE   \* MERGEFORMAT </w:instrText>
    </w:r>
    <w:r w:rsidR="006F4F25" w:rsidRPr="00ED7DCF">
      <w:rPr>
        <w:rStyle w:val="PageNumber"/>
      </w:rPr>
      <w:fldChar w:fldCharType="separate"/>
    </w:r>
    <w:r w:rsidR="006F4F25" w:rsidRPr="00ED7DCF">
      <w:rPr>
        <w:rStyle w:val="PageNumber"/>
        <w:noProof/>
      </w:rPr>
      <w:t>1</w:t>
    </w:r>
    <w:r w:rsidR="006F4F25" w:rsidRPr="00ED7DCF">
      <w:rPr>
        <w:rStyle w:val="PageNumber"/>
        <w:noProof/>
      </w:rPr>
      <w:fldChar w:fldCharType="end"/>
    </w:r>
    <w:r w:rsidR="006F4F25">
      <w:rPr>
        <w:rStyle w:val="PageNumber"/>
      </w:rPr>
      <w:ptab w:relativeTo="margin" w:alignment="right" w:leader="none"/>
    </w:r>
    <w:r w:rsidR="006F4F25" w:rsidRPr="00ED7DCF">
      <w:rPr>
        <w:rStyle w:val="PageNumber"/>
      </w:rPr>
      <w:t>Mental health and wellbeing: the minimum data set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98DC" w14:textId="536B1E13" w:rsidR="006F4F25" w:rsidRDefault="00AC0E41" w:rsidP="00FB3967">
    <w:pPr>
      <w:pStyle w:val="Footer"/>
      <w:ind w:right="360"/>
    </w:pPr>
    <w:r>
      <w:rPr>
        <w:noProof/>
      </w:rPr>
      <mc:AlternateContent>
        <mc:Choice Requires="wps">
          <w:drawing>
            <wp:anchor distT="0" distB="0" distL="114300" distR="114300" simplePos="0" relativeHeight="251670528" behindDoc="0" locked="0" layoutInCell="0" allowOverlap="1" wp14:anchorId="4F6DA135" wp14:editId="06F1AB3B">
              <wp:simplePos x="0" y="0"/>
              <wp:positionH relativeFrom="page">
                <wp:align>left</wp:align>
              </wp:positionH>
              <wp:positionV relativeFrom="page">
                <wp:align>bottom</wp:align>
              </wp:positionV>
              <wp:extent cx="7772400" cy="266700"/>
              <wp:effectExtent l="0" t="0" r="0" b="0"/>
              <wp:wrapNone/>
              <wp:docPr id="10" name="MSIPCMac2e4d81a65c38e6a75b1dac"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C7DB2" w14:textId="15F9CF90"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6DA135" id="_x0000_t202" coordsize="21600,21600" o:spt="202" path="m,l,21600r21600,l21600,xe">
              <v:stroke joinstyle="miter"/>
              <v:path gradientshapeok="t" o:connecttype="rect"/>
            </v:shapetype>
            <v:shape id="MSIPCMac2e4d81a65c38e6a75b1dac" o:spid="_x0000_s1029" type="#_x0000_t202" alt="{&quot;HashCode&quot;:-1267603503,&quot;Height&quot;:9999999.0,&quot;Width&quot;:9999999.0,&quot;Placement&quot;:&quot;Footer&quot;,&quot;Index&quot;:&quot;Primary&quot;,&quot;Section&quot;:3,&quot;Top&quot;:0.0,&quot;Left&quot;:0.0}" style="position:absolute;margin-left:0;margin-top:0;width:612pt;height:21pt;z-index:25167052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" o:allowincell="f" filled="f" stroked="f" strokeweight=".5pt">
              <v:textbox inset="20pt,0,,0">
                <w:txbxContent>
                  <w:p w14:paraId="757C7DB2" w14:textId="15F9CF90" w:rsidR="00AC0E41" w:rsidRPr="003E21EF" w:rsidRDefault="003E21EF" w:rsidP="003E21EF">
                    <w:pPr>
                      <w:rPr>
                        <w:rFonts w:ascii="Calibri" w:hAnsi="Calibri" w:cs="Calibri"/>
                        <w:color w:val="000000"/>
                        <w:sz w:val="22"/>
                      </w:rPr>
                    </w:pPr>
                    <w:r w:rsidRPr="003E21EF">
                      <w:rPr>
                        <w:rFonts w:ascii="Calibri" w:hAnsi="Calibri" w:cs="Calibri"/>
                        <w:color w:val="000000"/>
                        <w:sz w:val="22"/>
                      </w:rPr>
                      <w:t>OFFICIAL</w:t>
                    </w:r>
                  </w:p>
                </w:txbxContent>
              </v:textbox>
              <w10:wrap anchorx="page" anchory="page"/>
            </v:shape>
          </w:pict>
        </mc:Fallback>
      </mc:AlternateContent>
    </w:r>
    <w:r w:rsidR="006F4F25">
      <w:ptab w:relativeTo="margin" w:alignment="right" w:leader="none"/>
    </w:r>
    <w:r w:rsidR="006F4F25">
      <w:fldChar w:fldCharType="begin"/>
    </w:r>
    <w:r w:rsidR="006F4F25">
      <w:instrText xml:space="preserve"> PAGE   \* MERGEFORMAT </w:instrText>
    </w:r>
    <w:r w:rsidR="006F4F25">
      <w:fldChar w:fldCharType="separate"/>
    </w:r>
    <w:r w:rsidR="006F4F25">
      <w:rPr>
        <w:noProof/>
      </w:rPr>
      <w:t>1</w:t>
    </w:r>
    <w:r w:rsidR="006F4F2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DC7D" w14:textId="77777777" w:rsidR="006F4F25" w:rsidRPr="001A7E04" w:rsidRDefault="006F4F25"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EF67" w14:textId="77777777" w:rsidR="00577EBD" w:rsidRDefault="00577EBD">
      <w:r>
        <w:separator/>
      </w:r>
    </w:p>
  </w:footnote>
  <w:footnote w:type="continuationSeparator" w:id="0">
    <w:p w14:paraId="1E442219" w14:textId="77777777" w:rsidR="00577EBD" w:rsidRDefault="0057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5E79" w14:textId="77777777" w:rsidR="006F4F25" w:rsidRPr="00E26AEC" w:rsidRDefault="006F4F25" w:rsidP="00FB3967">
    <w:pPr>
      <w:pStyle w:val="Header"/>
    </w:pPr>
    <w:r>
      <w:rPr>
        <w:noProof/>
        <w:lang w:eastAsia="en-AU"/>
      </w:rPr>
      <w:drawing>
        <wp:anchor distT="0" distB="0" distL="114300" distR="114300" simplePos="0" relativeHeight="251662336" behindDoc="1" locked="0" layoutInCell="1" allowOverlap="1" wp14:anchorId="23A8E1EC" wp14:editId="675909EB">
          <wp:simplePos x="0" y="0"/>
          <wp:positionH relativeFrom="page">
            <wp:posOffset>0</wp:posOffset>
          </wp:positionH>
          <wp:positionV relativeFrom="page">
            <wp:posOffset>0</wp:posOffset>
          </wp:positionV>
          <wp:extent cx="7555320" cy="1069164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3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3195" w14:textId="77777777" w:rsidR="006F4F25" w:rsidRDefault="006F4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F459" w14:textId="77777777" w:rsidR="006F4F25" w:rsidRPr="00E26AEC" w:rsidRDefault="006F4F25" w:rsidP="00FB3967">
    <w:pPr>
      <w:pStyle w:val="Header"/>
    </w:pPr>
    <w:r>
      <w:rPr>
        <w:noProof/>
        <w:lang w:eastAsia="en-AU"/>
      </w:rPr>
      <w:drawing>
        <wp:anchor distT="0" distB="0" distL="114300" distR="114300" simplePos="0" relativeHeight="251663360" behindDoc="1" locked="0" layoutInCell="1" allowOverlap="1" wp14:anchorId="5F019BC8" wp14:editId="65B1CE6F">
          <wp:simplePos x="0" y="0"/>
          <wp:positionH relativeFrom="page">
            <wp:align>right</wp:align>
          </wp:positionH>
          <wp:positionV relativeFrom="page">
            <wp:align>top</wp:align>
          </wp:positionV>
          <wp:extent cx="7555230" cy="10691495"/>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B421" w14:textId="77777777" w:rsidR="006F4F25" w:rsidRPr="00BC10A4" w:rsidRDefault="006F4F25" w:rsidP="00BC10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6240" w14:textId="77777777" w:rsidR="006F4F25" w:rsidRDefault="006F4F25" w:rsidP="00E969B1">
    <w:pPr>
      <w:pStyle w:val="WoVGheader"/>
    </w:pPr>
    <w:r>
      <w:rPr>
        <w:noProof/>
        <w:lang w:eastAsia="en-AU"/>
      </w:rPr>
      <w:drawing>
        <wp:anchor distT="0" distB="0" distL="114300" distR="114300" simplePos="0" relativeHeight="251659264" behindDoc="1" locked="0" layoutInCell="1" allowOverlap="1" wp14:anchorId="42830BB0" wp14:editId="714959E1">
          <wp:simplePos x="0" y="0"/>
          <wp:positionH relativeFrom="page">
            <wp:posOffset>-9344</wp:posOffset>
          </wp:positionH>
          <wp:positionV relativeFrom="page">
            <wp:posOffset>6350</wp:posOffset>
          </wp:positionV>
          <wp:extent cx="7555230" cy="10691495"/>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CD49BEC"/>
    <w:lvl w:ilvl="0">
      <w:start w:val="1"/>
      <w:numFmt w:val="decimal"/>
      <w:pStyle w:val="ListNumber3"/>
      <w:lvlText w:val="%1."/>
      <w:lvlJc w:val="left"/>
      <w:pPr>
        <w:tabs>
          <w:tab w:val="num" w:pos="926"/>
        </w:tabs>
        <w:ind w:left="926" w:hanging="360"/>
      </w:pPr>
    </w:lvl>
  </w:abstractNum>
  <w:abstractNum w:abstractNumId="1" w15:restartNumberingAfterBreak="0">
    <w:nsid w:val="0BAD2E30"/>
    <w:multiLevelType w:val="multilevel"/>
    <w:tmpl w:val="4A1477D0"/>
    <w:styleLink w:val="ZZNumbersloweralpha"/>
    <w:lvl w:ilvl="0">
      <w:start w:val="1"/>
      <w:numFmt w:val="lowerLetter"/>
      <w:pStyle w:val="WoVGnumberloweralpha"/>
      <w:lvlText w:val="(%1)"/>
      <w:lvlJc w:val="left"/>
      <w:pPr>
        <w:tabs>
          <w:tab w:val="num" w:pos="397"/>
        </w:tabs>
        <w:ind w:left="397" w:hanging="397"/>
      </w:pPr>
      <w:rPr>
        <w:rFonts w:hint="default"/>
      </w:rPr>
    </w:lvl>
    <w:lvl w:ilvl="1">
      <w:start w:val="1"/>
      <w:numFmt w:val="lowerLetter"/>
      <w:pStyle w:val="WoVG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3" w15:restartNumberingAfterBreak="0">
    <w:nsid w:val="37B96CDA"/>
    <w:multiLevelType w:val="multilevel"/>
    <w:tmpl w:val="ACFE2276"/>
    <w:lvl w:ilvl="0">
      <w:start w:val="1"/>
      <w:numFmt w:val="decimal"/>
      <w:pStyle w:val="WoVG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WoVGnumberdigitindent"/>
      <w:lvlText w:val="%2."/>
      <w:lvlJc w:val="left"/>
      <w:pPr>
        <w:tabs>
          <w:tab w:val="num" w:pos="794"/>
        </w:tabs>
        <w:ind w:left="794" w:hanging="397"/>
      </w:pPr>
      <w:rPr>
        <w:rFonts w:hint="default"/>
      </w:rPr>
    </w:lvl>
    <w:lvl w:ilvl="2">
      <w:start w:val="1"/>
      <w:numFmt w:val="bullet"/>
      <w:lvlRestart w:val="0"/>
      <w:pStyle w:val="WoVGbulletafternumbers1"/>
      <w:lvlText w:val="•"/>
      <w:lvlJc w:val="left"/>
      <w:pPr>
        <w:ind w:left="794" w:hanging="397"/>
      </w:pPr>
      <w:rPr>
        <w:rFonts w:ascii="Calibri" w:hAnsi="Calibri" w:hint="default"/>
        <w:color w:val="auto"/>
      </w:rPr>
    </w:lvl>
    <w:lvl w:ilvl="3">
      <w:start w:val="1"/>
      <w:numFmt w:val="bullet"/>
      <w:lvlRestart w:val="0"/>
      <w:pStyle w:val="WoVG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WoVGnumberlowerroman"/>
      <w:lvlText w:val="(%1)"/>
      <w:lvlJc w:val="left"/>
      <w:pPr>
        <w:tabs>
          <w:tab w:val="num" w:pos="397"/>
        </w:tabs>
        <w:ind w:left="397" w:hanging="397"/>
      </w:pPr>
      <w:rPr>
        <w:rFonts w:hint="default"/>
      </w:rPr>
    </w:lvl>
    <w:lvl w:ilvl="1">
      <w:start w:val="1"/>
      <w:numFmt w:val="lowerRoman"/>
      <w:pStyle w:val="WoVG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D8AA9068"/>
    <w:styleLink w:val="ZZTablebullets"/>
    <w:lvl w:ilvl="0">
      <w:start w:val="1"/>
      <w:numFmt w:val="decimal"/>
      <w:pStyle w:val="WoVGtablebullet1"/>
      <w:lvlText w:val="%1."/>
      <w:lvlJc w:val="left"/>
      <w:pPr>
        <w:ind w:left="227" w:hanging="227"/>
      </w:pPr>
      <w:rPr>
        <w:rFonts w:hint="default"/>
      </w:rPr>
    </w:lvl>
    <w:lvl w:ilvl="1">
      <w:start w:val="1"/>
      <w:numFmt w:val="bullet"/>
      <w:lvlRestart w:val="0"/>
      <w:pStyle w:val="WoVG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1AE3C58"/>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6309259F"/>
    <w:multiLevelType w:val="multilevel"/>
    <w:tmpl w:val="866C5A8E"/>
    <w:styleLink w:val="ZZQuotebullets"/>
    <w:lvl w:ilvl="0">
      <w:start w:val="1"/>
      <w:numFmt w:val="bullet"/>
      <w:pStyle w:val="WoVGquotebullet1"/>
      <w:lvlText w:val="•"/>
      <w:lvlJc w:val="left"/>
      <w:pPr>
        <w:ind w:left="680" w:hanging="283"/>
      </w:pPr>
      <w:rPr>
        <w:rFonts w:ascii="Calibri" w:hAnsi="Calibri" w:hint="default"/>
        <w:color w:val="auto"/>
      </w:rPr>
    </w:lvl>
    <w:lvl w:ilvl="1">
      <w:start w:val="1"/>
      <w:numFmt w:val="bullet"/>
      <w:lvlRestart w:val="0"/>
      <w:pStyle w:val="WoVG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7"/>
  </w:num>
  <w:num w:numId="2">
    <w:abstractNumId w:val="4"/>
  </w:num>
  <w:num w:numId="3">
    <w:abstractNumId w:val="3"/>
  </w:num>
  <w:num w:numId="4">
    <w:abstractNumId w:val="1"/>
  </w:num>
  <w:num w:numId="5">
    <w:abstractNumId w:val="5"/>
  </w:num>
  <w:num w:numId="6">
    <w:abstractNumId w:val="9"/>
  </w:num>
  <w:num w:numId="7">
    <w:abstractNumId w:val="6"/>
  </w:num>
  <w:num w:numId="8">
    <w:abstractNumId w:val="4"/>
  </w:num>
  <w:num w:numId="9">
    <w:abstractNumId w:val="1"/>
  </w:num>
  <w:num w:numId="10">
    <w:abstractNumId w:val="9"/>
  </w:num>
  <w:num w:numId="11">
    <w:abstractNumId w:val="5"/>
  </w:num>
  <w:num w:numId="12">
    <w:abstractNumId w:val="6"/>
  </w:num>
  <w:num w:numId="13">
    <w:abstractNumId w:val="2"/>
  </w:num>
  <w:num w:numId="14">
    <w:abstractNumId w:val="8"/>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3B"/>
    <w:rsid w:val="00002990"/>
    <w:rsid w:val="000048AC"/>
    <w:rsid w:val="00006DED"/>
    <w:rsid w:val="00014FC4"/>
    <w:rsid w:val="000167C7"/>
    <w:rsid w:val="00020AAB"/>
    <w:rsid w:val="000223A4"/>
    <w:rsid w:val="00022E60"/>
    <w:rsid w:val="00022F2D"/>
    <w:rsid w:val="00026C19"/>
    <w:rsid w:val="00031263"/>
    <w:rsid w:val="00036B22"/>
    <w:rsid w:val="000421CF"/>
    <w:rsid w:val="0005587D"/>
    <w:rsid w:val="00060E93"/>
    <w:rsid w:val="00064936"/>
    <w:rsid w:val="000734F8"/>
    <w:rsid w:val="000736B8"/>
    <w:rsid w:val="000817CB"/>
    <w:rsid w:val="000873EF"/>
    <w:rsid w:val="000B3792"/>
    <w:rsid w:val="000B7C6B"/>
    <w:rsid w:val="000C6242"/>
    <w:rsid w:val="000C68DB"/>
    <w:rsid w:val="000D2C32"/>
    <w:rsid w:val="000E6F72"/>
    <w:rsid w:val="000F0478"/>
    <w:rsid w:val="000F0A50"/>
    <w:rsid w:val="00103D5E"/>
    <w:rsid w:val="00104EA7"/>
    <w:rsid w:val="00105FAD"/>
    <w:rsid w:val="0011155B"/>
    <w:rsid w:val="0011193B"/>
    <w:rsid w:val="00111A6A"/>
    <w:rsid w:val="00121BF1"/>
    <w:rsid w:val="0012411D"/>
    <w:rsid w:val="00127A8B"/>
    <w:rsid w:val="00134BE5"/>
    <w:rsid w:val="001412D1"/>
    <w:rsid w:val="001423E3"/>
    <w:rsid w:val="001475EA"/>
    <w:rsid w:val="001504F5"/>
    <w:rsid w:val="001517BD"/>
    <w:rsid w:val="0017248D"/>
    <w:rsid w:val="00173626"/>
    <w:rsid w:val="0017614A"/>
    <w:rsid w:val="0018177B"/>
    <w:rsid w:val="001817CD"/>
    <w:rsid w:val="0018235E"/>
    <w:rsid w:val="00187576"/>
    <w:rsid w:val="0018768C"/>
    <w:rsid w:val="00192BA0"/>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4995"/>
    <w:rsid w:val="001E7A42"/>
    <w:rsid w:val="001F09DC"/>
    <w:rsid w:val="001F43E6"/>
    <w:rsid w:val="0020248C"/>
    <w:rsid w:val="002028B7"/>
    <w:rsid w:val="00213772"/>
    <w:rsid w:val="00215D68"/>
    <w:rsid w:val="00220749"/>
    <w:rsid w:val="0022422C"/>
    <w:rsid w:val="0022724E"/>
    <w:rsid w:val="00230666"/>
    <w:rsid w:val="00231153"/>
    <w:rsid w:val="0023252E"/>
    <w:rsid w:val="0023794C"/>
    <w:rsid w:val="00241C31"/>
    <w:rsid w:val="002473D3"/>
    <w:rsid w:val="00256E7C"/>
    <w:rsid w:val="0026357E"/>
    <w:rsid w:val="00264628"/>
    <w:rsid w:val="002679D5"/>
    <w:rsid w:val="002714FD"/>
    <w:rsid w:val="00275F94"/>
    <w:rsid w:val="00281B9C"/>
    <w:rsid w:val="00284C9B"/>
    <w:rsid w:val="002A141B"/>
    <w:rsid w:val="002A26B6"/>
    <w:rsid w:val="002A6A4E"/>
    <w:rsid w:val="002B5A85"/>
    <w:rsid w:val="002B63A7"/>
    <w:rsid w:val="002C5543"/>
    <w:rsid w:val="002D0F7F"/>
    <w:rsid w:val="002D4018"/>
    <w:rsid w:val="002E0198"/>
    <w:rsid w:val="002E1D7C"/>
    <w:rsid w:val="002F449B"/>
    <w:rsid w:val="002F4D86"/>
    <w:rsid w:val="002F5D69"/>
    <w:rsid w:val="002F7C77"/>
    <w:rsid w:val="00300CB3"/>
    <w:rsid w:val="0030394B"/>
    <w:rsid w:val="003070E2"/>
    <w:rsid w:val="003072C6"/>
    <w:rsid w:val="00310D8E"/>
    <w:rsid w:val="00315BBD"/>
    <w:rsid w:val="0031753A"/>
    <w:rsid w:val="00320293"/>
    <w:rsid w:val="00322CC2"/>
    <w:rsid w:val="003271DC"/>
    <w:rsid w:val="00334B54"/>
    <w:rsid w:val="00336EF0"/>
    <w:rsid w:val="0033739E"/>
    <w:rsid w:val="00343733"/>
    <w:rsid w:val="00355886"/>
    <w:rsid w:val="00356814"/>
    <w:rsid w:val="003741AD"/>
    <w:rsid w:val="0038019F"/>
    <w:rsid w:val="00382071"/>
    <w:rsid w:val="003A2F25"/>
    <w:rsid w:val="003A7295"/>
    <w:rsid w:val="003B2807"/>
    <w:rsid w:val="003B7E9C"/>
    <w:rsid w:val="003C68F2"/>
    <w:rsid w:val="003D421E"/>
    <w:rsid w:val="003D58B8"/>
    <w:rsid w:val="003D5CFB"/>
    <w:rsid w:val="003E21EF"/>
    <w:rsid w:val="003E2636"/>
    <w:rsid w:val="003E2E12"/>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2DB3"/>
    <w:rsid w:val="00490951"/>
    <w:rsid w:val="004A0236"/>
    <w:rsid w:val="004A369A"/>
    <w:rsid w:val="004A3B3E"/>
    <w:rsid w:val="004A6B98"/>
    <w:rsid w:val="004B7FDF"/>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32236"/>
    <w:rsid w:val="005338EA"/>
    <w:rsid w:val="00541DFE"/>
    <w:rsid w:val="00543E6C"/>
    <w:rsid w:val="00544184"/>
    <w:rsid w:val="00547EE9"/>
    <w:rsid w:val="00551789"/>
    <w:rsid w:val="00553F68"/>
    <w:rsid w:val="005552FD"/>
    <w:rsid w:val="005600E5"/>
    <w:rsid w:val="00562BFB"/>
    <w:rsid w:val="00564E8F"/>
    <w:rsid w:val="005728A4"/>
    <w:rsid w:val="005763FC"/>
    <w:rsid w:val="00576EB4"/>
    <w:rsid w:val="00577B30"/>
    <w:rsid w:val="00577EBD"/>
    <w:rsid w:val="005817F8"/>
    <w:rsid w:val="00581C08"/>
    <w:rsid w:val="00582768"/>
    <w:rsid w:val="00583461"/>
    <w:rsid w:val="005856A4"/>
    <w:rsid w:val="00590730"/>
    <w:rsid w:val="00596765"/>
    <w:rsid w:val="005A3051"/>
    <w:rsid w:val="005A53FE"/>
    <w:rsid w:val="005B7D22"/>
    <w:rsid w:val="005C029E"/>
    <w:rsid w:val="005C6763"/>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411C4"/>
    <w:rsid w:val="00653B84"/>
    <w:rsid w:val="00653E0D"/>
    <w:rsid w:val="006865C8"/>
    <w:rsid w:val="00686B48"/>
    <w:rsid w:val="00687038"/>
    <w:rsid w:val="0068714E"/>
    <w:rsid w:val="006872F5"/>
    <w:rsid w:val="006929F7"/>
    <w:rsid w:val="0069374A"/>
    <w:rsid w:val="00694AB8"/>
    <w:rsid w:val="00695EF7"/>
    <w:rsid w:val="0069699D"/>
    <w:rsid w:val="006A474A"/>
    <w:rsid w:val="006B2B21"/>
    <w:rsid w:val="006B2C51"/>
    <w:rsid w:val="006B6361"/>
    <w:rsid w:val="006C6A0C"/>
    <w:rsid w:val="006D24CE"/>
    <w:rsid w:val="006D360C"/>
    <w:rsid w:val="006D5AC9"/>
    <w:rsid w:val="006D66ED"/>
    <w:rsid w:val="006E2E13"/>
    <w:rsid w:val="006E786B"/>
    <w:rsid w:val="006F3E0E"/>
    <w:rsid w:val="006F4F25"/>
    <w:rsid w:val="007002B1"/>
    <w:rsid w:val="00704EB7"/>
    <w:rsid w:val="00705742"/>
    <w:rsid w:val="007104FE"/>
    <w:rsid w:val="00711B0C"/>
    <w:rsid w:val="007121A2"/>
    <w:rsid w:val="00713981"/>
    <w:rsid w:val="007176D6"/>
    <w:rsid w:val="00727D54"/>
    <w:rsid w:val="00727FF3"/>
    <w:rsid w:val="00731EF2"/>
    <w:rsid w:val="007344C5"/>
    <w:rsid w:val="00734959"/>
    <w:rsid w:val="00735137"/>
    <w:rsid w:val="0073520D"/>
    <w:rsid w:val="00780226"/>
    <w:rsid w:val="00781AB4"/>
    <w:rsid w:val="007923B7"/>
    <w:rsid w:val="00792616"/>
    <w:rsid w:val="007926BB"/>
    <w:rsid w:val="0079344C"/>
    <w:rsid w:val="007968AE"/>
    <w:rsid w:val="007A0283"/>
    <w:rsid w:val="007A6383"/>
    <w:rsid w:val="007C02C7"/>
    <w:rsid w:val="007C21EE"/>
    <w:rsid w:val="007C2973"/>
    <w:rsid w:val="007D247A"/>
    <w:rsid w:val="007D3A2E"/>
    <w:rsid w:val="007D6652"/>
    <w:rsid w:val="007E343D"/>
    <w:rsid w:val="007E455E"/>
    <w:rsid w:val="007E777B"/>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09D9"/>
    <w:rsid w:val="00840C7C"/>
    <w:rsid w:val="00846192"/>
    <w:rsid w:val="00850806"/>
    <w:rsid w:val="00856A1B"/>
    <w:rsid w:val="008621C3"/>
    <w:rsid w:val="00865486"/>
    <w:rsid w:val="008669BE"/>
    <w:rsid w:val="00876275"/>
    <w:rsid w:val="00882B99"/>
    <w:rsid w:val="00886121"/>
    <w:rsid w:val="008A295B"/>
    <w:rsid w:val="008A5B97"/>
    <w:rsid w:val="008A6604"/>
    <w:rsid w:val="008B1C73"/>
    <w:rsid w:val="008B5482"/>
    <w:rsid w:val="008C11F4"/>
    <w:rsid w:val="008C2BEC"/>
    <w:rsid w:val="008C6523"/>
    <w:rsid w:val="008C6D0E"/>
    <w:rsid w:val="008D09D2"/>
    <w:rsid w:val="008D39C5"/>
    <w:rsid w:val="008E1D89"/>
    <w:rsid w:val="008E3E3E"/>
    <w:rsid w:val="008F5F87"/>
    <w:rsid w:val="00900A34"/>
    <w:rsid w:val="00906132"/>
    <w:rsid w:val="00907073"/>
    <w:rsid w:val="009208F5"/>
    <w:rsid w:val="00927D51"/>
    <w:rsid w:val="00932272"/>
    <w:rsid w:val="00932862"/>
    <w:rsid w:val="00935D60"/>
    <w:rsid w:val="009412E1"/>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0FD"/>
    <w:rsid w:val="009906C7"/>
    <w:rsid w:val="009963CD"/>
    <w:rsid w:val="009A07AC"/>
    <w:rsid w:val="009B266D"/>
    <w:rsid w:val="009B5CBF"/>
    <w:rsid w:val="009C184A"/>
    <w:rsid w:val="009C2CA5"/>
    <w:rsid w:val="009D1A84"/>
    <w:rsid w:val="009D3E45"/>
    <w:rsid w:val="009F351F"/>
    <w:rsid w:val="009F3F89"/>
    <w:rsid w:val="009F480E"/>
    <w:rsid w:val="00A022A2"/>
    <w:rsid w:val="00A02D15"/>
    <w:rsid w:val="00A11403"/>
    <w:rsid w:val="00A17EDF"/>
    <w:rsid w:val="00A26B0D"/>
    <w:rsid w:val="00A3735A"/>
    <w:rsid w:val="00A42F1B"/>
    <w:rsid w:val="00A44EBE"/>
    <w:rsid w:val="00A546BC"/>
    <w:rsid w:val="00A55989"/>
    <w:rsid w:val="00A5694A"/>
    <w:rsid w:val="00A63DA4"/>
    <w:rsid w:val="00A75CD5"/>
    <w:rsid w:val="00A763D5"/>
    <w:rsid w:val="00A83DF3"/>
    <w:rsid w:val="00A85915"/>
    <w:rsid w:val="00A85A00"/>
    <w:rsid w:val="00A86270"/>
    <w:rsid w:val="00A952AB"/>
    <w:rsid w:val="00A9783D"/>
    <w:rsid w:val="00AA45E6"/>
    <w:rsid w:val="00AA5A37"/>
    <w:rsid w:val="00AB489C"/>
    <w:rsid w:val="00AB50C1"/>
    <w:rsid w:val="00AB6936"/>
    <w:rsid w:val="00AC0C3B"/>
    <w:rsid w:val="00AC0E41"/>
    <w:rsid w:val="00AC2D63"/>
    <w:rsid w:val="00AC77E3"/>
    <w:rsid w:val="00AC785B"/>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7571"/>
    <w:rsid w:val="00B4164B"/>
    <w:rsid w:val="00B5409A"/>
    <w:rsid w:val="00B55574"/>
    <w:rsid w:val="00B6525D"/>
    <w:rsid w:val="00B65ABA"/>
    <w:rsid w:val="00B67097"/>
    <w:rsid w:val="00B6790F"/>
    <w:rsid w:val="00B71B3B"/>
    <w:rsid w:val="00B74EB9"/>
    <w:rsid w:val="00B831A1"/>
    <w:rsid w:val="00B853DB"/>
    <w:rsid w:val="00B87D61"/>
    <w:rsid w:val="00B93948"/>
    <w:rsid w:val="00BA4BC7"/>
    <w:rsid w:val="00BA55B7"/>
    <w:rsid w:val="00BA5E47"/>
    <w:rsid w:val="00BA7D57"/>
    <w:rsid w:val="00BB0D4C"/>
    <w:rsid w:val="00BB156E"/>
    <w:rsid w:val="00BB3330"/>
    <w:rsid w:val="00BB47D7"/>
    <w:rsid w:val="00BB4A62"/>
    <w:rsid w:val="00BC01C1"/>
    <w:rsid w:val="00BC10A4"/>
    <w:rsid w:val="00BC45A1"/>
    <w:rsid w:val="00BC5A34"/>
    <w:rsid w:val="00BD17F5"/>
    <w:rsid w:val="00BD6E05"/>
    <w:rsid w:val="00BE54D0"/>
    <w:rsid w:val="00BF14A4"/>
    <w:rsid w:val="00BF6B6C"/>
    <w:rsid w:val="00BF7251"/>
    <w:rsid w:val="00BF7F28"/>
    <w:rsid w:val="00C01909"/>
    <w:rsid w:val="00C05787"/>
    <w:rsid w:val="00C11871"/>
    <w:rsid w:val="00C13059"/>
    <w:rsid w:val="00C156D4"/>
    <w:rsid w:val="00C167A3"/>
    <w:rsid w:val="00C2181C"/>
    <w:rsid w:val="00C2657D"/>
    <w:rsid w:val="00C26A87"/>
    <w:rsid w:val="00C3745D"/>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FC7"/>
    <w:rsid w:val="00CB66B4"/>
    <w:rsid w:val="00CC139A"/>
    <w:rsid w:val="00CC1E7A"/>
    <w:rsid w:val="00CC4F64"/>
    <w:rsid w:val="00CD058C"/>
    <w:rsid w:val="00CD2492"/>
    <w:rsid w:val="00CD3B98"/>
    <w:rsid w:val="00CD4216"/>
    <w:rsid w:val="00CD518C"/>
    <w:rsid w:val="00CD733F"/>
    <w:rsid w:val="00CD7C65"/>
    <w:rsid w:val="00CE0942"/>
    <w:rsid w:val="00CE7CA5"/>
    <w:rsid w:val="00CF1CB5"/>
    <w:rsid w:val="00CF1D81"/>
    <w:rsid w:val="00CF2DC9"/>
    <w:rsid w:val="00CF7CB6"/>
    <w:rsid w:val="00D16E0E"/>
    <w:rsid w:val="00D311AB"/>
    <w:rsid w:val="00D32290"/>
    <w:rsid w:val="00D325A8"/>
    <w:rsid w:val="00D442AD"/>
    <w:rsid w:val="00D52C39"/>
    <w:rsid w:val="00D5618A"/>
    <w:rsid w:val="00D5784B"/>
    <w:rsid w:val="00D60F18"/>
    <w:rsid w:val="00D63EFB"/>
    <w:rsid w:val="00D63F1A"/>
    <w:rsid w:val="00D658AF"/>
    <w:rsid w:val="00D70A79"/>
    <w:rsid w:val="00D83DE9"/>
    <w:rsid w:val="00D8450D"/>
    <w:rsid w:val="00D95AF9"/>
    <w:rsid w:val="00DA09C9"/>
    <w:rsid w:val="00DA1822"/>
    <w:rsid w:val="00DB1425"/>
    <w:rsid w:val="00DB5E1F"/>
    <w:rsid w:val="00DC19D8"/>
    <w:rsid w:val="00DC2613"/>
    <w:rsid w:val="00DC4512"/>
    <w:rsid w:val="00DD3691"/>
    <w:rsid w:val="00DD4B55"/>
    <w:rsid w:val="00DE0AE1"/>
    <w:rsid w:val="00DE1E90"/>
    <w:rsid w:val="00DE24E6"/>
    <w:rsid w:val="00DE5C8A"/>
    <w:rsid w:val="00DF07AD"/>
    <w:rsid w:val="00DF2EEC"/>
    <w:rsid w:val="00DF3364"/>
    <w:rsid w:val="00E055BB"/>
    <w:rsid w:val="00E077DA"/>
    <w:rsid w:val="00E11988"/>
    <w:rsid w:val="00E15DA9"/>
    <w:rsid w:val="00E2095D"/>
    <w:rsid w:val="00E30414"/>
    <w:rsid w:val="00E40769"/>
    <w:rsid w:val="00E42E8B"/>
    <w:rsid w:val="00E60F12"/>
    <w:rsid w:val="00E652FB"/>
    <w:rsid w:val="00E66C20"/>
    <w:rsid w:val="00E71C46"/>
    <w:rsid w:val="00E731B7"/>
    <w:rsid w:val="00E75ED2"/>
    <w:rsid w:val="00E8280C"/>
    <w:rsid w:val="00E82C5D"/>
    <w:rsid w:val="00E83E4C"/>
    <w:rsid w:val="00E91933"/>
    <w:rsid w:val="00E92A81"/>
    <w:rsid w:val="00E95301"/>
    <w:rsid w:val="00E969B1"/>
    <w:rsid w:val="00EB6552"/>
    <w:rsid w:val="00EB6D43"/>
    <w:rsid w:val="00EC18E6"/>
    <w:rsid w:val="00EC1984"/>
    <w:rsid w:val="00EC234C"/>
    <w:rsid w:val="00ED2DA2"/>
    <w:rsid w:val="00ED3529"/>
    <w:rsid w:val="00ED4D17"/>
    <w:rsid w:val="00ED7DCF"/>
    <w:rsid w:val="00EE6CD3"/>
    <w:rsid w:val="00EF20D7"/>
    <w:rsid w:val="00EF3419"/>
    <w:rsid w:val="00F0119C"/>
    <w:rsid w:val="00F02BDB"/>
    <w:rsid w:val="00F0441B"/>
    <w:rsid w:val="00F07623"/>
    <w:rsid w:val="00F07D0B"/>
    <w:rsid w:val="00F2073E"/>
    <w:rsid w:val="00F23E2C"/>
    <w:rsid w:val="00F3136B"/>
    <w:rsid w:val="00F314F1"/>
    <w:rsid w:val="00F327EA"/>
    <w:rsid w:val="00F33641"/>
    <w:rsid w:val="00F37E58"/>
    <w:rsid w:val="00F42842"/>
    <w:rsid w:val="00F43EE0"/>
    <w:rsid w:val="00F46E40"/>
    <w:rsid w:val="00F4760A"/>
    <w:rsid w:val="00F529FE"/>
    <w:rsid w:val="00F52B8E"/>
    <w:rsid w:val="00F53CFD"/>
    <w:rsid w:val="00F54AF5"/>
    <w:rsid w:val="00F557E3"/>
    <w:rsid w:val="00F6122C"/>
    <w:rsid w:val="00F61E78"/>
    <w:rsid w:val="00F635C5"/>
    <w:rsid w:val="00F736E3"/>
    <w:rsid w:val="00F767E8"/>
    <w:rsid w:val="00F86A3F"/>
    <w:rsid w:val="00F91297"/>
    <w:rsid w:val="00F9133B"/>
    <w:rsid w:val="00F97730"/>
    <w:rsid w:val="00FB2F2B"/>
    <w:rsid w:val="00FB32A4"/>
    <w:rsid w:val="00FB3967"/>
    <w:rsid w:val="00FB594D"/>
    <w:rsid w:val="00FC49BB"/>
    <w:rsid w:val="00FD616B"/>
    <w:rsid w:val="00FE367F"/>
    <w:rsid w:val="00FF29DC"/>
    <w:rsid w:val="15806442"/>
    <w:rsid w:val="1F7C7197"/>
    <w:rsid w:val="2EEE5FE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D0281"/>
  <w15:docId w15:val="{7A4A99E3-D8AC-4965-8EE8-5D57E8CC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8A9"/>
    <w:rPr>
      <w:rFonts w:ascii="Cambria" w:hAnsi="Cambria"/>
      <w:lang w:eastAsia="en-US"/>
    </w:rPr>
  </w:style>
  <w:style w:type="paragraph" w:styleId="Heading1">
    <w:name w:val="heading 1"/>
    <w:next w:val="WoVGbody"/>
    <w:link w:val="Heading1Char"/>
    <w:uiPriority w:val="9"/>
    <w:qFormat/>
    <w:rsid w:val="007E455E"/>
    <w:pPr>
      <w:keepNext/>
      <w:keepLines/>
      <w:spacing w:before="520" w:after="440" w:line="440" w:lineRule="atLeast"/>
      <w:outlineLvl w:val="0"/>
    </w:pPr>
    <w:rPr>
      <w:rFonts w:ascii="Arial" w:hAnsi="Arial"/>
      <w:bCs/>
      <w:color w:val="009CA6"/>
      <w:sz w:val="44"/>
      <w:szCs w:val="44"/>
      <w:lang w:eastAsia="en-US"/>
    </w:rPr>
  </w:style>
  <w:style w:type="paragraph" w:styleId="Heading2">
    <w:name w:val="heading 2"/>
    <w:next w:val="WoVGbody"/>
    <w:link w:val="Heading2Char"/>
    <w:uiPriority w:val="9"/>
    <w:qFormat/>
    <w:rsid w:val="007E455E"/>
    <w:pPr>
      <w:keepNext/>
      <w:keepLines/>
      <w:spacing w:before="240" w:after="90" w:line="320" w:lineRule="atLeast"/>
      <w:outlineLvl w:val="1"/>
    </w:pPr>
    <w:rPr>
      <w:rFonts w:ascii="Arial" w:hAnsi="Arial"/>
      <w:b/>
      <w:color w:val="009CA6"/>
      <w:sz w:val="28"/>
      <w:szCs w:val="28"/>
      <w:lang w:eastAsia="en-US"/>
    </w:rPr>
  </w:style>
  <w:style w:type="paragraph" w:styleId="Heading3">
    <w:name w:val="heading 3"/>
    <w:next w:val="WoVG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oVG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WoVG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FB3967"/>
    <w:pPr>
      <w:keepNext/>
      <w:keepLines/>
      <w:spacing w:before="40"/>
      <w:outlineLvl w:val="5"/>
    </w:pPr>
    <w:rPr>
      <w:rFonts w:asciiTheme="majorHAnsi" w:eastAsiaTheme="majorEastAsia" w:hAnsiTheme="majorHAnsi" w:cstheme="majorBidi"/>
      <w:color w:val="C0504D"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55E"/>
    <w:rPr>
      <w:rFonts w:ascii="Arial" w:hAnsi="Arial"/>
      <w:bCs/>
      <w:color w:val="009CA6"/>
      <w:sz w:val="44"/>
      <w:szCs w:val="44"/>
      <w:lang w:eastAsia="en-US"/>
    </w:rPr>
  </w:style>
  <w:style w:type="character" w:customStyle="1" w:styleId="Heading2Char">
    <w:name w:val="Heading 2 Char"/>
    <w:link w:val="Heading2"/>
    <w:uiPriority w:val="9"/>
    <w:rsid w:val="007E455E"/>
    <w:rPr>
      <w:rFonts w:ascii="Arial" w:hAnsi="Arial"/>
      <w:b/>
      <w:color w:val="009CA6"/>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WoVGheader"/>
    <w:link w:val="HeaderChar"/>
    <w:uiPriority w:val="99"/>
    <w:rsid w:val="004E380D"/>
  </w:style>
  <w:style w:type="paragraph" w:styleId="Footer">
    <w:name w:val="footer"/>
    <w:basedOn w:val="WoVG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WoVGtabletext6pt">
    <w:name w:val="WoVG table text + 6pt"/>
    <w:basedOn w:val="WoVG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840C7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WoVGreportsubtitle">
    <w:name w:val="WoVG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WoVGreportmaintitle">
    <w:name w:val="WoVG report main title"/>
    <w:uiPriority w:val="4"/>
    <w:rsid w:val="002473D3"/>
    <w:pPr>
      <w:keepLines/>
      <w:spacing w:after="240" w:line="580" w:lineRule="atLeast"/>
      <w:ind w:right="-1021"/>
      <w:jc w:val="right"/>
    </w:pPr>
    <w:rPr>
      <w:rFonts w:ascii="Arial" w:hAnsi="Arial"/>
      <w:color w:val="009CA6"/>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ED7DCF"/>
    <w:pPr>
      <w:keepNext/>
      <w:keepLines/>
      <w:tabs>
        <w:tab w:val="right" w:leader="dot" w:pos="9299"/>
      </w:tabs>
      <w:spacing w:before="100" w:after="60" w:line="270" w:lineRule="atLeast"/>
    </w:pPr>
    <w:rPr>
      <w:rFonts w:ascii="Arial" w:hAnsi="Arial"/>
      <w:b/>
      <w:noProof/>
    </w:rPr>
  </w:style>
  <w:style w:type="paragraph" w:styleId="TOC2">
    <w:name w:val="toc 2"/>
    <w:basedOn w:val="Normal"/>
    <w:next w:val="Normal"/>
    <w:uiPriority w:val="39"/>
    <w:rsid w:val="00ED7DCF"/>
    <w:pPr>
      <w:keepNext/>
      <w:keepLines/>
      <w:tabs>
        <w:tab w:val="right" w:leader="dot" w:pos="9299"/>
      </w:tabs>
      <w:spacing w:after="40" w:line="270" w:lineRule="atLeast"/>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WoVGreportsubtitlegrey">
    <w:name w:val="WoVG report subtitle grey"/>
    <w:uiPriority w:val="4"/>
    <w:rsid w:val="007E455E"/>
    <w:pPr>
      <w:spacing w:after="120" w:line="380" w:lineRule="atLeast"/>
      <w:jc w:val="right"/>
    </w:pPr>
    <w:rPr>
      <w:rFonts w:ascii="Arial" w:hAnsi="Arial"/>
      <w:bCs/>
      <w:color w:val="53565A"/>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WoVGbody">
    <w:name w:val="WoVG body"/>
    <w:qFormat/>
    <w:rsid w:val="00E30414"/>
    <w:pPr>
      <w:spacing w:after="120" w:line="270" w:lineRule="atLeast"/>
    </w:pPr>
    <w:rPr>
      <w:rFonts w:ascii="Arial" w:eastAsia="Times" w:hAnsi="Arial"/>
      <w:lang w:eastAsia="en-US"/>
    </w:rPr>
  </w:style>
  <w:style w:type="paragraph" w:customStyle="1" w:styleId="WoVGbullet1">
    <w:name w:val="WoVG bullet 1"/>
    <w:basedOn w:val="WoVGbody"/>
    <w:qFormat/>
    <w:rsid w:val="007F5858"/>
    <w:pPr>
      <w:numPr>
        <w:numId w:val="1"/>
      </w:numPr>
      <w:spacing w:after="40"/>
    </w:pPr>
  </w:style>
  <w:style w:type="paragraph" w:customStyle="1" w:styleId="WoVGnumberloweralpha">
    <w:name w:val="WoVG number lower alpha"/>
    <w:basedOn w:val="WoVGbody"/>
    <w:uiPriority w:val="3"/>
    <w:rsid w:val="008669BE"/>
    <w:pPr>
      <w:numPr>
        <w:numId w:val="9"/>
      </w:numPr>
    </w:pPr>
  </w:style>
  <w:style w:type="paragraph" w:customStyle="1" w:styleId="WoVGnumberloweralphaindent">
    <w:name w:val="WoVG number lower alpha indent"/>
    <w:basedOn w:val="WoVGbody"/>
    <w:uiPriority w:val="3"/>
    <w:rsid w:val="008669BE"/>
    <w:pPr>
      <w:numPr>
        <w:ilvl w:val="1"/>
        <w:numId w:val="9"/>
      </w:numPr>
    </w:pPr>
  </w:style>
  <w:style w:type="paragraph" w:customStyle="1" w:styleId="WoVGtablefigurenote">
    <w:name w:val="WoVG table/figure note"/>
    <w:uiPriority w:val="4"/>
    <w:rsid w:val="008A5B97"/>
    <w:pPr>
      <w:spacing w:before="60" w:after="60" w:line="240" w:lineRule="exact"/>
    </w:pPr>
    <w:rPr>
      <w:rFonts w:ascii="Arial" w:hAnsi="Arial"/>
      <w:sz w:val="18"/>
      <w:lang w:eastAsia="en-US"/>
    </w:rPr>
  </w:style>
  <w:style w:type="paragraph" w:customStyle="1" w:styleId="WoVGtabletext">
    <w:name w:val="WoVG table text"/>
    <w:uiPriority w:val="3"/>
    <w:qFormat/>
    <w:rsid w:val="00E30414"/>
    <w:pPr>
      <w:spacing w:before="80" w:after="60"/>
    </w:pPr>
    <w:rPr>
      <w:rFonts w:ascii="Arial" w:hAnsi="Arial"/>
      <w:lang w:eastAsia="en-US"/>
    </w:rPr>
  </w:style>
  <w:style w:type="paragraph" w:customStyle="1" w:styleId="WoVGtablecaption">
    <w:name w:val="WoVG table caption"/>
    <w:next w:val="WoVGbody"/>
    <w:uiPriority w:val="3"/>
    <w:qFormat/>
    <w:rsid w:val="004E21E2"/>
    <w:pPr>
      <w:keepNext/>
      <w:keepLines/>
      <w:spacing w:before="240" w:after="120" w:line="240" w:lineRule="atLeast"/>
    </w:pPr>
    <w:rPr>
      <w:rFonts w:ascii="Arial" w:hAnsi="Arial"/>
      <w:b/>
      <w:lang w:eastAsia="en-US"/>
    </w:rPr>
  </w:style>
  <w:style w:type="paragraph" w:customStyle="1" w:styleId="WoVGfigurecaption">
    <w:name w:val="WoVG figure caption"/>
    <w:next w:val="WoVGbody"/>
    <w:rsid w:val="00E91933"/>
    <w:pPr>
      <w:keepNext/>
      <w:keepLines/>
      <w:spacing w:before="240" w:after="120"/>
    </w:pPr>
    <w:rPr>
      <w:rFonts w:ascii="Arial" w:hAnsi="Arial"/>
      <w:b/>
      <w:lang w:eastAsia="en-US"/>
    </w:rPr>
  </w:style>
  <w:style w:type="paragraph" w:customStyle="1" w:styleId="WoVGfooter">
    <w:name w:val="WoVG footer"/>
    <w:uiPriority w:val="11"/>
    <w:rsid w:val="00E969B1"/>
    <w:pPr>
      <w:tabs>
        <w:tab w:val="right" w:pos="9299"/>
      </w:tabs>
    </w:pPr>
    <w:rPr>
      <w:rFonts w:ascii="Arial" w:hAnsi="Arial" w:cs="Arial"/>
      <w:sz w:val="18"/>
      <w:szCs w:val="18"/>
      <w:lang w:eastAsia="en-US"/>
    </w:rPr>
  </w:style>
  <w:style w:type="paragraph" w:customStyle="1" w:styleId="WoVGbullet2">
    <w:name w:val="WoVG bullet 2"/>
    <w:basedOn w:val="WoVGbody"/>
    <w:uiPriority w:val="2"/>
    <w:qFormat/>
    <w:rsid w:val="007F5858"/>
    <w:pPr>
      <w:numPr>
        <w:ilvl w:val="1"/>
        <w:numId w:val="1"/>
      </w:numPr>
      <w:spacing w:after="40"/>
    </w:pPr>
  </w:style>
  <w:style w:type="paragraph" w:customStyle="1" w:styleId="WoVGheader">
    <w:name w:val="WoVG header"/>
    <w:basedOn w:val="WoVGfooter"/>
    <w:uiPriority w:val="11"/>
    <w:rsid w:val="00E969B1"/>
  </w:style>
  <w:style w:type="character" w:styleId="Strong">
    <w:name w:val="Strong"/>
    <w:uiPriority w:val="22"/>
    <w:qFormat/>
    <w:rsid w:val="00DC19D8"/>
    <w:rPr>
      <w:b/>
      <w:bCs/>
    </w:rPr>
  </w:style>
  <w:style w:type="paragraph" w:customStyle="1" w:styleId="WoVGnumberdigit">
    <w:name w:val="WoVG number digit"/>
    <w:basedOn w:val="WoVGbody"/>
    <w:uiPriority w:val="2"/>
    <w:rsid w:val="008669BE"/>
    <w:pPr>
      <w:numPr>
        <w:numId w:val="3"/>
      </w:numPr>
    </w:pPr>
  </w:style>
  <w:style w:type="paragraph" w:customStyle="1" w:styleId="WoVGtablecolhead">
    <w:name w:val="WoVG table col head"/>
    <w:uiPriority w:val="3"/>
    <w:qFormat/>
    <w:rsid w:val="00DF2EEC"/>
    <w:pPr>
      <w:spacing w:before="80" w:after="60"/>
    </w:pPr>
    <w:rPr>
      <w:rFonts w:ascii="Arial" w:hAnsi="Arial"/>
      <w:b/>
      <w:color w:val="53565A"/>
      <w:lang w:eastAsia="en-US"/>
    </w:rPr>
  </w:style>
  <w:style w:type="paragraph" w:customStyle="1" w:styleId="WoVGbodyaftertablefigure">
    <w:name w:val="WoVG body after table/figure"/>
    <w:basedOn w:val="WoVGbody"/>
    <w:next w:val="WoVGbody"/>
    <w:rsid w:val="00876275"/>
    <w:pPr>
      <w:spacing w:before="240"/>
    </w:pPr>
  </w:style>
  <w:style w:type="paragraph" w:customStyle="1" w:styleId="WoVGtablebullet">
    <w:name w:val="WoVG table bullet"/>
    <w:basedOn w:val="WoVGtabletext"/>
    <w:uiPriority w:val="3"/>
    <w:qFormat/>
    <w:rsid w:val="00CF7CB6"/>
  </w:style>
  <w:style w:type="paragraph" w:customStyle="1" w:styleId="WoVGTOCheadingreport">
    <w:name w:val="WoVG TOC heading report"/>
    <w:basedOn w:val="Heading1"/>
    <w:link w:val="WoVGTOCheadingreportChar"/>
    <w:uiPriority w:val="5"/>
    <w:rsid w:val="007E455E"/>
    <w:pPr>
      <w:spacing w:before="0"/>
      <w:outlineLvl w:val="9"/>
    </w:pPr>
  </w:style>
  <w:style w:type="character" w:customStyle="1" w:styleId="WoVGTOCheadingreportChar">
    <w:name w:val="WoVG TOC heading report Char"/>
    <w:link w:val="WoVGTOCheadingreport"/>
    <w:uiPriority w:val="5"/>
    <w:rsid w:val="007E455E"/>
    <w:rPr>
      <w:rFonts w:ascii="Arial" w:hAnsi="Arial"/>
      <w:bCs/>
      <w:color w:val="009CA6"/>
      <w:sz w:val="44"/>
      <w:szCs w:val="44"/>
      <w:lang w:eastAsia="en-US"/>
    </w:rPr>
  </w:style>
  <w:style w:type="paragraph" w:customStyle="1" w:styleId="WoVGaccessibilitypara">
    <w:name w:val="WoVG accessibility para"/>
    <w:uiPriority w:val="8"/>
    <w:rsid w:val="00B0300B"/>
    <w:pPr>
      <w:spacing w:after="300" w:line="300" w:lineRule="atLeast"/>
    </w:pPr>
    <w:rPr>
      <w:rFonts w:ascii="Arial" w:eastAsia="Times" w:hAnsi="Arial"/>
      <w:sz w:val="24"/>
      <w:szCs w:val="19"/>
      <w:lang w:eastAsia="en-US"/>
    </w:rPr>
  </w:style>
  <w:style w:type="paragraph" w:customStyle="1" w:styleId="WoVGbodynospace">
    <w:name w:val="WoVG body no space"/>
    <w:basedOn w:val="WoVGbody"/>
    <w:uiPriority w:val="3"/>
    <w:qFormat/>
    <w:rsid w:val="00CA6D4E"/>
    <w:pPr>
      <w:spacing w:after="0"/>
    </w:pPr>
  </w:style>
  <w:style w:type="paragraph" w:customStyle="1" w:styleId="WoVGquote">
    <w:name w:val="WoVG quote"/>
    <w:basedOn w:val="WoVGbody"/>
    <w:uiPriority w:val="4"/>
    <w:rsid w:val="00E75ED2"/>
    <w:pPr>
      <w:ind w:left="397"/>
    </w:pPr>
    <w:rPr>
      <w:szCs w:val="18"/>
    </w:rPr>
  </w:style>
  <w:style w:type="numbering" w:customStyle="1" w:styleId="ZZBullets">
    <w:name w:val="ZZ Bullets"/>
    <w:rsid w:val="007F5858"/>
    <w:pPr>
      <w:numPr>
        <w:numId w:val="1"/>
      </w:numPr>
    </w:pPr>
  </w:style>
  <w:style w:type="paragraph" w:customStyle="1" w:styleId="WoVGbulletindent">
    <w:name w:val="WoVG bullet indent"/>
    <w:basedOn w:val="WoVGbody"/>
    <w:uiPriority w:val="4"/>
    <w:rsid w:val="00CF7CB6"/>
    <w:pPr>
      <w:spacing w:after="40"/>
    </w:pPr>
  </w:style>
  <w:style w:type="paragraph" w:customStyle="1" w:styleId="WoVGbulletindentlastline">
    <w:name w:val="WoVG bullet indent last line"/>
    <w:basedOn w:val="WoVGbody"/>
    <w:uiPriority w:val="4"/>
    <w:rsid w:val="00CF7CB6"/>
  </w:style>
  <w:style w:type="paragraph" w:customStyle="1" w:styleId="WoVGnumberlowerroman">
    <w:name w:val="WoVG number lower roman"/>
    <w:basedOn w:val="WoVGbody"/>
    <w:uiPriority w:val="3"/>
    <w:rsid w:val="008669BE"/>
    <w:pPr>
      <w:numPr>
        <w:numId w:val="11"/>
      </w:numPr>
    </w:pPr>
  </w:style>
  <w:style w:type="paragraph" w:customStyle="1" w:styleId="WoVGnumberlowerromanindent">
    <w:name w:val="WoVG number lower roman indent"/>
    <w:basedOn w:val="WoVGbody"/>
    <w:uiPriority w:val="3"/>
    <w:rsid w:val="008669BE"/>
    <w:pPr>
      <w:numPr>
        <w:ilvl w:val="1"/>
        <w:numId w:val="11"/>
      </w:numPr>
    </w:pPr>
  </w:style>
  <w:style w:type="paragraph" w:customStyle="1" w:styleId="WoVGnumberdigitindent">
    <w:name w:val="WoVG number digit indent"/>
    <w:basedOn w:val="WoVGnumberloweralphaindent"/>
    <w:uiPriority w:val="3"/>
    <w:rsid w:val="008669BE"/>
    <w:pPr>
      <w:numPr>
        <w:numId w:val="8"/>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customStyle="1" w:styleId="WoVGbodyafterbullets">
    <w:name w:val="WoVG body after bullets"/>
    <w:basedOn w:val="WoVGbody"/>
    <w:uiPriority w:val="11"/>
    <w:rsid w:val="008669BE"/>
    <w:pPr>
      <w:spacing w:before="120"/>
    </w:pPr>
  </w:style>
  <w:style w:type="paragraph" w:customStyle="1" w:styleId="WoVGbulletafternumbers1">
    <w:name w:val="WoVG bullet after numbers 1"/>
    <w:basedOn w:val="WoVGbody"/>
    <w:uiPriority w:val="4"/>
    <w:rsid w:val="008669BE"/>
    <w:pPr>
      <w:numPr>
        <w:ilvl w:val="2"/>
        <w:numId w:val="8"/>
      </w:numPr>
    </w:pPr>
  </w:style>
  <w:style w:type="paragraph" w:customStyle="1" w:styleId="WoVGbulletafternumbers2">
    <w:name w:val="WoVG bullet after numbers 2"/>
    <w:basedOn w:val="WoVGbody"/>
    <w:rsid w:val="008669BE"/>
    <w:pPr>
      <w:numPr>
        <w:ilvl w:val="3"/>
        <w:numId w:val="8"/>
      </w:numPr>
    </w:pPr>
  </w:style>
  <w:style w:type="paragraph" w:customStyle="1" w:styleId="WoVGquotebullet1">
    <w:name w:val="WoVG quote bullet 1"/>
    <w:basedOn w:val="WoVGquote"/>
    <w:rsid w:val="008669BE"/>
    <w:pPr>
      <w:numPr>
        <w:numId w:val="10"/>
      </w:numPr>
    </w:pPr>
  </w:style>
  <w:style w:type="paragraph" w:customStyle="1" w:styleId="WoVGquotebullet2">
    <w:name w:val="WoVG quote bullet 2"/>
    <w:basedOn w:val="WoVGquote"/>
    <w:rsid w:val="008669BE"/>
    <w:pPr>
      <w:numPr>
        <w:ilvl w:val="1"/>
        <w:numId w:val="10"/>
      </w:numPr>
    </w:pPr>
  </w:style>
  <w:style w:type="paragraph" w:customStyle="1" w:styleId="WoVGtablebullet1">
    <w:name w:val="WoVG table bullet 1"/>
    <w:basedOn w:val="WoVGtabletext"/>
    <w:uiPriority w:val="3"/>
    <w:qFormat/>
    <w:rsid w:val="008669BE"/>
    <w:pPr>
      <w:numPr>
        <w:numId w:val="12"/>
      </w:numPr>
    </w:pPr>
  </w:style>
  <w:style w:type="paragraph" w:customStyle="1" w:styleId="WoVGtablebullet2">
    <w:name w:val="WoVG table bullet 2"/>
    <w:basedOn w:val="WoVGtabletext"/>
    <w:uiPriority w:val="11"/>
    <w:rsid w:val="008669BE"/>
    <w:pPr>
      <w:numPr>
        <w:ilvl w:val="1"/>
        <w:numId w:val="12"/>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BalloonText">
    <w:name w:val="Balloon Text"/>
    <w:basedOn w:val="Normal"/>
    <w:link w:val="BalloonTextChar"/>
    <w:uiPriority w:val="99"/>
    <w:semiHidden/>
    <w:unhideWhenUsed/>
    <w:rsid w:val="00CF1CB5"/>
    <w:rPr>
      <w:rFonts w:ascii="Tahoma" w:hAnsi="Tahoma" w:cs="Tahoma"/>
      <w:sz w:val="16"/>
      <w:szCs w:val="16"/>
    </w:rPr>
  </w:style>
  <w:style w:type="character" w:customStyle="1" w:styleId="BalloonTextChar">
    <w:name w:val="Balloon Text Char"/>
    <w:basedOn w:val="DefaultParagraphFont"/>
    <w:link w:val="BalloonText"/>
    <w:uiPriority w:val="99"/>
    <w:semiHidden/>
    <w:rsid w:val="00CF1CB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FB3967"/>
    <w:rPr>
      <w:rFonts w:asciiTheme="majorHAnsi" w:eastAsiaTheme="majorEastAsia" w:hAnsiTheme="majorHAnsi" w:cstheme="majorBidi"/>
      <w:color w:val="C0504D" w:themeColor="accent2"/>
      <w:sz w:val="24"/>
      <w:szCs w:val="24"/>
      <w:lang w:val="en-US" w:eastAsia="en-US"/>
    </w:rPr>
  </w:style>
  <w:style w:type="character" w:customStyle="1" w:styleId="HeaderChar">
    <w:name w:val="Header Char"/>
    <w:basedOn w:val="DefaultParagraphFont"/>
    <w:link w:val="Header"/>
    <w:uiPriority w:val="99"/>
    <w:rsid w:val="00FB3967"/>
    <w:rPr>
      <w:rFonts w:ascii="Arial" w:hAnsi="Arial" w:cs="Arial"/>
      <w:sz w:val="18"/>
      <w:szCs w:val="18"/>
      <w:lang w:eastAsia="en-US"/>
    </w:rPr>
  </w:style>
  <w:style w:type="character" w:customStyle="1" w:styleId="FooterChar">
    <w:name w:val="Footer Char"/>
    <w:basedOn w:val="DefaultParagraphFont"/>
    <w:link w:val="Footer"/>
    <w:uiPriority w:val="99"/>
    <w:rsid w:val="00FB3967"/>
    <w:rPr>
      <w:rFonts w:ascii="Arial" w:hAnsi="Arial" w:cs="Arial"/>
      <w:sz w:val="18"/>
      <w:szCs w:val="18"/>
      <w:lang w:eastAsia="en-US"/>
    </w:rPr>
  </w:style>
  <w:style w:type="paragraph" w:styleId="ListParagraph">
    <w:name w:val="List Paragraph"/>
    <w:basedOn w:val="Normal"/>
    <w:uiPriority w:val="34"/>
    <w:qFormat/>
    <w:rsid w:val="00FB3967"/>
    <w:pPr>
      <w:ind w:left="720"/>
      <w:contextualSpacing/>
    </w:pPr>
    <w:rPr>
      <w:rFonts w:asciiTheme="minorHAnsi" w:eastAsiaTheme="minorHAnsi" w:hAnsiTheme="minorHAnsi" w:cstheme="minorBidi"/>
      <w:color w:val="1F497D" w:themeColor="text2"/>
      <w:szCs w:val="24"/>
      <w:lang w:val="en-US"/>
    </w:rPr>
  </w:style>
  <w:style w:type="paragraph" w:styleId="ListBullet">
    <w:name w:val="List Bullet"/>
    <w:basedOn w:val="ListParagraph"/>
    <w:uiPriority w:val="99"/>
    <w:unhideWhenUsed/>
    <w:rsid w:val="00FB3967"/>
    <w:pPr>
      <w:numPr>
        <w:numId w:val="13"/>
      </w:numPr>
      <w:spacing w:line="276" w:lineRule="auto"/>
      <w:ind w:left="284" w:hanging="284"/>
    </w:pPr>
    <w:rPr>
      <w:szCs w:val="20"/>
    </w:rPr>
  </w:style>
  <w:style w:type="paragraph" w:styleId="ListNumber">
    <w:name w:val="List Number"/>
    <w:basedOn w:val="ListParagraph"/>
    <w:uiPriority w:val="99"/>
    <w:unhideWhenUsed/>
    <w:rsid w:val="00FB3967"/>
    <w:pPr>
      <w:numPr>
        <w:numId w:val="14"/>
      </w:numPr>
      <w:spacing w:line="276" w:lineRule="auto"/>
      <w:ind w:left="284" w:hanging="284"/>
    </w:pPr>
    <w:rPr>
      <w:szCs w:val="20"/>
    </w:rPr>
  </w:style>
  <w:style w:type="paragraph" w:styleId="BodyText">
    <w:name w:val="Body Text"/>
    <w:basedOn w:val="Normal"/>
    <w:link w:val="BodyTextChar"/>
    <w:uiPriority w:val="99"/>
    <w:unhideWhenUsed/>
    <w:rsid w:val="00FB3967"/>
    <w:pPr>
      <w:spacing w:after="120"/>
    </w:pPr>
    <w:rPr>
      <w:rFonts w:asciiTheme="minorHAnsi" w:eastAsiaTheme="minorHAnsi" w:hAnsiTheme="minorHAnsi" w:cstheme="minorBidi"/>
      <w:color w:val="1F497D" w:themeColor="text2"/>
      <w:szCs w:val="24"/>
      <w:lang w:val="en-US"/>
    </w:rPr>
  </w:style>
  <w:style w:type="character" w:customStyle="1" w:styleId="BodyTextChar">
    <w:name w:val="Body Text Char"/>
    <w:basedOn w:val="DefaultParagraphFont"/>
    <w:link w:val="BodyText"/>
    <w:uiPriority w:val="99"/>
    <w:rsid w:val="00FB3967"/>
    <w:rPr>
      <w:rFonts w:asciiTheme="minorHAnsi" w:eastAsiaTheme="minorHAnsi" w:hAnsiTheme="minorHAnsi" w:cstheme="minorBidi"/>
      <w:color w:val="1F497D" w:themeColor="text2"/>
      <w:szCs w:val="24"/>
      <w:lang w:val="en-US" w:eastAsia="en-US"/>
    </w:rPr>
  </w:style>
  <w:style w:type="paragraph" w:styleId="ListBullet2">
    <w:name w:val="List Bullet 2"/>
    <w:basedOn w:val="ListBullet"/>
    <w:uiPriority w:val="99"/>
    <w:unhideWhenUsed/>
    <w:rsid w:val="00FB3967"/>
    <w:pPr>
      <w:spacing w:after="120"/>
    </w:pPr>
  </w:style>
  <w:style w:type="paragraph" w:styleId="ListNumber3">
    <w:name w:val="List Number 3"/>
    <w:basedOn w:val="Normal"/>
    <w:uiPriority w:val="99"/>
    <w:semiHidden/>
    <w:unhideWhenUsed/>
    <w:rsid w:val="00FB3967"/>
    <w:pPr>
      <w:numPr>
        <w:numId w:val="15"/>
      </w:numPr>
      <w:contextualSpacing/>
    </w:pPr>
    <w:rPr>
      <w:rFonts w:asciiTheme="minorHAnsi" w:eastAsiaTheme="minorHAnsi" w:hAnsiTheme="minorHAnsi" w:cstheme="minorBidi"/>
      <w:color w:val="1F497D" w:themeColor="text2"/>
      <w:sz w:val="24"/>
      <w:szCs w:val="24"/>
      <w:lang w:val="en-US"/>
    </w:rPr>
  </w:style>
  <w:style w:type="paragraph" w:styleId="ListNumber2">
    <w:name w:val="List Number 2"/>
    <w:basedOn w:val="ListNumber"/>
    <w:uiPriority w:val="99"/>
    <w:unhideWhenUsed/>
    <w:rsid w:val="00FB3967"/>
    <w:pPr>
      <w:spacing w:after="120"/>
    </w:pPr>
  </w:style>
  <w:style w:type="character" w:styleId="SubtleEmphasis">
    <w:name w:val="Subtle Emphasis"/>
    <w:basedOn w:val="DefaultParagraphFont"/>
    <w:uiPriority w:val="19"/>
    <w:qFormat/>
    <w:rsid w:val="00FB3967"/>
    <w:rPr>
      <w:i/>
      <w:iCs/>
      <w:color w:val="404040" w:themeColor="text1" w:themeTint="BF"/>
    </w:rPr>
  </w:style>
  <w:style w:type="character" w:styleId="IntenseEmphasis">
    <w:name w:val="Intense Emphasis"/>
    <w:basedOn w:val="DefaultParagraphFont"/>
    <w:uiPriority w:val="21"/>
    <w:qFormat/>
    <w:rsid w:val="00FB3967"/>
    <w:rPr>
      <w:i/>
      <w:iCs/>
      <w:color w:val="C0504D" w:themeColor="accent2"/>
    </w:rPr>
  </w:style>
  <w:style w:type="paragraph" w:customStyle="1" w:styleId="Introduction">
    <w:name w:val="Introduction"/>
    <w:qFormat/>
    <w:rsid w:val="00FB3967"/>
    <w:pPr>
      <w:spacing w:after="240"/>
    </w:pPr>
    <w:rPr>
      <w:rFonts w:asciiTheme="majorHAnsi" w:eastAsiaTheme="minorHAnsi" w:hAnsiTheme="majorHAnsi" w:cstheme="minorBidi"/>
      <w:color w:val="000000" w:themeColor="text1"/>
      <w:sz w:val="24"/>
      <w:szCs w:val="24"/>
      <w:lang w:val="en-US" w:eastAsia="en-US"/>
    </w:rPr>
  </w:style>
  <w:style w:type="character" w:styleId="Emphasis">
    <w:name w:val="Emphasis"/>
    <w:basedOn w:val="DefaultParagraphFont"/>
    <w:uiPriority w:val="20"/>
    <w:qFormat/>
    <w:rsid w:val="00FB3967"/>
    <w:rPr>
      <w:i/>
      <w:iCs/>
      <w:color w:val="1F497D" w:themeColor="text2"/>
    </w:rPr>
  </w:style>
  <w:style w:type="paragraph" w:styleId="Quote">
    <w:name w:val="Quote"/>
    <w:basedOn w:val="Normal"/>
    <w:next w:val="Normal"/>
    <w:link w:val="QuoteChar"/>
    <w:uiPriority w:val="29"/>
    <w:qFormat/>
    <w:rsid w:val="00FB3967"/>
    <w:pPr>
      <w:spacing w:before="200" w:after="160"/>
      <w:ind w:left="864" w:right="864"/>
      <w:jc w:val="center"/>
    </w:pPr>
    <w:rPr>
      <w:rFonts w:asciiTheme="minorHAnsi" w:eastAsiaTheme="minorHAnsi" w:hAnsiTheme="minorHAnsi" w:cstheme="minorBidi"/>
      <w:i/>
      <w:iCs/>
      <w:color w:val="000000" w:themeColor="text1"/>
      <w:sz w:val="24"/>
      <w:szCs w:val="24"/>
      <w:lang w:val="en-US"/>
    </w:rPr>
  </w:style>
  <w:style w:type="character" w:customStyle="1" w:styleId="QuoteChar">
    <w:name w:val="Quote Char"/>
    <w:basedOn w:val="DefaultParagraphFont"/>
    <w:link w:val="Quote"/>
    <w:uiPriority w:val="29"/>
    <w:rsid w:val="00FB3967"/>
    <w:rPr>
      <w:rFonts w:asciiTheme="minorHAnsi" w:eastAsiaTheme="minorHAnsi" w:hAnsiTheme="minorHAnsi" w:cstheme="minorBidi"/>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FB3967"/>
    <w:pPr>
      <w:pBdr>
        <w:top w:val="single" w:sz="4" w:space="10" w:color="C0504D" w:themeColor="accent2"/>
        <w:bottom w:val="single" w:sz="4" w:space="10" w:color="C0504D" w:themeColor="accent2"/>
      </w:pBdr>
      <w:spacing w:before="360" w:after="360"/>
      <w:ind w:left="864" w:right="864"/>
      <w:jc w:val="center"/>
    </w:pPr>
    <w:rPr>
      <w:rFonts w:asciiTheme="minorHAnsi" w:eastAsiaTheme="minorHAnsi" w:hAnsiTheme="minorHAnsi" w:cstheme="minorBidi"/>
      <w:i/>
      <w:iCs/>
      <w:color w:val="1F497D" w:themeColor="text2"/>
      <w:szCs w:val="24"/>
      <w:lang w:val="en-US"/>
    </w:rPr>
  </w:style>
  <w:style w:type="character" w:customStyle="1" w:styleId="IntenseQuoteChar">
    <w:name w:val="Intense Quote Char"/>
    <w:basedOn w:val="DefaultParagraphFont"/>
    <w:link w:val="IntenseQuote"/>
    <w:uiPriority w:val="30"/>
    <w:rsid w:val="00FB3967"/>
    <w:rPr>
      <w:rFonts w:asciiTheme="minorHAnsi" w:eastAsiaTheme="minorHAnsi" w:hAnsiTheme="minorHAnsi" w:cstheme="minorBidi"/>
      <w:i/>
      <w:iCs/>
      <w:color w:val="1F497D" w:themeColor="text2"/>
      <w:szCs w:val="24"/>
      <w:lang w:val="en-US" w:eastAsia="en-US"/>
    </w:rPr>
  </w:style>
  <w:style w:type="character" w:styleId="BookTitle">
    <w:name w:val="Book Title"/>
    <w:basedOn w:val="DefaultParagraphFont"/>
    <w:uiPriority w:val="33"/>
    <w:qFormat/>
    <w:rsid w:val="00FB3967"/>
    <w:rPr>
      <w:b/>
      <w:bCs/>
      <w:i/>
      <w:iCs/>
      <w:color w:val="1F497D" w:themeColor="text2"/>
      <w:spacing w:val="5"/>
    </w:rPr>
  </w:style>
  <w:style w:type="paragraph" w:customStyle="1" w:styleId="instructions">
    <w:name w:val="instructions"/>
    <w:basedOn w:val="Normal"/>
    <w:link w:val="instructionsChar"/>
    <w:qFormat/>
    <w:rsid w:val="00FB3967"/>
    <w:pPr>
      <w:spacing w:before="60" w:after="120"/>
    </w:pPr>
    <w:rPr>
      <w:rFonts w:ascii="Arial" w:hAnsi="Arial"/>
      <w:color w:val="C0504D" w:themeColor="accent2"/>
      <w:sz w:val="18"/>
    </w:rPr>
  </w:style>
  <w:style w:type="character" w:customStyle="1" w:styleId="instructionsChar">
    <w:name w:val="instructions Char"/>
    <w:basedOn w:val="DefaultParagraphFont"/>
    <w:link w:val="instructions"/>
    <w:rsid w:val="00FB3967"/>
    <w:rPr>
      <w:rFonts w:ascii="Arial" w:hAnsi="Arial"/>
      <w:color w:val="C0504D" w:themeColor="accent2"/>
      <w:sz w:val="18"/>
      <w:lang w:eastAsia="en-US"/>
    </w:rPr>
  </w:style>
  <w:style w:type="paragraph" w:customStyle="1" w:styleId="DHHSbody">
    <w:name w:val="DHHS body"/>
    <w:qFormat/>
    <w:rsid w:val="006B2B21"/>
    <w:pPr>
      <w:spacing w:after="120" w:line="270" w:lineRule="atLeast"/>
    </w:pPr>
    <w:rPr>
      <w:rFonts w:ascii="Arial" w:eastAsia="Times" w:hAnsi="Arial"/>
      <w:lang w:eastAsia="en-US"/>
    </w:rPr>
  </w:style>
  <w:style w:type="character" w:styleId="UnresolvedMention">
    <w:name w:val="Unresolved Mention"/>
    <w:basedOn w:val="DefaultParagraphFont"/>
    <w:uiPriority w:val="99"/>
    <w:semiHidden/>
    <w:unhideWhenUsed/>
    <w:rsid w:val="00D63F1A"/>
    <w:rPr>
      <w:color w:val="605E5C"/>
      <w:shd w:val="clear" w:color="auto" w:fill="E1DFDD"/>
    </w:rPr>
  </w:style>
  <w:style w:type="character" w:styleId="CommentReference">
    <w:name w:val="annotation reference"/>
    <w:basedOn w:val="DefaultParagraphFont"/>
    <w:uiPriority w:val="99"/>
    <w:semiHidden/>
    <w:unhideWhenUsed/>
    <w:rsid w:val="000167C7"/>
    <w:rPr>
      <w:sz w:val="16"/>
      <w:szCs w:val="16"/>
    </w:rPr>
  </w:style>
  <w:style w:type="paragraph" w:styleId="CommentText">
    <w:name w:val="annotation text"/>
    <w:basedOn w:val="Normal"/>
    <w:link w:val="CommentTextChar"/>
    <w:uiPriority w:val="99"/>
    <w:semiHidden/>
    <w:unhideWhenUsed/>
    <w:rsid w:val="000167C7"/>
  </w:style>
  <w:style w:type="character" w:customStyle="1" w:styleId="CommentTextChar">
    <w:name w:val="Comment Text Char"/>
    <w:basedOn w:val="DefaultParagraphFont"/>
    <w:link w:val="CommentText"/>
    <w:uiPriority w:val="99"/>
    <w:semiHidden/>
    <w:rsid w:val="000167C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167C7"/>
    <w:rPr>
      <w:b/>
      <w:bCs/>
    </w:rPr>
  </w:style>
  <w:style w:type="character" w:customStyle="1" w:styleId="CommentSubjectChar">
    <w:name w:val="Comment Subject Char"/>
    <w:basedOn w:val="CommentTextChar"/>
    <w:link w:val="CommentSubject"/>
    <w:uiPriority w:val="99"/>
    <w:semiHidden/>
    <w:rsid w:val="000167C7"/>
    <w:rPr>
      <w:rFonts w:ascii="Cambria" w:hAnsi="Cambria"/>
      <w:b/>
      <w:bCs/>
      <w:lang w:eastAsia="en-US"/>
    </w:rPr>
  </w:style>
  <w:style w:type="paragraph" w:styleId="Revision">
    <w:name w:val="Revision"/>
    <w:hidden/>
    <w:uiPriority w:val="71"/>
    <w:semiHidden/>
    <w:rsid w:val="003A7295"/>
    <w:rPr>
      <w:rFonts w:ascii="Cambria" w:hAnsi="Cambria"/>
      <w:lang w:eastAsia="en-US"/>
    </w:rPr>
  </w:style>
  <w:style w:type="paragraph" w:customStyle="1" w:styleId="TableTextVPSC">
    <w:name w:val="Table Text VPSC"/>
    <w:basedOn w:val="Normal"/>
    <w:next w:val="Normal"/>
    <w:qFormat/>
    <w:rsid w:val="00E82C5D"/>
    <w:pPr>
      <w:spacing w:before="60" w:after="60"/>
    </w:pPr>
    <w:rPr>
      <w:rFonts w:ascii="Arial" w:hAnsi="Arial" w:cs="Tahoma"/>
      <w:color w:val="000000" w:themeColor="text1"/>
      <w:lang w:eastAsia="en-AU"/>
    </w:rPr>
  </w:style>
  <w:style w:type="paragraph" w:customStyle="1" w:styleId="TableH1VPSC">
    <w:name w:val="Table H1 VPSC"/>
    <w:basedOn w:val="TableTextVPSC"/>
    <w:qFormat/>
    <w:rsid w:val="00E82C5D"/>
    <w:rPr>
      <w:color w:val="FFFFFF"/>
      <w:sz w:val="22"/>
    </w:rPr>
  </w:style>
  <w:style w:type="table" w:customStyle="1" w:styleId="InternalTable1">
    <w:name w:val="Internal Table 1"/>
    <w:basedOn w:val="TableGrid"/>
    <w:uiPriority w:val="99"/>
    <w:rsid w:val="00E82C5D"/>
    <w:pPr>
      <w:spacing w:before="60" w:after="60"/>
    </w:pPr>
    <w:rPr>
      <w:rFonts w:eastAsiaTheme="minorEastAsia" w:cstheme="minorBidi"/>
      <w:szCs w:val="24"/>
      <w:lang w:val="en-US" w:eastAsia="ja-JP"/>
    </w:rPr>
    <w:tblPr>
      <w:tblInd w:w="170" w:type="dxa"/>
    </w:tblPr>
    <w:tblStylePr w:type="firstRow">
      <w:rPr>
        <w:rFonts w:ascii="Arial" w:hAnsi="Arial"/>
        <w:b/>
        <w:color w:val="FFFFFF" w:themeColor="background1"/>
        <w:sz w:val="22"/>
      </w:rPr>
      <w:tblPr/>
      <w:tcPr>
        <w:shd w:val="clear" w:color="auto" w:fill="4F81BD"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24919544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09741478">
      <w:bodyDiv w:val="1"/>
      <w:marLeft w:val="0"/>
      <w:marRight w:val="0"/>
      <w:marTop w:val="0"/>
      <w:marBottom w:val="0"/>
      <w:divBdr>
        <w:top w:val="none" w:sz="0" w:space="0" w:color="auto"/>
        <w:left w:val="none" w:sz="0" w:space="0" w:color="auto"/>
        <w:bottom w:val="none" w:sz="0" w:space="0" w:color="auto"/>
        <w:right w:val="none" w:sz="0" w:space="0" w:color="auto"/>
      </w:divBdr>
    </w:div>
    <w:div w:id="1976451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psc.vic.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OHS@justice.vi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email%20the%20Victorian%20Public%20Sector%20Commissio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7" ma:contentTypeDescription="Create a new document." ma:contentTypeScope="" ma:versionID="e103619fd00b19af60246abfd8c61d92">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6db133d71057c7fd790248d6e54251da"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0176-D255-4D28-A612-52C8F9F74DC9}">
  <ds:schemaRefs>
    <ds:schemaRef ds:uri="http://schemas.microsoft.com/sharepoint/v3/contenttype/forms"/>
  </ds:schemaRefs>
</ds:datastoreItem>
</file>

<file path=customXml/itemProps2.xml><?xml version="1.0" encoding="utf-8"?>
<ds:datastoreItem xmlns:ds="http://schemas.openxmlformats.org/officeDocument/2006/customXml" ds:itemID="{0486C20D-54ED-4441-9708-5BFE69AF7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D98C3-C132-43F8-8D20-34AEBDE87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BC5E9-ED8D-44CD-8355-F033FA9F14B0}">
  <ds:schemaRefs>
    <ds:schemaRef ds:uri="http://www.w3.org/2001/XMLSchema"/>
  </ds:schemaRefs>
</ds:datastoreItem>
</file>

<file path=customXml/itemProps5.xml><?xml version="1.0" encoding="utf-8"?>
<ds:datastoreItem xmlns:ds="http://schemas.openxmlformats.org/officeDocument/2006/customXml" ds:itemID="{C2B01817-28B9-4C78-BD81-302A9D5A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5300</Words>
  <Characters>30211</Characters>
  <Application>Microsoft Office Word</Application>
  <DocSecurity>0</DocSecurity>
  <Lines>251</Lines>
  <Paragraphs>70</Paragraphs>
  <ScaleCrop>false</ScaleCrop>
  <Company>Department of Justice and Community Safety</Company>
  <LinksUpToDate>false</LinksUpToDate>
  <CharactersWithSpaces>35441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the minimum data set</dc:title>
  <dc:subject/>
  <dc:creator>People and Culture, Department of Justice and Community Safety</dc:creator>
  <cp:keywords/>
  <dc:description/>
  <cp:lastModifiedBy>Staphenie S Yau (VPSC)</cp:lastModifiedBy>
  <cp:revision>5</cp:revision>
  <cp:lastPrinted>2018-05-28T02:33:00Z</cp:lastPrinted>
  <dcterms:created xsi:type="dcterms:W3CDTF">2020-10-05T05:08:00Z</dcterms:created>
  <dcterms:modified xsi:type="dcterms:W3CDTF">2020-10-05T22:52:00Z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erin.lucas@vpsc.vic.gov.au</vt:lpwstr>
  </property>
  <property fmtid="{D5CDD505-2E9C-101B-9397-08002B2CF9AE}" pid="6" name="MSIP_Label_7158ebbd-6c5e-441f-bfc9-4eb8c11e3978_SetDate">
    <vt:lpwstr>2019-06-11T05:45:43.6360404Z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y fmtid="{D5CDD505-2E9C-101B-9397-08002B2CF9AE}" pid="11" name="ContentTypeId">
    <vt:lpwstr>0x010100A357671A665C9A409F96C97D985765A2</vt:lpwstr>
  </property>
</Properties>
</file>