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65606A9D" w:rsidR="00C80AB1" w:rsidRPr="009F6648" w:rsidRDefault="00B25446" w:rsidP="00062AF2">
      <w:pPr>
        <w:pStyle w:val="TCPTitle"/>
      </w:pPr>
      <w:r>
        <w:t>VPS Enterprise Agreement Common Policies</w:t>
      </w:r>
    </w:p>
    <w:p w14:paraId="40745789" w14:textId="60587388" w:rsidR="00C80AB1" w:rsidRPr="009F6648" w:rsidRDefault="00E60746" w:rsidP="00062AF2">
      <w:pPr>
        <w:pStyle w:val="TCPBookTitle"/>
      </w:pPr>
      <w:r>
        <w:t>r</w:t>
      </w:r>
      <w:r w:rsidR="008B29F1">
        <w:t>eview of actions</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537C463A" w14:textId="23DDE2D7" w:rsidR="00DE054A" w:rsidRDefault="00DE054A">
      <w:pPr>
        <w:pStyle w:val="TOC1"/>
        <w:tabs>
          <w:tab w:val="right" w:pos="9060"/>
        </w:tabs>
        <w:rPr>
          <w:rFonts w:asciiTheme="minorHAnsi" w:eastAsiaTheme="minorEastAsia" w:hAnsiTheme="minorHAnsi" w:cstheme="minorBidi"/>
          <w:noProof/>
          <w:color w:val="auto"/>
          <w:lang w:eastAsia="en-AU"/>
        </w:rPr>
      </w:pPr>
      <w:r>
        <w:rPr>
          <w:rFonts w:ascii="VIC" w:hAnsi="VIC"/>
          <w:sz w:val="28"/>
          <w:szCs w:val="28"/>
        </w:rPr>
        <w:fldChar w:fldCharType="begin"/>
      </w:r>
      <w:r>
        <w:rPr>
          <w:rFonts w:ascii="VIC" w:hAnsi="VIC"/>
          <w:sz w:val="28"/>
          <w:szCs w:val="28"/>
        </w:rPr>
        <w:instrText xml:space="preserve"> TOC \o "3-3" \t "Heading 1,1,Heading 2,2,TCP Heading 1,1,TCP NH1,1,TCP Heading 2,2,TCP NH2,2,TCP Numbering 1,2,# TCP Heading 1,1,# TCP NH1,1,# TCP Heading 2,2,# TCP NH2,2,# heading 2 black,3,EBA content,2" </w:instrText>
      </w:r>
      <w:r>
        <w:rPr>
          <w:rFonts w:ascii="VIC" w:hAnsi="VIC"/>
          <w:sz w:val="28"/>
          <w:szCs w:val="28"/>
        </w:rPr>
        <w:fldChar w:fldCharType="separate"/>
      </w:r>
      <w:r>
        <w:rPr>
          <w:noProof/>
        </w:rPr>
        <w:t>Authority and Application</w:t>
      </w:r>
      <w:r>
        <w:rPr>
          <w:noProof/>
        </w:rPr>
        <w:tab/>
      </w:r>
      <w:r>
        <w:rPr>
          <w:noProof/>
        </w:rPr>
        <w:fldChar w:fldCharType="begin"/>
      </w:r>
      <w:r>
        <w:rPr>
          <w:noProof/>
        </w:rPr>
        <w:instrText xml:space="preserve"> PAGEREF _Toc19703665 \h </w:instrText>
      </w:r>
      <w:r>
        <w:rPr>
          <w:noProof/>
        </w:rPr>
      </w:r>
      <w:r>
        <w:rPr>
          <w:noProof/>
        </w:rPr>
        <w:fldChar w:fldCharType="separate"/>
      </w:r>
      <w:r w:rsidR="00370F09">
        <w:rPr>
          <w:noProof/>
        </w:rPr>
        <w:t>3</w:t>
      </w:r>
      <w:r>
        <w:rPr>
          <w:noProof/>
        </w:rPr>
        <w:fldChar w:fldCharType="end"/>
      </w:r>
    </w:p>
    <w:p w14:paraId="619F0532" w14:textId="3E1BE325" w:rsidR="00DE054A" w:rsidRDefault="00DE054A">
      <w:pPr>
        <w:pStyle w:val="TOC1"/>
        <w:tabs>
          <w:tab w:val="right" w:pos="9060"/>
        </w:tabs>
        <w:rPr>
          <w:rFonts w:asciiTheme="minorHAnsi" w:eastAsiaTheme="minorEastAsia" w:hAnsiTheme="minorHAnsi" w:cstheme="minorBidi"/>
          <w:noProof/>
          <w:color w:val="auto"/>
          <w:lang w:eastAsia="en-AU"/>
        </w:rPr>
      </w:pPr>
      <w:r>
        <w:rPr>
          <w:noProof/>
        </w:rPr>
        <w:t>Overview</w:t>
      </w:r>
      <w:r>
        <w:rPr>
          <w:noProof/>
        </w:rPr>
        <w:tab/>
      </w:r>
      <w:r>
        <w:rPr>
          <w:noProof/>
        </w:rPr>
        <w:fldChar w:fldCharType="begin"/>
      </w:r>
      <w:r>
        <w:rPr>
          <w:noProof/>
        </w:rPr>
        <w:instrText xml:space="preserve"> PAGEREF _Toc19703666 \h </w:instrText>
      </w:r>
      <w:r>
        <w:rPr>
          <w:noProof/>
        </w:rPr>
      </w:r>
      <w:r>
        <w:rPr>
          <w:noProof/>
        </w:rPr>
        <w:fldChar w:fldCharType="separate"/>
      </w:r>
      <w:r w:rsidR="00370F09">
        <w:rPr>
          <w:noProof/>
        </w:rPr>
        <w:t>3</w:t>
      </w:r>
      <w:r>
        <w:rPr>
          <w:noProof/>
        </w:rPr>
        <w:fldChar w:fldCharType="end"/>
      </w:r>
    </w:p>
    <w:p w14:paraId="2C973F1C" w14:textId="614C5E54" w:rsidR="00DE054A" w:rsidRDefault="00DE054A">
      <w:pPr>
        <w:pStyle w:val="TOC1"/>
        <w:tabs>
          <w:tab w:val="right" w:pos="9060"/>
        </w:tabs>
        <w:rPr>
          <w:rFonts w:asciiTheme="minorHAnsi" w:eastAsiaTheme="minorEastAsia" w:hAnsiTheme="minorHAnsi" w:cstheme="minorBidi"/>
          <w:noProof/>
          <w:color w:val="auto"/>
          <w:lang w:eastAsia="en-AU"/>
        </w:rPr>
      </w:pPr>
      <w:r>
        <w:rPr>
          <w:noProof/>
        </w:rPr>
        <w:t>Relevant provisions</w:t>
      </w:r>
      <w:r>
        <w:rPr>
          <w:noProof/>
        </w:rPr>
        <w:tab/>
      </w:r>
      <w:r>
        <w:rPr>
          <w:noProof/>
        </w:rPr>
        <w:fldChar w:fldCharType="begin"/>
      </w:r>
      <w:r>
        <w:rPr>
          <w:noProof/>
        </w:rPr>
        <w:instrText xml:space="preserve"> PAGEREF _Toc19703667 \h </w:instrText>
      </w:r>
      <w:r>
        <w:rPr>
          <w:noProof/>
        </w:rPr>
      </w:r>
      <w:r>
        <w:rPr>
          <w:noProof/>
        </w:rPr>
        <w:fldChar w:fldCharType="separate"/>
      </w:r>
      <w:r w:rsidR="00370F09">
        <w:rPr>
          <w:noProof/>
        </w:rPr>
        <w:t>3</w:t>
      </w:r>
      <w:r>
        <w:rPr>
          <w:noProof/>
        </w:rPr>
        <w:fldChar w:fldCharType="end"/>
      </w:r>
    </w:p>
    <w:p w14:paraId="415CD6E2" w14:textId="263C45BA" w:rsidR="00DE054A" w:rsidRDefault="00DE054A">
      <w:pPr>
        <w:pStyle w:val="TOC2"/>
        <w:tabs>
          <w:tab w:val="left" w:pos="908"/>
          <w:tab w:val="right" w:pos="9060"/>
        </w:tabs>
        <w:rPr>
          <w:rFonts w:asciiTheme="minorHAnsi" w:eastAsiaTheme="minorEastAsia" w:hAnsiTheme="minorHAnsi" w:cstheme="minorBidi"/>
          <w:noProof/>
          <w:color w:val="auto"/>
          <w:lang w:eastAsia="en-AU"/>
        </w:rPr>
      </w:pPr>
      <w:r>
        <w:rPr>
          <w:noProof/>
        </w:rPr>
        <w:t>Clause 12 of the Victorian Public Service Enterprise Agreement 2016</w:t>
      </w:r>
      <w:r>
        <w:rPr>
          <w:noProof/>
        </w:rPr>
        <w:tab/>
      </w:r>
      <w:r>
        <w:rPr>
          <w:noProof/>
        </w:rPr>
        <w:fldChar w:fldCharType="begin"/>
      </w:r>
      <w:r>
        <w:rPr>
          <w:noProof/>
        </w:rPr>
        <w:instrText xml:space="preserve"> PAGEREF _Toc19703668 \h </w:instrText>
      </w:r>
      <w:r>
        <w:rPr>
          <w:noProof/>
        </w:rPr>
      </w:r>
      <w:r>
        <w:rPr>
          <w:noProof/>
        </w:rPr>
        <w:fldChar w:fldCharType="separate"/>
      </w:r>
      <w:r w:rsidR="00370F09">
        <w:rPr>
          <w:noProof/>
        </w:rPr>
        <w:t>3</w:t>
      </w:r>
      <w:r>
        <w:rPr>
          <w:noProof/>
        </w:rPr>
        <w:fldChar w:fldCharType="end"/>
      </w:r>
    </w:p>
    <w:p w14:paraId="21AC8168" w14:textId="015C49F2" w:rsidR="00DE054A" w:rsidRDefault="00DE054A">
      <w:pPr>
        <w:pStyle w:val="TOC2"/>
        <w:tabs>
          <w:tab w:val="left" w:pos="908"/>
          <w:tab w:val="right" w:pos="9060"/>
        </w:tabs>
        <w:rPr>
          <w:rFonts w:asciiTheme="minorHAnsi" w:eastAsiaTheme="minorEastAsia" w:hAnsiTheme="minorHAnsi" w:cstheme="minorBidi"/>
          <w:noProof/>
          <w:color w:val="auto"/>
          <w:lang w:eastAsia="en-AU"/>
        </w:rPr>
      </w:pPr>
      <w:r>
        <w:rPr>
          <w:noProof/>
        </w:rPr>
        <w:t>Sections 62, 64 and 65 of the Public Administration Act 2004 (Vic) (PA Act)</w:t>
      </w:r>
      <w:r>
        <w:rPr>
          <w:noProof/>
        </w:rPr>
        <w:tab/>
      </w:r>
      <w:r>
        <w:rPr>
          <w:noProof/>
        </w:rPr>
        <w:fldChar w:fldCharType="begin"/>
      </w:r>
      <w:r>
        <w:rPr>
          <w:noProof/>
        </w:rPr>
        <w:instrText xml:space="preserve"> PAGEREF _Toc19703669 \h </w:instrText>
      </w:r>
      <w:r>
        <w:rPr>
          <w:noProof/>
        </w:rPr>
      </w:r>
      <w:r>
        <w:rPr>
          <w:noProof/>
        </w:rPr>
        <w:fldChar w:fldCharType="separate"/>
      </w:r>
      <w:r w:rsidR="00370F09">
        <w:rPr>
          <w:noProof/>
        </w:rPr>
        <w:t>3</w:t>
      </w:r>
      <w:r>
        <w:rPr>
          <w:noProof/>
        </w:rPr>
        <w:fldChar w:fldCharType="end"/>
      </w:r>
    </w:p>
    <w:p w14:paraId="71ED3C6F" w14:textId="691DEEB1" w:rsidR="00DE054A" w:rsidRDefault="00DE054A">
      <w:pPr>
        <w:pStyle w:val="TOC2"/>
        <w:tabs>
          <w:tab w:val="left" w:pos="908"/>
          <w:tab w:val="right" w:pos="9060"/>
        </w:tabs>
        <w:rPr>
          <w:rFonts w:asciiTheme="minorHAnsi" w:eastAsiaTheme="minorEastAsia" w:hAnsiTheme="minorHAnsi" w:cstheme="minorBidi"/>
          <w:noProof/>
          <w:color w:val="auto"/>
          <w:lang w:eastAsia="en-AU"/>
        </w:rPr>
      </w:pPr>
      <w:r>
        <w:rPr>
          <w:noProof/>
        </w:rPr>
        <w:t>Public Administration (Review of Actions) Regulations 2015 (regulations)</w:t>
      </w:r>
      <w:r>
        <w:rPr>
          <w:noProof/>
        </w:rPr>
        <w:tab/>
      </w:r>
      <w:r>
        <w:rPr>
          <w:noProof/>
        </w:rPr>
        <w:fldChar w:fldCharType="begin"/>
      </w:r>
      <w:r>
        <w:rPr>
          <w:noProof/>
        </w:rPr>
        <w:instrText xml:space="preserve"> PAGEREF _Toc19703670 \h </w:instrText>
      </w:r>
      <w:r>
        <w:rPr>
          <w:noProof/>
        </w:rPr>
      </w:r>
      <w:r>
        <w:rPr>
          <w:noProof/>
        </w:rPr>
        <w:fldChar w:fldCharType="separate"/>
      </w:r>
      <w:r w:rsidR="00370F09">
        <w:rPr>
          <w:noProof/>
        </w:rPr>
        <w:t>3</w:t>
      </w:r>
      <w:r>
        <w:rPr>
          <w:noProof/>
        </w:rPr>
        <w:fldChar w:fldCharType="end"/>
      </w:r>
    </w:p>
    <w:p w14:paraId="35345D5E" w14:textId="06907554" w:rsidR="00DE054A" w:rsidRDefault="00DE054A">
      <w:pPr>
        <w:pStyle w:val="TOC2"/>
        <w:tabs>
          <w:tab w:val="left" w:pos="908"/>
          <w:tab w:val="right" w:pos="9060"/>
        </w:tabs>
        <w:rPr>
          <w:rFonts w:asciiTheme="minorHAnsi" w:eastAsiaTheme="minorEastAsia" w:hAnsiTheme="minorHAnsi" w:cstheme="minorBidi"/>
          <w:noProof/>
          <w:color w:val="auto"/>
          <w:lang w:eastAsia="en-AU"/>
        </w:rPr>
      </w:pPr>
      <w:r>
        <w:rPr>
          <w:noProof/>
        </w:rPr>
        <w:t>Standards for Application of the Victorian Public Sector Principles</w:t>
      </w:r>
      <w:r>
        <w:rPr>
          <w:noProof/>
        </w:rPr>
        <w:tab/>
      </w:r>
      <w:r>
        <w:rPr>
          <w:noProof/>
        </w:rPr>
        <w:fldChar w:fldCharType="begin"/>
      </w:r>
      <w:r>
        <w:rPr>
          <w:noProof/>
        </w:rPr>
        <w:instrText xml:space="preserve"> PAGEREF _Toc19703671 \h </w:instrText>
      </w:r>
      <w:r>
        <w:rPr>
          <w:noProof/>
        </w:rPr>
      </w:r>
      <w:r>
        <w:rPr>
          <w:noProof/>
        </w:rPr>
        <w:fldChar w:fldCharType="separate"/>
      </w:r>
      <w:r w:rsidR="00370F09">
        <w:rPr>
          <w:noProof/>
        </w:rPr>
        <w:t>3</w:t>
      </w:r>
      <w:r>
        <w:rPr>
          <w:noProof/>
        </w:rPr>
        <w:fldChar w:fldCharType="end"/>
      </w:r>
    </w:p>
    <w:p w14:paraId="34EEC07B" w14:textId="4C5BAB93" w:rsidR="00DE054A" w:rsidRDefault="00DE054A">
      <w:pPr>
        <w:pStyle w:val="TOC1"/>
        <w:tabs>
          <w:tab w:val="right" w:pos="9060"/>
        </w:tabs>
        <w:rPr>
          <w:rFonts w:asciiTheme="minorHAnsi" w:eastAsiaTheme="minorEastAsia" w:hAnsiTheme="minorHAnsi" w:cstheme="minorBidi"/>
          <w:noProof/>
          <w:color w:val="auto"/>
          <w:lang w:eastAsia="en-AU"/>
        </w:rPr>
      </w:pPr>
      <w:r>
        <w:rPr>
          <w:noProof/>
        </w:rPr>
        <w:t>Guidance</w:t>
      </w:r>
      <w:r>
        <w:rPr>
          <w:noProof/>
        </w:rPr>
        <w:tab/>
      </w:r>
      <w:r>
        <w:rPr>
          <w:noProof/>
        </w:rPr>
        <w:fldChar w:fldCharType="begin"/>
      </w:r>
      <w:r>
        <w:rPr>
          <w:noProof/>
        </w:rPr>
        <w:instrText xml:space="preserve"> PAGEREF _Toc19703672 \h </w:instrText>
      </w:r>
      <w:r>
        <w:rPr>
          <w:noProof/>
        </w:rPr>
      </w:r>
      <w:r>
        <w:rPr>
          <w:noProof/>
        </w:rPr>
        <w:fldChar w:fldCharType="separate"/>
      </w:r>
      <w:r w:rsidR="00370F09">
        <w:rPr>
          <w:noProof/>
        </w:rPr>
        <w:t>3</w:t>
      </w:r>
      <w:r>
        <w:rPr>
          <w:noProof/>
        </w:rPr>
        <w:fldChar w:fldCharType="end"/>
      </w:r>
    </w:p>
    <w:p w14:paraId="465B06A6" w14:textId="5C430678" w:rsidR="00DE054A" w:rsidRDefault="00DE054A">
      <w:pPr>
        <w:pStyle w:val="TOC3"/>
        <w:tabs>
          <w:tab w:val="left" w:pos="908"/>
          <w:tab w:val="right" w:pos="9060"/>
        </w:tabs>
        <w:rPr>
          <w:rFonts w:asciiTheme="minorHAnsi" w:eastAsiaTheme="minorEastAsia" w:hAnsiTheme="minorHAnsi" w:cstheme="minorBidi"/>
          <w:noProof/>
          <w:color w:val="auto"/>
          <w:lang w:eastAsia="en-AU"/>
        </w:rPr>
      </w:pPr>
      <w:r w:rsidRPr="00273050">
        <w:rPr>
          <w:noProof/>
          <w:color w:val="595959" w:themeColor="text1" w:themeTint="A6"/>
        </w:rPr>
        <w:t>1.</w:t>
      </w:r>
      <w:r>
        <w:rPr>
          <w:rFonts w:asciiTheme="minorHAnsi" w:eastAsiaTheme="minorEastAsia" w:hAnsiTheme="minorHAnsi" w:cstheme="minorBidi"/>
          <w:noProof/>
          <w:color w:val="auto"/>
          <w:lang w:eastAsia="en-AU"/>
        </w:rPr>
        <w:tab/>
      </w:r>
      <w:r w:rsidRPr="00273050">
        <w:rPr>
          <w:noProof/>
          <w:color w:val="595959" w:themeColor="text1" w:themeTint="A6"/>
        </w:rPr>
        <w:t>Definitions</w:t>
      </w:r>
      <w:r>
        <w:rPr>
          <w:noProof/>
        </w:rPr>
        <w:tab/>
      </w:r>
      <w:r>
        <w:rPr>
          <w:noProof/>
        </w:rPr>
        <w:fldChar w:fldCharType="begin"/>
      </w:r>
      <w:r>
        <w:rPr>
          <w:noProof/>
        </w:rPr>
        <w:instrText xml:space="preserve"> PAGEREF _Toc19703673 \h </w:instrText>
      </w:r>
      <w:r>
        <w:rPr>
          <w:noProof/>
        </w:rPr>
      </w:r>
      <w:r>
        <w:rPr>
          <w:noProof/>
        </w:rPr>
        <w:fldChar w:fldCharType="separate"/>
      </w:r>
      <w:r w:rsidR="00370F09">
        <w:rPr>
          <w:noProof/>
        </w:rPr>
        <w:t>3</w:t>
      </w:r>
      <w:r>
        <w:rPr>
          <w:noProof/>
        </w:rPr>
        <w:fldChar w:fldCharType="end"/>
      </w:r>
    </w:p>
    <w:p w14:paraId="2D1AF196" w14:textId="6EAC0E9D" w:rsidR="00DE054A" w:rsidRDefault="00DE054A">
      <w:pPr>
        <w:pStyle w:val="TOC3"/>
        <w:tabs>
          <w:tab w:val="left" w:pos="908"/>
          <w:tab w:val="right" w:pos="9060"/>
        </w:tabs>
        <w:rPr>
          <w:rFonts w:asciiTheme="minorHAnsi" w:eastAsiaTheme="minorEastAsia" w:hAnsiTheme="minorHAnsi" w:cstheme="minorBidi"/>
          <w:noProof/>
          <w:color w:val="auto"/>
          <w:lang w:eastAsia="en-AU"/>
        </w:rPr>
      </w:pPr>
      <w:r w:rsidRPr="00273050">
        <w:rPr>
          <w:noProof/>
          <w:color w:val="595959" w:themeColor="text1" w:themeTint="A6"/>
        </w:rPr>
        <w:t>2.</w:t>
      </w:r>
      <w:r>
        <w:rPr>
          <w:rFonts w:asciiTheme="minorHAnsi" w:eastAsiaTheme="minorEastAsia" w:hAnsiTheme="minorHAnsi" w:cstheme="minorBidi"/>
          <w:noProof/>
          <w:color w:val="auto"/>
          <w:lang w:eastAsia="en-AU"/>
        </w:rPr>
        <w:tab/>
      </w:r>
      <w:r w:rsidRPr="00273050">
        <w:rPr>
          <w:noProof/>
          <w:color w:val="595959" w:themeColor="text1" w:themeTint="A6"/>
        </w:rPr>
        <w:t>Principles</w:t>
      </w:r>
      <w:r>
        <w:rPr>
          <w:noProof/>
        </w:rPr>
        <w:tab/>
      </w:r>
      <w:r>
        <w:rPr>
          <w:noProof/>
        </w:rPr>
        <w:fldChar w:fldCharType="begin"/>
      </w:r>
      <w:r>
        <w:rPr>
          <w:noProof/>
        </w:rPr>
        <w:instrText xml:space="preserve"> PAGEREF _Toc19703674 \h </w:instrText>
      </w:r>
      <w:r>
        <w:rPr>
          <w:noProof/>
        </w:rPr>
      </w:r>
      <w:r>
        <w:rPr>
          <w:noProof/>
        </w:rPr>
        <w:fldChar w:fldCharType="separate"/>
      </w:r>
      <w:r w:rsidR="00370F09">
        <w:rPr>
          <w:noProof/>
        </w:rPr>
        <w:t>4</w:t>
      </w:r>
      <w:r>
        <w:rPr>
          <w:noProof/>
        </w:rPr>
        <w:fldChar w:fldCharType="end"/>
      </w:r>
    </w:p>
    <w:p w14:paraId="7DB2D4D1" w14:textId="40CC3F2A" w:rsidR="00DE054A" w:rsidRDefault="00DE054A">
      <w:pPr>
        <w:pStyle w:val="TOC3"/>
        <w:tabs>
          <w:tab w:val="left" w:pos="908"/>
          <w:tab w:val="right" w:pos="9060"/>
        </w:tabs>
        <w:rPr>
          <w:rFonts w:asciiTheme="minorHAnsi" w:eastAsiaTheme="minorEastAsia" w:hAnsiTheme="minorHAnsi" w:cstheme="minorBidi"/>
          <w:noProof/>
          <w:color w:val="auto"/>
          <w:lang w:eastAsia="en-AU"/>
        </w:rPr>
      </w:pPr>
      <w:r w:rsidRPr="00273050">
        <w:rPr>
          <w:noProof/>
          <w:color w:val="595959" w:themeColor="text1" w:themeTint="A6"/>
        </w:rPr>
        <w:t>3.</w:t>
      </w:r>
      <w:r>
        <w:rPr>
          <w:rFonts w:asciiTheme="minorHAnsi" w:eastAsiaTheme="minorEastAsia" w:hAnsiTheme="minorHAnsi" w:cstheme="minorBidi"/>
          <w:noProof/>
          <w:color w:val="auto"/>
          <w:lang w:eastAsia="en-AU"/>
        </w:rPr>
        <w:tab/>
      </w:r>
      <w:r w:rsidRPr="00273050">
        <w:rPr>
          <w:noProof/>
          <w:color w:val="595959" w:themeColor="text1" w:themeTint="A6"/>
        </w:rPr>
        <w:t>Application for an Initial review</w:t>
      </w:r>
      <w:r>
        <w:rPr>
          <w:noProof/>
        </w:rPr>
        <w:tab/>
      </w:r>
      <w:r>
        <w:rPr>
          <w:noProof/>
        </w:rPr>
        <w:fldChar w:fldCharType="begin"/>
      </w:r>
      <w:r>
        <w:rPr>
          <w:noProof/>
        </w:rPr>
        <w:instrText xml:space="preserve"> PAGEREF _Toc19703675 \h </w:instrText>
      </w:r>
      <w:r>
        <w:rPr>
          <w:noProof/>
        </w:rPr>
      </w:r>
      <w:r>
        <w:rPr>
          <w:noProof/>
        </w:rPr>
        <w:fldChar w:fldCharType="separate"/>
      </w:r>
      <w:r w:rsidR="00370F09">
        <w:rPr>
          <w:noProof/>
        </w:rPr>
        <w:t>4</w:t>
      </w:r>
      <w:r>
        <w:rPr>
          <w:noProof/>
        </w:rPr>
        <w:fldChar w:fldCharType="end"/>
      </w:r>
    </w:p>
    <w:p w14:paraId="509B4126" w14:textId="7699BF46" w:rsidR="00DE054A" w:rsidRDefault="00DE054A">
      <w:pPr>
        <w:pStyle w:val="TOC3"/>
        <w:tabs>
          <w:tab w:val="left" w:pos="908"/>
          <w:tab w:val="right" w:pos="9060"/>
        </w:tabs>
        <w:rPr>
          <w:rFonts w:asciiTheme="minorHAnsi" w:eastAsiaTheme="minorEastAsia" w:hAnsiTheme="minorHAnsi" w:cstheme="minorBidi"/>
          <w:noProof/>
          <w:color w:val="auto"/>
          <w:lang w:eastAsia="en-AU"/>
        </w:rPr>
      </w:pPr>
      <w:r w:rsidRPr="00273050">
        <w:rPr>
          <w:noProof/>
          <w:color w:val="595959" w:themeColor="text1" w:themeTint="A6"/>
        </w:rPr>
        <w:t>4.</w:t>
      </w:r>
      <w:r>
        <w:rPr>
          <w:rFonts w:asciiTheme="minorHAnsi" w:eastAsiaTheme="minorEastAsia" w:hAnsiTheme="minorHAnsi" w:cstheme="minorBidi"/>
          <w:noProof/>
          <w:color w:val="auto"/>
          <w:lang w:eastAsia="en-AU"/>
        </w:rPr>
        <w:tab/>
      </w:r>
      <w:r w:rsidRPr="00273050">
        <w:rPr>
          <w:noProof/>
          <w:color w:val="595959" w:themeColor="text1" w:themeTint="A6"/>
        </w:rPr>
        <w:t>Initial review process</w:t>
      </w:r>
      <w:r>
        <w:rPr>
          <w:noProof/>
        </w:rPr>
        <w:tab/>
      </w:r>
      <w:r>
        <w:rPr>
          <w:noProof/>
        </w:rPr>
        <w:fldChar w:fldCharType="begin"/>
      </w:r>
      <w:r>
        <w:rPr>
          <w:noProof/>
        </w:rPr>
        <w:instrText xml:space="preserve"> PAGEREF _Toc19703676 \h </w:instrText>
      </w:r>
      <w:r>
        <w:rPr>
          <w:noProof/>
        </w:rPr>
      </w:r>
      <w:r>
        <w:rPr>
          <w:noProof/>
        </w:rPr>
        <w:fldChar w:fldCharType="separate"/>
      </w:r>
      <w:r w:rsidR="00370F09">
        <w:rPr>
          <w:noProof/>
        </w:rPr>
        <w:t>5</w:t>
      </w:r>
      <w:r>
        <w:rPr>
          <w:noProof/>
        </w:rPr>
        <w:fldChar w:fldCharType="end"/>
      </w:r>
    </w:p>
    <w:p w14:paraId="6F1F25F2" w14:textId="0FF883FB" w:rsidR="00DE054A" w:rsidRDefault="00DE054A">
      <w:pPr>
        <w:pStyle w:val="TOC3"/>
        <w:tabs>
          <w:tab w:val="left" w:pos="908"/>
          <w:tab w:val="right" w:pos="9060"/>
        </w:tabs>
        <w:rPr>
          <w:rFonts w:asciiTheme="minorHAnsi" w:eastAsiaTheme="minorEastAsia" w:hAnsiTheme="minorHAnsi" w:cstheme="minorBidi"/>
          <w:noProof/>
          <w:color w:val="auto"/>
          <w:lang w:eastAsia="en-AU"/>
        </w:rPr>
      </w:pPr>
      <w:r w:rsidRPr="00273050">
        <w:rPr>
          <w:noProof/>
          <w:color w:val="595959" w:themeColor="text1" w:themeTint="A6"/>
        </w:rPr>
        <w:t>5.</w:t>
      </w:r>
      <w:r>
        <w:rPr>
          <w:rFonts w:asciiTheme="minorHAnsi" w:eastAsiaTheme="minorEastAsia" w:hAnsiTheme="minorHAnsi" w:cstheme="minorBidi"/>
          <w:noProof/>
          <w:color w:val="auto"/>
          <w:lang w:eastAsia="en-AU"/>
        </w:rPr>
        <w:tab/>
      </w:r>
      <w:r w:rsidRPr="00273050">
        <w:rPr>
          <w:noProof/>
          <w:color w:val="595959" w:themeColor="text1" w:themeTint="A6"/>
        </w:rPr>
        <w:t>Application to the Victorian Public Sector Commission</w:t>
      </w:r>
      <w:r>
        <w:rPr>
          <w:noProof/>
        </w:rPr>
        <w:tab/>
      </w:r>
      <w:r>
        <w:rPr>
          <w:noProof/>
        </w:rPr>
        <w:fldChar w:fldCharType="begin"/>
      </w:r>
      <w:r>
        <w:rPr>
          <w:noProof/>
        </w:rPr>
        <w:instrText xml:space="preserve"> PAGEREF _Toc19703677 \h </w:instrText>
      </w:r>
      <w:r>
        <w:rPr>
          <w:noProof/>
        </w:rPr>
      </w:r>
      <w:r>
        <w:rPr>
          <w:noProof/>
        </w:rPr>
        <w:fldChar w:fldCharType="separate"/>
      </w:r>
      <w:r w:rsidR="00370F09">
        <w:rPr>
          <w:noProof/>
        </w:rPr>
        <w:t>5</w:t>
      </w:r>
      <w:r>
        <w:rPr>
          <w:noProof/>
        </w:rPr>
        <w:fldChar w:fldCharType="end"/>
      </w:r>
    </w:p>
    <w:p w14:paraId="18FF9846" w14:textId="37B81DD1" w:rsidR="00DE054A" w:rsidRDefault="00DE054A">
      <w:pPr>
        <w:pStyle w:val="TOC3"/>
        <w:tabs>
          <w:tab w:val="left" w:pos="908"/>
          <w:tab w:val="right" w:pos="9060"/>
        </w:tabs>
        <w:rPr>
          <w:rFonts w:asciiTheme="minorHAnsi" w:eastAsiaTheme="minorEastAsia" w:hAnsiTheme="minorHAnsi" w:cstheme="minorBidi"/>
          <w:noProof/>
          <w:color w:val="auto"/>
          <w:lang w:eastAsia="en-AU"/>
        </w:rPr>
      </w:pPr>
      <w:r w:rsidRPr="00273050">
        <w:rPr>
          <w:noProof/>
          <w:color w:val="595959" w:themeColor="text1" w:themeTint="A6"/>
        </w:rPr>
        <w:t>6.</w:t>
      </w:r>
      <w:r>
        <w:rPr>
          <w:rFonts w:asciiTheme="minorHAnsi" w:eastAsiaTheme="minorEastAsia" w:hAnsiTheme="minorHAnsi" w:cstheme="minorBidi"/>
          <w:noProof/>
          <w:color w:val="auto"/>
          <w:lang w:eastAsia="en-AU"/>
        </w:rPr>
        <w:tab/>
      </w:r>
      <w:r w:rsidRPr="00273050">
        <w:rPr>
          <w:noProof/>
          <w:color w:val="595959" w:themeColor="text1" w:themeTint="A6"/>
        </w:rPr>
        <w:t>Application to the Fair Work Commission</w:t>
      </w:r>
      <w:r>
        <w:rPr>
          <w:noProof/>
        </w:rPr>
        <w:tab/>
      </w:r>
      <w:r>
        <w:rPr>
          <w:noProof/>
        </w:rPr>
        <w:fldChar w:fldCharType="begin"/>
      </w:r>
      <w:r>
        <w:rPr>
          <w:noProof/>
        </w:rPr>
        <w:instrText xml:space="preserve"> PAGEREF _Toc19703678 \h </w:instrText>
      </w:r>
      <w:r>
        <w:rPr>
          <w:noProof/>
        </w:rPr>
      </w:r>
      <w:r>
        <w:rPr>
          <w:noProof/>
        </w:rPr>
        <w:fldChar w:fldCharType="separate"/>
      </w:r>
      <w:r w:rsidR="00370F09">
        <w:rPr>
          <w:noProof/>
        </w:rPr>
        <w:t>5</w:t>
      </w:r>
      <w:r>
        <w:rPr>
          <w:noProof/>
        </w:rPr>
        <w:fldChar w:fldCharType="end"/>
      </w:r>
    </w:p>
    <w:p w14:paraId="20816383" w14:textId="5598B704" w:rsidR="00DE054A" w:rsidRDefault="00DE054A">
      <w:pPr>
        <w:pStyle w:val="TOC3"/>
        <w:tabs>
          <w:tab w:val="left" w:pos="908"/>
          <w:tab w:val="right" w:pos="9060"/>
        </w:tabs>
        <w:rPr>
          <w:rFonts w:asciiTheme="minorHAnsi" w:eastAsiaTheme="minorEastAsia" w:hAnsiTheme="minorHAnsi" w:cstheme="minorBidi"/>
          <w:noProof/>
          <w:color w:val="auto"/>
          <w:lang w:eastAsia="en-AU"/>
        </w:rPr>
      </w:pPr>
      <w:r w:rsidRPr="00273050">
        <w:rPr>
          <w:noProof/>
          <w:color w:val="595959" w:themeColor="text1" w:themeTint="A6"/>
        </w:rPr>
        <w:t>7.</w:t>
      </w:r>
      <w:r>
        <w:rPr>
          <w:rFonts w:asciiTheme="minorHAnsi" w:eastAsiaTheme="minorEastAsia" w:hAnsiTheme="minorHAnsi" w:cstheme="minorBidi"/>
          <w:noProof/>
          <w:color w:val="auto"/>
          <w:lang w:eastAsia="en-AU"/>
        </w:rPr>
        <w:tab/>
      </w:r>
      <w:r w:rsidRPr="00273050">
        <w:rPr>
          <w:noProof/>
          <w:color w:val="595959" w:themeColor="text1" w:themeTint="A6"/>
        </w:rPr>
        <w:t>Interaction of clause 12 of the Agreement (resolution of disputes) with the initial review process</w:t>
      </w:r>
      <w:r>
        <w:rPr>
          <w:noProof/>
        </w:rPr>
        <w:tab/>
      </w:r>
      <w:r>
        <w:rPr>
          <w:noProof/>
        </w:rPr>
        <w:fldChar w:fldCharType="begin"/>
      </w:r>
      <w:r>
        <w:rPr>
          <w:noProof/>
        </w:rPr>
        <w:instrText xml:space="preserve"> PAGEREF _Toc19703679 \h </w:instrText>
      </w:r>
      <w:r>
        <w:rPr>
          <w:noProof/>
        </w:rPr>
      </w:r>
      <w:r>
        <w:rPr>
          <w:noProof/>
        </w:rPr>
        <w:fldChar w:fldCharType="separate"/>
      </w:r>
      <w:r w:rsidR="00370F09">
        <w:rPr>
          <w:noProof/>
        </w:rPr>
        <w:t>6</w:t>
      </w:r>
      <w:r>
        <w:rPr>
          <w:noProof/>
        </w:rPr>
        <w:fldChar w:fldCharType="end"/>
      </w:r>
    </w:p>
    <w:p w14:paraId="1ED36744" w14:textId="6D0F2DE5" w:rsidR="00DE054A" w:rsidRDefault="00DE054A">
      <w:pPr>
        <w:pStyle w:val="TOC2"/>
        <w:tabs>
          <w:tab w:val="right" w:pos="9060"/>
        </w:tabs>
        <w:rPr>
          <w:rFonts w:asciiTheme="minorHAnsi" w:eastAsiaTheme="minorEastAsia" w:hAnsiTheme="minorHAnsi" w:cstheme="minorBidi"/>
          <w:noProof/>
          <w:color w:val="auto"/>
          <w:lang w:eastAsia="en-AU"/>
        </w:rPr>
      </w:pPr>
      <w:r>
        <w:rPr>
          <w:noProof/>
        </w:rPr>
        <w:lastRenderedPageBreak/>
        <w:t>Making decisions under this policy</w:t>
      </w:r>
      <w:r>
        <w:rPr>
          <w:noProof/>
        </w:rPr>
        <w:tab/>
      </w:r>
      <w:r>
        <w:rPr>
          <w:noProof/>
        </w:rPr>
        <w:fldChar w:fldCharType="begin"/>
      </w:r>
      <w:r>
        <w:rPr>
          <w:noProof/>
        </w:rPr>
        <w:instrText xml:space="preserve"> PAGEREF _Toc19703680 \h </w:instrText>
      </w:r>
      <w:r>
        <w:rPr>
          <w:noProof/>
        </w:rPr>
      </w:r>
      <w:r>
        <w:rPr>
          <w:noProof/>
        </w:rPr>
        <w:fldChar w:fldCharType="separate"/>
      </w:r>
      <w:r w:rsidR="00370F09">
        <w:rPr>
          <w:noProof/>
        </w:rPr>
        <w:t>6</w:t>
      </w:r>
      <w:r>
        <w:rPr>
          <w:noProof/>
        </w:rPr>
        <w:fldChar w:fldCharType="end"/>
      </w:r>
    </w:p>
    <w:p w14:paraId="2F2D6AE7" w14:textId="68B23F3B" w:rsidR="00DE054A" w:rsidRDefault="00DE054A">
      <w:pPr>
        <w:pStyle w:val="TOC1"/>
        <w:tabs>
          <w:tab w:val="right" w:pos="9060"/>
        </w:tabs>
        <w:rPr>
          <w:rFonts w:asciiTheme="minorHAnsi" w:eastAsiaTheme="minorEastAsia" w:hAnsiTheme="minorHAnsi" w:cstheme="minorBidi"/>
          <w:noProof/>
          <w:color w:val="auto"/>
          <w:lang w:eastAsia="en-AU"/>
        </w:rPr>
      </w:pPr>
      <w:r>
        <w:rPr>
          <w:noProof/>
        </w:rPr>
        <w:t>Further Information</w:t>
      </w:r>
      <w:r>
        <w:rPr>
          <w:noProof/>
        </w:rPr>
        <w:tab/>
      </w:r>
      <w:r>
        <w:rPr>
          <w:noProof/>
        </w:rPr>
        <w:fldChar w:fldCharType="begin"/>
      </w:r>
      <w:r>
        <w:rPr>
          <w:noProof/>
        </w:rPr>
        <w:instrText xml:space="preserve"> PAGEREF _Toc19703681 \h </w:instrText>
      </w:r>
      <w:r>
        <w:rPr>
          <w:noProof/>
        </w:rPr>
      </w:r>
      <w:r>
        <w:rPr>
          <w:noProof/>
        </w:rPr>
        <w:fldChar w:fldCharType="separate"/>
      </w:r>
      <w:r w:rsidR="00370F09">
        <w:rPr>
          <w:noProof/>
        </w:rPr>
        <w:t>6</w:t>
      </w:r>
      <w:r>
        <w:rPr>
          <w:noProof/>
        </w:rPr>
        <w:fldChar w:fldCharType="end"/>
      </w:r>
    </w:p>
    <w:p w14:paraId="7C6AF987" w14:textId="7A72738B" w:rsidR="00DE054A" w:rsidRDefault="00DE054A">
      <w:pPr>
        <w:pStyle w:val="TOC1"/>
        <w:tabs>
          <w:tab w:val="right" w:pos="9060"/>
        </w:tabs>
        <w:rPr>
          <w:rFonts w:asciiTheme="minorHAnsi" w:eastAsiaTheme="minorEastAsia" w:hAnsiTheme="minorHAnsi" w:cstheme="minorBidi"/>
          <w:noProof/>
          <w:color w:val="auto"/>
          <w:lang w:eastAsia="en-AU"/>
        </w:rPr>
      </w:pPr>
      <w:r>
        <w:rPr>
          <w:noProof/>
        </w:rPr>
        <w:t>Related policies or documents</w:t>
      </w:r>
      <w:r>
        <w:rPr>
          <w:noProof/>
        </w:rPr>
        <w:tab/>
      </w:r>
      <w:r>
        <w:rPr>
          <w:noProof/>
        </w:rPr>
        <w:fldChar w:fldCharType="begin"/>
      </w:r>
      <w:r>
        <w:rPr>
          <w:noProof/>
        </w:rPr>
        <w:instrText xml:space="preserve"> PAGEREF _Toc19703682 \h </w:instrText>
      </w:r>
      <w:r>
        <w:rPr>
          <w:noProof/>
        </w:rPr>
      </w:r>
      <w:r>
        <w:rPr>
          <w:noProof/>
        </w:rPr>
        <w:fldChar w:fldCharType="separate"/>
      </w:r>
      <w:r w:rsidR="00370F09">
        <w:rPr>
          <w:noProof/>
        </w:rPr>
        <w:t>6</w:t>
      </w:r>
      <w:r>
        <w:rPr>
          <w:noProof/>
        </w:rPr>
        <w:fldChar w:fldCharType="end"/>
      </w:r>
    </w:p>
    <w:p w14:paraId="3EBD7D8D" w14:textId="6FCA6C89" w:rsidR="007468F6" w:rsidRDefault="00DE054A" w:rsidP="00264F87">
      <w:pPr>
        <w:pStyle w:val="TCPBodyNormal"/>
      </w:pPr>
      <w:r>
        <w:rPr>
          <w:rFonts w:ascii="VIC" w:eastAsia="Calibri" w:hAnsi="VIC" w:cs="Times New Roman"/>
          <w:color w:val="53565A"/>
          <w:sz w:val="28"/>
          <w:szCs w:val="28"/>
        </w:rPr>
        <w:fldChar w:fldCharType="end"/>
      </w:r>
    </w:p>
    <w:p w14:paraId="06867320" w14:textId="61E34D07"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1" w:name="_Toc524971131"/>
      <w:bookmarkStart w:id="2" w:name="_Toc19703665"/>
      <w:r>
        <w:lastRenderedPageBreak/>
        <w:t>Authority and Application</w:t>
      </w:r>
      <w:bookmarkEnd w:id="1"/>
      <w:bookmarkEnd w:id="2"/>
    </w:p>
    <w:p w14:paraId="509C6E16" w14:textId="31ABEC53" w:rsidR="00E655EE" w:rsidRPr="00E60746" w:rsidRDefault="006869AF" w:rsidP="006869AF">
      <w:pPr>
        <w:pStyle w:val="bodycopy"/>
      </w:pPr>
      <w:bookmarkStart w:id="3" w:name="_Toc524971132"/>
      <w:r>
        <w:t xml:space="preserve">This policy applies to Victorian Public Service Departments and Administrative Offices (Employers) and their Employees covered by the </w:t>
      </w:r>
      <w:r w:rsidRPr="007D63D9">
        <w:rPr>
          <w:i/>
        </w:rPr>
        <w:t>Victorian Public Service Enterprise Agreement 2016</w:t>
      </w:r>
      <w:r>
        <w:t xml:space="preserve"> (Agreement), </w:t>
      </w:r>
      <w:r w:rsidRPr="00A402B2">
        <w:rPr>
          <w:i/>
        </w:rPr>
        <w:t>Public Administration Act 2004</w:t>
      </w:r>
      <w:r>
        <w:t xml:space="preserve"> and </w:t>
      </w:r>
      <w:r w:rsidRPr="00A402B2">
        <w:rPr>
          <w:i/>
        </w:rPr>
        <w:t>Public Administration (Review of Actions) Regulations 2015</w:t>
      </w:r>
      <w:r>
        <w:t>. The policy does not apply to Courts Services Victoria</w:t>
      </w:r>
      <w:r w:rsidR="00E60746">
        <w:t>.</w:t>
      </w:r>
      <w:r w:rsidR="00E655EE" w:rsidRPr="00E60746">
        <w:t xml:space="preserve"> </w:t>
      </w:r>
    </w:p>
    <w:p w14:paraId="4514A8D2" w14:textId="5A55D494" w:rsidR="007468F6" w:rsidRDefault="007468F6" w:rsidP="00BB3781">
      <w:pPr>
        <w:pStyle w:val="TCPHeading1"/>
        <w:keepNext/>
      </w:pPr>
      <w:bookmarkStart w:id="4" w:name="_Toc19703666"/>
      <w:r>
        <w:t>Overview</w:t>
      </w:r>
      <w:bookmarkEnd w:id="3"/>
      <w:bookmarkEnd w:id="4"/>
    </w:p>
    <w:p w14:paraId="53D7C1FD" w14:textId="709D4CB1" w:rsidR="00E655EE" w:rsidRDefault="006869AF" w:rsidP="009D7C29">
      <w:pPr>
        <w:pStyle w:val="bodycopy"/>
        <w:rPr>
          <w:b/>
        </w:rPr>
      </w:pPr>
      <w:bookmarkStart w:id="5" w:name="_Toc524971133"/>
      <w:bookmarkStart w:id="6" w:name="_Toc17284147"/>
      <w:r w:rsidRPr="006869AF">
        <w:t>This policy outlines how Employees may apply to their Employer for an initial review of an employment related action that directly concerns them and that they consider is unfair or inconsistent with the Public Administration Act 2004 or the employment standards</w:t>
      </w:r>
      <w:r w:rsidR="00E655EE" w:rsidRPr="00E655EE">
        <w:t>.</w:t>
      </w:r>
    </w:p>
    <w:p w14:paraId="66734D42" w14:textId="6DBAA267" w:rsidR="007468F6" w:rsidRDefault="007468F6" w:rsidP="007468F6">
      <w:pPr>
        <w:pStyle w:val="TCPHeading1"/>
      </w:pPr>
      <w:bookmarkStart w:id="7" w:name="_Toc19703667"/>
      <w:r>
        <w:t>Relevant provisions</w:t>
      </w:r>
      <w:bookmarkEnd w:id="7"/>
      <w:r>
        <w:t xml:space="preserve"> </w:t>
      </w:r>
      <w:bookmarkEnd w:id="5"/>
      <w:bookmarkEnd w:id="6"/>
    </w:p>
    <w:p w14:paraId="0DE2B1C1" w14:textId="4C19F8C6" w:rsidR="006869AF" w:rsidRPr="006869AF" w:rsidRDefault="006869AF" w:rsidP="00370F09">
      <w:pPr>
        <w:pStyle w:val="TCPNumbering20"/>
        <w:numPr>
          <w:ilvl w:val="0"/>
          <w:numId w:val="37"/>
        </w:numPr>
        <w:ind w:left="1276" w:hanging="709"/>
      </w:pPr>
      <w:bookmarkStart w:id="8" w:name="_Toc19703668"/>
      <w:bookmarkStart w:id="9" w:name="_Toc17284150"/>
      <w:bookmarkStart w:id="10" w:name="_Toc524971138"/>
      <w:r w:rsidRPr="006869AF">
        <w:t>Clause 12 of the Victorian Public Service Enterprise Agreement 2016;</w:t>
      </w:r>
      <w:bookmarkEnd w:id="8"/>
    </w:p>
    <w:p w14:paraId="4CC9E8EB" w14:textId="5E5709A5" w:rsidR="006869AF" w:rsidRPr="006869AF" w:rsidRDefault="006869AF" w:rsidP="00370F09">
      <w:pPr>
        <w:pStyle w:val="TCPNumbering20"/>
        <w:numPr>
          <w:ilvl w:val="0"/>
          <w:numId w:val="37"/>
        </w:numPr>
        <w:ind w:left="1276" w:hanging="709"/>
      </w:pPr>
      <w:bookmarkStart w:id="11" w:name="_Toc19703669"/>
      <w:r w:rsidRPr="006869AF">
        <w:t>Sections 62, 64 and 65 of the Public Administration Act 2004 (Vic) (PA Act);</w:t>
      </w:r>
      <w:bookmarkEnd w:id="11"/>
    </w:p>
    <w:p w14:paraId="78F954DC" w14:textId="3FD60938" w:rsidR="006869AF" w:rsidRPr="006869AF" w:rsidRDefault="006869AF" w:rsidP="00370F09">
      <w:pPr>
        <w:pStyle w:val="TCPNumbering20"/>
        <w:numPr>
          <w:ilvl w:val="0"/>
          <w:numId w:val="37"/>
        </w:numPr>
        <w:ind w:left="1276" w:hanging="709"/>
      </w:pPr>
      <w:bookmarkStart w:id="12" w:name="_Toc19703670"/>
      <w:r w:rsidRPr="006869AF">
        <w:t>Public Administration (Review of Actions) Regulations 2015 (regulations); and</w:t>
      </w:r>
      <w:bookmarkEnd w:id="12"/>
    </w:p>
    <w:p w14:paraId="18F6646B" w14:textId="72EDFC8A" w:rsidR="00E60746" w:rsidRPr="00A1461C" w:rsidRDefault="006869AF" w:rsidP="00370F09">
      <w:pPr>
        <w:pStyle w:val="TCPNumbering20"/>
        <w:numPr>
          <w:ilvl w:val="0"/>
          <w:numId w:val="37"/>
        </w:numPr>
        <w:ind w:left="1276" w:hanging="709"/>
      </w:pPr>
      <w:bookmarkStart w:id="13" w:name="_Toc19703671"/>
      <w:r w:rsidRPr="006869AF">
        <w:t>Standards for Application of the Victorian Public Sector Principles</w:t>
      </w:r>
      <w:bookmarkEnd w:id="13"/>
    </w:p>
    <w:p w14:paraId="3DA4FE2E" w14:textId="10AD48AA" w:rsidR="00E700C4" w:rsidRDefault="00F5293E" w:rsidP="00C4514A">
      <w:pPr>
        <w:pStyle w:val="TCPHeading1"/>
      </w:pPr>
      <w:bookmarkStart w:id="14" w:name="_Toc19703672"/>
      <w:bookmarkEnd w:id="9"/>
      <w:r>
        <w:t>Guidance</w:t>
      </w:r>
      <w:bookmarkEnd w:id="14"/>
    </w:p>
    <w:p w14:paraId="3E9B4401" w14:textId="77777777" w:rsidR="00F5293E" w:rsidRPr="00C4514A" w:rsidRDefault="00F5293E" w:rsidP="00370F09">
      <w:pPr>
        <w:pStyle w:val="heading2black"/>
        <w:ind w:left="426" w:hanging="426"/>
        <w:rPr>
          <w:rFonts w:ascii="VIC SemiBold" w:hAnsi="VIC SemiBold"/>
          <w:b w:val="0"/>
          <w:color w:val="595959" w:themeColor="text1" w:themeTint="A6"/>
        </w:rPr>
      </w:pPr>
      <w:bookmarkStart w:id="15" w:name="_Toc527621239"/>
      <w:bookmarkStart w:id="16" w:name="_Toc19703673"/>
      <w:bookmarkStart w:id="17" w:name="_Toc17284151"/>
      <w:r w:rsidRPr="00C4514A">
        <w:rPr>
          <w:rFonts w:ascii="VIC SemiBold" w:hAnsi="VIC SemiBold"/>
          <w:b w:val="0"/>
          <w:color w:val="595959" w:themeColor="text1" w:themeTint="A6"/>
        </w:rPr>
        <w:t>Definitions</w:t>
      </w:r>
      <w:bookmarkEnd w:id="15"/>
      <w:bookmarkEnd w:id="16"/>
    </w:p>
    <w:p w14:paraId="658CB7A6" w14:textId="77777777" w:rsidR="00F5293E" w:rsidRPr="00F5293E" w:rsidRDefault="00F5293E" w:rsidP="00370F09">
      <w:pPr>
        <w:pStyle w:val="bodycopy"/>
        <w:numPr>
          <w:ilvl w:val="1"/>
          <w:numId w:val="35"/>
        </w:numPr>
        <w:ind w:left="426"/>
      </w:pPr>
      <w:r w:rsidRPr="00F5293E">
        <w:rPr>
          <w:b/>
        </w:rPr>
        <w:t>Decision Maker</w:t>
      </w:r>
      <w:r w:rsidRPr="00F5293E">
        <w:t xml:space="preserve"> – The Decision Maker is the person with delegated authority to consider the recommendations of the Reviewer following an initial review and to determine which will be implemented.</w:t>
      </w:r>
    </w:p>
    <w:p w14:paraId="626E3A9D" w14:textId="77777777" w:rsidR="00F5293E" w:rsidRPr="00F5293E" w:rsidRDefault="00F5293E" w:rsidP="00370F09">
      <w:pPr>
        <w:pStyle w:val="bodycopy"/>
        <w:numPr>
          <w:ilvl w:val="1"/>
          <w:numId w:val="35"/>
        </w:numPr>
        <w:ind w:left="426"/>
      </w:pPr>
      <w:r w:rsidRPr="00F5293E">
        <w:rPr>
          <w:b/>
        </w:rPr>
        <w:t>Employment related action</w:t>
      </w:r>
      <w:r w:rsidRPr="00F5293E">
        <w:t xml:space="preserve"> – Actions or inactions concerning matters such as appointments or promotions, roster changes, leave applications, progression pay and performance management outcomes, salary and allowance entitlements, job classifications, training and development, higher duties and disciplinary decisions, excluding termination of employment.</w:t>
      </w:r>
    </w:p>
    <w:p w14:paraId="39CB74AC" w14:textId="77777777" w:rsidR="00F5293E" w:rsidRPr="00F5293E" w:rsidRDefault="00F5293E" w:rsidP="00370F09">
      <w:pPr>
        <w:pStyle w:val="bodycopy"/>
        <w:numPr>
          <w:ilvl w:val="1"/>
          <w:numId w:val="35"/>
        </w:numPr>
        <w:ind w:left="426"/>
      </w:pPr>
      <w:r w:rsidRPr="00F5293E">
        <w:rPr>
          <w:b/>
        </w:rPr>
        <w:t>Reviewer</w:t>
      </w:r>
      <w:r w:rsidRPr="00F5293E">
        <w:t xml:space="preserve"> - The Reviewer must be skilled in conducting reviews and independent of the matter being considered. The Reviewer may be an Employee, an independent contractor or a body comprising Employees and/or independent contractors.</w:t>
      </w:r>
    </w:p>
    <w:p w14:paraId="4D47C9F1" w14:textId="77777777" w:rsidR="00F5293E" w:rsidRPr="00F5293E" w:rsidRDefault="00F5293E" w:rsidP="00370F09">
      <w:pPr>
        <w:pStyle w:val="bodycopy"/>
        <w:numPr>
          <w:ilvl w:val="1"/>
          <w:numId w:val="35"/>
        </w:numPr>
        <w:ind w:left="426"/>
      </w:pPr>
      <w:r w:rsidRPr="00F5293E">
        <w:rPr>
          <w:b/>
        </w:rPr>
        <w:t>Representative</w:t>
      </w:r>
      <w:r w:rsidRPr="00F5293E">
        <w:t xml:space="preserve"> – A Representative (including a union representative) may speak on the Employee’s behalf at meetings and make submissions. The parties are generally not represented by a legal practitioner unless the Reviewer considers that they would otherwise be at a significant disadvantage.</w:t>
      </w:r>
    </w:p>
    <w:p w14:paraId="561B0C20" w14:textId="77777777" w:rsidR="00F5293E" w:rsidRPr="00F5293E" w:rsidRDefault="00F5293E" w:rsidP="00370F09">
      <w:pPr>
        <w:pStyle w:val="bodycopy"/>
        <w:numPr>
          <w:ilvl w:val="1"/>
          <w:numId w:val="35"/>
        </w:numPr>
        <w:ind w:left="426"/>
      </w:pPr>
      <w:r w:rsidRPr="00F5293E">
        <w:rPr>
          <w:b/>
        </w:rPr>
        <w:t>Registrar</w:t>
      </w:r>
      <w:r w:rsidRPr="00F5293E">
        <w:t xml:space="preserve"> – The Registrar is the person with delegated authority to accept or decline an Employee’s application for an initial review, and if accepted, to refer the application to a Reviewer and explain the process to all parties.</w:t>
      </w:r>
    </w:p>
    <w:p w14:paraId="66ACFED7" w14:textId="77777777" w:rsidR="00F5293E" w:rsidRPr="00F5293E" w:rsidRDefault="00F5293E" w:rsidP="00370F09">
      <w:pPr>
        <w:pStyle w:val="bodycopy"/>
        <w:numPr>
          <w:ilvl w:val="1"/>
          <w:numId w:val="35"/>
        </w:numPr>
        <w:ind w:left="426"/>
      </w:pPr>
      <w:r w:rsidRPr="00F5293E">
        <w:rPr>
          <w:b/>
        </w:rPr>
        <w:lastRenderedPageBreak/>
        <w:t>Support Person</w:t>
      </w:r>
      <w:r w:rsidRPr="00F5293E">
        <w:t xml:space="preserve"> - A Support Person may be a friend, colleague, relative or union representative who may attend meetings to provide moral support.</w:t>
      </w:r>
    </w:p>
    <w:p w14:paraId="15B9686E" w14:textId="77777777" w:rsidR="00F5293E" w:rsidRPr="00C4514A" w:rsidRDefault="00F5293E" w:rsidP="00370F09">
      <w:pPr>
        <w:pStyle w:val="heading2black"/>
        <w:ind w:left="426" w:hanging="426"/>
        <w:rPr>
          <w:rFonts w:ascii="VIC SemiBold" w:hAnsi="VIC SemiBold"/>
          <w:b w:val="0"/>
          <w:color w:val="595959" w:themeColor="text1" w:themeTint="A6"/>
        </w:rPr>
      </w:pPr>
      <w:bookmarkStart w:id="18" w:name="_Toc527621240"/>
      <w:bookmarkStart w:id="19" w:name="_Toc19703674"/>
      <w:r w:rsidRPr="00C4514A">
        <w:rPr>
          <w:rFonts w:ascii="VIC SemiBold" w:hAnsi="VIC SemiBold"/>
          <w:b w:val="0"/>
          <w:color w:val="595959" w:themeColor="text1" w:themeTint="A6"/>
        </w:rPr>
        <w:t>Principles</w:t>
      </w:r>
      <w:bookmarkEnd w:id="18"/>
      <w:bookmarkEnd w:id="19"/>
    </w:p>
    <w:p w14:paraId="04E81423" w14:textId="77777777" w:rsidR="00F5293E" w:rsidRPr="00F5293E" w:rsidRDefault="00F5293E" w:rsidP="00370F09">
      <w:pPr>
        <w:pStyle w:val="bodycopy"/>
        <w:numPr>
          <w:ilvl w:val="1"/>
          <w:numId w:val="35"/>
        </w:numPr>
        <w:ind w:left="426"/>
      </w:pPr>
      <w:r w:rsidRPr="00F5293E">
        <w:t>The following principles apply to an initial review:</w:t>
      </w:r>
    </w:p>
    <w:p w14:paraId="565943D4" w14:textId="77777777" w:rsidR="00F5293E" w:rsidRPr="00F5293E" w:rsidRDefault="00F5293E" w:rsidP="00370F09">
      <w:pPr>
        <w:pStyle w:val="bodycopy"/>
        <w:numPr>
          <w:ilvl w:val="2"/>
          <w:numId w:val="35"/>
        </w:numPr>
        <w:ind w:left="993" w:hanging="567"/>
      </w:pPr>
      <w:r w:rsidRPr="00F5293E">
        <w:t>The process is communicated to all Employees including the steps involved and their rights and responsibilities. Appropriate accountability is assigned.</w:t>
      </w:r>
    </w:p>
    <w:p w14:paraId="398BEFF0" w14:textId="77777777" w:rsidR="00F5293E" w:rsidRPr="00F5293E" w:rsidRDefault="00F5293E" w:rsidP="00370F09">
      <w:pPr>
        <w:pStyle w:val="bodycopy"/>
        <w:numPr>
          <w:ilvl w:val="2"/>
          <w:numId w:val="35"/>
        </w:numPr>
        <w:ind w:left="993" w:hanging="567"/>
      </w:pPr>
      <w:r w:rsidRPr="00F5293E">
        <w:t>The process must adhere to the rules of natural justice. This means that the parties must have a reasonable opportunity to present their cases and to answer any allegations against them (fair hearing rule). The matter must be decided impartially (bias rule).</w:t>
      </w:r>
    </w:p>
    <w:p w14:paraId="48808E72" w14:textId="77777777" w:rsidR="00F5293E" w:rsidRPr="00F5293E" w:rsidRDefault="00F5293E" w:rsidP="00370F09">
      <w:pPr>
        <w:pStyle w:val="bodycopy"/>
        <w:numPr>
          <w:ilvl w:val="2"/>
          <w:numId w:val="35"/>
        </w:numPr>
        <w:ind w:left="993" w:hanging="567"/>
      </w:pPr>
      <w:r w:rsidRPr="00F5293E">
        <w:t>The parties must genuinely attempt to resolve the workplace concern and act in good faith including maintaining confidentiality.</w:t>
      </w:r>
    </w:p>
    <w:p w14:paraId="06E59777" w14:textId="77777777" w:rsidR="00F5293E" w:rsidRPr="00F5293E" w:rsidRDefault="00F5293E" w:rsidP="00370F09">
      <w:pPr>
        <w:pStyle w:val="bodycopy"/>
        <w:numPr>
          <w:ilvl w:val="2"/>
          <w:numId w:val="35"/>
        </w:numPr>
        <w:ind w:left="993" w:hanging="567"/>
      </w:pPr>
      <w:r w:rsidRPr="00F5293E">
        <w:t>Reviews must be conducted as quickly as possible and with as little formality as a proper consideration of the matter allows. A review commences from the time the Registrar accepts the Employee’s application.</w:t>
      </w:r>
    </w:p>
    <w:p w14:paraId="30F060DC" w14:textId="77777777" w:rsidR="00F5293E" w:rsidRPr="00F5293E" w:rsidRDefault="00F5293E" w:rsidP="00370F09">
      <w:pPr>
        <w:pStyle w:val="bodycopy"/>
        <w:numPr>
          <w:ilvl w:val="2"/>
          <w:numId w:val="35"/>
        </w:numPr>
        <w:ind w:left="993" w:hanging="567"/>
      </w:pPr>
      <w:r w:rsidRPr="00F5293E">
        <w:t>The process must encourage the parties to resolve workplace concerns locally and informally before applying more formal local or external processes. The parties may therefore be invited to participate in mediation for example.</w:t>
      </w:r>
    </w:p>
    <w:p w14:paraId="10C0AD58" w14:textId="77777777" w:rsidR="00F5293E" w:rsidRPr="00F5293E" w:rsidRDefault="00F5293E" w:rsidP="00370F09">
      <w:pPr>
        <w:pStyle w:val="bodycopy"/>
        <w:numPr>
          <w:ilvl w:val="2"/>
          <w:numId w:val="35"/>
        </w:numPr>
        <w:ind w:left="993" w:hanging="567"/>
      </w:pPr>
      <w:r w:rsidRPr="00F5293E">
        <w:t>The Employee must first raise their workplace concerns with their immediate manager or, if this is not appropriate, with another nominated manager or the Registrar.</w:t>
      </w:r>
    </w:p>
    <w:p w14:paraId="4AC6BF24" w14:textId="77777777" w:rsidR="00F5293E" w:rsidRPr="00F5293E" w:rsidRDefault="00F5293E" w:rsidP="00370F09">
      <w:pPr>
        <w:pStyle w:val="bodycopy"/>
        <w:numPr>
          <w:ilvl w:val="2"/>
          <w:numId w:val="35"/>
        </w:numPr>
        <w:ind w:left="993" w:hanging="567"/>
      </w:pPr>
      <w:r w:rsidRPr="00F5293E">
        <w:t>The Registrar may accept a late application if justified by the circumstances. These include the seriousness of the matter, unavoidable delays in decision-making processes or the unavailability of any of the parties.</w:t>
      </w:r>
    </w:p>
    <w:p w14:paraId="459FAE6E" w14:textId="77777777" w:rsidR="00F5293E" w:rsidRPr="00F5293E" w:rsidRDefault="00F5293E" w:rsidP="00370F09">
      <w:pPr>
        <w:pStyle w:val="bodycopy"/>
        <w:numPr>
          <w:ilvl w:val="2"/>
          <w:numId w:val="35"/>
        </w:numPr>
        <w:ind w:left="993" w:hanging="567"/>
      </w:pPr>
      <w:r w:rsidRPr="00F5293E">
        <w:t>Reviews are based on a consideration of all available relevant facts and evidence.</w:t>
      </w:r>
    </w:p>
    <w:p w14:paraId="19F39073" w14:textId="77777777" w:rsidR="00F5293E" w:rsidRPr="00F5293E" w:rsidRDefault="00F5293E" w:rsidP="00370F09">
      <w:pPr>
        <w:pStyle w:val="bodycopy"/>
        <w:numPr>
          <w:ilvl w:val="2"/>
          <w:numId w:val="35"/>
        </w:numPr>
        <w:ind w:left="993" w:hanging="567"/>
      </w:pPr>
      <w:r w:rsidRPr="00F5293E">
        <w:t xml:space="preserve">The review report is provided to both parties in full unless there are valid confidentiality reasons for not doing so. In such cases, the fair hearing rule requires that the essence of the information be provided in a summary report to the parties. </w:t>
      </w:r>
    </w:p>
    <w:p w14:paraId="2FF94121" w14:textId="77777777" w:rsidR="00F5293E" w:rsidRPr="00C4514A" w:rsidRDefault="00F5293E" w:rsidP="00370F09">
      <w:pPr>
        <w:pStyle w:val="heading2black"/>
        <w:ind w:left="426" w:hanging="426"/>
        <w:rPr>
          <w:rFonts w:ascii="VIC SemiBold" w:hAnsi="VIC SemiBold"/>
          <w:b w:val="0"/>
          <w:color w:val="595959" w:themeColor="text1" w:themeTint="A6"/>
        </w:rPr>
      </w:pPr>
      <w:bookmarkStart w:id="20" w:name="_Toc527621241"/>
      <w:bookmarkStart w:id="21" w:name="_Toc19703675"/>
      <w:r w:rsidRPr="00C4514A">
        <w:rPr>
          <w:rFonts w:ascii="VIC SemiBold" w:hAnsi="VIC SemiBold"/>
          <w:b w:val="0"/>
          <w:color w:val="595959" w:themeColor="text1" w:themeTint="A6"/>
        </w:rPr>
        <w:t>Application for an Initial review</w:t>
      </w:r>
      <w:bookmarkEnd w:id="20"/>
      <w:bookmarkEnd w:id="21"/>
    </w:p>
    <w:p w14:paraId="08444F0E" w14:textId="77777777" w:rsidR="00F5293E" w:rsidRPr="00F5293E" w:rsidRDefault="00F5293E" w:rsidP="00370F09">
      <w:pPr>
        <w:pStyle w:val="bodycopy"/>
        <w:numPr>
          <w:ilvl w:val="1"/>
          <w:numId w:val="35"/>
        </w:numPr>
        <w:ind w:left="426"/>
      </w:pPr>
      <w:r w:rsidRPr="00F5293E">
        <w:t>Before making an application for an initial review to the Registrar, the Employee should make every reasonable attempt to resolve their concerns with the person involved in the employment related action. For example, an Employee who believes that a selection process was flawed may first discuss their concerns with the selection panel.</w:t>
      </w:r>
    </w:p>
    <w:p w14:paraId="3F998B2D" w14:textId="77777777" w:rsidR="00F5293E" w:rsidRPr="00F5293E" w:rsidRDefault="00F5293E" w:rsidP="00370F09">
      <w:pPr>
        <w:pStyle w:val="bodycopy"/>
        <w:numPr>
          <w:ilvl w:val="1"/>
          <w:numId w:val="35"/>
        </w:numPr>
        <w:ind w:left="426"/>
      </w:pPr>
      <w:r w:rsidRPr="00F5293E">
        <w:t>The Employee may apply for an initial review within seven days of being notified or becoming aware of a proposed appointment or promotion where the selection process had a significant deficiency. For all other matters the time frame is 28 calendar days.</w:t>
      </w:r>
    </w:p>
    <w:p w14:paraId="007D14F1" w14:textId="77777777" w:rsidR="00F5293E" w:rsidRPr="00F5293E" w:rsidRDefault="00F5293E" w:rsidP="00370F09">
      <w:pPr>
        <w:pStyle w:val="bodycopy"/>
        <w:numPr>
          <w:ilvl w:val="1"/>
          <w:numId w:val="35"/>
        </w:numPr>
        <w:ind w:left="426"/>
      </w:pPr>
      <w:r w:rsidRPr="00F5293E">
        <w:t>If the employment related action concerns a misconduct (clause 21.14 of the Agreement) or unsatisfactory work performance process (clause 20.13 of the Agreement), the Employee must wait until the outcome is finalised before applying for an initial review.</w:t>
      </w:r>
    </w:p>
    <w:p w14:paraId="599921FD" w14:textId="264FE05B" w:rsidR="00370F09" w:rsidRDefault="00F5293E" w:rsidP="00370F09">
      <w:pPr>
        <w:pStyle w:val="bodycopy"/>
        <w:numPr>
          <w:ilvl w:val="1"/>
          <w:numId w:val="35"/>
        </w:numPr>
        <w:ind w:left="426"/>
      </w:pPr>
      <w:r w:rsidRPr="00F5293E">
        <w:t xml:space="preserve">The Employee must make their application in writing to the Registrar, specifying the employment related action they are concerned about, when it occurred, the name of the person who took the action, and the remedy they are seeking. </w:t>
      </w:r>
    </w:p>
    <w:p w14:paraId="3EF05DEB" w14:textId="0D78AA4F" w:rsidR="00F5293E" w:rsidRPr="00370F09" w:rsidRDefault="00370F09" w:rsidP="00370F09">
      <w:pPr>
        <w:spacing w:after="0" w:line="240" w:lineRule="auto"/>
        <w:rPr>
          <w:rFonts w:ascii="VIC" w:eastAsia="Times New Roman" w:hAnsi="VIC" w:cs="Arial"/>
          <w:color w:val="53565A"/>
          <w:sz w:val="20"/>
          <w:szCs w:val="20"/>
          <w:lang w:eastAsia="en-AU"/>
        </w:rPr>
      </w:pPr>
      <w:r>
        <w:br w:type="page"/>
      </w:r>
    </w:p>
    <w:p w14:paraId="62B9C8D7" w14:textId="77777777" w:rsidR="00F5293E" w:rsidRPr="00F5293E" w:rsidRDefault="00F5293E" w:rsidP="00370F09">
      <w:pPr>
        <w:pStyle w:val="bodycopy"/>
        <w:numPr>
          <w:ilvl w:val="1"/>
          <w:numId w:val="35"/>
        </w:numPr>
        <w:ind w:left="426"/>
      </w:pPr>
      <w:r w:rsidRPr="00F5293E">
        <w:lastRenderedPageBreak/>
        <w:t>The Registrar may decline an application for an initial review on the basis that:</w:t>
      </w:r>
    </w:p>
    <w:p w14:paraId="0C5AD4EC" w14:textId="77777777" w:rsidR="00F5293E" w:rsidRPr="00F5293E" w:rsidRDefault="00F5293E" w:rsidP="00370F09">
      <w:pPr>
        <w:pStyle w:val="bodycopy"/>
        <w:numPr>
          <w:ilvl w:val="2"/>
          <w:numId w:val="35"/>
        </w:numPr>
        <w:ind w:left="993" w:hanging="567"/>
      </w:pPr>
      <w:r w:rsidRPr="00F5293E">
        <w:t>the matter is frivolous, vexatious or lacking in substance;</w:t>
      </w:r>
    </w:p>
    <w:p w14:paraId="13A71C08" w14:textId="77777777" w:rsidR="00F5293E" w:rsidRPr="00F5293E" w:rsidRDefault="00F5293E" w:rsidP="00370F09">
      <w:pPr>
        <w:pStyle w:val="bodycopy"/>
        <w:numPr>
          <w:ilvl w:val="2"/>
          <w:numId w:val="35"/>
        </w:numPr>
        <w:ind w:left="993" w:hanging="567"/>
      </w:pPr>
      <w:r w:rsidRPr="00F5293E">
        <w:t>the Employee does not have sufficient personal interest in the matter; or</w:t>
      </w:r>
    </w:p>
    <w:p w14:paraId="0CEB1E86" w14:textId="77777777" w:rsidR="00F5293E" w:rsidRPr="00F5293E" w:rsidRDefault="00F5293E" w:rsidP="00370F09">
      <w:pPr>
        <w:pStyle w:val="bodycopy"/>
        <w:numPr>
          <w:ilvl w:val="2"/>
          <w:numId w:val="35"/>
        </w:numPr>
        <w:ind w:left="993" w:hanging="567"/>
      </w:pPr>
      <w:r w:rsidRPr="00F5293E">
        <w:t xml:space="preserve">the matter is or could more appropriately be the subject of proceedings in any court or tribunal. </w:t>
      </w:r>
    </w:p>
    <w:p w14:paraId="32FEB653" w14:textId="77777777" w:rsidR="00F5293E" w:rsidRPr="00C4514A" w:rsidRDefault="00F5293E" w:rsidP="00370F09">
      <w:pPr>
        <w:pStyle w:val="heading2black"/>
        <w:ind w:left="426" w:hanging="426"/>
        <w:rPr>
          <w:rFonts w:ascii="VIC SemiBold" w:hAnsi="VIC SemiBold"/>
          <w:b w:val="0"/>
          <w:color w:val="595959" w:themeColor="text1" w:themeTint="A6"/>
        </w:rPr>
      </w:pPr>
      <w:bookmarkStart w:id="22" w:name="_Toc527621242"/>
      <w:bookmarkStart w:id="23" w:name="_Toc19703676"/>
      <w:r w:rsidRPr="00C4514A">
        <w:rPr>
          <w:rFonts w:ascii="VIC SemiBold" w:hAnsi="VIC SemiBold"/>
          <w:b w:val="0"/>
          <w:color w:val="595959" w:themeColor="text1" w:themeTint="A6"/>
        </w:rPr>
        <w:t>Initial review process</w:t>
      </w:r>
      <w:bookmarkEnd w:id="22"/>
      <w:bookmarkEnd w:id="23"/>
    </w:p>
    <w:p w14:paraId="70A5581B" w14:textId="77777777" w:rsidR="00F5293E" w:rsidRPr="00F5293E" w:rsidRDefault="00F5293E" w:rsidP="00370F09">
      <w:pPr>
        <w:pStyle w:val="bodycopy"/>
        <w:numPr>
          <w:ilvl w:val="1"/>
          <w:numId w:val="35"/>
        </w:numPr>
        <w:ind w:left="426"/>
      </w:pPr>
      <w:r w:rsidRPr="00F5293E">
        <w:t>If the application is accepted, the Registrar will consider which approach to take:</w:t>
      </w:r>
    </w:p>
    <w:p w14:paraId="1231E85E" w14:textId="77777777" w:rsidR="00F5293E" w:rsidRPr="00F5293E" w:rsidRDefault="00F5293E" w:rsidP="00370F09">
      <w:pPr>
        <w:pStyle w:val="bodycopy"/>
        <w:numPr>
          <w:ilvl w:val="2"/>
          <w:numId w:val="35"/>
        </w:numPr>
        <w:ind w:left="993" w:hanging="567"/>
      </w:pPr>
      <w:r w:rsidRPr="00F5293E">
        <w:t xml:space="preserve">By agreement, the parties may participate in mediation or other alternative dispute resolution process. </w:t>
      </w:r>
    </w:p>
    <w:p w14:paraId="1FAC08A3" w14:textId="77777777" w:rsidR="00F5293E" w:rsidRPr="00F5293E" w:rsidRDefault="00F5293E" w:rsidP="00370F09">
      <w:pPr>
        <w:pStyle w:val="bodycopy"/>
        <w:numPr>
          <w:ilvl w:val="2"/>
          <w:numId w:val="35"/>
        </w:numPr>
        <w:ind w:left="993" w:hanging="567"/>
      </w:pPr>
      <w:r w:rsidRPr="00F5293E">
        <w:t xml:space="preserve">If a more formal process is warranted, the Registrar </w:t>
      </w:r>
      <w:bookmarkStart w:id="24" w:name="_Hlk11570542"/>
      <w:r w:rsidRPr="00F5293E">
        <w:t xml:space="preserve">may refer the matter to </w:t>
      </w:r>
      <w:bookmarkEnd w:id="24"/>
      <w:r w:rsidRPr="00F5293E">
        <w:t>a Reviewer after considering the parties’ views on choice of Reviewer.</w:t>
      </w:r>
    </w:p>
    <w:p w14:paraId="25D40851" w14:textId="77777777" w:rsidR="00F5293E" w:rsidRPr="00F5293E" w:rsidRDefault="00F5293E" w:rsidP="00370F09">
      <w:pPr>
        <w:pStyle w:val="bodycopy"/>
        <w:numPr>
          <w:ilvl w:val="1"/>
          <w:numId w:val="35"/>
        </w:numPr>
        <w:ind w:left="426"/>
      </w:pPr>
      <w:r w:rsidRPr="00F5293E">
        <w:t>The Reviewer will determine how an initial review is conducted. The review may be based on written submissions from the parties, possibly supplemented by interviews, or a combination of written and oral submissions at a review hearing.</w:t>
      </w:r>
    </w:p>
    <w:p w14:paraId="524FE09E" w14:textId="77777777" w:rsidR="00F5293E" w:rsidRPr="00F5293E" w:rsidRDefault="00F5293E" w:rsidP="00370F09">
      <w:pPr>
        <w:pStyle w:val="bodycopy"/>
        <w:numPr>
          <w:ilvl w:val="1"/>
          <w:numId w:val="35"/>
        </w:numPr>
        <w:ind w:left="426"/>
      </w:pPr>
      <w:r w:rsidRPr="00F5293E">
        <w:t>The Reviewer must allow sufficient time for the parties to review materials or matters raised by the other parties. Where the facts are in dispute, the Reviewer will look for corroborating evidence and make findings based on the balance of probabilities.</w:t>
      </w:r>
    </w:p>
    <w:p w14:paraId="5D68FB64" w14:textId="77777777" w:rsidR="00F5293E" w:rsidRPr="00F5293E" w:rsidRDefault="00F5293E" w:rsidP="00370F09">
      <w:pPr>
        <w:pStyle w:val="bodycopy"/>
        <w:numPr>
          <w:ilvl w:val="1"/>
          <w:numId w:val="35"/>
        </w:numPr>
        <w:ind w:left="426"/>
      </w:pPr>
      <w:r w:rsidRPr="00F5293E">
        <w:t xml:space="preserve">The Reviewer will consider all relevant policies, procedures and legal requirements when making their findings and recommendations in a report. The Reviewer will include reasons for their findings and may recommend for example that a decision be reconsidered or that the Employer’s processes be changed. The Decision Maker may accept or reject the recommendations. </w:t>
      </w:r>
    </w:p>
    <w:p w14:paraId="1F811E0C" w14:textId="77777777" w:rsidR="00F5293E" w:rsidRPr="00F5293E" w:rsidRDefault="00F5293E" w:rsidP="00370F09">
      <w:pPr>
        <w:pStyle w:val="bodycopy"/>
        <w:numPr>
          <w:ilvl w:val="1"/>
          <w:numId w:val="35"/>
        </w:numPr>
        <w:ind w:left="426"/>
      </w:pPr>
      <w:r w:rsidRPr="00F5293E">
        <w:t>The Decision Maker must give written reasons within 28 days to the Victorian Public Sector Commission (VPSC) and the parties for not accepting a recommendation.</w:t>
      </w:r>
    </w:p>
    <w:p w14:paraId="376A695C" w14:textId="77777777" w:rsidR="00F5293E" w:rsidRPr="00F5293E" w:rsidRDefault="00F5293E" w:rsidP="00370F09">
      <w:pPr>
        <w:pStyle w:val="bodycopy"/>
        <w:numPr>
          <w:ilvl w:val="1"/>
          <w:numId w:val="35"/>
        </w:numPr>
        <w:ind w:left="426"/>
      </w:pPr>
      <w:r w:rsidRPr="00F5293E">
        <w:t>The Registrar distributes the Reviewer’s report and the Decision Maker’s decision to the parties.</w:t>
      </w:r>
    </w:p>
    <w:p w14:paraId="0858AE57" w14:textId="77777777" w:rsidR="00F5293E" w:rsidRPr="00C4514A" w:rsidRDefault="00F5293E" w:rsidP="00370F09">
      <w:pPr>
        <w:pStyle w:val="heading2black"/>
        <w:ind w:left="426" w:hanging="426"/>
        <w:rPr>
          <w:rFonts w:ascii="VIC SemiBold" w:hAnsi="VIC SemiBold"/>
          <w:b w:val="0"/>
          <w:color w:val="595959" w:themeColor="text1" w:themeTint="A6"/>
        </w:rPr>
      </w:pPr>
      <w:bookmarkStart w:id="25" w:name="_Toc527621243"/>
      <w:bookmarkStart w:id="26" w:name="_Toc19703677"/>
      <w:r w:rsidRPr="00C4514A">
        <w:rPr>
          <w:rFonts w:ascii="VIC SemiBold" w:hAnsi="VIC SemiBold"/>
          <w:b w:val="0"/>
          <w:color w:val="595959" w:themeColor="text1" w:themeTint="A6"/>
        </w:rPr>
        <w:t>Application to the Victorian Public Sector Commission</w:t>
      </w:r>
      <w:bookmarkEnd w:id="25"/>
      <w:bookmarkEnd w:id="26"/>
    </w:p>
    <w:p w14:paraId="4D24F0C2" w14:textId="77777777" w:rsidR="00F5293E" w:rsidRPr="00F5293E" w:rsidRDefault="00F5293E" w:rsidP="00370F09">
      <w:pPr>
        <w:pStyle w:val="bodycopy"/>
        <w:numPr>
          <w:ilvl w:val="1"/>
          <w:numId w:val="35"/>
        </w:numPr>
        <w:ind w:left="426"/>
      </w:pPr>
      <w:r w:rsidRPr="00F5293E">
        <w:t>Employees may apply to the VPSC for review of an employment related action in four circumstances:</w:t>
      </w:r>
    </w:p>
    <w:p w14:paraId="1D352250" w14:textId="77777777" w:rsidR="00F5293E" w:rsidRPr="00F5293E" w:rsidRDefault="00F5293E" w:rsidP="00370F09">
      <w:pPr>
        <w:pStyle w:val="bodycopy"/>
        <w:numPr>
          <w:ilvl w:val="2"/>
          <w:numId w:val="35"/>
        </w:numPr>
        <w:ind w:left="993" w:hanging="567"/>
      </w:pPr>
      <w:r w:rsidRPr="00F5293E">
        <w:t>the Employer did not commence an initial review within 30 days of receiving the Employee’s application;</w:t>
      </w:r>
    </w:p>
    <w:p w14:paraId="1A7216C1" w14:textId="77777777" w:rsidR="00F5293E" w:rsidRPr="00F5293E" w:rsidRDefault="00F5293E" w:rsidP="00370F09">
      <w:pPr>
        <w:pStyle w:val="bodycopy"/>
        <w:numPr>
          <w:ilvl w:val="2"/>
          <w:numId w:val="35"/>
        </w:numPr>
        <w:ind w:left="993" w:hanging="567"/>
      </w:pPr>
      <w:bookmarkStart w:id="27" w:name="_Hlk11570863"/>
      <w:r w:rsidRPr="00F5293E">
        <w:t xml:space="preserve">the Employee </w:t>
      </w:r>
      <w:bookmarkStart w:id="28" w:name="_Hlk11570800"/>
      <w:r w:rsidRPr="00F5293E">
        <w:t xml:space="preserve">considers that </w:t>
      </w:r>
      <w:bookmarkEnd w:id="27"/>
      <w:r w:rsidRPr="00F5293E">
        <w:t xml:space="preserve">the Employer’s initial review process was unfair </w:t>
      </w:r>
      <w:bookmarkStart w:id="29" w:name="_Hlk11570891"/>
      <w:r w:rsidRPr="00F5293E">
        <w:t>or contravened the Act, regulations or standards</w:t>
      </w:r>
      <w:bookmarkEnd w:id="28"/>
      <w:bookmarkEnd w:id="29"/>
      <w:r w:rsidRPr="00F5293E">
        <w:t>;</w:t>
      </w:r>
    </w:p>
    <w:p w14:paraId="25DFACBA" w14:textId="77777777" w:rsidR="00F5293E" w:rsidRPr="00F5293E" w:rsidRDefault="00F5293E" w:rsidP="00370F09">
      <w:pPr>
        <w:pStyle w:val="bodycopy"/>
        <w:numPr>
          <w:ilvl w:val="2"/>
          <w:numId w:val="35"/>
        </w:numPr>
        <w:ind w:left="993" w:hanging="567"/>
      </w:pPr>
      <w:bookmarkStart w:id="30" w:name="_Hlk11570937"/>
      <w:r w:rsidRPr="00F5293E">
        <w:t xml:space="preserve">the Employee alleges that </w:t>
      </w:r>
      <w:bookmarkEnd w:id="30"/>
      <w:r w:rsidRPr="00F5293E">
        <w:t>the Employer personally took the action or was the primary decision maker; or</w:t>
      </w:r>
    </w:p>
    <w:p w14:paraId="5358C4F9" w14:textId="5356F61D" w:rsidR="00F5293E" w:rsidRPr="00C4514A" w:rsidRDefault="00F5293E" w:rsidP="00370F09">
      <w:pPr>
        <w:pStyle w:val="bodycopy"/>
        <w:numPr>
          <w:ilvl w:val="2"/>
          <w:numId w:val="35"/>
        </w:numPr>
        <w:ind w:left="993" w:hanging="567"/>
      </w:pPr>
      <w:bookmarkStart w:id="31" w:name="_Hlk11570970"/>
      <w:r w:rsidRPr="00F5293E">
        <w:t xml:space="preserve">the Employee alleges that they were </w:t>
      </w:r>
      <w:bookmarkEnd w:id="31"/>
      <w:r w:rsidRPr="00F5293E">
        <w:t xml:space="preserve">victimised or harassed for previously applying to the VPSC for a review. </w:t>
      </w:r>
    </w:p>
    <w:p w14:paraId="33F85159" w14:textId="77777777" w:rsidR="00F5293E" w:rsidRPr="00C4514A" w:rsidRDefault="00F5293E" w:rsidP="00370F09">
      <w:pPr>
        <w:pStyle w:val="heading2black"/>
        <w:ind w:left="426" w:hanging="426"/>
        <w:rPr>
          <w:rFonts w:ascii="VIC SemiBold" w:hAnsi="VIC SemiBold"/>
          <w:b w:val="0"/>
          <w:color w:val="595959" w:themeColor="text1" w:themeTint="A6"/>
        </w:rPr>
      </w:pPr>
      <w:bookmarkStart w:id="32" w:name="_Toc527621244"/>
      <w:bookmarkStart w:id="33" w:name="_Toc19703678"/>
      <w:r w:rsidRPr="00C4514A">
        <w:rPr>
          <w:rFonts w:ascii="VIC SemiBold" w:hAnsi="VIC SemiBold"/>
          <w:b w:val="0"/>
          <w:color w:val="595959" w:themeColor="text1" w:themeTint="A6"/>
        </w:rPr>
        <w:t>Application to the Fair Work Commission</w:t>
      </w:r>
      <w:bookmarkEnd w:id="32"/>
      <w:bookmarkEnd w:id="33"/>
    </w:p>
    <w:p w14:paraId="58559082" w14:textId="77777777" w:rsidR="00F5293E" w:rsidRPr="00F5293E" w:rsidRDefault="00F5293E" w:rsidP="00370F09">
      <w:pPr>
        <w:pStyle w:val="bodycopy"/>
        <w:numPr>
          <w:ilvl w:val="1"/>
          <w:numId w:val="35"/>
        </w:numPr>
        <w:ind w:left="426"/>
      </w:pPr>
      <w:r w:rsidRPr="00F5293E">
        <w:t>An Employee may refer a matter to the Fair Work Commission, if the matter is within its jurisdiction. If an Employee refers a matter to the Fair Work Commission before the Employer’s initial review is finalised, the Employer will discontinue its review.</w:t>
      </w:r>
    </w:p>
    <w:p w14:paraId="6595A883" w14:textId="77777777" w:rsidR="00F5293E" w:rsidRPr="00C4514A" w:rsidRDefault="00F5293E" w:rsidP="00370F09">
      <w:pPr>
        <w:pStyle w:val="heading2black"/>
        <w:ind w:left="426" w:hanging="426"/>
        <w:rPr>
          <w:rFonts w:ascii="VIC SemiBold" w:hAnsi="VIC SemiBold"/>
          <w:b w:val="0"/>
          <w:color w:val="595959" w:themeColor="text1" w:themeTint="A6"/>
        </w:rPr>
      </w:pPr>
      <w:bookmarkStart w:id="34" w:name="_Toc527621245"/>
      <w:bookmarkStart w:id="35" w:name="_Toc19703679"/>
      <w:r w:rsidRPr="00C4514A">
        <w:rPr>
          <w:rFonts w:ascii="VIC SemiBold" w:hAnsi="VIC SemiBold"/>
          <w:b w:val="0"/>
          <w:color w:val="595959" w:themeColor="text1" w:themeTint="A6"/>
        </w:rPr>
        <w:lastRenderedPageBreak/>
        <w:t>Interaction of clause 12 of the Agreement (resolution of disputes) with the initial review process</w:t>
      </w:r>
      <w:bookmarkEnd w:id="34"/>
      <w:bookmarkEnd w:id="35"/>
    </w:p>
    <w:p w14:paraId="396E88E6" w14:textId="77777777" w:rsidR="00F5293E" w:rsidRPr="00F5293E" w:rsidRDefault="00F5293E" w:rsidP="00370F09">
      <w:pPr>
        <w:pStyle w:val="bodycopy"/>
        <w:numPr>
          <w:ilvl w:val="1"/>
          <w:numId w:val="35"/>
        </w:numPr>
        <w:ind w:left="426"/>
      </w:pPr>
      <w:r w:rsidRPr="00F5293E">
        <w:t>Where the Employee’s dispute relates to the application or interpretation of a clause under the Agreement, a party is entitled at any time to elect to use the dispute resolution procedure under clause 12 of the Agreement.</w:t>
      </w:r>
    </w:p>
    <w:p w14:paraId="6086BB31" w14:textId="77777777" w:rsidR="00F5293E" w:rsidRPr="00F5293E" w:rsidRDefault="00F5293E" w:rsidP="00370F09">
      <w:pPr>
        <w:pStyle w:val="bodycopy"/>
        <w:numPr>
          <w:ilvl w:val="1"/>
          <w:numId w:val="35"/>
        </w:numPr>
        <w:ind w:left="426"/>
      </w:pPr>
      <w:r w:rsidRPr="00F5293E">
        <w:t>The initial review is the internal process specified in clause 12.8 of the Agreement.</w:t>
      </w:r>
    </w:p>
    <w:p w14:paraId="2BC82643" w14:textId="77777777" w:rsidR="00F5293E" w:rsidRPr="00F5293E" w:rsidRDefault="00F5293E" w:rsidP="00370F09">
      <w:pPr>
        <w:pStyle w:val="bodycopy"/>
        <w:numPr>
          <w:ilvl w:val="1"/>
          <w:numId w:val="35"/>
        </w:numPr>
        <w:ind w:left="426"/>
      </w:pPr>
      <w:r w:rsidRPr="00F5293E">
        <w:t>Matters which may be resolved using clause 12 of the Agreement include any dispute or grievance arising from a clause under the Agreement.</w:t>
      </w:r>
    </w:p>
    <w:p w14:paraId="38709B8D" w14:textId="77777777" w:rsidR="00F5293E" w:rsidRPr="00F5293E" w:rsidRDefault="00F5293E" w:rsidP="00370F09">
      <w:pPr>
        <w:pStyle w:val="bodycopy"/>
        <w:numPr>
          <w:ilvl w:val="1"/>
          <w:numId w:val="35"/>
        </w:numPr>
        <w:ind w:left="426"/>
      </w:pPr>
      <w:r w:rsidRPr="00F5293E">
        <w:t>Matters that clause 12 of the Agreement do not apply to include:</w:t>
      </w:r>
    </w:p>
    <w:p w14:paraId="530C4770" w14:textId="77777777" w:rsidR="00F5293E" w:rsidRPr="00F5293E" w:rsidRDefault="00F5293E" w:rsidP="00370F09">
      <w:pPr>
        <w:pStyle w:val="bodycopy"/>
        <w:numPr>
          <w:ilvl w:val="2"/>
          <w:numId w:val="35"/>
        </w:numPr>
        <w:ind w:left="993" w:hanging="567"/>
      </w:pPr>
      <w:r w:rsidRPr="00F5293E">
        <w:t>a dispute regarding a matter or matters arising in the course of enterprise bargaining; and</w:t>
      </w:r>
    </w:p>
    <w:p w14:paraId="191D7E03" w14:textId="77777777" w:rsidR="00F5293E" w:rsidRPr="00F5293E" w:rsidRDefault="00F5293E" w:rsidP="00370F09">
      <w:pPr>
        <w:pStyle w:val="bodycopy"/>
        <w:numPr>
          <w:ilvl w:val="2"/>
          <w:numId w:val="35"/>
        </w:numPr>
        <w:ind w:left="993" w:hanging="567"/>
      </w:pPr>
      <w:r w:rsidRPr="00F5293E">
        <w:t>a dispute about termination of employment.</w:t>
      </w:r>
    </w:p>
    <w:p w14:paraId="1B780944" w14:textId="77777777" w:rsidR="00F5293E" w:rsidRPr="00F5293E" w:rsidRDefault="00F5293E" w:rsidP="00370F09">
      <w:pPr>
        <w:pStyle w:val="bodycopy"/>
        <w:numPr>
          <w:ilvl w:val="1"/>
          <w:numId w:val="35"/>
        </w:numPr>
        <w:ind w:left="426"/>
      </w:pPr>
      <w:r w:rsidRPr="00F5293E">
        <w:t>There are also limits relating to the scope of dispute resolution in relation to:</w:t>
      </w:r>
    </w:p>
    <w:p w14:paraId="670836D0" w14:textId="77777777" w:rsidR="00F5293E" w:rsidRPr="00F5293E" w:rsidRDefault="00F5293E" w:rsidP="00370F09">
      <w:pPr>
        <w:pStyle w:val="bodycopy"/>
        <w:numPr>
          <w:ilvl w:val="2"/>
          <w:numId w:val="35"/>
        </w:numPr>
        <w:ind w:left="993" w:hanging="567"/>
      </w:pPr>
      <w:r w:rsidRPr="00F5293E">
        <w:t>clause 20.13 of the Agreement – management of unsatisfactory work performance; and</w:t>
      </w:r>
    </w:p>
    <w:p w14:paraId="0F4D96DC" w14:textId="32070E11" w:rsidR="00CC35CC" w:rsidRPr="00E60746" w:rsidRDefault="00370F09" w:rsidP="00370F09">
      <w:pPr>
        <w:pStyle w:val="bodycopy"/>
        <w:numPr>
          <w:ilvl w:val="1"/>
          <w:numId w:val="35"/>
        </w:numPr>
        <w:ind w:left="426"/>
      </w:pPr>
      <w:r>
        <w:t>C</w:t>
      </w:r>
      <w:r w:rsidR="00F5293E" w:rsidRPr="00F5293E">
        <w:t>lause 21.14 of the Agreement – management of misconduct</w:t>
      </w:r>
      <w:r w:rsidR="00E60746" w:rsidRPr="00E60746">
        <w:t>.</w:t>
      </w:r>
    </w:p>
    <w:p w14:paraId="3A15C1D5" w14:textId="69ABFDD5" w:rsidR="007468F6" w:rsidRDefault="007468F6" w:rsidP="003604C6">
      <w:pPr>
        <w:pStyle w:val="TCPHeading2"/>
      </w:pPr>
      <w:bookmarkStart w:id="36" w:name="_Toc19703680"/>
      <w:r>
        <w:t>Making decisions under this policy</w:t>
      </w:r>
      <w:bookmarkEnd w:id="10"/>
      <w:bookmarkEnd w:id="17"/>
      <w:bookmarkEnd w:id="36"/>
    </w:p>
    <w:p w14:paraId="618E3853" w14:textId="77777777" w:rsidR="00FA0F74" w:rsidRDefault="00FA0F74" w:rsidP="00FA0F74">
      <w:pPr>
        <w:pStyle w:val="bodycopy"/>
        <w:spacing w:before="120"/>
        <w:jc w:val="both"/>
        <w:rPr>
          <w:color w:val="595959" w:themeColor="text1" w:themeTint="A6"/>
          <w:lang w:val="en-US"/>
        </w:rPr>
      </w:pPr>
      <w:bookmarkStart w:id="37" w:name="_Toc17284153"/>
      <w:bookmarkStart w:id="38" w:name="_Toc19703681"/>
      <w:bookmarkStart w:id="39" w:name="_Toc476837617"/>
      <w:bookmarkStart w:id="40" w:name="_Toc477789581"/>
      <w:r>
        <w:rPr>
          <w:color w:val="595959" w:themeColor="text1" w:themeTint="A6"/>
        </w:rPr>
        <w:t xml:space="preserve">Under section 20(1) of the </w:t>
      </w:r>
      <w:r>
        <w:rPr>
          <w:i/>
          <w:color w:val="595959" w:themeColor="text1" w:themeTint="A6"/>
        </w:rPr>
        <w:t>Public Administration Act 2004</w:t>
      </w:r>
      <w:r>
        <w:rPr>
          <w:color w:val="595959" w:themeColor="text1" w:themeTint="A6"/>
        </w:rPr>
        <w:t>, the public service body head has all the rights, powers, authorities and duties of an Employer, which will usually be delegated to Employees within the</w:t>
      </w:r>
      <w:bookmarkStart w:id="41" w:name="_GoBack"/>
      <w:bookmarkEnd w:id="41"/>
      <w:r>
        <w:rPr>
          <w:color w:val="595959" w:themeColor="text1" w:themeTint="A6"/>
        </w:rPr>
        <w:t>ir Department or Administrative Office. Employers should ensure that any actions under this policy are only taken by an Employee with the delegation to do so.</w:t>
      </w:r>
    </w:p>
    <w:bookmarkEnd w:id="39"/>
    <w:bookmarkEnd w:id="40"/>
    <w:p w14:paraId="014A7204" w14:textId="77777777" w:rsidR="000643D3" w:rsidRPr="000643D3" w:rsidRDefault="000643D3" w:rsidP="000643D3">
      <w:pPr>
        <w:pStyle w:val="TCPHeading1"/>
      </w:pPr>
      <w:r w:rsidRPr="000643D3">
        <w:t>Further Information</w:t>
      </w:r>
      <w:bookmarkEnd w:id="37"/>
      <w:bookmarkEnd w:id="38"/>
    </w:p>
    <w:p w14:paraId="58205F0F" w14:textId="77777777" w:rsidR="009D7C29" w:rsidRDefault="009D7C29" w:rsidP="009D7C29">
      <w:pPr>
        <w:pStyle w:val="bodycopy"/>
        <w:spacing w:before="120"/>
        <w:jc w:val="both"/>
      </w:pPr>
      <w:bookmarkStart w:id="42" w:name="_Toc17284154"/>
      <w:r>
        <w:t>For further information and advice please contact your Human Resources Unit.</w:t>
      </w:r>
    </w:p>
    <w:p w14:paraId="399B1B76" w14:textId="77777777" w:rsidR="000643D3" w:rsidRPr="000643D3" w:rsidRDefault="000643D3" w:rsidP="000643D3">
      <w:pPr>
        <w:pStyle w:val="TCPHeading1"/>
      </w:pPr>
      <w:bookmarkStart w:id="43" w:name="_Toc19703682"/>
      <w:r w:rsidRPr="000643D3">
        <w:t>Related policies or documents</w:t>
      </w:r>
      <w:bookmarkEnd w:id="42"/>
      <w:bookmarkEnd w:id="43"/>
    </w:p>
    <w:p w14:paraId="6301786D" w14:textId="4011764D" w:rsidR="006869AF" w:rsidRDefault="006869AF" w:rsidP="006869AF">
      <w:pPr>
        <w:pStyle w:val="bodycopy"/>
        <w:jc w:val="both"/>
      </w:pPr>
      <w:r>
        <w:t>Clause 12 of the Agreement Employment Standards</w:t>
      </w:r>
    </w:p>
    <w:p w14:paraId="68A36569" w14:textId="1E3499EA" w:rsidR="006869AF" w:rsidRPr="006869AF" w:rsidRDefault="006869AF" w:rsidP="006869AF">
      <w:pPr>
        <w:pStyle w:val="bodycopy"/>
        <w:jc w:val="both"/>
        <w:rPr>
          <w:rStyle w:val="Hyperlink"/>
        </w:rPr>
      </w:pPr>
      <w:r w:rsidRPr="006869AF">
        <w:rPr>
          <w:rStyle w:val="Hyperlink"/>
        </w:rPr>
        <w:t xml:space="preserve">https://www.fwc.gov.au/documents/documents/agreements/fwa/ae418873.pdf </w:t>
      </w:r>
    </w:p>
    <w:p w14:paraId="5A1C0D1F" w14:textId="4A2C9F36" w:rsidR="006869AF" w:rsidRDefault="00C4549B" w:rsidP="006869AF">
      <w:pPr>
        <w:pStyle w:val="bodycopy"/>
        <w:jc w:val="both"/>
        <w:rPr>
          <w:rStyle w:val="Hyperlink"/>
        </w:rPr>
      </w:pPr>
      <w:hyperlink r:id="rId9" w:history="1">
        <w:r w:rsidR="006869AF" w:rsidRPr="00751147">
          <w:rPr>
            <w:rStyle w:val="Hyperlink"/>
          </w:rPr>
          <w:t>https://vpsc.vic.gov.au/wp-content/uploads/2017/01/Standards-for-the-Application-of-the-Public-Sector-Employment-Principles-2017.pdf</w:t>
        </w:r>
      </w:hyperlink>
    </w:p>
    <w:sectPr w:rsidR="006869AF" w:rsidSect="00872EE6">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889B" w14:textId="77777777" w:rsidR="00C4549B" w:rsidRDefault="00C4549B" w:rsidP="006E4752">
      <w:pPr>
        <w:spacing w:after="0"/>
      </w:pPr>
      <w:r>
        <w:separator/>
      </w:r>
    </w:p>
  </w:endnote>
  <w:endnote w:type="continuationSeparator" w:id="0">
    <w:p w14:paraId="326DBE17" w14:textId="77777777" w:rsidR="00C4549B" w:rsidRDefault="00C4549B" w:rsidP="006E4752">
      <w:pPr>
        <w:spacing w:after="0"/>
      </w:pPr>
      <w:r>
        <w:continuationSeparator/>
      </w:r>
    </w:p>
  </w:endnote>
  <w:endnote w:type="continuationNotice" w:id="1">
    <w:p w14:paraId="3B72F16E" w14:textId="77777777" w:rsidR="00C4549B" w:rsidRDefault="00C45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095DA4BA" w:rsidR="008D3181" w:rsidRPr="00C4514A" w:rsidRDefault="00CC35CC" w:rsidP="00E8514A">
    <w:pPr>
      <w:pStyle w:val="TCPFooter"/>
      <w:tabs>
        <w:tab w:val="left" w:pos="8505"/>
      </w:tabs>
      <w:rPr>
        <w:rFonts w:ascii="VIC" w:hAnsi="VIC" w:cstheme="minorHAnsi"/>
        <w:szCs w:val="16"/>
      </w:rPr>
    </w:pPr>
    <w:r w:rsidRPr="00C4514A">
      <w:rPr>
        <w:rFonts w:ascii="VIC" w:hAnsi="VIC"/>
      </w:rPr>
      <w:t xml:space="preserve"> </w:t>
    </w:r>
    <w:r w:rsidR="001C2A90" w:rsidRPr="00C4514A">
      <w:rPr>
        <w:rFonts w:ascii="VIC" w:hAnsi="VIC"/>
      </w:rPr>
      <w:t>Re</w:t>
    </w:r>
    <w:r w:rsidR="00F5293E" w:rsidRPr="00C4514A">
      <w:rPr>
        <w:rFonts w:ascii="VIC" w:hAnsi="VIC"/>
      </w:rPr>
      <w:t>view of Actions</w:t>
    </w:r>
    <w:r w:rsidRPr="00C4514A">
      <w:rPr>
        <w:rFonts w:ascii="VIC" w:hAnsi="VIC"/>
      </w:rPr>
      <w:t xml:space="preserve"> </w:t>
    </w:r>
    <w:r w:rsidR="00E8514A" w:rsidRPr="00C4514A">
      <w:rPr>
        <w:rFonts w:ascii="VIC" w:hAnsi="VIC" w:cstheme="minorHAnsi"/>
      </w:rPr>
      <w:t>I</w:t>
    </w:r>
    <w:r w:rsidR="00C4514A">
      <w:rPr>
        <w:rFonts w:ascii="VIC" w:hAnsi="VIC" w:cstheme="minorHAnsi"/>
      </w:rPr>
      <w:t xml:space="preserve"> Version 1.0 |</w:t>
    </w:r>
    <w:r w:rsidR="00E8514A" w:rsidRPr="00C4514A">
      <w:rPr>
        <w:rFonts w:ascii="VIC" w:hAnsi="VIC" w:cstheme="minorHAnsi"/>
      </w:rPr>
      <w:t xml:space="preserve"> </w:t>
    </w:r>
    <w:r w:rsidR="00E8514A" w:rsidRPr="00C4514A">
      <w:rPr>
        <w:rFonts w:ascii="VIC" w:hAnsi="VIC" w:cstheme="minorHAnsi"/>
      </w:rPr>
      <w:fldChar w:fldCharType="begin"/>
    </w:r>
    <w:r w:rsidR="00E8514A" w:rsidRPr="00C4514A">
      <w:rPr>
        <w:rFonts w:ascii="VIC" w:hAnsi="VIC" w:cstheme="minorHAnsi"/>
      </w:rPr>
      <w:instrText xml:space="preserve"> DATE  \@ "MMMM yyyy"  \* MERGEFORMAT </w:instrText>
    </w:r>
    <w:r w:rsidR="00E8514A" w:rsidRPr="00C4514A">
      <w:rPr>
        <w:rFonts w:ascii="VIC" w:hAnsi="VIC" w:cstheme="minorHAnsi"/>
      </w:rPr>
      <w:fldChar w:fldCharType="separate"/>
    </w:r>
    <w:r w:rsidR="00FA0F74">
      <w:rPr>
        <w:rFonts w:ascii="VIC" w:hAnsi="VIC" w:cstheme="minorHAnsi"/>
        <w:noProof/>
      </w:rPr>
      <w:t>October 2019</w:t>
    </w:r>
    <w:r w:rsidR="00E8514A" w:rsidRPr="00C4514A">
      <w:rPr>
        <w:rFonts w:ascii="VIC" w:hAnsi="VIC" w:cstheme="minorHAnsi"/>
      </w:rPr>
      <w:fldChar w:fldCharType="end"/>
    </w:r>
    <w:r w:rsidR="00E8514A" w:rsidRPr="00C4514A">
      <w:rPr>
        <w:rFonts w:ascii="VIC" w:hAnsi="VIC" w:cstheme="minorHAnsi"/>
      </w:rPr>
      <w:tab/>
    </w:r>
    <w:r w:rsidR="008D3181" w:rsidRPr="00C4514A">
      <w:rPr>
        <w:rFonts w:ascii="VIC" w:hAnsi="VIC" w:cstheme="minorHAnsi"/>
        <w:sz w:val="24"/>
        <w:szCs w:val="24"/>
      </w:rPr>
      <w:fldChar w:fldCharType="begin"/>
    </w:r>
    <w:r w:rsidR="008D3181" w:rsidRPr="00C4514A">
      <w:rPr>
        <w:rFonts w:ascii="VIC" w:hAnsi="VIC" w:cstheme="minorHAnsi"/>
      </w:rPr>
      <w:instrText xml:space="preserve"> PAGE </w:instrText>
    </w:r>
    <w:r w:rsidR="008D3181" w:rsidRPr="00C4514A">
      <w:rPr>
        <w:rFonts w:ascii="VIC" w:hAnsi="VIC" w:cstheme="minorHAnsi"/>
        <w:sz w:val="24"/>
        <w:szCs w:val="24"/>
      </w:rPr>
      <w:fldChar w:fldCharType="separate"/>
    </w:r>
    <w:r w:rsidR="00264F87" w:rsidRPr="00C4514A">
      <w:rPr>
        <w:rFonts w:ascii="VIC" w:hAnsi="VIC" w:cstheme="minorHAnsi"/>
        <w:noProof/>
      </w:rPr>
      <w:t>4</w:t>
    </w:r>
    <w:r w:rsidR="008D3181" w:rsidRPr="00C4514A">
      <w:rPr>
        <w:rFonts w:ascii="VIC" w:hAnsi="VIC" w:cstheme="minorHAnsi"/>
        <w:sz w:val="24"/>
        <w:szCs w:val="24"/>
      </w:rPr>
      <w:fldChar w:fldCharType="end"/>
    </w:r>
    <w:r w:rsidR="008D3181" w:rsidRPr="00C4514A">
      <w:rPr>
        <w:rFonts w:ascii="VIC" w:hAnsi="VIC" w:cstheme="minorHAnsi"/>
      </w:rPr>
      <w:t xml:space="preserve"> of </w:t>
    </w:r>
    <w:r w:rsidR="00264F87" w:rsidRPr="00C4514A">
      <w:rPr>
        <w:rFonts w:ascii="VIC" w:hAnsi="VIC" w:cstheme="minorHAnsi"/>
      </w:rPr>
      <w:fldChar w:fldCharType="begin"/>
    </w:r>
    <w:r w:rsidR="00264F87" w:rsidRPr="00C4514A">
      <w:rPr>
        <w:rFonts w:ascii="VIC" w:hAnsi="VIC" w:cstheme="minorHAnsi"/>
      </w:rPr>
      <w:instrText xml:space="preserve"> NUMPAGES  </w:instrText>
    </w:r>
    <w:r w:rsidR="00264F87" w:rsidRPr="00C4514A">
      <w:rPr>
        <w:rFonts w:ascii="VIC" w:hAnsi="VIC" w:cstheme="minorHAnsi"/>
      </w:rPr>
      <w:fldChar w:fldCharType="separate"/>
    </w:r>
    <w:r w:rsidR="00264F87" w:rsidRPr="00C4514A">
      <w:rPr>
        <w:rFonts w:ascii="VIC" w:hAnsi="VIC" w:cstheme="minorHAnsi"/>
        <w:noProof/>
      </w:rPr>
      <w:t>4</w:t>
    </w:r>
    <w:r w:rsidR="00264F87" w:rsidRPr="00C4514A">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0F02199F" w:rsidR="00ED408D" w:rsidRDefault="00ED408D" w:rsidP="00ED408D">
    <w:pPr>
      <w:pBdr>
        <w:bottom w:val="single" w:sz="8" w:space="1" w:color="auto"/>
      </w:pBdr>
      <w:tabs>
        <w:tab w:val="right" w:pos="9070"/>
      </w:tabs>
      <w:rPr>
        <w:b/>
        <w:sz w:val="16"/>
        <w:szCs w:val="16"/>
      </w:rPr>
    </w:pPr>
    <w:r>
      <w:rPr>
        <w:b/>
        <w:sz w:val="16"/>
        <w:szCs w:val="16"/>
      </w:rPr>
      <w:tab/>
    </w:r>
  </w:p>
  <w:p w14:paraId="06C00738" w14:textId="74D3E037" w:rsidR="008D3181" w:rsidRPr="00C4514A" w:rsidRDefault="00ED408D" w:rsidP="00F80820">
    <w:pPr>
      <w:rPr>
        <w:rFonts w:ascii="VIC SemiBold" w:hAnsi="VIC SemiBold"/>
        <w:sz w:val="16"/>
        <w:szCs w:val="16"/>
      </w:rPr>
    </w:pPr>
    <w:r w:rsidRPr="00C4514A">
      <w:rPr>
        <w:rFonts w:ascii="VIC SemiBold" w:hAnsi="VIC SemiBold"/>
        <w:sz w:val="16"/>
        <w:szCs w:val="16"/>
      </w:rPr>
      <w:t>Authorised by Industrial Relations Victoria</w:t>
    </w:r>
  </w:p>
  <w:p w14:paraId="0FE1B328" w14:textId="394C9D3A" w:rsidR="008D3181" w:rsidRPr="00C4514A" w:rsidRDefault="00ED408D" w:rsidP="00F80820">
    <w:pPr>
      <w:rPr>
        <w:rFonts w:ascii="VIC" w:hAnsi="VIC"/>
        <w:sz w:val="16"/>
        <w:szCs w:val="16"/>
      </w:rPr>
    </w:pPr>
    <w:r w:rsidRPr="00C4514A">
      <w:rPr>
        <w:rFonts w:ascii="VIC" w:hAnsi="VIC"/>
        <w:sz w:val="16"/>
        <w:szCs w:val="16"/>
      </w:rPr>
      <w:t xml:space="preserve">Department of </w:t>
    </w:r>
    <w:r w:rsidR="009D7C29" w:rsidRPr="00C4514A">
      <w:rPr>
        <w:rFonts w:ascii="VIC" w:hAnsi="VIC"/>
        <w:sz w:val="16"/>
        <w:szCs w:val="16"/>
      </w:rPr>
      <w:t>Premier and Cabinet</w:t>
    </w:r>
    <w:r w:rsidR="008D3181" w:rsidRPr="00C4514A">
      <w:rPr>
        <w:rFonts w:ascii="VIC" w:hAnsi="VIC"/>
        <w:sz w:val="16"/>
        <w:szCs w:val="16"/>
      </w:rPr>
      <w:br/>
    </w:r>
    <w:r w:rsidRPr="00C4514A">
      <w:rPr>
        <w:rFonts w:ascii="VIC" w:hAnsi="VIC"/>
        <w:sz w:val="16"/>
        <w:szCs w:val="16"/>
      </w:rPr>
      <w:t>1 Spring Street Melbourne Victoria 3000</w:t>
    </w:r>
    <w:r w:rsidR="008D3181" w:rsidRPr="00C4514A">
      <w:rPr>
        <w:rFonts w:ascii="VIC" w:hAnsi="VIC"/>
        <w:sz w:val="16"/>
        <w:szCs w:val="16"/>
      </w:rPr>
      <w:br/>
    </w:r>
    <w:r w:rsidRPr="00C4514A">
      <w:rPr>
        <w:rFonts w:ascii="VIC" w:hAnsi="VIC"/>
        <w:sz w:val="16"/>
        <w:szCs w:val="16"/>
      </w:rPr>
      <w:t>Telephone (03) 9651 9999</w:t>
    </w:r>
  </w:p>
  <w:p w14:paraId="60A2C7C4" w14:textId="3AE3A47F" w:rsidR="008D3181" w:rsidRPr="00C4514A" w:rsidRDefault="008D3181" w:rsidP="00F80820">
    <w:pPr>
      <w:keepNext/>
      <w:keepLines/>
      <w:ind w:right="1701"/>
      <w:rPr>
        <w:rFonts w:ascii="VIC SemiBold" w:hAnsi="VIC SemiBold"/>
        <w:sz w:val="16"/>
        <w:szCs w:val="16"/>
      </w:rPr>
    </w:pPr>
    <w:r w:rsidRPr="00C4514A">
      <w:rPr>
        <w:rFonts w:ascii="VIC SemiBold" w:hAnsi="VIC SemiBold"/>
        <w:sz w:val="16"/>
        <w:szCs w:val="16"/>
      </w:rPr>
      <w:t xml:space="preserve">© </w:t>
    </w:r>
    <w:r w:rsidR="00ED408D" w:rsidRPr="00C4514A">
      <w:rPr>
        <w:rFonts w:ascii="VIC SemiBold" w:hAnsi="VIC SemiBold"/>
        <w:sz w:val="16"/>
        <w:szCs w:val="16"/>
      </w:rPr>
      <w:t>Copyright State of Victoria, 201</w:t>
    </w:r>
    <w:r w:rsidR="007E1048" w:rsidRPr="00C4514A">
      <w:rPr>
        <w:rFonts w:ascii="VIC SemiBold" w:hAnsi="VIC SemiBold"/>
        <w:sz w:val="16"/>
        <w:szCs w:val="16"/>
      </w:rPr>
      <w:t>9</w:t>
    </w:r>
  </w:p>
  <w:p w14:paraId="5FD699EB" w14:textId="77777777" w:rsidR="008D3181" w:rsidRPr="00C4514A" w:rsidRDefault="00ED408D" w:rsidP="00F80820">
    <w:pPr>
      <w:ind w:right="1701"/>
      <w:rPr>
        <w:rFonts w:ascii="VIC" w:hAnsi="VIC"/>
        <w:sz w:val="16"/>
        <w:szCs w:val="16"/>
      </w:rPr>
    </w:pPr>
    <w:r w:rsidRPr="00C4514A">
      <w:rPr>
        <w:rFonts w:ascii="VIC" w:hAnsi="VIC"/>
        <w:sz w:val="16"/>
        <w:szCs w:val="16"/>
      </w:rPr>
      <w:t xml:space="preserve">If you print and store this document, you may be looking at an obsolete version. </w:t>
    </w:r>
    <w:r w:rsidRPr="00C4514A">
      <w:rPr>
        <w:rFonts w:ascii="VIC" w:hAnsi="VIC"/>
        <w:sz w:val="16"/>
        <w:szCs w:val="16"/>
      </w:rPr>
      <w:br/>
      <w:t>Always check the latest version of this document at</w:t>
    </w:r>
    <w:r w:rsidR="008D3181" w:rsidRPr="00C4514A">
      <w:rPr>
        <w:rFonts w:ascii="VIC" w:hAnsi="VIC"/>
        <w:sz w:val="16"/>
        <w:szCs w:val="16"/>
      </w:rPr>
      <w:t xml:space="preserve"> </w:t>
    </w:r>
    <w:r w:rsidRPr="00C4514A">
      <w:rPr>
        <w:rFonts w:ascii="VIC" w:hAnsi="VIC"/>
        <w:sz w:val="16"/>
        <w:szCs w:val="16"/>
      </w:rPr>
      <w:br/>
    </w:r>
    <w:hyperlink r:id="rId1" w:history="1">
      <w:r w:rsidRPr="00C4514A">
        <w:rPr>
          <w:rStyle w:val="Hyperlink"/>
          <w:rFonts w:ascii="VIC" w:hAnsi="VIC"/>
          <w:sz w:val="16"/>
          <w:szCs w:val="16"/>
        </w:rPr>
        <w:t>https://vpsc.vic.gov.au/vps-enterprise-agreement-common-policies/</w:t>
      </w:r>
    </w:hyperlink>
  </w:p>
  <w:p w14:paraId="49D31A23" w14:textId="2B032DCA" w:rsidR="004624AC" w:rsidRPr="00C4514A" w:rsidRDefault="001C2A90" w:rsidP="00095806">
    <w:pPr>
      <w:pStyle w:val="TCPFooter"/>
      <w:rPr>
        <w:rFonts w:ascii="VIC" w:hAnsi="VIC"/>
      </w:rPr>
    </w:pPr>
    <w:r w:rsidRPr="00C4514A">
      <w:rPr>
        <w:rFonts w:ascii="VIC" w:hAnsi="VIC"/>
      </w:rPr>
      <w:t>R</w:t>
    </w:r>
    <w:r w:rsidR="00F5293E" w:rsidRPr="00C4514A">
      <w:rPr>
        <w:rFonts w:ascii="VIC" w:hAnsi="VIC"/>
      </w:rPr>
      <w:t>eview of Actions</w:t>
    </w:r>
    <w:r w:rsidR="00D5323B" w:rsidRPr="00C4514A">
      <w:rPr>
        <w:rFonts w:ascii="VIC" w:hAnsi="VIC"/>
      </w:rPr>
      <w:t xml:space="preserve"> </w:t>
    </w:r>
    <w:r w:rsidR="00095806" w:rsidRPr="00C4514A">
      <w:rPr>
        <w:rFonts w:ascii="VIC" w:hAnsi="VIC"/>
      </w:rPr>
      <w:t>I</w:t>
    </w:r>
    <w:r w:rsidR="00C4514A">
      <w:rPr>
        <w:rFonts w:ascii="VIC" w:hAnsi="VIC"/>
      </w:rPr>
      <w:t xml:space="preserve"> Version 1.0 |</w:t>
    </w:r>
    <w:r w:rsidR="00095806" w:rsidRPr="00C4514A">
      <w:rPr>
        <w:rFonts w:ascii="VIC" w:hAnsi="VIC"/>
      </w:rPr>
      <w:t xml:space="preserve"> </w:t>
    </w:r>
    <w:r w:rsidR="00373A3A" w:rsidRPr="00C4514A">
      <w:rPr>
        <w:rFonts w:ascii="VIC" w:hAnsi="VIC"/>
      </w:rPr>
      <w:fldChar w:fldCharType="begin"/>
    </w:r>
    <w:r w:rsidR="00373A3A" w:rsidRPr="00C4514A">
      <w:rPr>
        <w:rFonts w:ascii="VIC" w:hAnsi="VIC"/>
      </w:rPr>
      <w:instrText xml:space="preserve"> DATE  \@ "MMMM yyyy"  \* MERGEFORMAT </w:instrText>
    </w:r>
    <w:r w:rsidR="00373A3A" w:rsidRPr="00C4514A">
      <w:rPr>
        <w:rFonts w:ascii="VIC" w:hAnsi="VIC"/>
      </w:rPr>
      <w:fldChar w:fldCharType="separate"/>
    </w:r>
    <w:r w:rsidR="00FA0F74">
      <w:rPr>
        <w:rFonts w:ascii="VIC" w:hAnsi="VIC"/>
        <w:noProof/>
      </w:rPr>
      <w:t>October 2019</w:t>
    </w:r>
    <w:r w:rsidR="00373A3A" w:rsidRPr="00C4514A">
      <w:rPr>
        <w:rFonts w:ascii="VIC" w:hAnsi="VIC"/>
      </w:rPr>
      <w:fldChar w:fldCharType="end"/>
    </w:r>
  </w:p>
  <w:p w14:paraId="579AD6BB" w14:textId="77777777" w:rsidR="004624AC" w:rsidRDefault="004624AC" w:rsidP="00095806">
    <w:pPr>
      <w:pStyle w:val="TCPFooter"/>
    </w:pPr>
  </w:p>
  <w:p w14:paraId="46DBC5E8" w14:textId="429E8D2D" w:rsidR="00095806" w:rsidRPr="00F80820" w:rsidRDefault="004624AC" w:rsidP="00095806">
    <w:pPr>
      <w:pStyle w:val="TCPFooter"/>
      <w:rPr>
        <w:szCs w:val="16"/>
      </w:rPr>
    </w:pPr>
    <w:r w:rsidRPr="00F80820">
      <w:rPr>
        <w:b/>
        <w:noProof/>
        <w:szCs w:val="16"/>
        <w:lang w:eastAsia="en-AU"/>
      </w:rPr>
      <w:drawing>
        <wp:inline distT="0" distB="0" distL="0" distR="0" wp14:anchorId="096BBCED" wp14:editId="053B866D">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9F3C" w14:textId="77777777" w:rsidR="00C4549B" w:rsidRDefault="00C4549B" w:rsidP="006E4752">
      <w:pPr>
        <w:spacing w:after="0"/>
      </w:pPr>
      <w:bookmarkStart w:id="0" w:name="_Hlk17293837"/>
      <w:bookmarkEnd w:id="0"/>
      <w:r>
        <w:separator/>
      </w:r>
    </w:p>
  </w:footnote>
  <w:footnote w:type="continuationSeparator" w:id="0">
    <w:p w14:paraId="61EFF4D2" w14:textId="77777777" w:rsidR="00C4549B" w:rsidRDefault="00C4549B" w:rsidP="006E4752">
      <w:pPr>
        <w:spacing w:after="0"/>
      </w:pPr>
      <w:r>
        <w:continuationSeparator/>
      </w:r>
    </w:p>
  </w:footnote>
  <w:footnote w:type="continuationNotice" w:id="1">
    <w:p w14:paraId="2AC794C9" w14:textId="77777777" w:rsidR="00C4549B" w:rsidRDefault="00C45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1D19" w14:textId="77777777" w:rsidR="004624AC" w:rsidRPr="00CE14DB" w:rsidRDefault="004624AC" w:rsidP="004624AC">
    <w:pPr>
      <w:pStyle w:val="Header"/>
    </w:pPr>
    <w:r>
      <w:rPr>
        <w:noProof/>
        <w:lang w:eastAsia="en-AU"/>
      </w:rPr>
      <mc:AlternateContent>
        <mc:Choice Requires="wps">
          <w:drawing>
            <wp:inline distT="0" distB="0" distL="0" distR="0" wp14:anchorId="6FACEA06" wp14:editId="579ACCE2">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xmlns:w16cex="http://schemas.microsoft.com/office/word/2018/wordml/cex" xmlns:w16="http://schemas.microsoft.com/office/word/2018/wordml" xmlns:arto="http://schemas.microsoft.com/office/word/2006/arto">
          <w:pict>
            <v:line w14:anchorId="29FEF956"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41A8D585" w:rsidR="008D3181" w:rsidRPr="004624AC" w:rsidRDefault="008D3181" w:rsidP="0046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7CD0" w14:textId="77777777" w:rsidR="004624AC" w:rsidRPr="00CE14DB" w:rsidRDefault="004624AC" w:rsidP="004624AC">
    <w:pPr>
      <w:pStyle w:val="Header"/>
    </w:pPr>
    <w:r>
      <w:rPr>
        <w:noProof/>
        <w:lang w:eastAsia="en-AU"/>
      </w:rPr>
      <mc:AlternateContent>
        <mc:Choice Requires="wps">
          <w:drawing>
            <wp:inline distT="0" distB="0" distL="0" distR="0" wp14:anchorId="367C263C" wp14:editId="53D38A23">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xmlns:w16cex="http://schemas.microsoft.com/office/word/2018/wordml/cex" xmlns:w16="http://schemas.microsoft.com/office/word/2018/wordml" xmlns:arto="http://schemas.microsoft.com/office/word/2006/arto">
          <w:pict>
            <v:line w14:anchorId="5CE287E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157F2692" w:rsidR="008D3181" w:rsidRPr="004624AC" w:rsidRDefault="008D3181" w:rsidP="0046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C044932A"/>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69FA"/>
    <w:multiLevelType w:val="multilevel"/>
    <w:tmpl w:val="8F0EB3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F1F6B"/>
    <w:multiLevelType w:val="multilevel"/>
    <w:tmpl w:val="D7765D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2206" w:hanging="504"/>
      </w:pPr>
      <w:rPr>
        <w:rFonts w:hint="default"/>
        <w:b/>
        <w:color w:val="595959" w:themeColor="text1" w:themeTint="A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F2169C1"/>
    <w:multiLevelType w:val="multilevel"/>
    <w:tmpl w:val="BE5A1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497"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5B590C"/>
    <w:multiLevelType w:val="multilevel"/>
    <w:tmpl w:val="A6D83F4A"/>
    <w:lvl w:ilvl="0">
      <w:start w:val="1"/>
      <w:numFmt w:val="decimal"/>
      <w:pStyle w:val="heading2black"/>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2EFD65FF"/>
    <w:multiLevelType w:val="hybridMultilevel"/>
    <w:tmpl w:val="E3BE9AA0"/>
    <w:lvl w:ilvl="0" w:tplc="836C2D02">
      <w:start w:val="1"/>
      <w:numFmt w:val="bullet"/>
      <w:pStyle w:val="EBAcont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8"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5812164"/>
    <w:multiLevelType w:val="hybridMultilevel"/>
    <w:tmpl w:val="53FA1EAA"/>
    <w:lvl w:ilvl="0" w:tplc="7448504E">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AEFC788E">
      <w:start w:val="1"/>
      <w:numFmt w:val="lowerLetter"/>
      <w:lvlText w:val="%3."/>
      <w:lvlJc w:val="left"/>
      <w:pPr>
        <w:tabs>
          <w:tab w:val="num" w:pos="2160"/>
        </w:tabs>
        <w:ind w:left="2160" w:hanging="180"/>
      </w:pPr>
      <w:rPr>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805F97"/>
    <w:multiLevelType w:val="hybridMultilevel"/>
    <w:tmpl w:val="732A6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834977"/>
    <w:multiLevelType w:val="multilevel"/>
    <w:tmpl w:val="44C47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5"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E972FD"/>
    <w:multiLevelType w:val="hybridMultilevel"/>
    <w:tmpl w:val="4854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4"/>
  </w:num>
  <w:num w:numId="3">
    <w:abstractNumId w:val="2"/>
  </w:num>
  <w:num w:numId="4">
    <w:abstractNumId w:val="24"/>
  </w:num>
  <w:num w:numId="5">
    <w:abstractNumId w:val="17"/>
  </w:num>
  <w:num w:numId="6">
    <w:abstractNumId w:val="19"/>
  </w:num>
  <w:num w:numId="7">
    <w:abstractNumId w:val="31"/>
  </w:num>
  <w:num w:numId="8">
    <w:abstractNumId w:val="35"/>
  </w:num>
  <w:num w:numId="9">
    <w:abstractNumId w:val="0"/>
  </w:num>
  <w:num w:numId="10">
    <w:abstractNumId w:val="3"/>
  </w:num>
  <w:num w:numId="11">
    <w:abstractNumId w:val="14"/>
  </w:num>
  <w:num w:numId="12">
    <w:abstractNumId w:val="11"/>
  </w:num>
  <w:num w:numId="13">
    <w:abstractNumId w:val="12"/>
  </w:num>
  <w:num w:numId="14">
    <w:abstractNumId w:val="25"/>
  </w:num>
  <w:num w:numId="15">
    <w:abstractNumId w:val="18"/>
  </w:num>
  <w:num w:numId="16">
    <w:abstractNumId w:val="34"/>
  </w:num>
  <w:num w:numId="17">
    <w:abstractNumId w:val="30"/>
  </w:num>
  <w:num w:numId="18">
    <w:abstractNumId w:val="22"/>
  </w:num>
  <w:num w:numId="19">
    <w:abstractNumId w:val="23"/>
  </w:num>
  <w:num w:numId="20">
    <w:abstractNumId w:val="10"/>
  </w:num>
  <w:num w:numId="21">
    <w:abstractNumId w:val="33"/>
  </w:num>
  <w:num w:numId="22">
    <w:abstractNumId w:val="29"/>
  </w:num>
  <w:num w:numId="23">
    <w:abstractNumId w:val="16"/>
  </w:num>
  <w:num w:numId="24">
    <w:abstractNumId w:val="32"/>
  </w:num>
  <w:num w:numId="25">
    <w:abstractNumId w:val="8"/>
  </w:num>
  <w:num w:numId="26">
    <w:abstractNumId w:val="7"/>
  </w:num>
  <w:num w:numId="27">
    <w:abstractNumId w:val="20"/>
  </w:num>
  <w:num w:numId="28">
    <w:abstractNumId w:val="5"/>
  </w:num>
  <w:num w:numId="29">
    <w:abstractNumId w:val="1"/>
  </w:num>
  <w:num w:numId="30">
    <w:abstractNumId w:val="9"/>
  </w:num>
  <w:num w:numId="31">
    <w:abstractNumId w:val="28"/>
  </w:num>
  <w:num w:numId="32">
    <w:abstractNumId w:val="36"/>
  </w:num>
  <w:num w:numId="33">
    <w:abstractNumId w:val="27"/>
  </w:num>
  <w:num w:numId="34">
    <w:abstractNumId w:val="21"/>
  </w:num>
  <w:num w:numId="35">
    <w:abstractNumId w:val="13"/>
  </w:num>
  <w:num w:numId="36">
    <w:abstractNumId w:val="6"/>
  </w:num>
  <w:num w:numId="37">
    <w:abstractNumId w:val="15"/>
  </w:num>
  <w:num w:numId="38">
    <w:abstractNumId w:val="13"/>
  </w:num>
  <w:num w:numId="39">
    <w:abstractNumId w:val="13"/>
  </w:num>
  <w:num w:numId="40">
    <w:abstractNumId w:val="13"/>
  </w:num>
  <w:num w:numId="41">
    <w:abstractNumId w:val="13"/>
  </w:num>
  <w:num w:numId="42">
    <w:abstractNumId w:val="13"/>
  </w:num>
  <w:num w:numId="4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h6so12VL+KNsAzSx+0SUTWfkUVF8v+hUZ6CuWomwuBrtLPQdGCUq8JcGV6ZoeQNFeww4M1mTcLdMywSwRXHKew==" w:salt="wMDM7g4DAqmkr7QOcwL89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11BF"/>
    <w:rsid w:val="00004CEE"/>
    <w:rsid w:val="00007B11"/>
    <w:rsid w:val="00017ABA"/>
    <w:rsid w:val="00027C18"/>
    <w:rsid w:val="00044778"/>
    <w:rsid w:val="00053B5B"/>
    <w:rsid w:val="0005412F"/>
    <w:rsid w:val="00062AF2"/>
    <w:rsid w:val="000643D3"/>
    <w:rsid w:val="000739FA"/>
    <w:rsid w:val="00095806"/>
    <w:rsid w:val="00097406"/>
    <w:rsid w:val="000C11C4"/>
    <w:rsid w:val="000C1EC5"/>
    <w:rsid w:val="000C4B60"/>
    <w:rsid w:val="000C58C5"/>
    <w:rsid w:val="000C67E0"/>
    <w:rsid w:val="000D491A"/>
    <w:rsid w:val="000D6E0F"/>
    <w:rsid w:val="000E143E"/>
    <w:rsid w:val="000E695D"/>
    <w:rsid w:val="000F30D7"/>
    <w:rsid w:val="000F759A"/>
    <w:rsid w:val="001178DF"/>
    <w:rsid w:val="00122F86"/>
    <w:rsid w:val="001349B9"/>
    <w:rsid w:val="001519CC"/>
    <w:rsid w:val="0015213C"/>
    <w:rsid w:val="00160BD6"/>
    <w:rsid w:val="00161D80"/>
    <w:rsid w:val="001668C7"/>
    <w:rsid w:val="00176851"/>
    <w:rsid w:val="0019217E"/>
    <w:rsid w:val="0019546A"/>
    <w:rsid w:val="001C2A90"/>
    <w:rsid w:val="001F57B2"/>
    <w:rsid w:val="001F697B"/>
    <w:rsid w:val="00201BC6"/>
    <w:rsid w:val="00217BEA"/>
    <w:rsid w:val="00224251"/>
    <w:rsid w:val="00225707"/>
    <w:rsid w:val="00232056"/>
    <w:rsid w:val="00232F92"/>
    <w:rsid w:val="00234246"/>
    <w:rsid w:val="00251B6E"/>
    <w:rsid w:val="00264F87"/>
    <w:rsid w:val="002655A4"/>
    <w:rsid w:val="002700D4"/>
    <w:rsid w:val="00285683"/>
    <w:rsid w:val="00297320"/>
    <w:rsid w:val="002A0097"/>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0F09"/>
    <w:rsid w:val="00373A3A"/>
    <w:rsid w:val="003A467A"/>
    <w:rsid w:val="003C4DC2"/>
    <w:rsid w:val="003D2301"/>
    <w:rsid w:val="003D312B"/>
    <w:rsid w:val="0040009B"/>
    <w:rsid w:val="004033BE"/>
    <w:rsid w:val="00414793"/>
    <w:rsid w:val="004225DB"/>
    <w:rsid w:val="00454403"/>
    <w:rsid w:val="00455B8E"/>
    <w:rsid w:val="004624AC"/>
    <w:rsid w:val="00467551"/>
    <w:rsid w:val="0047769C"/>
    <w:rsid w:val="00481E12"/>
    <w:rsid w:val="004A2097"/>
    <w:rsid w:val="004A3599"/>
    <w:rsid w:val="004B0246"/>
    <w:rsid w:val="004B13F4"/>
    <w:rsid w:val="004B47A2"/>
    <w:rsid w:val="004E513C"/>
    <w:rsid w:val="004E5F2D"/>
    <w:rsid w:val="00501C4A"/>
    <w:rsid w:val="00502E28"/>
    <w:rsid w:val="00515693"/>
    <w:rsid w:val="0051597C"/>
    <w:rsid w:val="005203B1"/>
    <w:rsid w:val="00540579"/>
    <w:rsid w:val="0054255D"/>
    <w:rsid w:val="00546AB8"/>
    <w:rsid w:val="00550433"/>
    <w:rsid w:val="005504F2"/>
    <w:rsid w:val="00592D59"/>
    <w:rsid w:val="005A1ED9"/>
    <w:rsid w:val="005B4038"/>
    <w:rsid w:val="005B6CB8"/>
    <w:rsid w:val="005D52B4"/>
    <w:rsid w:val="005E09EF"/>
    <w:rsid w:val="005F49B0"/>
    <w:rsid w:val="00600050"/>
    <w:rsid w:val="00601A22"/>
    <w:rsid w:val="00606FD3"/>
    <w:rsid w:val="00610E5E"/>
    <w:rsid w:val="00622BA8"/>
    <w:rsid w:val="00632876"/>
    <w:rsid w:val="006459BC"/>
    <w:rsid w:val="006600F9"/>
    <w:rsid w:val="00660D48"/>
    <w:rsid w:val="006622F7"/>
    <w:rsid w:val="006720F2"/>
    <w:rsid w:val="00675070"/>
    <w:rsid w:val="00675FE1"/>
    <w:rsid w:val="00685618"/>
    <w:rsid w:val="006869AF"/>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F0D3A"/>
    <w:rsid w:val="00804D8A"/>
    <w:rsid w:val="00836AAE"/>
    <w:rsid w:val="0083764F"/>
    <w:rsid w:val="008426A2"/>
    <w:rsid w:val="00851830"/>
    <w:rsid w:val="00852AEE"/>
    <w:rsid w:val="00866872"/>
    <w:rsid w:val="00872EE6"/>
    <w:rsid w:val="008738AB"/>
    <w:rsid w:val="00887547"/>
    <w:rsid w:val="00893217"/>
    <w:rsid w:val="008A18DD"/>
    <w:rsid w:val="008A549D"/>
    <w:rsid w:val="008A757B"/>
    <w:rsid w:val="008B29F1"/>
    <w:rsid w:val="008B2FC6"/>
    <w:rsid w:val="008B46B1"/>
    <w:rsid w:val="008B4E5D"/>
    <w:rsid w:val="008C6A69"/>
    <w:rsid w:val="008D0D58"/>
    <w:rsid w:val="008D3181"/>
    <w:rsid w:val="008F16C3"/>
    <w:rsid w:val="00917875"/>
    <w:rsid w:val="0092442E"/>
    <w:rsid w:val="00927692"/>
    <w:rsid w:val="00932801"/>
    <w:rsid w:val="00950713"/>
    <w:rsid w:val="00955242"/>
    <w:rsid w:val="0097058A"/>
    <w:rsid w:val="00972517"/>
    <w:rsid w:val="009828AD"/>
    <w:rsid w:val="00983749"/>
    <w:rsid w:val="0098619D"/>
    <w:rsid w:val="00987296"/>
    <w:rsid w:val="009963F3"/>
    <w:rsid w:val="009A1EC2"/>
    <w:rsid w:val="009A5208"/>
    <w:rsid w:val="009A52A6"/>
    <w:rsid w:val="009A6A9D"/>
    <w:rsid w:val="009B1CEE"/>
    <w:rsid w:val="009C239E"/>
    <w:rsid w:val="009D09A0"/>
    <w:rsid w:val="009D7C29"/>
    <w:rsid w:val="009E6DEF"/>
    <w:rsid w:val="009F24EB"/>
    <w:rsid w:val="009F5377"/>
    <w:rsid w:val="009F6648"/>
    <w:rsid w:val="00A0110F"/>
    <w:rsid w:val="00A039FA"/>
    <w:rsid w:val="00A05D7B"/>
    <w:rsid w:val="00A064CA"/>
    <w:rsid w:val="00A1461C"/>
    <w:rsid w:val="00A1694B"/>
    <w:rsid w:val="00A17FBA"/>
    <w:rsid w:val="00A22233"/>
    <w:rsid w:val="00A236D2"/>
    <w:rsid w:val="00A33F24"/>
    <w:rsid w:val="00A3435D"/>
    <w:rsid w:val="00A362C7"/>
    <w:rsid w:val="00A365D6"/>
    <w:rsid w:val="00A420EE"/>
    <w:rsid w:val="00A4227A"/>
    <w:rsid w:val="00A4280C"/>
    <w:rsid w:val="00A65B1F"/>
    <w:rsid w:val="00A8515D"/>
    <w:rsid w:val="00A96083"/>
    <w:rsid w:val="00AA40D3"/>
    <w:rsid w:val="00AA6616"/>
    <w:rsid w:val="00AB07C4"/>
    <w:rsid w:val="00AF0984"/>
    <w:rsid w:val="00B00CF4"/>
    <w:rsid w:val="00B03511"/>
    <w:rsid w:val="00B125C8"/>
    <w:rsid w:val="00B21F01"/>
    <w:rsid w:val="00B24784"/>
    <w:rsid w:val="00B25446"/>
    <w:rsid w:val="00B44922"/>
    <w:rsid w:val="00B60F4B"/>
    <w:rsid w:val="00B62BDA"/>
    <w:rsid w:val="00B76521"/>
    <w:rsid w:val="00B778B6"/>
    <w:rsid w:val="00B81142"/>
    <w:rsid w:val="00B835C9"/>
    <w:rsid w:val="00B85DDA"/>
    <w:rsid w:val="00BB3781"/>
    <w:rsid w:val="00BC0EBF"/>
    <w:rsid w:val="00BC576A"/>
    <w:rsid w:val="00BE64D3"/>
    <w:rsid w:val="00BF7DA7"/>
    <w:rsid w:val="00C00348"/>
    <w:rsid w:val="00C03A60"/>
    <w:rsid w:val="00C220B5"/>
    <w:rsid w:val="00C22E13"/>
    <w:rsid w:val="00C27C8F"/>
    <w:rsid w:val="00C40F05"/>
    <w:rsid w:val="00C4514A"/>
    <w:rsid w:val="00C4549B"/>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35CC"/>
    <w:rsid w:val="00CC4B85"/>
    <w:rsid w:val="00CD1F43"/>
    <w:rsid w:val="00D1389E"/>
    <w:rsid w:val="00D2175D"/>
    <w:rsid w:val="00D3308C"/>
    <w:rsid w:val="00D5323B"/>
    <w:rsid w:val="00D54507"/>
    <w:rsid w:val="00D661C1"/>
    <w:rsid w:val="00D807D1"/>
    <w:rsid w:val="00D83EC7"/>
    <w:rsid w:val="00DB6BF4"/>
    <w:rsid w:val="00DB6DE8"/>
    <w:rsid w:val="00DE054A"/>
    <w:rsid w:val="00DE3FD9"/>
    <w:rsid w:val="00E0346D"/>
    <w:rsid w:val="00E164D1"/>
    <w:rsid w:val="00E16740"/>
    <w:rsid w:val="00E60746"/>
    <w:rsid w:val="00E60B72"/>
    <w:rsid w:val="00E63320"/>
    <w:rsid w:val="00E655EE"/>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5293E"/>
    <w:rsid w:val="00F624AA"/>
    <w:rsid w:val="00F63BAE"/>
    <w:rsid w:val="00F6669E"/>
    <w:rsid w:val="00F76D61"/>
    <w:rsid w:val="00F80820"/>
    <w:rsid w:val="00F87688"/>
    <w:rsid w:val="00FA0F74"/>
    <w:rsid w:val="00FA1D83"/>
    <w:rsid w:val="00FA2980"/>
    <w:rsid w:val="00FA6E6B"/>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F7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FA0F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F74"/>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9D7C29"/>
    <w:rPr>
      <w:rFonts w:ascii="VIC SemiBold" w:hAnsi="VIC SemiBold"/>
      <w:b w:val="0"/>
    </w:rPr>
  </w:style>
  <w:style w:type="paragraph" w:styleId="TOC2">
    <w:name w:val="toc 2"/>
    <w:basedOn w:val="TCPTOCLevel2"/>
    <w:next w:val="Normal"/>
    <w:autoRedefine/>
    <w:uiPriority w:val="39"/>
    <w:unhideWhenUsed/>
    <w:rsid w:val="009D7C29"/>
    <w:rPr>
      <w:b w:val="0"/>
    </w:rPr>
  </w:style>
  <w:style w:type="paragraph" w:styleId="TOC3">
    <w:name w:val="toc 3"/>
    <w:basedOn w:val="TCPTOCLevel3"/>
    <w:next w:val="Normal"/>
    <w:autoRedefine/>
    <w:uiPriority w:val="39"/>
    <w:unhideWhenUsed/>
    <w:rsid w:val="00C4514A"/>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C4514A"/>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BB3781"/>
    <w:pPr>
      <w:ind w:left="720"/>
      <w:contextualSpacing/>
    </w:pPr>
  </w:style>
  <w:style w:type="paragraph" w:customStyle="1" w:styleId="heading2black">
    <w:name w:val="# heading 2 black"/>
    <w:basedOn w:val="bodycopy"/>
    <w:next w:val="bodycopy"/>
    <w:qFormat/>
    <w:rsid w:val="009D7C29"/>
    <w:pPr>
      <w:numPr>
        <w:numId w:val="35"/>
      </w:numPr>
      <w:spacing w:before="120"/>
      <w:outlineLvl w:val="1"/>
    </w:pPr>
    <w:rPr>
      <w:b/>
      <w:color w:val="auto"/>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uiPriority w:val="59"/>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Level1">
    <w:name w:val="Level 1"/>
    <w:next w:val="Normal"/>
    <w:qFormat/>
    <w:rsid w:val="00A1461C"/>
    <w:pPr>
      <w:keepNext/>
      <w:numPr>
        <w:numId w:val="29"/>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qFormat/>
    <w:rsid w:val="00A1461C"/>
    <w:pPr>
      <w:numPr>
        <w:ilvl w:val="1"/>
        <w:numId w:val="29"/>
      </w:numPr>
      <w:spacing w:before="200" w:after="60"/>
      <w:jc w:val="both"/>
      <w:outlineLvl w:val="3"/>
    </w:pPr>
    <w:rPr>
      <w:rFonts w:asciiTheme="majorHAnsi" w:eastAsiaTheme="majorEastAsia" w:hAnsiTheme="majorHAnsi" w:cs="Arial"/>
      <w:bCs/>
      <w:iCs/>
      <w:color w:val="4F81BD" w:themeColor="accent1"/>
      <w:sz w:val="24"/>
      <w:szCs w:val="28"/>
      <w:lang w:val="en-GB"/>
    </w:rPr>
  </w:style>
  <w:style w:type="paragraph" w:customStyle="1" w:styleId="Level3">
    <w:name w:val="Level 3"/>
    <w:basedOn w:val="Normal"/>
    <w:next w:val="Normal"/>
    <w:link w:val="Level3Char"/>
    <w:qFormat/>
    <w:rsid w:val="00A1461C"/>
    <w:pPr>
      <w:numPr>
        <w:ilvl w:val="2"/>
        <w:numId w:val="29"/>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A1461C"/>
    <w:pPr>
      <w:numPr>
        <w:ilvl w:val="3"/>
        <w:numId w:val="29"/>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3Char">
    <w:name w:val="Level 3 Char"/>
    <w:basedOn w:val="DefaultParagraphFont"/>
    <w:link w:val="Level3"/>
    <w:rsid w:val="00A1461C"/>
    <w:rPr>
      <w:rFonts w:ascii="Times New Roman" w:eastAsia="Times New Roman" w:hAnsi="Times New Roman"/>
      <w:sz w:val="24"/>
      <w:szCs w:val="24"/>
    </w:rPr>
  </w:style>
  <w:style w:type="paragraph" w:customStyle="1" w:styleId="EBAcontent">
    <w:name w:val="EBA content"/>
    <w:basedOn w:val="TCPHeading2"/>
    <w:link w:val="EBAcontentChar"/>
    <w:qFormat/>
    <w:rsid w:val="009D7C29"/>
    <w:pPr>
      <w:numPr>
        <w:numId w:val="37"/>
      </w:numPr>
    </w:pPr>
    <w:rPr>
      <w:rFonts w:ascii="Times New Roman" w:eastAsia="Times New Roman" w:hAnsi="Times New Roman"/>
      <w:color w:val="auto"/>
      <w:sz w:val="22"/>
      <w:szCs w:val="22"/>
      <w:lang w:eastAsia="en-AU"/>
    </w:rPr>
  </w:style>
  <w:style w:type="character" w:customStyle="1" w:styleId="TCPHeading1Char">
    <w:name w:val="TCP Heading 1 Char"/>
    <w:basedOn w:val="DefaultParagraphFont"/>
    <w:link w:val="TCPHeading1"/>
    <w:rsid w:val="009D7C29"/>
    <w:rPr>
      <w:rFonts w:ascii="VIC" w:hAnsi="VIC"/>
      <w:b/>
      <w:color w:val="004C97"/>
      <w:sz w:val="36"/>
      <w:szCs w:val="36"/>
      <w:lang w:eastAsia="en-US"/>
    </w:rPr>
  </w:style>
  <w:style w:type="character" w:customStyle="1" w:styleId="TCPHeading2Char">
    <w:name w:val="TCP Heading 2 Char"/>
    <w:basedOn w:val="TCPHeading1Char"/>
    <w:link w:val="TCPHeading2"/>
    <w:rsid w:val="009D7C29"/>
    <w:rPr>
      <w:rFonts w:ascii="VIC" w:hAnsi="VIC"/>
      <w:b w:val="0"/>
      <w:color w:val="004C97"/>
      <w:sz w:val="32"/>
      <w:szCs w:val="32"/>
      <w:lang w:eastAsia="en-US"/>
    </w:rPr>
  </w:style>
  <w:style w:type="character" w:customStyle="1" w:styleId="EBAcontentChar">
    <w:name w:val="EBA content Char"/>
    <w:basedOn w:val="TCPHeading2Char"/>
    <w:link w:val="EBAcontent"/>
    <w:rsid w:val="009D7C29"/>
    <w:rPr>
      <w:rFonts w:ascii="Times New Roman" w:eastAsia="Times New Roman" w:hAnsi="Times New Roman"/>
      <w:b w:val="0"/>
      <w:color w:val="004C9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psc.vic.gov.au/wp-content/uploads/2017/01/Standards-for-the-Application-of-the-Public-Sector-Employment-Principles-2017.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86C92-BCA7-4A90-8489-5EA5239E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9754</Characters>
  <Application>Microsoft Office Word</Application>
  <DocSecurity>8</DocSecurity>
  <Lines>81</Lines>
  <Paragraphs>22</Paragraphs>
  <ScaleCrop>false</ScaleCrop>
  <Company/>
  <LinksUpToDate>false</LinksUpToDate>
  <CharactersWithSpaces>11443</CharactersWithSpaces>
  <SharedDoc>false</SharedDoc>
  <HLinks>
    <vt:vector size="12" baseType="variant">
      <vt:variant>
        <vt:i4>4915229</vt:i4>
      </vt:variant>
      <vt:variant>
        <vt:i4>57</vt:i4>
      </vt:variant>
      <vt:variant>
        <vt:i4>0</vt:i4>
      </vt:variant>
      <vt:variant>
        <vt:i4>5</vt:i4>
      </vt:variant>
      <vt:variant>
        <vt:lpwstr>https://vpsc.vic.gov.au/wp-content/uploads/2017/01/Standards-for-the-Application-of-the-Public-Sector-Employment-Principles-2017.pdf</vt:lpwstr>
      </vt:variant>
      <vt:variant>
        <vt:lpwstr/>
      </vt:variant>
      <vt:variant>
        <vt:i4>5570568</vt:i4>
      </vt:variant>
      <vt:variant>
        <vt:i4>9</vt:i4>
      </vt:variant>
      <vt:variant>
        <vt:i4>0</vt:i4>
      </vt:variant>
      <vt:variant>
        <vt:i4>5</vt:i4>
      </vt:variant>
      <vt:variant>
        <vt:lpwstr>https://vpsc.vic.gov.au/vps-enterprise-agreement-common-policies/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2019-10-11T01:19:00Z</dcterms:created>
  <dcterms:modified xsi:type="dcterms:W3CDTF">2019-10-11T01:19:00Z</dcterms:modified>
  <cp:contentStatus/>
</cp:coreProperties>
</file>