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44031" w14:textId="77777777" w:rsidR="0026293C" w:rsidRDefault="0026293C" w:rsidP="00622554">
      <w:pPr>
        <w:pStyle w:val="Title"/>
      </w:pPr>
    </w:p>
    <w:p w14:paraId="54F4E526" w14:textId="77777777" w:rsidR="0026293C" w:rsidRDefault="0026293C" w:rsidP="00622554">
      <w:pPr>
        <w:pStyle w:val="Title"/>
      </w:pPr>
    </w:p>
    <w:p w14:paraId="6555D008" w14:textId="3F953C36" w:rsidR="000132C3" w:rsidRDefault="000132C3" w:rsidP="00622554">
      <w:pPr>
        <w:pStyle w:val="Title"/>
      </w:pPr>
      <w:bookmarkStart w:id="0" w:name="_Toc73541437"/>
      <w:bookmarkStart w:id="1" w:name="_Toc73541675"/>
      <w:bookmarkStart w:id="2" w:name="_Toc73542054"/>
      <w:r>
        <w:t xml:space="preserve">Victorian Public Sector </w:t>
      </w:r>
      <w:r w:rsidR="00F8706A">
        <w:br/>
      </w:r>
      <w:r>
        <w:t>Commission</w:t>
      </w:r>
      <w:bookmarkEnd w:id="0"/>
      <w:bookmarkEnd w:id="1"/>
      <w:bookmarkEnd w:id="2"/>
    </w:p>
    <w:p w14:paraId="1F96BE05" w14:textId="125A37A8" w:rsidR="00B60A84" w:rsidRPr="00815E8B" w:rsidRDefault="000132C3" w:rsidP="00622554">
      <w:pPr>
        <w:pStyle w:val="Subtitle"/>
        <w:rPr>
          <w:color w:val="auto"/>
        </w:rPr>
      </w:pPr>
      <w:r w:rsidRPr="00815E8B">
        <w:rPr>
          <w:color w:val="auto"/>
        </w:rPr>
        <w:t>Annual Report 2020-21</w:t>
      </w:r>
    </w:p>
    <w:p w14:paraId="558C2FDE" w14:textId="77777777" w:rsidR="00B60A84" w:rsidRPr="00973F22" w:rsidRDefault="00B60A84" w:rsidP="00973F22">
      <w:r>
        <w:br w:type="page"/>
      </w:r>
    </w:p>
    <w:p w14:paraId="46C85334" w14:textId="3DF341E4" w:rsidR="00621F50" w:rsidRDefault="00621F50" w:rsidP="00C33B82">
      <w:pPr>
        <w:pStyle w:val="Heading20"/>
      </w:pPr>
      <w:r>
        <w:lastRenderedPageBreak/>
        <w:t>Responsible body’s declaration</w:t>
      </w:r>
    </w:p>
    <w:p w14:paraId="3833989A" w14:textId="1A9BCD1E" w:rsidR="00621F50" w:rsidRDefault="00621F50" w:rsidP="00621F50">
      <w:r>
        <w:t xml:space="preserve">In accordance with the </w:t>
      </w:r>
      <w:r w:rsidRPr="008F439D">
        <w:t>Financia</w:t>
      </w:r>
      <w:r w:rsidR="00A91575">
        <w:t>l</w:t>
      </w:r>
      <w:r w:rsidRPr="008F439D">
        <w:t xml:space="preserve"> Management Act 1994,</w:t>
      </w:r>
      <w:r>
        <w:t xml:space="preserve"> I am pleased to present the Victorian Public Sector Commission’s Annual Report for the year ending 30 June 2021.</w:t>
      </w:r>
    </w:p>
    <w:p w14:paraId="5118E440" w14:textId="3752A340" w:rsidR="00D57E57" w:rsidRDefault="00D57E57" w:rsidP="00621F50"/>
    <w:p w14:paraId="6FBF9651" w14:textId="552B2B42" w:rsidR="00D57E57" w:rsidRDefault="00D57E57" w:rsidP="00621F50"/>
    <w:p w14:paraId="12A4B960" w14:textId="42F94457" w:rsidR="006F366E" w:rsidRDefault="00621F50" w:rsidP="00621F50">
      <w:r w:rsidRPr="00134B19">
        <w:rPr>
          <w:rStyle w:val="Strong"/>
        </w:rPr>
        <w:t>Adam Fennessy</w:t>
      </w:r>
      <w:r w:rsidR="00E915FC" w:rsidRPr="00134B19">
        <w:rPr>
          <w:rStyle w:val="Strong"/>
        </w:rPr>
        <w:t xml:space="preserve"> PSM</w:t>
      </w:r>
      <w:r>
        <w:br/>
        <w:t>Commissioner</w:t>
      </w:r>
      <w:r>
        <w:br/>
        <w:t>Victorian Public Sector Commission</w:t>
      </w:r>
    </w:p>
    <w:p w14:paraId="6DDC2C78" w14:textId="4F4744DC" w:rsidR="00621F50" w:rsidRPr="00621F50" w:rsidRDefault="00D57E57" w:rsidP="00621F50">
      <w:r>
        <w:t>25 October 2021</w:t>
      </w:r>
    </w:p>
    <w:p w14:paraId="114429E4" w14:textId="64916524" w:rsidR="00621F50" w:rsidRDefault="00621F50">
      <w:pPr>
        <w:spacing w:after="0" w:line="240" w:lineRule="auto"/>
        <w:rPr>
          <w:rFonts w:cstheme="majorBidi"/>
          <w:b/>
          <w:bCs/>
          <w:color w:val="00573F" w:themeColor="text2"/>
          <w:sz w:val="52"/>
          <w:szCs w:val="52"/>
        </w:rPr>
      </w:pPr>
      <w:r>
        <w:br w:type="page"/>
      </w:r>
    </w:p>
    <w:p w14:paraId="7E153E99" w14:textId="2E26602B" w:rsidR="00B60A84" w:rsidRPr="00E6225F" w:rsidRDefault="0013047F" w:rsidP="00E6225F">
      <w:pPr>
        <w:pStyle w:val="Title"/>
      </w:pPr>
      <w:bookmarkStart w:id="3" w:name="_Toc73541438"/>
      <w:bookmarkStart w:id="4" w:name="_Toc73542055"/>
      <w:r>
        <w:lastRenderedPageBreak/>
        <w:t>Contents</w:t>
      </w:r>
      <w:bookmarkEnd w:id="3"/>
      <w:bookmarkEnd w:id="4"/>
    </w:p>
    <w:tbl>
      <w:tblPr>
        <w:tblStyle w:val="TableHorizontal"/>
        <w:tblW w:w="5000" w:type="pct"/>
        <w:tblLook w:val="0420" w:firstRow="1" w:lastRow="0" w:firstColumn="0" w:lastColumn="0" w:noHBand="0" w:noVBand="1"/>
      </w:tblPr>
      <w:tblGrid>
        <w:gridCol w:w="8041"/>
        <w:gridCol w:w="1313"/>
      </w:tblGrid>
      <w:tr w:rsidR="00E02097" w14:paraId="3A55A2DF" w14:textId="77777777" w:rsidTr="00232785">
        <w:trPr>
          <w:cnfStyle w:val="100000000000" w:firstRow="1" w:lastRow="0" w:firstColumn="0" w:lastColumn="0" w:oddVBand="0" w:evenVBand="0" w:oddHBand="0" w:evenHBand="0" w:firstRowFirstColumn="0" w:firstRowLastColumn="0" w:lastRowFirstColumn="0" w:lastRowLastColumn="0"/>
        </w:trPr>
        <w:tc>
          <w:tcPr>
            <w:tcW w:w="4298" w:type="pct"/>
          </w:tcPr>
          <w:p w14:paraId="04CC0366" w14:textId="3DD344A8" w:rsidR="00E02097" w:rsidRPr="00E02097" w:rsidRDefault="00E02097" w:rsidP="00E02097">
            <w:pPr>
              <w:pStyle w:val="TableBody"/>
              <w:rPr>
                <w:rFonts w:asciiTheme="minorHAnsi" w:hAnsiTheme="minorHAnsi"/>
              </w:rPr>
            </w:pPr>
            <w:r w:rsidRPr="00E02097">
              <w:rPr>
                <w:rFonts w:asciiTheme="minorHAnsi" w:hAnsiTheme="minorHAnsi"/>
                <w:color w:val="auto"/>
              </w:rPr>
              <w:t>Responsible body’s declaration</w:t>
            </w:r>
          </w:p>
        </w:tc>
        <w:tc>
          <w:tcPr>
            <w:tcW w:w="702" w:type="pct"/>
          </w:tcPr>
          <w:p w14:paraId="21AB0E70" w14:textId="3016DACA" w:rsidR="00E02097" w:rsidRPr="00E02097" w:rsidRDefault="00E17542" w:rsidP="00E02097">
            <w:pPr>
              <w:pStyle w:val="TableBody"/>
              <w:jc w:val="right"/>
              <w:rPr>
                <w:rFonts w:asciiTheme="minorHAnsi" w:hAnsiTheme="minorHAnsi"/>
              </w:rPr>
            </w:pPr>
            <w:r w:rsidRPr="00E17542">
              <w:rPr>
                <w:rFonts w:asciiTheme="minorHAnsi" w:hAnsiTheme="minorHAnsi"/>
                <w:color w:val="auto"/>
              </w:rPr>
              <w:t>2</w:t>
            </w:r>
          </w:p>
        </w:tc>
      </w:tr>
      <w:tr w:rsidR="00E02097" w14:paraId="40605457" w14:textId="77777777" w:rsidTr="00232785">
        <w:trPr>
          <w:cnfStyle w:val="000000100000" w:firstRow="0" w:lastRow="0" w:firstColumn="0" w:lastColumn="0" w:oddVBand="0" w:evenVBand="0" w:oddHBand="1" w:evenHBand="0" w:firstRowFirstColumn="0" w:firstRowLastColumn="0" w:lastRowFirstColumn="0" w:lastRowLastColumn="0"/>
        </w:trPr>
        <w:tc>
          <w:tcPr>
            <w:tcW w:w="4298" w:type="pct"/>
            <w:tcBorders>
              <w:right w:val="nil"/>
            </w:tcBorders>
          </w:tcPr>
          <w:p w14:paraId="212A2AA9" w14:textId="791DE2BF" w:rsidR="00E02097" w:rsidRPr="00973F22" w:rsidRDefault="00E02097" w:rsidP="00F64188">
            <w:pPr>
              <w:pStyle w:val="TableHeader"/>
            </w:pPr>
            <w:r>
              <w:t>Report of operations</w:t>
            </w:r>
          </w:p>
        </w:tc>
        <w:tc>
          <w:tcPr>
            <w:tcW w:w="702" w:type="pct"/>
            <w:tcBorders>
              <w:top w:val="single" w:sz="12" w:space="0" w:color="00573F" w:themeColor="text2"/>
              <w:left w:val="nil"/>
            </w:tcBorders>
          </w:tcPr>
          <w:p w14:paraId="69B34AAB" w14:textId="0C91454B" w:rsidR="00E02097" w:rsidRPr="00E02097" w:rsidRDefault="00E02097" w:rsidP="00E02097">
            <w:pPr>
              <w:pStyle w:val="TableBody"/>
              <w:jc w:val="right"/>
            </w:pPr>
          </w:p>
        </w:tc>
      </w:tr>
      <w:tr w:rsidR="00E02097" w14:paraId="435759BB" w14:textId="77777777" w:rsidTr="00232785">
        <w:trPr>
          <w:cnfStyle w:val="000000010000" w:firstRow="0" w:lastRow="0" w:firstColumn="0" w:lastColumn="0" w:oddVBand="0" w:evenVBand="0" w:oddHBand="0" w:evenHBand="1" w:firstRowFirstColumn="0" w:firstRowLastColumn="0" w:lastRowFirstColumn="0" w:lastRowLastColumn="0"/>
        </w:trPr>
        <w:tc>
          <w:tcPr>
            <w:tcW w:w="4298" w:type="pct"/>
            <w:tcBorders>
              <w:right w:val="nil"/>
            </w:tcBorders>
          </w:tcPr>
          <w:p w14:paraId="4A9064D2" w14:textId="35676660" w:rsidR="00E02097" w:rsidRPr="00E17542" w:rsidRDefault="00E02097" w:rsidP="00F64188">
            <w:pPr>
              <w:pStyle w:val="TableBody"/>
            </w:pPr>
            <w:r w:rsidRPr="00121EF6">
              <w:t>Section 1: year in review</w:t>
            </w:r>
          </w:p>
        </w:tc>
        <w:tc>
          <w:tcPr>
            <w:tcW w:w="702" w:type="pct"/>
            <w:tcBorders>
              <w:left w:val="nil"/>
            </w:tcBorders>
          </w:tcPr>
          <w:p w14:paraId="2078B69D" w14:textId="03FEBB26" w:rsidR="00E02097" w:rsidRPr="00E02097" w:rsidRDefault="009F3FBC" w:rsidP="00E02097">
            <w:pPr>
              <w:pStyle w:val="TableBody"/>
              <w:jc w:val="right"/>
            </w:pPr>
            <w:r>
              <w:t>4</w:t>
            </w:r>
          </w:p>
        </w:tc>
      </w:tr>
      <w:tr w:rsidR="00E02097" w14:paraId="3F903373" w14:textId="77777777" w:rsidTr="00232785">
        <w:trPr>
          <w:cnfStyle w:val="000000100000" w:firstRow="0" w:lastRow="0" w:firstColumn="0" w:lastColumn="0" w:oddVBand="0" w:evenVBand="0" w:oddHBand="1" w:evenHBand="0" w:firstRowFirstColumn="0" w:firstRowLastColumn="0" w:lastRowFirstColumn="0" w:lastRowLastColumn="0"/>
        </w:trPr>
        <w:tc>
          <w:tcPr>
            <w:tcW w:w="4298" w:type="pct"/>
            <w:tcBorders>
              <w:right w:val="nil"/>
            </w:tcBorders>
          </w:tcPr>
          <w:p w14:paraId="091A2EDB" w14:textId="0BB1DABD" w:rsidR="00E02097" w:rsidRPr="00E17542" w:rsidRDefault="00E02097" w:rsidP="00F64188">
            <w:pPr>
              <w:pStyle w:val="TableBody"/>
            </w:pPr>
            <w:r w:rsidRPr="00121EF6">
              <w:t>Section 2: governance and organisational structure</w:t>
            </w:r>
          </w:p>
        </w:tc>
        <w:tc>
          <w:tcPr>
            <w:tcW w:w="702" w:type="pct"/>
            <w:tcBorders>
              <w:left w:val="nil"/>
            </w:tcBorders>
          </w:tcPr>
          <w:p w14:paraId="4C844BD1" w14:textId="0E5C9D01" w:rsidR="00E02097" w:rsidRPr="00E02097" w:rsidRDefault="009F3FBC" w:rsidP="00E02097">
            <w:pPr>
              <w:pStyle w:val="TableBody"/>
              <w:jc w:val="right"/>
            </w:pPr>
            <w:r>
              <w:t>2</w:t>
            </w:r>
            <w:r w:rsidR="004B32C7">
              <w:t>2</w:t>
            </w:r>
          </w:p>
        </w:tc>
      </w:tr>
      <w:tr w:rsidR="00E02097" w14:paraId="1E893EBA" w14:textId="77777777" w:rsidTr="00232785">
        <w:trPr>
          <w:cnfStyle w:val="000000010000" w:firstRow="0" w:lastRow="0" w:firstColumn="0" w:lastColumn="0" w:oddVBand="0" w:evenVBand="0" w:oddHBand="0" w:evenHBand="1" w:firstRowFirstColumn="0" w:firstRowLastColumn="0" w:lastRowFirstColumn="0" w:lastRowLastColumn="0"/>
        </w:trPr>
        <w:tc>
          <w:tcPr>
            <w:tcW w:w="4298" w:type="pct"/>
            <w:tcBorders>
              <w:right w:val="nil"/>
            </w:tcBorders>
          </w:tcPr>
          <w:p w14:paraId="1A129833" w14:textId="3845980B" w:rsidR="00E02097" w:rsidRPr="00E17542" w:rsidRDefault="00E02097" w:rsidP="00F64188">
            <w:pPr>
              <w:pStyle w:val="TableBody"/>
            </w:pPr>
            <w:r w:rsidRPr="00121EF6">
              <w:t>Section 3: workforce data</w:t>
            </w:r>
          </w:p>
        </w:tc>
        <w:tc>
          <w:tcPr>
            <w:tcW w:w="702" w:type="pct"/>
            <w:tcBorders>
              <w:left w:val="nil"/>
            </w:tcBorders>
          </w:tcPr>
          <w:p w14:paraId="566592B3" w14:textId="7615122A" w:rsidR="00E02097" w:rsidRPr="00E02097" w:rsidRDefault="009F3FBC" w:rsidP="00E02097">
            <w:pPr>
              <w:pStyle w:val="TableBody"/>
              <w:jc w:val="right"/>
            </w:pPr>
            <w:r>
              <w:t>2</w:t>
            </w:r>
            <w:r w:rsidR="009A1187">
              <w:t>8</w:t>
            </w:r>
          </w:p>
        </w:tc>
      </w:tr>
      <w:tr w:rsidR="00E02097" w14:paraId="0C2EEDE8" w14:textId="77777777" w:rsidTr="00B74E10">
        <w:trPr>
          <w:cnfStyle w:val="000000100000" w:firstRow="0" w:lastRow="0" w:firstColumn="0" w:lastColumn="0" w:oddVBand="0" w:evenVBand="0" w:oddHBand="1" w:evenHBand="0" w:firstRowFirstColumn="0" w:firstRowLastColumn="0" w:lastRowFirstColumn="0" w:lastRowLastColumn="0"/>
        </w:trPr>
        <w:tc>
          <w:tcPr>
            <w:tcW w:w="4298" w:type="pct"/>
            <w:tcBorders>
              <w:bottom w:val="nil"/>
              <w:right w:val="nil"/>
            </w:tcBorders>
          </w:tcPr>
          <w:p w14:paraId="12381AEC" w14:textId="34348DC4" w:rsidR="00E02097" w:rsidRPr="00121EF6" w:rsidRDefault="00E02097" w:rsidP="00F64188">
            <w:pPr>
              <w:pStyle w:val="TableBody"/>
            </w:pPr>
            <w:r w:rsidRPr="00121EF6">
              <w:t>Section 4: other disclosures</w:t>
            </w:r>
          </w:p>
        </w:tc>
        <w:tc>
          <w:tcPr>
            <w:tcW w:w="702" w:type="pct"/>
            <w:tcBorders>
              <w:left w:val="nil"/>
              <w:bottom w:val="nil"/>
            </w:tcBorders>
          </w:tcPr>
          <w:p w14:paraId="0D6D8FCD" w14:textId="7E3DC276" w:rsidR="00E02097" w:rsidRPr="00E02097" w:rsidRDefault="009F3FBC" w:rsidP="00E02097">
            <w:pPr>
              <w:pStyle w:val="TableBody"/>
              <w:jc w:val="right"/>
            </w:pPr>
            <w:r>
              <w:t>3</w:t>
            </w:r>
            <w:r w:rsidR="009A1187">
              <w:t>5</w:t>
            </w:r>
          </w:p>
        </w:tc>
      </w:tr>
      <w:tr w:rsidR="00B74E10" w14:paraId="642F426B" w14:textId="77777777" w:rsidTr="00B74E10">
        <w:trPr>
          <w:cnfStyle w:val="000000010000" w:firstRow="0" w:lastRow="0" w:firstColumn="0" w:lastColumn="0" w:oddVBand="0" w:evenVBand="0" w:oddHBand="0" w:evenHBand="1" w:firstRowFirstColumn="0" w:firstRowLastColumn="0" w:lastRowFirstColumn="0" w:lastRowLastColumn="0"/>
        </w:trPr>
        <w:tc>
          <w:tcPr>
            <w:tcW w:w="4298" w:type="pct"/>
            <w:tcBorders>
              <w:top w:val="nil"/>
              <w:bottom w:val="single" w:sz="12" w:space="0" w:color="00573F" w:themeColor="text2"/>
              <w:right w:val="nil"/>
            </w:tcBorders>
          </w:tcPr>
          <w:p w14:paraId="5AE7844E" w14:textId="7206C795" w:rsidR="00B74E10" w:rsidRPr="00121EF6" w:rsidRDefault="00B74E10" w:rsidP="00F64188">
            <w:pPr>
              <w:pStyle w:val="TableBody"/>
            </w:pPr>
            <w:r w:rsidRPr="00121EF6">
              <w:t>Disclosure index</w:t>
            </w:r>
          </w:p>
        </w:tc>
        <w:tc>
          <w:tcPr>
            <w:tcW w:w="702" w:type="pct"/>
            <w:tcBorders>
              <w:top w:val="nil"/>
              <w:left w:val="nil"/>
              <w:bottom w:val="single" w:sz="12" w:space="0" w:color="00573F" w:themeColor="text2"/>
            </w:tcBorders>
          </w:tcPr>
          <w:p w14:paraId="7ECB9C11" w14:textId="0BB0B089" w:rsidR="00B74E10" w:rsidRDefault="009A1187" w:rsidP="00E02097">
            <w:pPr>
              <w:pStyle w:val="TableBody"/>
              <w:jc w:val="right"/>
            </w:pPr>
            <w:r>
              <w:t>50</w:t>
            </w:r>
          </w:p>
        </w:tc>
      </w:tr>
      <w:tr w:rsidR="00232785" w:rsidRPr="00E02097" w14:paraId="56B7B850" w14:textId="77777777" w:rsidTr="002327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top w:val="single" w:sz="12" w:space="0" w:color="00573F" w:themeColor="text2"/>
              <w:right w:val="nil"/>
            </w:tcBorders>
            <w:shd w:val="clear" w:color="auto" w:fill="FFFFFF" w:themeFill="background1"/>
          </w:tcPr>
          <w:p w14:paraId="04BB5E26" w14:textId="0D55A248" w:rsidR="00232785" w:rsidRPr="00973F22" w:rsidRDefault="00232785" w:rsidP="00F64188">
            <w:pPr>
              <w:pStyle w:val="TableHeader"/>
            </w:pPr>
            <w:r>
              <w:t>Report of financials</w:t>
            </w:r>
          </w:p>
        </w:tc>
        <w:tc>
          <w:tcPr>
            <w:tcW w:w="702" w:type="pct"/>
            <w:tcBorders>
              <w:top w:val="single" w:sz="12" w:space="0" w:color="00573F" w:themeColor="text2"/>
              <w:left w:val="nil"/>
            </w:tcBorders>
            <w:shd w:val="clear" w:color="auto" w:fill="FFFFFF" w:themeFill="background1"/>
          </w:tcPr>
          <w:p w14:paraId="23177A33" w14:textId="04801B48" w:rsidR="00232785" w:rsidRPr="00E02097" w:rsidRDefault="00232785" w:rsidP="00F64188">
            <w:pPr>
              <w:pStyle w:val="TableBody"/>
              <w:jc w:val="right"/>
              <w:cnfStyle w:val="000000100000" w:firstRow="0" w:lastRow="0" w:firstColumn="0" w:lastColumn="0" w:oddVBand="0" w:evenVBand="0" w:oddHBand="1" w:evenHBand="0" w:firstRowFirstColumn="0" w:firstRowLastColumn="0" w:lastRowFirstColumn="0" w:lastRowLastColumn="0"/>
            </w:pPr>
          </w:p>
        </w:tc>
      </w:tr>
      <w:tr w:rsidR="00232785" w:rsidRPr="00E02097" w14:paraId="25572C5A" w14:textId="77777777" w:rsidTr="0023278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2F2F2" w:themeFill="background2" w:themeFillShade="F2"/>
          </w:tcPr>
          <w:p w14:paraId="6126C155" w14:textId="6598F916" w:rsidR="00232785" w:rsidRPr="00E17542" w:rsidRDefault="00361972" w:rsidP="00F64188">
            <w:pPr>
              <w:pStyle w:val="TableBody"/>
            </w:pPr>
            <w:hyperlink w:anchor="_Financial_statements_for" w:history="1">
              <w:r w:rsidR="00232785" w:rsidRPr="00E17542">
                <w:rPr>
                  <w:rStyle w:val="Hyperlink"/>
                  <w:color w:val="auto"/>
                  <w:u w:val="none"/>
                </w:rPr>
                <w:t>Financial statements</w:t>
              </w:r>
            </w:hyperlink>
          </w:p>
        </w:tc>
        <w:tc>
          <w:tcPr>
            <w:tcW w:w="702" w:type="pct"/>
            <w:tcBorders>
              <w:left w:val="nil"/>
            </w:tcBorders>
            <w:shd w:val="clear" w:color="auto" w:fill="F2F2F2" w:themeFill="background2" w:themeFillShade="F2"/>
          </w:tcPr>
          <w:p w14:paraId="26D3C5C7" w14:textId="63044F24" w:rsidR="00232785" w:rsidRPr="00E02097" w:rsidRDefault="00121EF6" w:rsidP="00F64188">
            <w:pPr>
              <w:pStyle w:val="TableBody"/>
              <w:jc w:val="right"/>
              <w:cnfStyle w:val="000000010000" w:firstRow="0" w:lastRow="0" w:firstColumn="0" w:lastColumn="0" w:oddVBand="0" w:evenVBand="0" w:oddHBand="0" w:evenHBand="1" w:firstRowFirstColumn="0" w:firstRowLastColumn="0" w:lastRowFirstColumn="0" w:lastRowLastColumn="0"/>
            </w:pPr>
            <w:r>
              <w:t>54</w:t>
            </w:r>
          </w:p>
        </w:tc>
      </w:tr>
      <w:tr w:rsidR="00232785" w:rsidRPr="00E02097" w14:paraId="50E3CFD8" w14:textId="77777777" w:rsidTr="002327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FFFFF" w:themeFill="background1"/>
          </w:tcPr>
          <w:p w14:paraId="1C4D2FFF" w14:textId="57358CF7" w:rsidR="00232785" w:rsidRPr="00E17542" w:rsidRDefault="00232785" w:rsidP="00F64188">
            <w:pPr>
              <w:pStyle w:val="TableBody"/>
            </w:pPr>
            <w:r w:rsidRPr="00121EF6">
              <w:t>Notes to financial statements</w:t>
            </w:r>
          </w:p>
        </w:tc>
        <w:tc>
          <w:tcPr>
            <w:tcW w:w="702" w:type="pct"/>
            <w:tcBorders>
              <w:left w:val="nil"/>
            </w:tcBorders>
            <w:shd w:val="clear" w:color="auto" w:fill="FFFFFF" w:themeFill="background1"/>
          </w:tcPr>
          <w:p w14:paraId="5836FF0F" w14:textId="52531B8D" w:rsidR="00232785" w:rsidRPr="00E02097" w:rsidRDefault="00121EF6" w:rsidP="00F64188">
            <w:pPr>
              <w:pStyle w:val="TableBody"/>
              <w:jc w:val="right"/>
              <w:cnfStyle w:val="000000100000" w:firstRow="0" w:lastRow="0" w:firstColumn="0" w:lastColumn="0" w:oddVBand="0" w:evenVBand="0" w:oddHBand="1" w:evenHBand="0" w:firstRowFirstColumn="0" w:firstRowLastColumn="0" w:lastRowFirstColumn="0" w:lastRowLastColumn="0"/>
            </w:pPr>
            <w:r>
              <w:t>6</w:t>
            </w:r>
            <w:r w:rsidR="009A1187">
              <w:t>1</w:t>
            </w:r>
          </w:p>
        </w:tc>
      </w:tr>
      <w:tr w:rsidR="00232785" w:rsidRPr="00E02097" w14:paraId="5B857DF7" w14:textId="77777777" w:rsidTr="0023278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2F2F2" w:themeFill="background2" w:themeFillShade="F2"/>
          </w:tcPr>
          <w:p w14:paraId="4EA972CD" w14:textId="5901C15F" w:rsidR="00232785" w:rsidRPr="00E17542" w:rsidRDefault="00232785" w:rsidP="00F64188">
            <w:pPr>
              <w:pStyle w:val="TableBody"/>
            </w:pPr>
            <w:r w:rsidRPr="00121EF6">
              <w:t>Accountable Officer’s and Chief Financial Officer’s declaration</w:t>
            </w:r>
          </w:p>
        </w:tc>
        <w:tc>
          <w:tcPr>
            <w:tcW w:w="702" w:type="pct"/>
            <w:tcBorders>
              <w:left w:val="nil"/>
            </w:tcBorders>
            <w:shd w:val="clear" w:color="auto" w:fill="F2F2F2" w:themeFill="background2" w:themeFillShade="F2"/>
          </w:tcPr>
          <w:p w14:paraId="55A5FA70" w14:textId="716ABA22" w:rsidR="00232785" w:rsidRPr="00E02097" w:rsidRDefault="00121EF6" w:rsidP="00F64188">
            <w:pPr>
              <w:pStyle w:val="TableBody"/>
              <w:jc w:val="right"/>
              <w:cnfStyle w:val="000000010000" w:firstRow="0" w:lastRow="0" w:firstColumn="0" w:lastColumn="0" w:oddVBand="0" w:evenVBand="0" w:oddHBand="0" w:evenHBand="1" w:firstRowFirstColumn="0" w:firstRowLastColumn="0" w:lastRowFirstColumn="0" w:lastRowLastColumn="0"/>
            </w:pPr>
            <w:r>
              <w:t>8</w:t>
            </w:r>
            <w:r w:rsidR="009A1187">
              <w:t>2</w:t>
            </w:r>
          </w:p>
        </w:tc>
      </w:tr>
      <w:tr w:rsidR="00232785" w:rsidRPr="00E02097" w14:paraId="61A673C9" w14:textId="77777777" w:rsidTr="002327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FFFFF" w:themeFill="background1"/>
          </w:tcPr>
          <w:p w14:paraId="2B3E606C" w14:textId="25AF30D1" w:rsidR="00232785" w:rsidRPr="00E17542" w:rsidRDefault="00232785" w:rsidP="00F64188">
            <w:pPr>
              <w:pStyle w:val="TableBody"/>
            </w:pPr>
            <w:r w:rsidRPr="00121EF6">
              <w:t xml:space="preserve">Victorian Auditor-General’s Office </w:t>
            </w:r>
            <w:r w:rsidR="00BC57E2">
              <w:t>I</w:t>
            </w:r>
            <w:r w:rsidRPr="00121EF6">
              <w:t xml:space="preserve">ndependent </w:t>
            </w:r>
            <w:r w:rsidR="00BC57E2">
              <w:t>A</w:t>
            </w:r>
            <w:r w:rsidRPr="00121EF6">
              <w:t xml:space="preserve">uditor’s </w:t>
            </w:r>
            <w:r w:rsidR="00BC57E2">
              <w:t>R</w:t>
            </w:r>
            <w:r w:rsidRPr="00121EF6">
              <w:t>eport</w:t>
            </w:r>
          </w:p>
        </w:tc>
        <w:tc>
          <w:tcPr>
            <w:tcW w:w="702" w:type="pct"/>
            <w:tcBorders>
              <w:left w:val="nil"/>
            </w:tcBorders>
            <w:shd w:val="clear" w:color="auto" w:fill="FFFFFF" w:themeFill="background1"/>
          </w:tcPr>
          <w:p w14:paraId="1305D419" w14:textId="282E5314" w:rsidR="00232785" w:rsidRPr="00E02097" w:rsidRDefault="00121EF6" w:rsidP="00F64188">
            <w:pPr>
              <w:pStyle w:val="TableBody"/>
              <w:jc w:val="right"/>
              <w:cnfStyle w:val="000000100000" w:firstRow="0" w:lastRow="0" w:firstColumn="0" w:lastColumn="0" w:oddVBand="0" w:evenVBand="0" w:oddHBand="1" w:evenHBand="0" w:firstRowFirstColumn="0" w:firstRowLastColumn="0" w:lastRowFirstColumn="0" w:lastRowLastColumn="0"/>
            </w:pPr>
            <w:r>
              <w:t>8</w:t>
            </w:r>
            <w:r w:rsidR="009A1187">
              <w:t>3</w:t>
            </w:r>
          </w:p>
        </w:tc>
      </w:tr>
    </w:tbl>
    <w:p w14:paraId="65E0C604" w14:textId="7B196B54" w:rsidR="002E2C7E" w:rsidRDefault="002E2C7E">
      <w:pPr>
        <w:spacing w:after="0" w:line="240" w:lineRule="auto"/>
      </w:pPr>
      <w:r>
        <w:br w:type="page"/>
      </w:r>
    </w:p>
    <w:p w14:paraId="19377A97" w14:textId="2C318E3F" w:rsidR="002E2C7E" w:rsidRDefault="002E2C7E" w:rsidP="002E2C7E">
      <w:pPr>
        <w:pStyle w:val="Title"/>
      </w:pPr>
      <w:bookmarkStart w:id="5" w:name="_Toc73541439"/>
      <w:bookmarkStart w:id="6" w:name="_Toc73542056"/>
      <w:r>
        <w:lastRenderedPageBreak/>
        <w:t>Report of operations</w:t>
      </w:r>
      <w:bookmarkEnd w:id="5"/>
      <w:bookmarkEnd w:id="6"/>
    </w:p>
    <w:p w14:paraId="6B8262EE" w14:textId="1E3EF1E8" w:rsidR="00B8363E" w:rsidRPr="00622554" w:rsidRDefault="00B8363E" w:rsidP="00B8363E">
      <w:pPr>
        <w:pStyle w:val="Separator"/>
      </w:pPr>
      <w:r w:rsidRPr="00622554">
        <w:t>S</w:t>
      </w:r>
      <w:r>
        <w:t>ection 1</w:t>
      </w:r>
    </w:p>
    <w:p w14:paraId="042ABF9D" w14:textId="6587ACAF" w:rsidR="0040140D" w:rsidRDefault="00B8363E" w:rsidP="0040140D">
      <w:pPr>
        <w:pStyle w:val="Heading10"/>
      </w:pPr>
      <w:bookmarkStart w:id="7" w:name="_Year_in_review"/>
      <w:bookmarkStart w:id="8" w:name="_Toc73541440"/>
      <w:bookmarkStart w:id="9" w:name="_Toc73541678"/>
      <w:bookmarkStart w:id="10" w:name="_Toc73542057"/>
      <w:bookmarkEnd w:id="7"/>
      <w:r>
        <w:t>Y</w:t>
      </w:r>
      <w:r w:rsidR="0040140D">
        <w:t>ear in review</w:t>
      </w:r>
      <w:bookmarkEnd w:id="8"/>
      <w:bookmarkEnd w:id="9"/>
      <w:bookmarkEnd w:id="10"/>
    </w:p>
    <w:p w14:paraId="02BA0642" w14:textId="3A3DB74A" w:rsidR="0040140D" w:rsidRDefault="0040140D" w:rsidP="0040140D">
      <w:pPr>
        <w:pStyle w:val="Heading20"/>
      </w:pPr>
      <w:r>
        <w:t>Message from the Commissioner</w:t>
      </w:r>
    </w:p>
    <w:p w14:paraId="6CAD61C1" w14:textId="6F5CE682" w:rsidR="00CC2814" w:rsidRDefault="00CC2814" w:rsidP="00CC2814">
      <w:pPr>
        <w:pStyle w:val="Body"/>
      </w:pPr>
      <w:r>
        <w:t xml:space="preserve">I’m pleased to present the </w:t>
      </w:r>
      <w:r w:rsidR="003B6262">
        <w:t xml:space="preserve">Victorian Public Sector </w:t>
      </w:r>
      <w:r>
        <w:t>Commission’s Annual Report 2020-21, th</w:t>
      </w:r>
      <w:r w:rsidR="003B6262">
        <w:t>e</w:t>
      </w:r>
      <w:r>
        <w:t xml:space="preserve"> first under our</w:t>
      </w:r>
      <w:r w:rsidR="005401C5">
        <w:t xml:space="preserve"> s</w:t>
      </w:r>
      <w:r>
        <w:t xml:space="preserve">trategic </w:t>
      </w:r>
      <w:r w:rsidR="005401C5">
        <w:t>p</w:t>
      </w:r>
      <w:r>
        <w:t>lan 2020-23.</w:t>
      </w:r>
    </w:p>
    <w:p w14:paraId="03E93C5B" w14:textId="608DBD9F" w:rsidR="00CC2814" w:rsidRDefault="00CC2814" w:rsidP="00CC2814">
      <w:pPr>
        <w:pStyle w:val="Body"/>
      </w:pPr>
      <w:r>
        <w:t>To achieve our vision</w:t>
      </w:r>
      <w:r w:rsidR="00BA037E">
        <w:t xml:space="preserve">, </w:t>
      </w:r>
      <w:r>
        <w:t>a trusted public sector that delivers exceptional outcomes for the Victorian communit</w:t>
      </w:r>
      <w:r w:rsidR="00BA037E">
        <w:t>y</w:t>
      </w:r>
      <w:r>
        <w:t>, we are focusing on 4 strategic priorities.</w:t>
      </w:r>
    </w:p>
    <w:p w14:paraId="12719DA9" w14:textId="233BAAA2" w:rsidR="00CC2814" w:rsidRDefault="003B6262" w:rsidP="00CC2814">
      <w:pPr>
        <w:pStyle w:val="Body"/>
      </w:pPr>
      <w:r>
        <w:t>The</w:t>
      </w:r>
      <w:r w:rsidR="00CC2814">
        <w:t xml:space="preserve"> priorities are:</w:t>
      </w:r>
    </w:p>
    <w:p w14:paraId="617B9241" w14:textId="33C411BD" w:rsidR="00CC2814" w:rsidRDefault="00CC2814" w:rsidP="00CC2814">
      <w:pPr>
        <w:pStyle w:val="Bullet1"/>
      </w:pPr>
      <w:r>
        <w:rPr>
          <w:lang w:eastAsia="en-AU"/>
        </w:rPr>
        <w:t>promoting workforce reform</w:t>
      </w:r>
    </w:p>
    <w:p w14:paraId="5CA6AC8A" w14:textId="77777777" w:rsidR="00CC2814" w:rsidRDefault="00CC2814" w:rsidP="00CC2814">
      <w:pPr>
        <w:pStyle w:val="Bullet1"/>
        <w:rPr>
          <w:lang w:eastAsia="en-AU"/>
        </w:rPr>
      </w:pPr>
      <w:r>
        <w:rPr>
          <w:lang w:eastAsia="en-AU"/>
        </w:rPr>
        <w:t>supporting a positive employee experience</w:t>
      </w:r>
    </w:p>
    <w:p w14:paraId="01361DAD" w14:textId="77777777" w:rsidR="00CC2814" w:rsidRDefault="00CC2814" w:rsidP="00CC2814">
      <w:pPr>
        <w:pStyle w:val="Bullet1"/>
        <w:rPr>
          <w:lang w:eastAsia="en-AU"/>
        </w:rPr>
      </w:pPr>
      <w:r>
        <w:rPr>
          <w:lang w:eastAsia="en-AU"/>
        </w:rPr>
        <w:t>developing outstanding leadership</w:t>
      </w:r>
    </w:p>
    <w:p w14:paraId="141D2CC6" w14:textId="60BBA621" w:rsidR="00CC2814" w:rsidRDefault="00CC2814" w:rsidP="00CC2814">
      <w:pPr>
        <w:pStyle w:val="Bullet1"/>
        <w:rPr>
          <w:lang w:eastAsia="en-AU"/>
        </w:rPr>
      </w:pPr>
      <w:r>
        <w:rPr>
          <w:lang w:eastAsia="en-AU"/>
        </w:rPr>
        <w:t>promoting public trust.</w:t>
      </w:r>
    </w:p>
    <w:p w14:paraId="19E1225F" w14:textId="189C5C07" w:rsidR="00CC2814" w:rsidRDefault="00CC2814" w:rsidP="00CC2814">
      <w:pPr>
        <w:pStyle w:val="Bullet1"/>
        <w:numPr>
          <w:ilvl w:val="0"/>
          <w:numId w:val="0"/>
        </w:numPr>
        <w:rPr>
          <w:lang w:eastAsia="en-AU"/>
        </w:rPr>
      </w:pPr>
      <w:r>
        <w:t xml:space="preserve">This report explains </w:t>
      </w:r>
      <w:r w:rsidR="003B6262">
        <w:t>our work in relation to the priorities. It also summarises our performance in terms of service effectiveness and efficiency.</w:t>
      </w:r>
    </w:p>
    <w:p w14:paraId="38DAADA7" w14:textId="4F684362" w:rsidR="00F038A3" w:rsidRDefault="003B6262" w:rsidP="00CC2814">
      <w:pPr>
        <w:pStyle w:val="Body"/>
      </w:pPr>
      <w:r>
        <w:t xml:space="preserve">The public sector workforce has adapted </w:t>
      </w:r>
      <w:r w:rsidR="00B91C48">
        <w:t xml:space="preserve">quickly </w:t>
      </w:r>
      <w:r>
        <w:t xml:space="preserve">to maintain continuity of community services during COVID-19. </w:t>
      </w:r>
    </w:p>
    <w:p w14:paraId="3D6EDF5C" w14:textId="3F0667FA" w:rsidR="00CC2814" w:rsidRDefault="00F038A3" w:rsidP="00CC2814">
      <w:pPr>
        <w:pStyle w:val="Body"/>
      </w:pPr>
      <w:r>
        <w:t>The Commission supported at key points:</w:t>
      </w:r>
    </w:p>
    <w:p w14:paraId="66F56E10" w14:textId="19CF7324" w:rsidR="005244C4" w:rsidRDefault="005244C4" w:rsidP="005244C4">
      <w:pPr>
        <w:pStyle w:val="Bullet1"/>
      </w:pPr>
      <w:r>
        <w:t>We led the employee mobility response to COVID-19</w:t>
      </w:r>
      <w:r w:rsidR="00F24FB3">
        <w:t xml:space="preserve">, establishing relief pools on the Jobs and Skills Exchange to </w:t>
      </w:r>
      <w:r w:rsidR="004D4C3E">
        <w:t>meet surge demand for</w:t>
      </w:r>
      <w:r w:rsidR="00F24FB3">
        <w:t xml:space="preserve"> </w:t>
      </w:r>
      <w:r>
        <w:t>executive and administration</w:t>
      </w:r>
      <w:r w:rsidR="004D4C3E">
        <w:t xml:space="preserve"> roles.</w:t>
      </w:r>
    </w:p>
    <w:p w14:paraId="5D271387" w14:textId="48443B16" w:rsidR="00B93110" w:rsidRDefault="00B93110" w:rsidP="00F038A3">
      <w:pPr>
        <w:pStyle w:val="Bullet1"/>
      </w:pPr>
      <w:r>
        <w:t xml:space="preserve">We </w:t>
      </w:r>
      <w:r w:rsidR="00450A2D">
        <w:t>published</w:t>
      </w:r>
      <w:r>
        <w:t xml:space="preserve"> a guide to maintaining integrity w</w:t>
      </w:r>
      <w:r w:rsidR="00450A2D">
        <w:t>hen</w:t>
      </w:r>
      <w:r>
        <w:t xml:space="preserve"> working remotely</w:t>
      </w:r>
      <w:r w:rsidR="00D85093">
        <w:t xml:space="preserve">, including </w:t>
      </w:r>
      <w:r w:rsidR="00450A2D">
        <w:t xml:space="preserve">tips </w:t>
      </w:r>
      <w:r w:rsidR="00E4030F">
        <w:t>on conduct and information security to reduce integrity risk.</w:t>
      </w:r>
    </w:p>
    <w:p w14:paraId="32215964" w14:textId="6C92F753" w:rsidR="00F038A3" w:rsidRDefault="00F038A3" w:rsidP="00F038A3">
      <w:pPr>
        <w:pStyle w:val="Bullet1"/>
      </w:pPr>
      <w:r>
        <w:t>We conducted an employee wellbeing check</w:t>
      </w:r>
      <w:r w:rsidR="0062422B">
        <w:t xml:space="preserve"> survey</w:t>
      </w:r>
      <w:r>
        <w:t xml:space="preserve"> and </w:t>
      </w:r>
      <w:r w:rsidR="0062422B">
        <w:t>developed</w:t>
      </w:r>
      <w:r>
        <w:t xml:space="preserve"> a </w:t>
      </w:r>
      <w:r w:rsidR="00F24FB3">
        <w:t xml:space="preserve">12-module </w:t>
      </w:r>
      <w:r>
        <w:t>wellbeing toolkit</w:t>
      </w:r>
      <w:r w:rsidR="00B93110">
        <w:t xml:space="preserve">. The toolkit helps </w:t>
      </w:r>
      <w:r>
        <w:t xml:space="preserve">managers and their teams </w:t>
      </w:r>
      <w:r w:rsidR="00F24FB3">
        <w:t>alleviate stress and promote respect.</w:t>
      </w:r>
    </w:p>
    <w:p w14:paraId="0C245AA7" w14:textId="044CF57F" w:rsidR="00F038A3" w:rsidRDefault="00F038A3" w:rsidP="00F038A3">
      <w:pPr>
        <w:pStyle w:val="Bullet1"/>
      </w:pPr>
      <w:r>
        <w:lastRenderedPageBreak/>
        <w:t>We revised the flexible work policy</w:t>
      </w:r>
      <w:r w:rsidR="00FB17BE">
        <w:t xml:space="preserve"> for the Victorian Public Service. Flexible work supports gender equity, </w:t>
      </w:r>
      <w:r w:rsidR="00B93110">
        <w:t xml:space="preserve">diversity, productivity and work life balance. </w:t>
      </w:r>
    </w:p>
    <w:p w14:paraId="453E2A35" w14:textId="0B6684B8" w:rsidR="00D85093" w:rsidRDefault="00D85093" w:rsidP="00C262B5">
      <w:pPr>
        <w:pStyle w:val="Body"/>
      </w:pPr>
      <w:r>
        <w:t>In addition, the</w:t>
      </w:r>
      <w:r w:rsidR="0062422B">
        <w:t xml:space="preserve"> Commission</w:t>
      </w:r>
      <w:r>
        <w:t>er accepted a recommendation</w:t>
      </w:r>
      <w:r w:rsidR="002A3871">
        <w:t xml:space="preserve"> </w:t>
      </w:r>
      <w:r w:rsidR="00B71C31">
        <w:t xml:space="preserve">from the COVID-19 Hotel Quarantine Inquiry </w:t>
      </w:r>
      <w:r>
        <w:t>to give</w:t>
      </w:r>
      <w:r w:rsidR="00B91C48">
        <w:t xml:space="preserve"> guidance across the</w:t>
      </w:r>
      <w:r w:rsidR="0062422B">
        <w:t xml:space="preserve"> public service</w:t>
      </w:r>
      <w:r w:rsidR="00B71C31">
        <w:t xml:space="preserve"> about the lines of accountability and responsibility between Ministers and Secretaries</w:t>
      </w:r>
      <w:r>
        <w:t xml:space="preserve">. </w:t>
      </w:r>
    </w:p>
    <w:p w14:paraId="624083F0" w14:textId="1F98AF51" w:rsidR="00B5757D" w:rsidRDefault="00D85093" w:rsidP="00C262B5">
      <w:pPr>
        <w:pStyle w:val="Body"/>
      </w:pPr>
      <w:r>
        <w:t xml:space="preserve">The guidance will </w:t>
      </w:r>
      <w:r w:rsidR="00B71C31">
        <w:t>provide advice about</w:t>
      </w:r>
      <w:r w:rsidR="00B3366B">
        <w:t xml:space="preserve"> Secretaries’ obligations and responsibilities when informing and advising Ministers. </w:t>
      </w:r>
    </w:p>
    <w:p w14:paraId="1E78C210" w14:textId="03E91ACB" w:rsidR="00D85093" w:rsidRDefault="00D85093" w:rsidP="00D85093">
      <w:pPr>
        <w:pStyle w:val="Bullet1"/>
        <w:numPr>
          <w:ilvl w:val="0"/>
          <w:numId w:val="0"/>
        </w:numPr>
      </w:pPr>
      <w:r>
        <w:t xml:space="preserve">Our work supports an inclusive, high-performing and engaged workforce that is trusted by the community to act with professionalism and integrity. </w:t>
      </w:r>
    </w:p>
    <w:p w14:paraId="4D6704CA" w14:textId="725BA89D" w:rsidR="008B5777" w:rsidRDefault="00AF63AB" w:rsidP="008B5777">
      <w:pPr>
        <w:pStyle w:val="Body"/>
      </w:pPr>
      <w:r w:rsidRPr="00134B19">
        <w:rPr>
          <w:rStyle w:val="Strong"/>
        </w:rPr>
        <w:t>Adam Fennessy</w:t>
      </w:r>
      <w:r w:rsidR="00E51B50" w:rsidRPr="00134B19">
        <w:rPr>
          <w:rStyle w:val="Strong"/>
        </w:rPr>
        <w:t xml:space="preserve"> PSM</w:t>
      </w:r>
      <w:r>
        <w:br/>
        <w:t>Commissioner</w:t>
      </w:r>
      <w:r>
        <w:br/>
        <w:t>Victorian Public Sector Commission</w:t>
      </w:r>
    </w:p>
    <w:p w14:paraId="2293780A" w14:textId="3D18E73C" w:rsidR="0040140D" w:rsidRDefault="0040140D" w:rsidP="0040140D">
      <w:pPr>
        <w:pStyle w:val="Heading20"/>
      </w:pPr>
      <w:r>
        <w:t>About us</w:t>
      </w:r>
    </w:p>
    <w:p w14:paraId="6E4A34CA" w14:textId="77777777" w:rsidR="003971B5" w:rsidRDefault="003971B5" w:rsidP="003971B5">
      <w:pPr>
        <w:pStyle w:val="Heading30"/>
        <w:rPr>
          <w:lang w:eastAsia="en-AU"/>
        </w:rPr>
      </w:pPr>
      <w:r>
        <w:rPr>
          <w:lang w:eastAsia="en-AU"/>
        </w:rPr>
        <w:t>Objectives and functions</w:t>
      </w:r>
    </w:p>
    <w:p w14:paraId="63AC5DAB" w14:textId="4CB24692" w:rsidR="00963E5D" w:rsidRDefault="00963E5D" w:rsidP="00963E5D">
      <w:pPr>
        <w:pStyle w:val="Body"/>
        <w:rPr>
          <w:lang w:eastAsia="en-AU"/>
        </w:rPr>
      </w:pPr>
      <w:r>
        <w:rPr>
          <w:lang w:eastAsia="en-AU"/>
        </w:rPr>
        <w:t xml:space="preserve">The Victorian Public Sector Commission was established </w:t>
      </w:r>
      <w:r w:rsidR="005D494F">
        <w:rPr>
          <w:lang w:eastAsia="en-AU"/>
        </w:rPr>
        <w:t>in</w:t>
      </w:r>
      <w:r>
        <w:rPr>
          <w:lang w:eastAsia="en-AU"/>
        </w:rPr>
        <w:t xml:space="preserve"> 2014.</w:t>
      </w:r>
      <w:r w:rsidR="005D494F">
        <w:rPr>
          <w:lang w:eastAsia="en-AU"/>
        </w:rPr>
        <w:t xml:space="preserve"> Our objectives are set out in the </w:t>
      </w:r>
      <w:r w:rsidR="005D494F" w:rsidRPr="008F439D">
        <w:rPr>
          <w:lang w:eastAsia="en-AU"/>
        </w:rPr>
        <w:t>Public Administration Act 2004</w:t>
      </w:r>
      <w:r w:rsidR="005D494F">
        <w:rPr>
          <w:lang w:eastAsia="en-AU"/>
        </w:rPr>
        <w:t>, each with supporting functions.</w:t>
      </w:r>
    </w:p>
    <w:p w14:paraId="19ABA928" w14:textId="45472495" w:rsidR="00963E5D" w:rsidRPr="005D494F" w:rsidRDefault="005D494F" w:rsidP="005D494F">
      <w:pPr>
        <w:pStyle w:val="Body"/>
        <w:rPr>
          <w:rStyle w:val="Strong"/>
          <w:rFonts w:ascii="VIC" w:hAnsi="VIC"/>
        </w:rPr>
      </w:pPr>
      <w:r>
        <w:rPr>
          <w:rStyle w:val="Strong"/>
          <w:rFonts w:ascii="VIC" w:hAnsi="VIC"/>
        </w:rPr>
        <w:t>Our first objective is to s</w:t>
      </w:r>
      <w:r w:rsidR="00963E5D" w:rsidRPr="005D494F">
        <w:rPr>
          <w:rStyle w:val="Strong"/>
          <w:rFonts w:ascii="VIC" w:hAnsi="VIC"/>
        </w:rPr>
        <w:t>trengthen the efficiency, effectiveness and capability of the public sector to meet existing and emerging needs and deliver high quality services.</w:t>
      </w:r>
    </w:p>
    <w:p w14:paraId="69851402" w14:textId="77777777" w:rsidR="00963E5D" w:rsidRDefault="00963E5D" w:rsidP="00963E5D">
      <w:pPr>
        <w:pStyle w:val="Body"/>
        <w:rPr>
          <w:rFonts w:ascii="VIC-Regular" w:hAnsi="VIC-Regular" w:cs="VIC-Regular"/>
          <w:lang w:eastAsia="en-AU"/>
        </w:rPr>
      </w:pPr>
      <w:r>
        <w:rPr>
          <w:rFonts w:ascii="VIC-Regular" w:hAnsi="VIC-Regular" w:cs="VIC-Regular"/>
          <w:lang w:eastAsia="en-AU"/>
        </w:rPr>
        <w:t>We do this by:</w:t>
      </w:r>
    </w:p>
    <w:p w14:paraId="315D7E93" w14:textId="77777777" w:rsidR="00963E5D" w:rsidRDefault="00963E5D" w:rsidP="005D494F">
      <w:pPr>
        <w:pStyle w:val="Bullet1"/>
        <w:rPr>
          <w:lang w:eastAsia="en-AU"/>
        </w:rPr>
      </w:pPr>
      <w:r>
        <w:rPr>
          <w:lang w:eastAsia="en-AU"/>
        </w:rPr>
        <w:t>assessing, advising and supporting on issues relevant to public sector administration, governance, service delivery and workforce management and development</w:t>
      </w:r>
    </w:p>
    <w:p w14:paraId="6ACD8BD1" w14:textId="77777777" w:rsidR="00963E5D" w:rsidRDefault="00963E5D" w:rsidP="005D494F">
      <w:pPr>
        <w:pStyle w:val="Bullet1"/>
        <w:rPr>
          <w:lang w:eastAsia="en-AU"/>
        </w:rPr>
      </w:pPr>
      <w:r>
        <w:rPr>
          <w:lang w:eastAsia="en-AU"/>
        </w:rPr>
        <w:t>researching and disseminating best practice in relation to public sector administration, governance, service delivery and workforce management and development</w:t>
      </w:r>
    </w:p>
    <w:p w14:paraId="6A79B687" w14:textId="77777777" w:rsidR="00963E5D" w:rsidRDefault="00963E5D" w:rsidP="005D494F">
      <w:pPr>
        <w:pStyle w:val="Bullet1"/>
        <w:rPr>
          <w:lang w:eastAsia="en-AU"/>
        </w:rPr>
      </w:pPr>
      <w:r>
        <w:rPr>
          <w:lang w:eastAsia="en-AU"/>
        </w:rPr>
        <w:t>collecting and reporting on whole of government data</w:t>
      </w:r>
    </w:p>
    <w:p w14:paraId="5A5C3E92" w14:textId="77777777" w:rsidR="00963E5D" w:rsidRDefault="00963E5D" w:rsidP="005D494F">
      <w:pPr>
        <w:pStyle w:val="Bullet1"/>
        <w:rPr>
          <w:lang w:eastAsia="en-AU"/>
        </w:rPr>
      </w:pPr>
      <w:r>
        <w:rPr>
          <w:lang w:eastAsia="en-AU"/>
        </w:rPr>
        <w:t>conducting inquiries as directed by the Premier.</w:t>
      </w:r>
    </w:p>
    <w:p w14:paraId="6D4FE143" w14:textId="7C9D92A9" w:rsidR="00963E5D" w:rsidRPr="005D494F" w:rsidRDefault="005D494F" w:rsidP="005D494F">
      <w:pPr>
        <w:pStyle w:val="Body"/>
        <w:rPr>
          <w:rStyle w:val="Strong"/>
          <w:rFonts w:ascii="VIC" w:hAnsi="VIC"/>
        </w:rPr>
      </w:pPr>
      <w:r w:rsidRPr="005D494F">
        <w:rPr>
          <w:rStyle w:val="Strong"/>
          <w:rFonts w:ascii="VIC" w:hAnsi="VIC"/>
        </w:rPr>
        <w:t>Our second objective is to m</w:t>
      </w:r>
      <w:r w:rsidR="00963E5D" w:rsidRPr="005D494F">
        <w:rPr>
          <w:rStyle w:val="Strong"/>
          <w:rFonts w:ascii="VIC" w:hAnsi="VIC"/>
        </w:rPr>
        <w:t>aintain and advocate for public sector professionalism and integrity.</w:t>
      </w:r>
    </w:p>
    <w:p w14:paraId="6CF4CC48" w14:textId="77777777" w:rsidR="00F8706A" w:rsidRDefault="00F8706A">
      <w:pPr>
        <w:spacing w:after="0" w:line="240" w:lineRule="auto"/>
        <w:rPr>
          <w:lang w:eastAsia="en-AU"/>
        </w:rPr>
      </w:pPr>
      <w:r>
        <w:rPr>
          <w:lang w:eastAsia="en-AU"/>
        </w:rPr>
        <w:br w:type="page"/>
      </w:r>
    </w:p>
    <w:p w14:paraId="2C81A9A6" w14:textId="5B33CAB8" w:rsidR="00963E5D" w:rsidRDefault="00963E5D" w:rsidP="00963E5D">
      <w:pPr>
        <w:pStyle w:val="Body"/>
        <w:rPr>
          <w:lang w:eastAsia="en-AU"/>
        </w:rPr>
      </w:pPr>
      <w:r>
        <w:rPr>
          <w:lang w:eastAsia="en-AU"/>
        </w:rPr>
        <w:lastRenderedPageBreak/>
        <w:t>We do this by:</w:t>
      </w:r>
    </w:p>
    <w:p w14:paraId="055604C6" w14:textId="77777777" w:rsidR="00963E5D" w:rsidRDefault="00963E5D" w:rsidP="005D494F">
      <w:pPr>
        <w:pStyle w:val="Bullet1"/>
        <w:rPr>
          <w:lang w:eastAsia="en-AU"/>
        </w:rPr>
      </w:pPr>
      <w:r>
        <w:rPr>
          <w:lang w:eastAsia="en-AU"/>
        </w:rPr>
        <w:t>advocating for an apolitical and professional public sector</w:t>
      </w:r>
    </w:p>
    <w:p w14:paraId="5001CDA3" w14:textId="77777777" w:rsidR="00963E5D" w:rsidRDefault="00963E5D" w:rsidP="005D494F">
      <w:pPr>
        <w:pStyle w:val="Bullet1"/>
        <w:rPr>
          <w:lang w:eastAsia="en-AU"/>
        </w:rPr>
      </w:pPr>
      <w:r>
        <w:rPr>
          <w:lang w:eastAsia="en-AU"/>
        </w:rPr>
        <w:t>issuing and applying codes of conduct and standards</w:t>
      </w:r>
    </w:p>
    <w:p w14:paraId="703AB869" w14:textId="77777777" w:rsidR="00963E5D" w:rsidRDefault="00963E5D" w:rsidP="005D494F">
      <w:pPr>
        <w:pStyle w:val="Bullet1"/>
        <w:rPr>
          <w:lang w:eastAsia="en-AU"/>
        </w:rPr>
      </w:pPr>
      <w:r>
        <w:rPr>
          <w:lang w:eastAsia="en-AU"/>
        </w:rPr>
        <w:t>monitoring and reporting to public sector body Heads on compliance with the public sector values, codes of conduct, and public sector employment principles and standards</w:t>
      </w:r>
    </w:p>
    <w:p w14:paraId="17C177F4" w14:textId="77777777" w:rsidR="00963E5D" w:rsidRDefault="00963E5D" w:rsidP="005D494F">
      <w:pPr>
        <w:pStyle w:val="Bullet1"/>
        <w:rPr>
          <w:lang w:eastAsia="en-AU"/>
        </w:rPr>
      </w:pPr>
      <w:r>
        <w:rPr>
          <w:lang w:eastAsia="en-AU"/>
        </w:rPr>
        <w:t>reviewing employment related actions and making recommendations following those reviews</w:t>
      </w:r>
    </w:p>
    <w:p w14:paraId="2FF6ADD3" w14:textId="6369A3EB" w:rsidR="008B5777" w:rsidRDefault="00963E5D" w:rsidP="008B5777">
      <w:pPr>
        <w:pStyle w:val="Bullet1"/>
        <w:rPr>
          <w:lang w:eastAsia="en-AU"/>
        </w:rPr>
      </w:pPr>
      <w:r>
        <w:rPr>
          <w:lang w:eastAsia="en-AU"/>
        </w:rPr>
        <w:t>maintaining a register of lobbyists and a register of instruments.</w:t>
      </w:r>
    </w:p>
    <w:p w14:paraId="66C26AE6" w14:textId="3F8A7045" w:rsidR="00240685" w:rsidRDefault="009F3FBC" w:rsidP="00240685">
      <w:pPr>
        <w:pStyle w:val="Bullet1"/>
        <w:numPr>
          <w:ilvl w:val="0"/>
          <w:numId w:val="0"/>
        </w:numPr>
        <w:rPr>
          <w:lang w:eastAsia="en-AU"/>
        </w:rPr>
      </w:pPr>
      <w:r>
        <w:rPr>
          <w:lang w:eastAsia="en-AU"/>
        </w:rPr>
        <w:t>The p</w:t>
      </w:r>
      <w:r w:rsidR="0021163A">
        <w:rPr>
          <w:lang w:eastAsia="en-AU"/>
        </w:rPr>
        <w:t xml:space="preserve">owers of the Commission are listed in </w:t>
      </w:r>
      <w:hyperlink r:id="rId9" w:history="1">
        <w:r w:rsidR="0021163A" w:rsidRPr="0021163A">
          <w:rPr>
            <w:rStyle w:val="Hyperlink"/>
            <w:lang w:eastAsia="en-AU"/>
          </w:rPr>
          <w:t>section 41</w:t>
        </w:r>
      </w:hyperlink>
      <w:r w:rsidR="0021163A">
        <w:rPr>
          <w:lang w:eastAsia="en-AU"/>
        </w:rPr>
        <w:t xml:space="preserve"> of the Public Administration Act 2004.</w:t>
      </w:r>
    </w:p>
    <w:p w14:paraId="18AF4353" w14:textId="77777777" w:rsidR="003971B5" w:rsidRDefault="003971B5" w:rsidP="003971B5">
      <w:pPr>
        <w:pStyle w:val="Heading30"/>
      </w:pPr>
      <w:r>
        <w:t>Vision and strategy</w:t>
      </w:r>
    </w:p>
    <w:p w14:paraId="7F6BBFDC" w14:textId="75A6A94E" w:rsidR="00963E5D" w:rsidRDefault="0057112D" w:rsidP="0057112D">
      <w:pPr>
        <w:pStyle w:val="Bullet1"/>
        <w:numPr>
          <w:ilvl w:val="0"/>
          <w:numId w:val="0"/>
        </w:numPr>
      </w:pPr>
      <w:r>
        <w:t xml:space="preserve">Our vision is a trusted public sector that delivers exceptional outcomes for the Victorian community. We prioritise work </w:t>
      </w:r>
      <w:r w:rsidR="003971B5">
        <w:t xml:space="preserve">that supports outcomes in our </w:t>
      </w:r>
      <w:hyperlink r:id="rId10" w:history="1">
        <w:r w:rsidR="00C654C3" w:rsidRPr="007B54FC">
          <w:rPr>
            <w:rStyle w:val="Hyperlink"/>
          </w:rPr>
          <w:t>s</w:t>
        </w:r>
        <w:r w:rsidR="003971B5" w:rsidRPr="007B54FC">
          <w:rPr>
            <w:rStyle w:val="Hyperlink"/>
          </w:rPr>
          <w:t xml:space="preserve">trategic </w:t>
        </w:r>
        <w:r w:rsidR="00C654C3" w:rsidRPr="007B54FC">
          <w:rPr>
            <w:rStyle w:val="Hyperlink"/>
          </w:rPr>
          <w:t>p</w:t>
        </w:r>
        <w:r w:rsidR="003971B5" w:rsidRPr="007B54FC">
          <w:rPr>
            <w:rStyle w:val="Hyperlink"/>
          </w:rPr>
          <w:t>lan 2020-23</w:t>
        </w:r>
      </w:hyperlink>
      <w:r w:rsidR="003971B5">
        <w:t>.</w:t>
      </w:r>
    </w:p>
    <w:p w14:paraId="25B98FF8" w14:textId="2BDCB8A5" w:rsidR="0057112D" w:rsidRDefault="003971B5" w:rsidP="0057112D">
      <w:pPr>
        <w:pStyle w:val="Bullet1"/>
        <w:numPr>
          <w:ilvl w:val="0"/>
          <w:numId w:val="0"/>
        </w:numPr>
      </w:pPr>
      <w:r>
        <w:t>The outcomes</w:t>
      </w:r>
      <w:r w:rsidR="0057112D">
        <w:t xml:space="preserve"> are: </w:t>
      </w:r>
    </w:p>
    <w:p w14:paraId="548526F3" w14:textId="0B8E37B9" w:rsidR="0057112D" w:rsidRDefault="003971B5" w:rsidP="0057112D">
      <w:pPr>
        <w:pStyle w:val="Bullet1"/>
        <w:rPr>
          <w:lang w:eastAsia="en-AU"/>
        </w:rPr>
      </w:pPr>
      <w:r>
        <w:rPr>
          <w:lang w:eastAsia="en-AU"/>
        </w:rPr>
        <w:t>an integrated and future-focused public sector</w:t>
      </w:r>
    </w:p>
    <w:p w14:paraId="31B86EF4" w14:textId="565A6BE8" w:rsidR="0057112D" w:rsidRDefault="003971B5" w:rsidP="0057112D">
      <w:pPr>
        <w:pStyle w:val="Bullet1"/>
        <w:rPr>
          <w:lang w:eastAsia="en-AU"/>
        </w:rPr>
      </w:pPr>
      <w:r>
        <w:rPr>
          <w:lang w:eastAsia="en-AU"/>
        </w:rPr>
        <w:t>an inclusive, high-performing and engaged workforce</w:t>
      </w:r>
    </w:p>
    <w:p w14:paraId="6ECA4CDD" w14:textId="6F8D5227" w:rsidR="0057112D" w:rsidRDefault="003971B5" w:rsidP="0057112D">
      <w:pPr>
        <w:pStyle w:val="Bullet1"/>
        <w:rPr>
          <w:lang w:eastAsia="en-AU"/>
        </w:rPr>
      </w:pPr>
      <w:r>
        <w:rPr>
          <w:lang w:eastAsia="en-AU"/>
        </w:rPr>
        <w:t>empowering and engaged leaders</w:t>
      </w:r>
    </w:p>
    <w:p w14:paraId="2667B6A1" w14:textId="3AFE7A6E" w:rsidR="0057112D" w:rsidRDefault="003971B5" w:rsidP="0057112D">
      <w:pPr>
        <w:pStyle w:val="Bullet1"/>
        <w:rPr>
          <w:lang w:eastAsia="en-AU"/>
        </w:rPr>
      </w:pPr>
      <w:r>
        <w:rPr>
          <w:lang w:eastAsia="en-AU"/>
        </w:rPr>
        <w:t>Victorians trust the public sector.</w:t>
      </w:r>
    </w:p>
    <w:p w14:paraId="4FABABEC" w14:textId="34BCAC60" w:rsidR="003971B5" w:rsidRDefault="003971B5" w:rsidP="003971B5">
      <w:pPr>
        <w:pStyle w:val="Bullet1"/>
        <w:numPr>
          <w:ilvl w:val="0"/>
          <w:numId w:val="0"/>
        </w:numPr>
      </w:pPr>
      <w:r>
        <w:t>We do this by:</w:t>
      </w:r>
    </w:p>
    <w:p w14:paraId="452DBC89" w14:textId="1BC744E2" w:rsidR="003971B5" w:rsidRDefault="003971B5" w:rsidP="003971B5">
      <w:pPr>
        <w:pStyle w:val="Bullet1"/>
        <w:rPr>
          <w:lang w:eastAsia="en-AU"/>
        </w:rPr>
      </w:pPr>
      <w:r>
        <w:rPr>
          <w:lang w:eastAsia="en-AU"/>
        </w:rPr>
        <w:t>promoting workforce reform</w:t>
      </w:r>
    </w:p>
    <w:p w14:paraId="28079FAE" w14:textId="11218391" w:rsidR="003971B5" w:rsidRDefault="003971B5" w:rsidP="003971B5">
      <w:pPr>
        <w:pStyle w:val="Bullet1"/>
        <w:rPr>
          <w:lang w:eastAsia="en-AU"/>
        </w:rPr>
      </w:pPr>
      <w:r>
        <w:rPr>
          <w:lang w:eastAsia="en-AU"/>
        </w:rPr>
        <w:t>supporting a positive employee experience</w:t>
      </w:r>
    </w:p>
    <w:p w14:paraId="305F0187" w14:textId="7F48EDD9" w:rsidR="003971B5" w:rsidRDefault="003971B5" w:rsidP="003971B5">
      <w:pPr>
        <w:pStyle w:val="Bullet1"/>
        <w:rPr>
          <w:lang w:eastAsia="en-AU"/>
        </w:rPr>
      </w:pPr>
      <w:r>
        <w:rPr>
          <w:lang w:eastAsia="en-AU"/>
        </w:rPr>
        <w:t>developing outstanding leadership</w:t>
      </w:r>
    </w:p>
    <w:p w14:paraId="2ADFB386" w14:textId="26DF8410" w:rsidR="008B5777" w:rsidRDefault="003971B5" w:rsidP="008B5777">
      <w:pPr>
        <w:pStyle w:val="Bullet1"/>
        <w:rPr>
          <w:lang w:eastAsia="en-AU"/>
        </w:rPr>
      </w:pPr>
      <w:r>
        <w:rPr>
          <w:lang w:eastAsia="en-AU"/>
        </w:rPr>
        <w:t>promoting public trust.</w:t>
      </w:r>
    </w:p>
    <w:p w14:paraId="37F9AAFB" w14:textId="183C1A4A" w:rsidR="008B5777" w:rsidRDefault="008B5777" w:rsidP="008B5777">
      <w:pPr>
        <w:pStyle w:val="Heading30"/>
      </w:pPr>
      <w:r>
        <w:t>Machinery of government</w:t>
      </w:r>
      <w:r w:rsidR="00E24D84">
        <w:t xml:space="preserve"> change</w:t>
      </w:r>
    </w:p>
    <w:p w14:paraId="35DAA387" w14:textId="313C48BA" w:rsidR="008B5777" w:rsidRDefault="008B5777" w:rsidP="008B5777">
      <w:pPr>
        <w:pStyle w:val="Body"/>
      </w:pPr>
      <w:r>
        <w:lastRenderedPageBreak/>
        <w:t xml:space="preserve">The Jobs and Skills Exchange was transferred to the Victorian Public Sector Commission on </w:t>
      </w:r>
      <w:r w:rsidR="0015654E">
        <w:t>1 December 2020</w:t>
      </w:r>
      <w:r>
        <w:t xml:space="preserve"> </w:t>
      </w:r>
      <w:r w:rsidR="009F2042">
        <w:t xml:space="preserve">from the Department of Premier and Cabinet </w:t>
      </w:r>
      <w:r>
        <w:t>in a machinery of government change.</w:t>
      </w:r>
    </w:p>
    <w:p w14:paraId="67DA2CE8" w14:textId="2A92FB5C" w:rsidR="008B5777" w:rsidRDefault="0015654E" w:rsidP="009F2042">
      <w:pPr>
        <w:pStyle w:val="Body"/>
      </w:pPr>
      <w:r>
        <w:t xml:space="preserve">Four initiatives in the Commission’s Annual Plan 2020-21 were completed in partnership with the Jobs and Skills Exchange. </w:t>
      </w:r>
      <w:r w:rsidR="008B5777">
        <w:t xml:space="preserve">The </w:t>
      </w:r>
      <w:r>
        <w:t>operations</w:t>
      </w:r>
      <w:r w:rsidR="009F2042">
        <w:t xml:space="preserve"> of the Jobs and Skills Exchange for the period of 1 July 2020 to 30 June 2021 </w:t>
      </w:r>
      <w:r>
        <w:t>are</w:t>
      </w:r>
      <w:r w:rsidR="009F2042">
        <w:t xml:space="preserve"> included in this </w:t>
      </w:r>
      <w:r w:rsidR="00A62618">
        <w:t>annual report.</w:t>
      </w:r>
    </w:p>
    <w:p w14:paraId="0E9DD543" w14:textId="17494163" w:rsidR="00DD0E21" w:rsidRDefault="00DD0E21" w:rsidP="0040140D">
      <w:pPr>
        <w:pStyle w:val="Heading20"/>
      </w:pPr>
      <w:r>
        <w:t>Promoting workforce reform</w:t>
      </w:r>
    </w:p>
    <w:p w14:paraId="69BB8EC7" w14:textId="0CC7982E" w:rsidR="00C964B3" w:rsidRPr="00C964B3" w:rsidRDefault="00C964B3" w:rsidP="00C964B3">
      <w:pPr>
        <w:pStyle w:val="Body"/>
        <w:rPr>
          <w:rStyle w:val="Strong"/>
          <w:rFonts w:ascii="VIC" w:hAnsi="VIC"/>
        </w:rPr>
      </w:pPr>
      <w:r w:rsidRPr="00C964B3">
        <w:t xml:space="preserve">The strategic outcome of this work is </w:t>
      </w:r>
      <w:r>
        <w:t>an integrated and future-focused public sector.</w:t>
      </w:r>
    </w:p>
    <w:p w14:paraId="5B6153AA" w14:textId="5E37EF05" w:rsidR="00C964B3" w:rsidRDefault="00C964B3" w:rsidP="00C964B3">
      <w:pPr>
        <w:pStyle w:val="Body"/>
        <w:rPr>
          <w:rStyle w:val="Strong"/>
          <w:rFonts w:ascii="VIC" w:hAnsi="VIC"/>
        </w:rPr>
      </w:pPr>
      <w:r w:rsidRPr="00C964B3">
        <w:rPr>
          <w:rStyle w:val="Strong"/>
          <w:rFonts w:ascii="VIC" w:hAnsi="VIC"/>
        </w:rPr>
        <w:t>A public sector that</w:t>
      </w:r>
      <w:r>
        <w:rPr>
          <w:rStyle w:val="Strong"/>
          <w:rFonts w:ascii="VIC" w:hAnsi="VIC"/>
        </w:rPr>
        <w:t xml:space="preserve"> is:</w:t>
      </w:r>
    </w:p>
    <w:p w14:paraId="3FD385C3" w14:textId="7D92A85A" w:rsidR="00C964B3" w:rsidRDefault="00C964B3" w:rsidP="00C964B3">
      <w:pPr>
        <w:pStyle w:val="Bullet1"/>
      </w:pPr>
      <w:r>
        <w:t>committed to excellence</w:t>
      </w:r>
    </w:p>
    <w:p w14:paraId="30BF5DFC" w14:textId="7D7F086B" w:rsidR="00C964B3" w:rsidRDefault="00C964B3" w:rsidP="00C964B3">
      <w:pPr>
        <w:pStyle w:val="Bullet1"/>
      </w:pPr>
      <w:r>
        <w:t>innovative and adaptive to changing circumstances</w:t>
      </w:r>
    </w:p>
    <w:p w14:paraId="705E38F2" w14:textId="5A94B1FE" w:rsidR="00C964B3" w:rsidRDefault="00C964B3" w:rsidP="0040140D">
      <w:pPr>
        <w:pStyle w:val="Bullet1"/>
      </w:pPr>
      <w:r>
        <w:t>connected and works together.</w:t>
      </w:r>
    </w:p>
    <w:p w14:paraId="34636F63" w14:textId="173D2493" w:rsidR="004F4556" w:rsidRDefault="004F4556" w:rsidP="004F4556">
      <w:pPr>
        <w:pStyle w:val="Heading30"/>
      </w:pPr>
      <w:r>
        <w:t>Providing whole of government people data analytics and insights</w:t>
      </w:r>
    </w:p>
    <w:p w14:paraId="1E7A2A13" w14:textId="372F8125" w:rsidR="00EC6751" w:rsidRPr="00A876C8" w:rsidRDefault="00EC6751" w:rsidP="00A876C8">
      <w:pPr>
        <w:pStyle w:val="Body"/>
      </w:pPr>
      <w:r w:rsidRPr="00A876C8">
        <w:t xml:space="preserve">The Commission is a trusted provider of information about the Victorian public sector. </w:t>
      </w:r>
      <w:r w:rsidR="00CC0384">
        <w:t>We shifted</w:t>
      </w:r>
      <w:r w:rsidR="00C87BA3" w:rsidRPr="00A876C8">
        <w:t xml:space="preserve"> </w:t>
      </w:r>
      <w:r w:rsidRPr="00A876C8">
        <w:t xml:space="preserve">public sector </w:t>
      </w:r>
      <w:r w:rsidR="00C87BA3" w:rsidRPr="00A876C8">
        <w:t>data assets</w:t>
      </w:r>
      <w:r w:rsidR="009B5EE5" w:rsidRPr="00A876C8">
        <w:t xml:space="preserve"> to cloud based infrastructure this year</w:t>
      </w:r>
      <w:r w:rsidR="002D4397">
        <w:t xml:space="preserve">, improving the way we </w:t>
      </w:r>
      <w:r w:rsidR="002A3871">
        <w:t xml:space="preserve">secure, </w:t>
      </w:r>
      <w:r w:rsidR="002D4397">
        <w:t xml:space="preserve">manage </w:t>
      </w:r>
      <w:r w:rsidR="002A3871">
        <w:t xml:space="preserve">and </w:t>
      </w:r>
      <w:r w:rsidR="002D4397">
        <w:t>analyse dat</w:t>
      </w:r>
      <w:r w:rsidR="002A3871">
        <w:t>a</w:t>
      </w:r>
      <w:r w:rsidR="002D4397">
        <w:t>,</w:t>
      </w:r>
      <w:r w:rsidR="009B5EE5" w:rsidRPr="00A876C8">
        <w:t xml:space="preserve"> </w:t>
      </w:r>
      <w:r w:rsidRPr="00A876C8">
        <w:t xml:space="preserve">visualise complex datasets and </w:t>
      </w:r>
      <w:r w:rsidR="009B5EE5" w:rsidRPr="00A876C8">
        <w:t>apply learning algorithms</w:t>
      </w:r>
      <w:r w:rsidRPr="00A876C8">
        <w:t>. This infrastructure supports an evidence-based approach to workforce policy making and program design.</w:t>
      </w:r>
    </w:p>
    <w:p w14:paraId="42453764" w14:textId="1848C5A4" w:rsidR="00A876C8" w:rsidRPr="00A876C8" w:rsidRDefault="009C4EDC" w:rsidP="00A876C8">
      <w:pPr>
        <w:pStyle w:val="Body"/>
      </w:pPr>
      <w:r w:rsidRPr="00A876C8">
        <w:t>We collect data to provide public sector employers with insights on diversity and inclusion, employee arrangements and remuneration. This year we collected data on 322,605 employees from 1,829 employers.</w:t>
      </w:r>
      <w:r w:rsidR="00A876C8" w:rsidRPr="00A876C8">
        <w:t xml:space="preserve"> We produced 524 reports comparing the composition and characteristics of public sector workplaces and the remuneration of executives. </w:t>
      </w:r>
    </w:p>
    <w:p w14:paraId="0C2E93B3" w14:textId="0D6B66F4" w:rsidR="007B54FC" w:rsidRDefault="00F716DA" w:rsidP="00A876C8">
      <w:pPr>
        <w:pStyle w:val="Body"/>
      </w:pPr>
      <w:r>
        <w:t xml:space="preserve">We publish </w:t>
      </w:r>
      <w:hyperlink r:id="rId11" w:history="1">
        <w:r w:rsidRPr="007B54FC">
          <w:rPr>
            <w:rStyle w:val="Hyperlink"/>
          </w:rPr>
          <w:t>State of the Public Sector</w:t>
        </w:r>
      </w:hyperlink>
      <w:r>
        <w:t xml:space="preserve"> </w:t>
      </w:r>
      <w:r w:rsidR="0072397F">
        <w:t>to help the public sector build an inclusive, high-performing and engaged workforce</w:t>
      </w:r>
      <w:r>
        <w:t xml:space="preserve">. In December 2020, we published workforce data. In April 2021 we published data from the 2020 </w:t>
      </w:r>
      <w:hyperlink r:id="rId12" w:history="1">
        <w:r w:rsidR="00963DC8" w:rsidRPr="007B54FC">
          <w:rPr>
            <w:rStyle w:val="Hyperlink"/>
          </w:rPr>
          <w:t>People Matter Survey</w:t>
        </w:r>
      </w:hyperlink>
      <w:r w:rsidR="00963DC8">
        <w:t xml:space="preserve"> </w:t>
      </w:r>
      <w:r>
        <w:t>wellbeing check.</w:t>
      </w:r>
      <w:r w:rsidR="007B54FC">
        <w:t xml:space="preserve"> </w:t>
      </w:r>
    </w:p>
    <w:p w14:paraId="0AB1D7E9" w14:textId="55C48CFB" w:rsidR="00963DC8" w:rsidRDefault="002D4A25" w:rsidP="00A876C8">
      <w:pPr>
        <w:pStyle w:val="Body"/>
      </w:pPr>
      <w:r>
        <w:lastRenderedPageBreak/>
        <w:t>Almost 46,000 employees from 191 public sector organisations completed the wellbeing check</w:t>
      </w:r>
      <w:r w:rsidR="002B3535">
        <w:t xml:space="preserve"> </w:t>
      </w:r>
      <w:r w:rsidR="00E51B50">
        <w:t xml:space="preserve">survey </w:t>
      </w:r>
      <w:r w:rsidR="002B3535">
        <w:t>during COVID-19</w:t>
      </w:r>
      <w:r>
        <w:t xml:space="preserve">. We produced 2,426 result reports and 698 data files to assist organisations </w:t>
      </w:r>
      <w:r w:rsidR="00E42C1E">
        <w:t>in strengthening workplace culture</w:t>
      </w:r>
      <w:r>
        <w:t>. The full People Matter Survey was delivered to 241 organisations on a new platform in June 2021.</w:t>
      </w:r>
      <w:r w:rsidR="00035DAD">
        <w:t xml:space="preserve"> More than 92,000 people completed it.</w:t>
      </w:r>
    </w:p>
    <w:p w14:paraId="1FB0EA14" w14:textId="5241B733" w:rsidR="005378E9" w:rsidRDefault="002B3535" w:rsidP="00A876C8">
      <w:pPr>
        <w:pStyle w:val="Body"/>
      </w:pPr>
      <w:r>
        <w:t xml:space="preserve">We continued to manage the Government Appointment and Public Entities Database, </w:t>
      </w:r>
      <w:r w:rsidR="00E51B50">
        <w:t>reporting</w:t>
      </w:r>
      <w:r>
        <w:t xml:space="preserve"> </w:t>
      </w:r>
      <w:r w:rsidR="00E51B50">
        <w:t xml:space="preserve">monthly </w:t>
      </w:r>
      <w:r>
        <w:t>on vacancies and appointments</w:t>
      </w:r>
      <w:r w:rsidR="002A3871">
        <w:t xml:space="preserve">, and </w:t>
      </w:r>
      <w:r>
        <w:t>measur</w:t>
      </w:r>
      <w:r w:rsidR="002A3871">
        <w:t>ing</w:t>
      </w:r>
      <w:r>
        <w:t xml:space="preserve"> achievement against the objective that women comprise </w:t>
      </w:r>
      <w:r w:rsidR="00CD701C">
        <w:t xml:space="preserve">no less than </w:t>
      </w:r>
      <w:r>
        <w:t xml:space="preserve">50% of all </w:t>
      </w:r>
      <w:r w:rsidR="0083154E">
        <w:t xml:space="preserve">new </w:t>
      </w:r>
      <w:r>
        <w:t>appointment</w:t>
      </w:r>
      <w:r w:rsidR="00F028F5">
        <w:t>s</w:t>
      </w:r>
      <w:r>
        <w:t xml:space="preserve"> to major public boards.</w:t>
      </w:r>
    </w:p>
    <w:p w14:paraId="45202D5C" w14:textId="625AFCCD" w:rsidR="004F4556" w:rsidRDefault="004F4556" w:rsidP="004F4556">
      <w:pPr>
        <w:pStyle w:val="Heading30"/>
      </w:pPr>
      <w:r>
        <w:t>Supporting a digitally enabled and flexible workforce</w:t>
      </w:r>
    </w:p>
    <w:p w14:paraId="593E330F" w14:textId="7FADAC0C" w:rsidR="00A72D2D" w:rsidRDefault="00A72D2D" w:rsidP="005378E9">
      <w:pPr>
        <w:pStyle w:val="Body"/>
      </w:pPr>
      <w:r>
        <w:t>More than 80% of the V</w:t>
      </w:r>
      <w:r w:rsidR="00CC0384">
        <w:t>ictorian Public Service (VPS)</w:t>
      </w:r>
      <w:r>
        <w:t xml:space="preserve"> are members of the </w:t>
      </w:r>
      <w:hyperlink r:id="rId13" w:history="1">
        <w:r w:rsidRPr="007B54FC">
          <w:rPr>
            <w:rStyle w:val="Hyperlink"/>
          </w:rPr>
          <w:t>Jobs and Skills Exchange</w:t>
        </w:r>
      </w:hyperlink>
      <w:r w:rsidR="006E0FE9">
        <w:t xml:space="preserve"> (JSE)</w:t>
      </w:r>
      <w:r w:rsidR="00437ACF">
        <w:t>, a platform that provides employees with</w:t>
      </w:r>
      <w:r>
        <w:t xml:space="preserve"> priority access to career opportunities across government.</w:t>
      </w:r>
    </w:p>
    <w:p w14:paraId="23FD9D8D" w14:textId="2C493D87" w:rsidR="00A72D2D" w:rsidRDefault="00A72D2D" w:rsidP="005378E9">
      <w:pPr>
        <w:pStyle w:val="Body"/>
      </w:pPr>
      <w:r>
        <w:t xml:space="preserve">We enriched </w:t>
      </w:r>
      <w:r w:rsidR="006E0FE9">
        <w:t xml:space="preserve">recruitment </w:t>
      </w:r>
      <w:r>
        <w:t xml:space="preserve">data and insights available across government, </w:t>
      </w:r>
      <w:r w:rsidR="00437ACF">
        <w:t>including during</w:t>
      </w:r>
      <w:r>
        <w:t xml:space="preserve"> COVID-19 as part of the employee mobility response</w:t>
      </w:r>
      <w:r w:rsidR="00437ACF">
        <w:t>. We streamline</w:t>
      </w:r>
      <w:r w:rsidR="00DF3D2A">
        <w:t>d</w:t>
      </w:r>
      <w:r w:rsidR="00437ACF">
        <w:t xml:space="preserve"> data for simplicity, accessibility and maintenance to report and measure job advertisement trends.</w:t>
      </w:r>
    </w:p>
    <w:p w14:paraId="757D7E5F" w14:textId="77777777" w:rsidR="009D43DD" w:rsidRDefault="00F97128" w:rsidP="005378E9">
      <w:pPr>
        <w:pStyle w:val="Body"/>
      </w:pPr>
      <w:r>
        <w:t xml:space="preserve">We revised the </w:t>
      </w:r>
      <w:hyperlink r:id="rId14" w:history="1">
        <w:r w:rsidRPr="007B54FC">
          <w:rPr>
            <w:rStyle w:val="Hyperlink"/>
          </w:rPr>
          <w:t>flexible work policy</w:t>
        </w:r>
      </w:hyperlink>
      <w:r>
        <w:t xml:space="preserve"> to support </w:t>
      </w:r>
      <w:r w:rsidR="002A3871">
        <w:t xml:space="preserve">gender equity, diversity, productivity and work life balance. </w:t>
      </w:r>
      <w:r>
        <w:t xml:space="preserve">The guidance note issued by the Victorian Secretaries Board recommended that Victorian Public Service employees work from an office 3 days per week, and negotiate their flexibility needs with their manager. </w:t>
      </w:r>
    </w:p>
    <w:p w14:paraId="10CA3C3D" w14:textId="5BEEDC12" w:rsidR="00F97128" w:rsidRDefault="00F97128" w:rsidP="005378E9">
      <w:pPr>
        <w:pStyle w:val="Body"/>
      </w:pPr>
      <w:r>
        <w:t xml:space="preserve">Flexible work arrangements consider when, where and how we work so </w:t>
      </w:r>
      <w:r>
        <w:rPr>
          <w:color w:val="000000"/>
          <w:shd w:val="clear" w:color="auto" w:fill="FBFBFB"/>
        </w:rPr>
        <w:t>that we can meet our employment commitments and perform our jobs well for the Victorian community.</w:t>
      </w:r>
    </w:p>
    <w:p w14:paraId="16939D8E" w14:textId="02379154" w:rsidR="004F4556" w:rsidRDefault="004F4556" w:rsidP="00C521D5">
      <w:pPr>
        <w:pStyle w:val="Heading30"/>
      </w:pPr>
      <w:r>
        <w:t>Providing workforce planning advice</w:t>
      </w:r>
    </w:p>
    <w:p w14:paraId="6D91B00E" w14:textId="77777777" w:rsidR="003C496F" w:rsidRDefault="0076000D" w:rsidP="005378E9">
      <w:pPr>
        <w:pStyle w:val="Body"/>
      </w:pPr>
      <w:r>
        <w:t>We prepared a</w:t>
      </w:r>
      <w:r w:rsidR="00035DAD">
        <w:t>n initial</w:t>
      </w:r>
      <w:r>
        <w:t xml:space="preserve"> consultation paper to collaborate with stakeholders on workforce strategy. </w:t>
      </w:r>
    </w:p>
    <w:p w14:paraId="2F018968" w14:textId="6C9A112C" w:rsidR="0036291D" w:rsidRDefault="0076000D" w:rsidP="005378E9">
      <w:pPr>
        <w:pStyle w:val="Body"/>
      </w:pPr>
      <w:r>
        <w:t xml:space="preserve">The strategy will </w:t>
      </w:r>
      <w:r w:rsidR="0036291D">
        <w:t>consider</w:t>
      </w:r>
      <w:r>
        <w:t xml:space="preserve"> demographic, societal, environment, economic and technological change</w:t>
      </w:r>
      <w:r w:rsidR="0036291D">
        <w:t>s</w:t>
      </w:r>
      <w:r>
        <w:t xml:space="preserve"> that will impact the Victorian public sector workforce over the next 10 years</w:t>
      </w:r>
      <w:r w:rsidR="0036291D">
        <w:t xml:space="preserve">, </w:t>
      </w:r>
      <w:r>
        <w:t>affect</w:t>
      </w:r>
      <w:r w:rsidR="0036291D">
        <w:t>ing</w:t>
      </w:r>
      <w:r>
        <w:t xml:space="preserve"> the work we do, how and where we work and the skills and capabilities we require.</w:t>
      </w:r>
      <w:r w:rsidR="0036291D">
        <w:t xml:space="preserve"> </w:t>
      </w:r>
    </w:p>
    <w:p w14:paraId="57267A51" w14:textId="77777777" w:rsidR="00121EF6" w:rsidRDefault="0036291D" w:rsidP="0036291D">
      <w:pPr>
        <w:pStyle w:val="Body"/>
      </w:pPr>
      <w:r>
        <w:lastRenderedPageBreak/>
        <w:t xml:space="preserve">We </w:t>
      </w:r>
      <w:r w:rsidR="00CC0384">
        <w:t>co-designed a</w:t>
      </w:r>
      <w:r>
        <w:t xml:space="preserve"> VPS Strategic Workforce Planning framework with departments and Victoria Police. It supports the VPS to plan 3 to 5 years into the future to establish, access and mobilise a workforce to deliver services </w:t>
      </w:r>
      <w:r w:rsidR="00390ABB">
        <w:t>for the community</w:t>
      </w:r>
      <w:r>
        <w:t>.</w:t>
      </w:r>
    </w:p>
    <w:p w14:paraId="6AFE7B09" w14:textId="5BEE119C" w:rsidR="00DB3A4E" w:rsidRDefault="00035DAD" w:rsidP="0036291D">
      <w:pPr>
        <w:pStyle w:val="Body"/>
      </w:pPr>
      <w:r>
        <w:t>We developed a Job Families Architecture to standardise the way departments allocate functions, job groupings and roles within their organisations. It will be embedded in the</w:t>
      </w:r>
      <w:r w:rsidR="00786392">
        <w:t xml:space="preserve"> human capital management system</w:t>
      </w:r>
      <w:r>
        <w:t>, which</w:t>
      </w:r>
      <w:r w:rsidR="00786392">
        <w:t xml:space="preserve"> aims to harmonise human resource processes and enable better mobility across the Victorian Public Service. </w:t>
      </w:r>
    </w:p>
    <w:p w14:paraId="4CAA7874" w14:textId="30A3B2A8" w:rsidR="007323A5" w:rsidRDefault="007323A5" w:rsidP="0036291D">
      <w:pPr>
        <w:pStyle w:val="Body"/>
      </w:pPr>
      <w:r>
        <w:t xml:space="preserve">We </w:t>
      </w:r>
      <w:r w:rsidR="001436BB">
        <w:t>scoped</w:t>
      </w:r>
      <w:r>
        <w:t xml:space="preserve"> a review of </w:t>
      </w:r>
      <w:r w:rsidR="00D332E7">
        <w:t>learning and development</w:t>
      </w:r>
      <w:r>
        <w:t xml:space="preserve"> across government, engaging with leading institutions and capability experts to identify and coordinate research </w:t>
      </w:r>
      <w:r w:rsidR="001436BB">
        <w:t>that</w:t>
      </w:r>
      <w:r>
        <w:t xml:space="preserve"> support</w:t>
      </w:r>
      <w:r w:rsidR="001436BB">
        <w:t>s</w:t>
      </w:r>
      <w:r>
        <w:t xml:space="preserve"> workforce mobility and development.</w:t>
      </w:r>
    </w:p>
    <w:p w14:paraId="0819E408" w14:textId="2BFD733C" w:rsidR="00DD0E21" w:rsidRDefault="00DD0E21" w:rsidP="0040140D">
      <w:pPr>
        <w:pStyle w:val="Heading20"/>
      </w:pPr>
      <w:r>
        <w:t>Supporting a positive employee experience</w:t>
      </w:r>
    </w:p>
    <w:p w14:paraId="22F35B43" w14:textId="3777C511" w:rsidR="00C964B3" w:rsidRPr="00C964B3" w:rsidRDefault="00C964B3" w:rsidP="00C964B3">
      <w:pPr>
        <w:pStyle w:val="Body"/>
        <w:rPr>
          <w:rStyle w:val="Strong"/>
          <w:rFonts w:ascii="VIC" w:hAnsi="VIC"/>
        </w:rPr>
      </w:pPr>
      <w:r w:rsidRPr="00C964B3">
        <w:t xml:space="preserve">The strategic outcome of this work is </w:t>
      </w:r>
      <w:r>
        <w:t>an inclusive, high-performing and engaged workforce.</w:t>
      </w:r>
    </w:p>
    <w:p w14:paraId="6D00E2C4" w14:textId="06BC2340" w:rsidR="00C964B3" w:rsidRDefault="00C964B3" w:rsidP="00C964B3">
      <w:pPr>
        <w:pStyle w:val="Body"/>
        <w:rPr>
          <w:rStyle w:val="Strong"/>
          <w:rFonts w:ascii="VIC" w:hAnsi="VIC"/>
        </w:rPr>
      </w:pPr>
      <w:r w:rsidRPr="00C964B3">
        <w:rPr>
          <w:rStyle w:val="Strong"/>
          <w:rFonts w:ascii="VIC" w:hAnsi="VIC"/>
        </w:rPr>
        <w:t xml:space="preserve">A </w:t>
      </w:r>
      <w:r>
        <w:rPr>
          <w:rStyle w:val="Strong"/>
          <w:rFonts w:ascii="VIC" w:hAnsi="VIC"/>
        </w:rPr>
        <w:t>workforce that:</w:t>
      </w:r>
    </w:p>
    <w:p w14:paraId="560879B4" w14:textId="7588DFC6" w:rsidR="00C964B3" w:rsidRDefault="00C964B3" w:rsidP="00C964B3">
      <w:pPr>
        <w:pStyle w:val="Bullet1"/>
      </w:pPr>
      <w:r>
        <w:t>is capable and flexible</w:t>
      </w:r>
    </w:p>
    <w:p w14:paraId="1E31DC03" w14:textId="5175ACE5" w:rsidR="00C964B3" w:rsidRDefault="00C964B3" w:rsidP="00C964B3">
      <w:pPr>
        <w:pStyle w:val="Bullet1"/>
      </w:pPr>
      <w:r>
        <w:t>is inclusive and diverse</w:t>
      </w:r>
    </w:p>
    <w:p w14:paraId="2A76ADED" w14:textId="122AD894" w:rsidR="00C964B3" w:rsidRDefault="00C964B3" w:rsidP="00C964B3">
      <w:pPr>
        <w:pStyle w:val="Bullet1"/>
      </w:pPr>
      <w:r>
        <w:t>is digitally enabled and customer focused</w:t>
      </w:r>
    </w:p>
    <w:p w14:paraId="353A91AD" w14:textId="03B0235C" w:rsidR="00C964B3" w:rsidRDefault="00C964B3" w:rsidP="0040140D">
      <w:pPr>
        <w:pStyle w:val="Bullet1"/>
      </w:pPr>
      <w:r>
        <w:t>embodies public sector values.</w:t>
      </w:r>
    </w:p>
    <w:p w14:paraId="08ADA38D" w14:textId="687AD49D" w:rsidR="004F4556" w:rsidRDefault="004F4556" w:rsidP="004F4556">
      <w:pPr>
        <w:pStyle w:val="Heading30"/>
      </w:pPr>
      <w:r>
        <w:t>Promoting inclusive and healthy workplaces</w:t>
      </w:r>
    </w:p>
    <w:p w14:paraId="7FE0F4DB" w14:textId="4FD9B440" w:rsidR="00287271" w:rsidRDefault="002419EB" w:rsidP="00C7425F">
      <w:pPr>
        <w:pStyle w:val="Body"/>
      </w:pPr>
      <w:r>
        <w:t xml:space="preserve">In partnership with the Aboriginal community, we delivered </w:t>
      </w:r>
      <w:r w:rsidR="00FB5EDB">
        <w:t xml:space="preserve">all </w:t>
      </w:r>
      <w:hyperlink r:id="rId15" w:history="1">
        <w:r w:rsidRPr="00493F4F">
          <w:rPr>
            <w:rStyle w:val="Hyperlink"/>
          </w:rPr>
          <w:t>Barring Djinang</w:t>
        </w:r>
      </w:hyperlink>
      <w:r>
        <w:t xml:space="preserve"> initiatives in virtual format</w:t>
      </w:r>
      <w:r w:rsidR="00FB5EDB">
        <w:t>. Participation increased</w:t>
      </w:r>
      <w:r>
        <w:t xml:space="preserve"> </w:t>
      </w:r>
      <w:r w:rsidR="00FB5EDB">
        <w:t>to 44 in the</w:t>
      </w:r>
      <w:r>
        <w:t xml:space="preserve"> </w:t>
      </w:r>
      <w:r w:rsidR="00287271">
        <w:t xml:space="preserve">2020 </w:t>
      </w:r>
      <w:r>
        <w:t>internship program</w:t>
      </w:r>
      <w:r w:rsidR="0083154E">
        <w:t xml:space="preserve"> and</w:t>
      </w:r>
      <w:r w:rsidR="00FC7BB2">
        <w:t xml:space="preserve"> </w:t>
      </w:r>
      <w:r w:rsidR="00FB5EDB">
        <w:t xml:space="preserve">26 in the </w:t>
      </w:r>
      <w:r>
        <w:t>leadership program</w:t>
      </w:r>
      <w:r w:rsidR="0083154E">
        <w:t>, up from 34 and 19 last year.</w:t>
      </w:r>
      <w:r w:rsidR="00FB5EDB">
        <w:t xml:space="preserve"> </w:t>
      </w:r>
      <w:r w:rsidR="00FC7BB2">
        <w:t>Fifty</w:t>
      </w:r>
      <w:r w:rsidR="00FB5EDB">
        <w:t xml:space="preserve"> </w:t>
      </w:r>
      <w:r w:rsidR="0083154E">
        <w:t xml:space="preserve">people participated </w:t>
      </w:r>
      <w:r w:rsidR="00FB5EDB">
        <w:t xml:space="preserve">in </w:t>
      </w:r>
      <w:r>
        <w:t>regional networks.</w:t>
      </w:r>
    </w:p>
    <w:p w14:paraId="3C147F89" w14:textId="3437B7E3" w:rsidR="00FB5EDB" w:rsidRDefault="00287271" w:rsidP="00C7425F">
      <w:pPr>
        <w:pStyle w:val="Body"/>
      </w:pPr>
      <w:r>
        <w:t xml:space="preserve">More than 100 people have participated in the career development program since it started in </w:t>
      </w:r>
      <w:r w:rsidR="00B62609">
        <w:t>2017</w:t>
      </w:r>
      <w:r>
        <w:t xml:space="preserve">. </w:t>
      </w:r>
      <w:r w:rsidR="00FB5EDB">
        <w:t xml:space="preserve">We commenced </w:t>
      </w:r>
      <w:r>
        <w:t xml:space="preserve">the pilot phase of </w:t>
      </w:r>
      <w:r w:rsidR="00FB5EDB">
        <w:t xml:space="preserve">Building </w:t>
      </w:r>
      <w:r>
        <w:t xml:space="preserve">Aboriginal </w:t>
      </w:r>
      <w:r w:rsidR="00FB5EDB">
        <w:t>Cultural Capability in the Workplace</w:t>
      </w:r>
      <w:r>
        <w:t>. Five public sector agencies</w:t>
      </w:r>
      <w:r w:rsidR="00FB5EDB">
        <w:t xml:space="preserve"> </w:t>
      </w:r>
      <w:r>
        <w:t>participated.</w:t>
      </w:r>
      <w:r w:rsidR="00FB5EDB">
        <w:t xml:space="preserve"> </w:t>
      </w:r>
    </w:p>
    <w:p w14:paraId="166027D5" w14:textId="195A1F9D" w:rsidR="002419EB" w:rsidRDefault="00287271" w:rsidP="00C7425F">
      <w:pPr>
        <w:pStyle w:val="Body"/>
      </w:pPr>
      <w:r>
        <w:lastRenderedPageBreak/>
        <w:t xml:space="preserve">Access to career development, networking and peer support contributes to a more rewarding career experience for Aboriginal employees, improving attraction and retention. </w:t>
      </w:r>
      <w:r w:rsidR="00493F4F">
        <w:t>Our work</w:t>
      </w:r>
      <w:r w:rsidR="000B5CC7">
        <w:t xml:space="preserve"> supports Aboriginal self-determination in Victoria, developing Aboriginal leadership capabilities across the public, Aboriginal community and Traditional Owner sectors.</w:t>
      </w:r>
    </w:p>
    <w:p w14:paraId="78089684" w14:textId="1998859B" w:rsidR="00A22515" w:rsidRDefault="003C2F63" w:rsidP="00C7425F">
      <w:pPr>
        <w:pStyle w:val="Body"/>
      </w:pPr>
      <w:r>
        <w:t xml:space="preserve">Under </w:t>
      </w:r>
      <w:hyperlink r:id="rId16" w:history="1">
        <w:r w:rsidRPr="00493F4F">
          <w:rPr>
            <w:rStyle w:val="Hyperlink"/>
          </w:rPr>
          <w:t>Getting to work</w:t>
        </w:r>
      </w:hyperlink>
      <w:r>
        <w:t>, the Victorian public sector disability employment action plan</w:t>
      </w:r>
      <w:r w:rsidR="00AD501A">
        <w:t xml:space="preserve"> 2018-25</w:t>
      </w:r>
      <w:r>
        <w:t xml:space="preserve">, </w:t>
      </w:r>
      <w:r w:rsidR="00CB375C">
        <w:t>we</w:t>
      </w:r>
      <w:r w:rsidR="009B1B9E">
        <w:t xml:space="preserve"> </w:t>
      </w:r>
      <w:r w:rsidR="00C43DB6">
        <w:t>developed a pilot</w:t>
      </w:r>
      <w:r w:rsidR="009B1B9E">
        <w:t xml:space="preserve"> whole of government mentoring program and graduate mentoring progra</w:t>
      </w:r>
      <w:r w:rsidR="00FF1144">
        <w:t>m</w:t>
      </w:r>
      <w:r w:rsidR="00C43DB6">
        <w:t xml:space="preserve"> for participants in the Victorian Government graduate program Disability pathway</w:t>
      </w:r>
      <w:r w:rsidR="009B1B9E">
        <w:t>. We hosted more than 500 attendees at 3 online events to celebrate International Day of Persons with Disabilities.</w:t>
      </w:r>
      <w:r w:rsidR="00FF1144">
        <w:t xml:space="preserve"> </w:t>
      </w:r>
    </w:p>
    <w:p w14:paraId="5062CE8F" w14:textId="45A6B7EB" w:rsidR="00AD501A" w:rsidRDefault="00FF1144" w:rsidP="00C7425F">
      <w:pPr>
        <w:pStyle w:val="Body"/>
      </w:pPr>
      <w:r>
        <w:t>During COVID-19, we provided support for employees with disability and neurodiverse employees working remotely. We also published tips for Managers who were supporting employees with disability to work remotely</w:t>
      </w:r>
      <w:r w:rsidR="00A22515">
        <w:t xml:space="preserve">, </w:t>
      </w:r>
      <w:r w:rsidR="00CC0384">
        <w:t>and</w:t>
      </w:r>
      <w:r w:rsidR="00A22515">
        <w:t xml:space="preserve"> </w:t>
      </w:r>
      <w:r>
        <w:t>transition back to the workplace.</w:t>
      </w:r>
      <w:r w:rsidR="00A22515">
        <w:t xml:space="preserve"> </w:t>
      </w:r>
    </w:p>
    <w:p w14:paraId="0B6A5B73" w14:textId="25EE5094" w:rsidR="003C2F63" w:rsidRDefault="00AD501A" w:rsidP="00C7425F">
      <w:pPr>
        <w:pStyle w:val="Body"/>
      </w:pPr>
      <w:r>
        <w:t>We engaged the</w:t>
      </w:r>
      <w:r w:rsidR="00A22515">
        <w:t xml:space="preserve"> Melbourne Disability Institute, University of Melbourne, </w:t>
      </w:r>
      <w:r>
        <w:t>to investigate evidence-based approaches to improve the collection of disability related information in a workplace setting. The project showed that data collection methods and organisational culture influence whether and when job seekers and current employees share disability information. We will use these findings to</w:t>
      </w:r>
      <w:r w:rsidR="005329D6">
        <w:t xml:space="preserve"> strengthen</w:t>
      </w:r>
      <w:r>
        <w:t xml:space="preserve"> the quality of </w:t>
      </w:r>
      <w:r w:rsidR="005329D6">
        <w:t xml:space="preserve">disability </w:t>
      </w:r>
      <w:r>
        <w:t xml:space="preserve">information </w:t>
      </w:r>
      <w:r w:rsidR="005329D6">
        <w:t>we collect</w:t>
      </w:r>
      <w:r>
        <w:t>.</w:t>
      </w:r>
    </w:p>
    <w:p w14:paraId="58F6CEEB" w14:textId="4B01F17B" w:rsidR="005329D6" w:rsidRDefault="00AD501A" w:rsidP="00C7425F">
      <w:pPr>
        <w:pStyle w:val="Body"/>
      </w:pPr>
      <w:r>
        <w:t xml:space="preserve">We continued to convene the </w:t>
      </w:r>
      <w:r w:rsidR="005329D6">
        <w:t xml:space="preserve">quarterly </w:t>
      </w:r>
      <w:r>
        <w:t>Deputy Secretary disability champion round table</w:t>
      </w:r>
      <w:r w:rsidR="005329D6">
        <w:t>, developing a whole of government disability awareness e-learn.</w:t>
      </w:r>
      <w:r>
        <w:t xml:space="preserve"> </w:t>
      </w:r>
    </w:p>
    <w:p w14:paraId="5106FCFD" w14:textId="4295FC68" w:rsidR="00C43DB6" w:rsidRDefault="005329D6" w:rsidP="00C7425F">
      <w:pPr>
        <w:pStyle w:val="Body"/>
      </w:pPr>
      <w:r>
        <w:t>We also</w:t>
      </w:r>
      <w:r w:rsidR="00C43DB6">
        <w:t xml:space="preserve"> published guidance on the use of special measures to address equality in recruitment and support recruitment from diverse backgrounds including people with disability and Aboriginal Victorians.</w:t>
      </w:r>
    </w:p>
    <w:p w14:paraId="1F8FB518" w14:textId="05DF3CA9" w:rsidR="004F4556" w:rsidRDefault="004F4556" w:rsidP="004F4556">
      <w:pPr>
        <w:pStyle w:val="Heading30"/>
      </w:pPr>
      <w:r>
        <w:t>Supporting employment and career pathways</w:t>
      </w:r>
    </w:p>
    <w:p w14:paraId="153A1321" w14:textId="023BB82E" w:rsidR="00CD3063" w:rsidRDefault="00060613" w:rsidP="00060613">
      <w:pPr>
        <w:pStyle w:val="Body"/>
      </w:pPr>
      <w:r>
        <w:t xml:space="preserve">The Commission recruited 79 graduates across 6 professional streams </w:t>
      </w:r>
      <w:r w:rsidR="00D332E7">
        <w:t>in</w:t>
      </w:r>
      <w:r>
        <w:t xml:space="preserve"> the 2021 </w:t>
      </w:r>
      <w:hyperlink r:id="rId17" w:history="1">
        <w:r w:rsidRPr="00493F4F">
          <w:rPr>
            <w:rStyle w:val="Hyperlink"/>
          </w:rPr>
          <w:t>Victorian Government graduate program</w:t>
        </w:r>
      </w:hyperlink>
      <w:r>
        <w:t xml:space="preserve">. </w:t>
      </w:r>
      <w:r w:rsidR="00C7425F">
        <w:t xml:space="preserve">The newest stream is Law, aligned to broader workforce demands. Overall, </w:t>
      </w:r>
      <w:r w:rsidR="009C3529">
        <w:t>19</w:t>
      </w:r>
      <w:r>
        <w:t xml:space="preserve">% </w:t>
      </w:r>
      <w:r w:rsidR="00C7425F">
        <w:t xml:space="preserve">of graduates </w:t>
      </w:r>
      <w:r>
        <w:t xml:space="preserve">were employed via the disability pathway and </w:t>
      </w:r>
      <w:r w:rsidR="009C3529">
        <w:t>9</w:t>
      </w:r>
      <w:r>
        <w:t xml:space="preserve">% via the Aboriginal and Torres Strait Islander pathway. </w:t>
      </w:r>
    </w:p>
    <w:p w14:paraId="52E94F52" w14:textId="3016F41B" w:rsidR="00060613" w:rsidRDefault="00060613" w:rsidP="00060613">
      <w:pPr>
        <w:pStyle w:val="Body"/>
      </w:pPr>
      <w:r>
        <w:t xml:space="preserve">We also </w:t>
      </w:r>
      <w:r w:rsidR="00C43DB6">
        <w:t xml:space="preserve">supported </w:t>
      </w:r>
      <w:r>
        <w:t>recruit</w:t>
      </w:r>
      <w:r w:rsidR="00C43DB6">
        <w:t>ment of</w:t>
      </w:r>
      <w:r>
        <w:t xml:space="preserve"> early career professionals to </w:t>
      </w:r>
      <w:r w:rsidR="00CD3063">
        <w:t>a</w:t>
      </w:r>
      <w:r>
        <w:t xml:space="preserve"> 12</w:t>
      </w:r>
      <w:r w:rsidR="00CD3063">
        <w:t>-</w:t>
      </w:r>
      <w:r>
        <w:t xml:space="preserve">month graduate program at the Department of Jobs, Precincts and Regions and </w:t>
      </w:r>
      <w:r w:rsidR="00D332E7">
        <w:t xml:space="preserve">to a </w:t>
      </w:r>
      <w:r>
        <w:t>summer internship at the Department of Education and Training.</w:t>
      </w:r>
    </w:p>
    <w:p w14:paraId="1532D668" w14:textId="32E75E43" w:rsidR="00CD3063" w:rsidRDefault="00361972" w:rsidP="00060613">
      <w:pPr>
        <w:pStyle w:val="Body"/>
      </w:pPr>
      <w:hyperlink r:id="rId18" w:history="1">
        <w:r w:rsidR="00CD3063" w:rsidRPr="00493F4F">
          <w:rPr>
            <w:rStyle w:val="Hyperlink"/>
          </w:rPr>
          <w:t>CareersVic</w:t>
        </w:r>
      </w:hyperlink>
      <w:r w:rsidR="00CD3063">
        <w:t xml:space="preserve"> attracts almost 40,000 job seekers every week and supports them to find job opportunities across the Victorian public sector. We manage ongoing delivery of CareersVic and </w:t>
      </w:r>
      <w:hyperlink r:id="rId19" w:history="1">
        <w:r w:rsidR="00E260DE" w:rsidRPr="0017728F">
          <w:rPr>
            <w:rStyle w:val="Hyperlink"/>
          </w:rPr>
          <w:t>Join a Public Board</w:t>
        </w:r>
      </w:hyperlink>
      <w:r w:rsidR="00E260DE">
        <w:t xml:space="preserve">, </w:t>
      </w:r>
      <w:r w:rsidR="00CD3063">
        <w:t xml:space="preserve">the board recruitment service for the Victorian Government. </w:t>
      </w:r>
    </w:p>
    <w:p w14:paraId="291C350C" w14:textId="71181005" w:rsidR="00CD3063" w:rsidRDefault="00C7425F" w:rsidP="00060613">
      <w:pPr>
        <w:pStyle w:val="Body"/>
      </w:pPr>
      <w:r>
        <w:t>We</w:t>
      </w:r>
      <w:r w:rsidR="00CD3063">
        <w:t xml:space="preserve"> re-developed </w:t>
      </w:r>
      <w:hyperlink r:id="rId20" w:history="1">
        <w:r w:rsidR="0017728F" w:rsidRPr="0017728F">
          <w:rPr>
            <w:rStyle w:val="Hyperlink"/>
          </w:rPr>
          <w:t>Join a Public Board</w:t>
        </w:r>
      </w:hyperlink>
      <w:r>
        <w:t xml:space="preserve"> </w:t>
      </w:r>
      <w:r w:rsidR="00CD3063">
        <w:t xml:space="preserve">during 2020-21. </w:t>
      </w:r>
      <w:r>
        <w:t>Redevelopment goals were to</w:t>
      </w:r>
      <w:r w:rsidR="00CD3063">
        <w:t xml:space="preserve"> </w:t>
      </w:r>
      <w:r>
        <w:t>improve</w:t>
      </w:r>
      <w:r w:rsidR="00CD3063">
        <w:t xml:space="preserve"> capability and diversity outcomes in board recruitment</w:t>
      </w:r>
      <w:r>
        <w:t>.</w:t>
      </w:r>
      <w:r w:rsidR="00CD3063">
        <w:t xml:space="preserve"> </w:t>
      </w:r>
      <w:r>
        <w:t>We interviewed more than 30</w:t>
      </w:r>
      <w:r w:rsidR="00CD3063">
        <w:t xml:space="preserve"> candidates, stakeholders and recruiters</w:t>
      </w:r>
      <w:r>
        <w:t xml:space="preserve"> </w:t>
      </w:r>
      <w:r w:rsidR="00CC0384">
        <w:t>as part of</w:t>
      </w:r>
      <w:r>
        <w:t xml:space="preserve"> </w:t>
      </w:r>
      <w:r w:rsidR="00D332E7">
        <w:t>a</w:t>
      </w:r>
      <w:r>
        <w:t xml:space="preserve"> user-centred design process.</w:t>
      </w:r>
    </w:p>
    <w:p w14:paraId="560F1686" w14:textId="60C3CE50" w:rsidR="00221C22" w:rsidRDefault="00221C22" w:rsidP="00060613">
      <w:pPr>
        <w:pStyle w:val="Body"/>
      </w:pPr>
      <w:r>
        <w:t xml:space="preserve">We </w:t>
      </w:r>
      <w:r w:rsidR="00774610">
        <w:t xml:space="preserve">are starting to connect employees from public sector entities to the Jobs and Skills Exchange, in line with the next phase of the roll-out. </w:t>
      </w:r>
      <w:r w:rsidR="00E87B70">
        <w:t>We also scoped a</w:t>
      </w:r>
      <w:r w:rsidR="00300036">
        <w:t xml:space="preserve"> </w:t>
      </w:r>
      <w:r w:rsidR="00E87B70">
        <w:t>digital upgrade to the platform to better serve our members.</w:t>
      </w:r>
      <w:r w:rsidR="00F202DA">
        <w:t xml:space="preserve"> </w:t>
      </w:r>
    </w:p>
    <w:p w14:paraId="678C397E" w14:textId="5435D71A" w:rsidR="004F4556" w:rsidRDefault="004F4556" w:rsidP="004F4556">
      <w:pPr>
        <w:pStyle w:val="Heading30"/>
      </w:pPr>
      <w:r>
        <w:t>Developing leading practice to support whole of government people initiatives</w:t>
      </w:r>
    </w:p>
    <w:p w14:paraId="111F0A58" w14:textId="77777777" w:rsidR="003C496F" w:rsidRDefault="00855FEB" w:rsidP="00DB4D37">
      <w:pPr>
        <w:pStyle w:val="Body"/>
      </w:pPr>
      <w:r>
        <w:t xml:space="preserve">In </w:t>
      </w:r>
      <w:r w:rsidR="00300036">
        <w:t>partnership with the Jobs and Skills Exchange,</w:t>
      </w:r>
      <w:r>
        <w:t xml:space="preserve"> we established a centralised mobility team to help departments fill surge roles during COVID-19. We used LiveHire to enable this, managing requests in line with the Jobs and Skills Exchange recruitment policy and the industrial relations framework. </w:t>
      </w:r>
    </w:p>
    <w:p w14:paraId="424A118A" w14:textId="091BF8A8" w:rsidR="00855FEB" w:rsidRDefault="00855FEB" w:rsidP="00DB4D37">
      <w:pPr>
        <w:pStyle w:val="Body"/>
      </w:pPr>
      <w:r>
        <w:t xml:space="preserve">We set up an administrative pool </w:t>
      </w:r>
      <w:r w:rsidR="00EB5930">
        <w:t>to fill</w:t>
      </w:r>
      <w:r>
        <w:t xml:space="preserve"> short term needs across agencies, relying less on labour hire. </w:t>
      </w:r>
      <w:r w:rsidR="00EB5930">
        <w:t>This pilot will conclude in December 2021.</w:t>
      </w:r>
    </w:p>
    <w:p w14:paraId="5D16B36C" w14:textId="77777777" w:rsidR="00CC0384" w:rsidRDefault="00FA20E6" w:rsidP="00DB4D37">
      <w:pPr>
        <w:pStyle w:val="Body"/>
      </w:pPr>
      <w:r>
        <w:t xml:space="preserve">We developed a professional/technical taxonomy comprised of 18 professions. It provides </w:t>
      </w:r>
      <w:r w:rsidR="00D332E7">
        <w:t>structure to</w:t>
      </w:r>
      <w:r>
        <w:t xml:space="preserve"> professional streams and networks across </w:t>
      </w:r>
      <w:r w:rsidR="00D332E7">
        <w:t>the</w:t>
      </w:r>
      <w:r>
        <w:t xml:space="preserve"> public service. </w:t>
      </w:r>
    </w:p>
    <w:p w14:paraId="01228F60" w14:textId="22D0069A" w:rsidR="00FA20E6" w:rsidRDefault="00673742" w:rsidP="00DB4D37">
      <w:pPr>
        <w:pStyle w:val="Body"/>
      </w:pPr>
      <w:r>
        <w:t>Th</w:t>
      </w:r>
      <w:r w:rsidR="00D332E7">
        <w:t>e taxonomy</w:t>
      </w:r>
      <w:r w:rsidR="00FA20E6">
        <w:t xml:space="preserve"> facilitates workforce development and mobility across departments by focusing on </w:t>
      </w:r>
      <w:r w:rsidR="00F402A1">
        <w:t xml:space="preserve">shared </w:t>
      </w:r>
      <w:r w:rsidR="00391BD5">
        <w:t>skills and capabilities. It identifies affiliated professions and pathways between</w:t>
      </w:r>
      <w:r w:rsidR="00F402A1">
        <w:t>,</w:t>
      </w:r>
      <w:r w:rsidR="00626F0D">
        <w:t xml:space="preserve"> empowering </w:t>
      </w:r>
      <w:r w:rsidR="00FA20E6">
        <w:t xml:space="preserve">employees to steer their own </w:t>
      </w:r>
      <w:r w:rsidR="00391BD5">
        <w:t>career</w:t>
      </w:r>
      <w:r w:rsidR="00FA20E6">
        <w:t xml:space="preserve">. </w:t>
      </w:r>
    </w:p>
    <w:p w14:paraId="76B71F29" w14:textId="65DA7211" w:rsidR="00F86BD6" w:rsidRDefault="00DF5A42" w:rsidP="00DB4D37">
      <w:pPr>
        <w:pStyle w:val="Body"/>
      </w:pPr>
      <w:r>
        <w:t xml:space="preserve">We </w:t>
      </w:r>
      <w:r w:rsidR="00F86BD6">
        <w:t>published</w:t>
      </w:r>
      <w:r>
        <w:t xml:space="preserve"> a </w:t>
      </w:r>
      <w:hyperlink r:id="rId21" w:history="1">
        <w:r w:rsidRPr="00493F4F">
          <w:rPr>
            <w:rStyle w:val="Hyperlink"/>
          </w:rPr>
          <w:t xml:space="preserve">wellbeing </w:t>
        </w:r>
        <w:r w:rsidR="00F86BD6" w:rsidRPr="00493F4F">
          <w:rPr>
            <w:rStyle w:val="Hyperlink"/>
          </w:rPr>
          <w:t>toolkit</w:t>
        </w:r>
      </w:hyperlink>
      <w:r w:rsidR="00F86BD6">
        <w:t xml:space="preserve"> </w:t>
      </w:r>
      <w:r w:rsidR="00626F0D">
        <w:t xml:space="preserve">for managers. It contains 12 modules of </w:t>
      </w:r>
      <w:r w:rsidR="00F86BD6">
        <w:t xml:space="preserve">tips, tools and activities </w:t>
      </w:r>
      <w:r w:rsidR="00626F0D">
        <w:t xml:space="preserve">that aim to alleviate </w:t>
      </w:r>
      <w:r w:rsidR="00F86BD6">
        <w:t xml:space="preserve">stress </w:t>
      </w:r>
      <w:r w:rsidR="00626F0D">
        <w:t xml:space="preserve">experienced by teams who are working </w:t>
      </w:r>
      <w:r w:rsidR="00F405E7">
        <w:t>remotely</w:t>
      </w:r>
      <w:r w:rsidR="00626F0D">
        <w:t>, coping with the general concern of a pandemic and collaborating within a dispersed workforce to maintain service delivery.</w:t>
      </w:r>
    </w:p>
    <w:p w14:paraId="1F94D852" w14:textId="12D5BEC2" w:rsidR="00DD0E21" w:rsidRDefault="00DD0E21" w:rsidP="0040140D">
      <w:pPr>
        <w:pStyle w:val="Heading20"/>
      </w:pPr>
      <w:r>
        <w:t>Developing outstanding leadership</w:t>
      </w:r>
    </w:p>
    <w:p w14:paraId="04135412" w14:textId="640396C4" w:rsidR="00C964B3" w:rsidRPr="00C964B3" w:rsidRDefault="00C964B3" w:rsidP="00C964B3">
      <w:pPr>
        <w:pStyle w:val="Body"/>
        <w:rPr>
          <w:rStyle w:val="Strong"/>
          <w:rFonts w:ascii="VIC" w:hAnsi="VIC"/>
        </w:rPr>
      </w:pPr>
      <w:r w:rsidRPr="00C964B3">
        <w:t xml:space="preserve">The strategic outcome of this work is </w:t>
      </w:r>
      <w:r>
        <w:t>empowering and engaged leaders.</w:t>
      </w:r>
    </w:p>
    <w:p w14:paraId="748CD94E" w14:textId="4470F6BA" w:rsidR="00C964B3" w:rsidRDefault="00C964B3" w:rsidP="00C964B3">
      <w:pPr>
        <w:pStyle w:val="Body"/>
        <w:rPr>
          <w:rStyle w:val="Strong"/>
          <w:rFonts w:ascii="VIC" w:hAnsi="VIC"/>
        </w:rPr>
      </w:pPr>
      <w:r>
        <w:rPr>
          <w:rStyle w:val="Strong"/>
          <w:rFonts w:ascii="VIC" w:hAnsi="VIC"/>
        </w:rPr>
        <w:t>Leaders who:</w:t>
      </w:r>
    </w:p>
    <w:p w14:paraId="7EE30078" w14:textId="4EC6CCAF" w:rsidR="00C964B3" w:rsidRDefault="00C964B3" w:rsidP="00C964B3">
      <w:pPr>
        <w:pStyle w:val="Bullet1"/>
      </w:pPr>
      <w:r>
        <w:lastRenderedPageBreak/>
        <w:t>embody public sector values</w:t>
      </w:r>
    </w:p>
    <w:p w14:paraId="3BA73ED9" w14:textId="12D3650F" w:rsidR="00C964B3" w:rsidRDefault="00C964B3" w:rsidP="00C964B3">
      <w:pPr>
        <w:pStyle w:val="Bullet1"/>
      </w:pPr>
      <w:r>
        <w:t>are strategic and accountable</w:t>
      </w:r>
    </w:p>
    <w:p w14:paraId="52D89C95" w14:textId="5A10C61A" w:rsidR="00C964B3" w:rsidRDefault="00C964B3" w:rsidP="00C964B3">
      <w:pPr>
        <w:pStyle w:val="Bullet1"/>
      </w:pPr>
      <w:r>
        <w:t>drive service excellence</w:t>
      </w:r>
    </w:p>
    <w:p w14:paraId="2D03C117" w14:textId="30F7C2EB" w:rsidR="00C964B3" w:rsidRDefault="00C964B3" w:rsidP="0040140D">
      <w:pPr>
        <w:pStyle w:val="Bullet1"/>
      </w:pPr>
      <w:r>
        <w:t>support and develop their people.</w:t>
      </w:r>
    </w:p>
    <w:p w14:paraId="611B6243" w14:textId="56FAFC4B" w:rsidR="004F4556" w:rsidRDefault="004F4556" w:rsidP="004F4556">
      <w:pPr>
        <w:pStyle w:val="Heading30"/>
      </w:pPr>
      <w:r>
        <w:t>Providing high quality leadership development and strengthening executive leadership capability</w:t>
      </w:r>
    </w:p>
    <w:p w14:paraId="21AA5EDE" w14:textId="77777777" w:rsidR="00752CD6" w:rsidRDefault="00AF15C2" w:rsidP="00AF15C2">
      <w:pPr>
        <w:pStyle w:val="Body"/>
      </w:pPr>
      <w:r>
        <w:t xml:space="preserve">This year we offered a range of programs to support 758 executives and people leaders across the VPS. Themes included virtual communication, virtual team leadership, and self-care and leadership. </w:t>
      </w:r>
    </w:p>
    <w:p w14:paraId="75ADB584" w14:textId="4288C998" w:rsidR="00AF15C2" w:rsidRDefault="00AF15C2" w:rsidP="00AF15C2">
      <w:pPr>
        <w:pStyle w:val="Body"/>
      </w:pPr>
      <w:r>
        <w:t xml:space="preserve">We delivered a micro credential program, Leading Through Challenging Times to 239 people and offered proactive self-care options for executives as part of </w:t>
      </w:r>
      <w:r w:rsidR="00134BBE">
        <w:t xml:space="preserve">an </w:t>
      </w:r>
      <w:r w:rsidR="00E61124">
        <w:t>integrated model for health, safety and wellbeing.</w:t>
      </w:r>
      <w:r w:rsidR="00134BBE">
        <w:t xml:space="preserve"> The model was approved by the Public Sector Administration Committee to ensure leaders are adequately supported to sustain high quality public services during the pandemic. </w:t>
      </w:r>
    </w:p>
    <w:p w14:paraId="2653FC93" w14:textId="22BAEC97" w:rsidR="00752CD6" w:rsidRDefault="00752CD6" w:rsidP="00AF15C2">
      <w:pPr>
        <w:pStyle w:val="Body"/>
      </w:pPr>
      <w:r>
        <w:t>We delivered the Senior Executive Induction Program for new Victorian Public Service executives and a six-part conversation series for VPS executives focused on people, performance and stewardship. The series was delivered in partnership with the University of Melbourne and Deloitte. It created an opportunity for executives to reflect on the multi-system impact of COVID-19</w:t>
      </w:r>
      <w:r w:rsidR="00B06035">
        <w:t xml:space="preserve"> and explore new approaches to leadership that support an adaptive and responsive public sector.</w:t>
      </w:r>
    </w:p>
    <w:p w14:paraId="18F04CAA" w14:textId="0F03F28A" w:rsidR="004F4556" w:rsidRDefault="004F4556" w:rsidP="004F4556">
      <w:pPr>
        <w:pStyle w:val="Heading30"/>
      </w:pPr>
      <w:r>
        <w:t>Promoting a connected and collaborative senior executive service</w:t>
      </w:r>
    </w:p>
    <w:p w14:paraId="311D15FE" w14:textId="77777777" w:rsidR="00B50501" w:rsidRDefault="009D7A5E" w:rsidP="009D7A5E">
      <w:pPr>
        <w:pStyle w:val="Body"/>
      </w:pPr>
      <w:r>
        <w:t>The Commission supports the Victorian Secretaries Board to convene the Senior Executive Service as a collective leadership group.</w:t>
      </w:r>
      <w:r w:rsidR="002E1B7B">
        <w:t xml:space="preserve"> We held a number of dialogue and connection opportunities, </w:t>
      </w:r>
      <w:r w:rsidR="00B50501">
        <w:t>making</w:t>
      </w:r>
      <w:r w:rsidR="002E1B7B">
        <w:t xml:space="preserve"> time for Deputy Secretaries and Executive Directors</w:t>
      </w:r>
      <w:r w:rsidR="00B50501">
        <w:t xml:space="preserve"> to consider step-change approaches to service delivery during COVID-19. </w:t>
      </w:r>
    </w:p>
    <w:p w14:paraId="374E053E" w14:textId="77777777" w:rsidR="005708B4" w:rsidRDefault="00B50501" w:rsidP="009D7A5E">
      <w:pPr>
        <w:pStyle w:val="Body"/>
      </w:pPr>
      <w:r>
        <w:t xml:space="preserve">Among the matters discussed were data and insights from whole of government pulse surveys, challenges of remote working, wellbeing support for the workforce during lockdowns and circuit breakers, and the future of service delivery and flexible work. </w:t>
      </w:r>
    </w:p>
    <w:p w14:paraId="17B16B8A" w14:textId="6A03FEA5" w:rsidR="004F4556" w:rsidRDefault="004F4556" w:rsidP="004F4556">
      <w:pPr>
        <w:pStyle w:val="Heading30"/>
      </w:pPr>
      <w:r>
        <w:t>Supporting executive mobility and career pathways</w:t>
      </w:r>
    </w:p>
    <w:p w14:paraId="124139FE" w14:textId="6DE4CAD2" w:rsidR="009D7A5E" w:rsidRDefault="009D7A5E" w:rsidP="00EF1A31">
      <w:pPr>
        <w:pStyle w:val="Body"/>
      </w:pPr>
      <w:r>
        <w:lastRenderedPageBreak/>
        <w:t xml:space="preserve">Utilising the Jobs and Skills Exchange, we </w:t>
      </w:r>
      <w:r w:rsidR="00134BBE">
        <w:t xml:space="preserve">maintained </w:t>
      </w:r>
      <w:r>
        <w:t xml:space="preserve">an executive relief pool to assist with the COVID-19 response. This supported many executives who were working </w:t>
      </w:r>
      <w:r w:rsidR="00A264BC">
        <w:t>extended hours</w:t>
      </w:r>
      <w:r>
        <w:t xml:space="preserve"> to share responsibility </w:t>
      </w:r>
      <w:r w:rsidR="00D332E7">
        <w:t>via</w:t>
      </w:r>
      <w:r>
        <w:t xml:space="preserve"> twinning and roster arrangements. We provided surge support, deploying executives and emerging leaders to new or priority areas.</w:t>
      </w:r>
    </w:p>
    <w:p w14:paraId="1F4BCE76" w14:textId="3352481D" w:rsidR="00EF1A31" w:rsidRDefault="00EF1A31" w:rsidP="00EF1A31">
      <w:pPr>
        <w:pStyle w:val="Body"/>
      </w:pPr>
      <w:r>
        <w:t xml:space="preserve">The </w:t>
      </w:r>
      <w:hyperlink r:id="rId22" w:history="1">
        <w:r w:rsidRPr="00513028">
          <w:rPr>
            <w:rStyle w:val="Hyperlink"/>
          </w:rPr>
          <w:t>VPS Senior Executive Classification Framework</w:t>
        </w:r>
      </w:hyperlink>
      <w:r>
        <w:t xml:space="preserve"> provides clarity on what is expected of executives at different levels. It sets a consistent and transparent methodology for classifying public service executive positions. </w:t>
      </w:r>
    </w:p>
    <w:p w14:paraId="364CECAA" w14:textId="2D898971" w:rsidR="0095267E" w:rsidRDefault="0095267E" w:rsidP="0095267E">
      <w:pPr>
        <w:pStyle w:val="Body"/>
      </w:pPr>
      <w:r>
        <w:t xml:space="preserve">We completed </w:t>
      </w:r>
      <w:r w:rsidR="00FD5881">
        <w:t>448</w:t>
      </w:r>
      <w:r>
        <w:t xml:space="preserve"> </w:t>
      </w:r>
      <w:r w:rsidR="00F90D4B">
        <w:t xml:space="preserve">VPS executive </w:t>
      </w:r>
      <w:r>
        <w:t>classification assessments</w:t>
      </w:r>
      <w:r w:rsidR="00776F8D">
        <w:t xml:space="preserve"> in 2020-21</w:t>
      </w:r>
      <w:r>
        <w:t>, providing guidance</w:t>
      </w:r>
      <w:r w:rsidR="00EF1A31">
        <w:t xml:space="preserve"> and advice to many public service </w:t>
      </w:r>
      <w:r>
        <w:t>organisations.</w:t>
      </w:r>
    </w:p>
    <w:p w14:paraId="71961C86" w14:textId="0282FA8A" w:rsidR="00DD0E21" w:rsidRDefault="00DD0E21" w:rsidP="0040140D">
      <w:pPr>
        <w:pStyle w:val="Heading20"/>
      </w:pPr>
      <w:r>
        <w:t>Promoting public trust</w:t>
      </w:r>
    </w:p>
    <w:p w14:paraId="75D22D3D" w14:textId="292DD2FC" w:rsidR="00C964B3" w:rsidRPr="00C964B3" w:rsidRDefault="00C964B3" w:rsidP="00C964B3">
      <w:pPr>
        <w:pStyle w:val="Body"/>
        <w:rPr>
          <w:rStyle w:val="Strong"/>
          <w:rFonts w:ascii="VIC" w:hAnsi="VIC"/>
        </w:rPr>
      </w:pPr>
      <w:r w:rsidRPr="00C964B3">
        <w:t xml:space="preserve">The strategic outcome of this work is that </w:t>
      </w:r>
      <w:r w:rsidRPr="00C964B3">
        <w:rPr>
          <w:rStyle w:val="Strong"/>
          <w:rFonts w:ascii="VIC" w:hAnsi="VIC"/>
        </w:rPr>
        <w:t>Victorians trust the public sector</w:t>
      </w:r>
      <w:r>
        <w:rPr>
          <w:rStyle w:val="Strong"/>
          <w:rFonts w:ascii="VIC" w:hAnsi="VIC"/>
        </w:rPr>
        <w:t>.</w:t>
      </w:r>
    </w:p>
    <w:p w14:paraId="1C59E7C2" w14:textId="2A0A031C" w:rsidR="00C964B3" w:rsidRDefault="00C964B3" w:rsidP="00C964B3">
      <w:pPr>
        <w:pStyle w:val="Body"/>
        <w:rPr>
          <w:rStyle w:val="Strong"/>
          <w:rFonts w:ascii="VIC" w:hAnsi="VIC"/>
        </w:rPr>
      </w:pPr>
      <w:r w:rsidRPr="00C964B3">
        <w:rPr>
          <w:rStyle w:val="Strong"/>
          <w:rFonts w:ascii="VIC" w:hAnsi="VIC"/>
        </w:rPr>
        <w:t>A public sector that</w:t>
      </w:r>
      <w:r>
        <w:rPr>
          <w:rStyle w:val="Strong"/>
          <w:rFonts w:ascii="VIC" w:hAnsi="VIC"/>
        </w:rPr>
        <w:t>:</w:t>
      </w:r>
    </w:p>
    <w:p w14:paraId="5D261453" w14:textId="6A6EE811" w:rsidR="00C964B3" w:rsidRDefault="00C964B3" w:rsidP="00C964B3">
      <w:pPr>
        <w:pStyle w:val="Bullet1"/>
      </w:pPr>
      <w:r>
        <w:t>is transparent and accountable</w:t>
      </w:r>
    </w:p>
    <w:p w14:paraId="3BC9BA3B" w14:textId="7BD4CA76" w:rsidR="00C964B3" w:rsidRDefault="00C964B3" w:rsidP="00C964B3">
      <w:pPr>
        <w:pStyle w:val="Bullet1"/>
      </w:pPr>
      <w:r>
        <w:t>has strong governance</w:t>
      </w:r>
    </w:p>
    <w:p w14:paraId="2D681604" w14:textId="207F3569" w:rsidR="00C964B3" w:rsidRPr="00C964B3" w:rsidRDefault="00C964B3" w:rsidP="00C964B3">
      <w:pPr>
        <w:pStyle w:val="Bullet1"/>
      </w:pPr>
      <w:r>
        <w:t>is trusted and acts with integrity.</w:t>
      </w:r>
    </w:p>
    <w:p w14:paraId="6D170270" w14:textId="34CF62B0" w:rsidR="004F4556" w:rsidRDefault="004F4556" w:rsidP="004F4556">
      <w:pPr>
        <w:pStyle w:val="Heading30"/>
      </w:pPr>
      <w:r>
        <w:t>Driving a preventative approach to integrity and governance issues</w:t>
      </w:r>
    </w:p>
    <w:p w14:paraId="1309BD00" w14:textId="172EA746" w:rsidR="00A66660" w:rsidRDefault="00A66660" w:rsidP="00A66660">
      <w:pPr>
        <w:pStyle w:val="Body"/>
      </w:pPr>
      <w:r>
        <w:t xml:space="preserve">We responded to </w:t>
      </w:r>
      <w:r w:rsidR="00FD5881">
        <w:t>201</w:t>
      </w:r>
      <w:r>
        <w:t xml:space="preserve"> queries</w:t>
      </w:r>
      <w:r w:rsidR="00454518">
        <w:t xml:space="preserve"> about the </w:t>
      </w:r>
      <w:hyperlink r:id="rId23" w:history="1">
        <w:r w:rsidR="00454518" w:rsidRPr="00513028">
          <w:rPr>
            <w:rStyle w:val="Hyperlink"/>
          </w:rPr>
          <w:t>Codes of Conduct</w:t>
        </w:r>
      </w:hyperlink>
      <w:r w:rsidR="00454518">
        <w:t xml:space="preserve"> and Standards for the </w:t>
      </w:r>
      <w:r w:rsidR="003827D6">
        <w:t>A</w:t>
      </w:r>
      <w:r w:rsidR="00454518">
        <w:t xml:space="preserve">pplication of Victorian Public Sector </w:t>
      </w:r>
      <w:hyperlink r:id="rId24" w:history="1">
        <w:r w:rsidR="00454518" w:rsidRPr="00513028">
          <w:rPr>
            <w:rStyle w:val="Hyperlink"/>
          </w:rPr>
          <w:t>Employment Principles</w:t>
        </w:r>
      </w:hyperlink>
      <w:r w:rsidR="00454518">
        <w:t>, referring matters to departments and agencies where required</w:t>
      </w:r>
      <w:r w:rsidR="003827D6">
        <w:t>.</w:t>
      </w:r>
    </w:p>
    <w:p w14:paraId="2C849C34" w14:textId="1B96A962" w:rsidR="00454518" w:rsidRDefault="00480152" w:rsidP="00A66660">
      <w:pPr>
        <w:pStyle w:val="Body"/>
      </w:pPr>
      <w:r>
        <w:t>In 2020-21, w</w:t>
      </w:r>
      <w:r w:rsidR="00454518">
        <w:t xml:space="preserve">e assessed </w:t>
      </w:r>
      <w:r w:rsidR="00FD5881">
        <w:t>13</w:t>
      </w:r>
      <w:r w:rsidR="00454518">
        <w:t xml:space="preserve"> applications for reviews of action and undertook </w:t>
      </w:r>
      <w:r w:rsidR="00FD5881">
        <w:t>6</w:t>
      </w:r>
      <w:r w:rsidR="003827D6">
        <w:t xml:space="preserve"> reviews</w:t>
      </w:r>
      <w:r>
        <w:t xml:space="preserve">, making </w:t>
      </w:r>
      <w:r w:rsidR="00FD5881">
        <w:t>1</w:t>
      </w:r>
      <w:r>
        <w:t xml:space="preserve"> </w:t>
      </w:r>
      <w:r w:rsidR="00FD5881">
        <w:t>recommendation</w:t>
      </w:r>
      <w:r>
        <w:t xml:space="preserve"> in total.</w:t>
      </w:r>
    </w:p>
    <w:p w14:paraId="0B903487" w14:textId="27A0E363" w:rsidR="00454518" w:rsidRDefault="00454518" w:rsidP="00A66660">
      <w:pPr>
        <w:pStyle w:val="Body"/>
      </w:pPr>
      <w:r>
        <w:t xml:space="preserve">We maintained the </w:t>
      </w:r>
      <w:hyperlink r:id="rId25" w:history="1">
        <w:r w:rsidRPr="00FD5881">
          <w:rPr>
            <w:rStyle w:val="Hyperlink"/>
          </w:rPr>
          <w:t>Victorian Lobbyist Register</w:t>
        </w:r>
      </w:hyperlink>
      <w:r w:rsidR="0077396A">
        <w:t xml:space="preserve">, </w:t>
      </w:r>
      <w:r w:rsidR="00480152">
        <w:t xml:space="preserve">registering </w:t>
      </w:r>
      <w:r w:rsidR="00FD5881">
        <w:t>68</w:t>
      </w:r>
      <w:r w:rsidR="00480152">
        <w:t xml:space="preserve"> lobbyists and government affairs directors in 2020-21. Our communications h</w:t>
      </w:r>
      <w:r w:rsidR="0077396A">
        <w:t>ighlight</w:t>
      </w:r>
      <w:r w:rsidR="003827D6">
        <w:t>ed</w:t>
      </w:r>
      <w:r>
        <w:t xml:space="preserve"> </w:t>
      </w:r>
      <w:r w:rsidR="0077396A">
        <w:t xml:space="preserve">people’s </w:t>
      </w:r>
      <w:r>
        <w:t xml:space="preserve">obligations under the Victorian Government Professional </w:t>
      </w:r>
      <w:r w:rsidR="0077396A">
        <w:t xml:space="preserve">Lobbyist </w:t>
      </w:r>
      <w:r>
        <w:t>Code of Conduct</w:t>
      </w:r>
      <w:r w:rsidR="0077396A">
        <w:t>.</w:t>
      </w:r>
    </w:p>
    <w:p w14:paraId="43B9D039" w14:textId="77FEC37F" w:rsidR="0077396A" w:rsidRDefault="0077396A" w:rsidP="00A66660">
      <w:pPr>
        <w:pStyle w:val="Body"/>
      </w:pPr>
      <w:r>
        <w:lastRenderedPageBreak/>
        <w:t xml:space="preserve">We developed and implemented a </w:t>
      </w:r>
      <w:hyperlink r:id="rId26" w:history="1">
        <w:r w:rsidRPr="00FD5881">
          <w:rPr>
            <w:rStyle w:val="Hyperlink"/>
          </w:rPr>
          <w:t>Pre-employment Misconduct Screening Model Policy</w:t>
        </w:r>
      </w:hyperlink>
      <w:r>
        <w:t xml:space="preserve"> for prescribed public entity executive recruitm</w:t>
      </w:r>
      <w:r w:rsidR="00B90DB2">
        <w:t xml:space="preserve">ent and </w:t>
      </w:r>
      <w:r w:rsidR="00480152">
        <w:t xml:space="preserve">published </w:t>
      </w:r>
      <w:r w:rsidR="00B90DB2">
        <w:t>a guide to implementing it.</w:t>
      </w:r>
      <w:r w:rsidR="00356DBC">
        <w:t xml:space="preserve"> We also published a guide to </w:t>
      </w:r>
      <w:hyperlink r:id="rId27" w:history="1">
        <w:r w:rsidR="00356DBC" w:rsidRPr="00356DBC">
          <w:rPr>
            <w:rStyle w:val="Hyperlink"/>
          </w:rPr>
          <w:t>maintaining integrity when working remotely</w:t>
        </w:r>
      </w:hyperlink>
      <w:r w:rsidR="00356DBC">
        <w:t>.</w:t>
      </w:r>
    </w:p>
    <w:p w14:paraId="700E4136" w14:textId="11922A75" w:rsidR="00FD5881" w:rsidRDefault="00B90DB2" w:rsidP="00A66660">
      <w:pPr>
        <w:pStyle w:val="Body"/>
      </w:pPr>
      <w:r>
        <w:t xml:space="preserve">We reported </w:t>
      </w:r>
      <w:r w:rsidR="00480152">
        <w:t xml:space="preserve">to the Public Sector Administration Committee </w:t>
      </w:r>
      <w:r>
        <w:t xml:space="preserve">on implementation of the Respectful Workplaces Framework and Sexual Harassment Model Policy. By updating the </w:t>
      </w:r>
      <w:hyperlink r:id="rId28" w:history="1">
        <w:r w:rsidRPr="0093674A">
          <w:rPr>
            <w:rStyle w:val="Hyperlink"/>
          </w:rPr>
          <w:t>Guide for Prevention of Sexual Harassment in the Workplace</w:t>
        </w:r>
      </w:hyperlink>
      <w:r>
        <w:t xml:space="preserve">, we acquitted recommendations 9, 10 and 11 of the Victorian Auditor-General’s Office </w:t>
      </w:r>
      <w:r w:rsidR="008413AB">
        <w:t xml:space="preserve">audit </w:t>
      </w:r>
      <w:r>
        <w:t>report: Sexual Harassment in the VPS.</w:t>
      </w:r>
      <w:r w:rsidR="00480152">
        <w:t xml:space="preserve"> </w:t>
      </w:r>
    </w:p>
    <w:p w14:paraId="40A03286" w14:textId="50EEB122" w:rsidR="00480152" w:rsidRDefault="00FD5881" w:rsidP="00A66660">
      <w:pPr>
        <w:pStyle w:val="Body"/>
      </w:pPr>
      <w:r>
        <w:t xml:space="preserve">This included adding </w:t>
      </w:r>
      <w:r w:rsidR="00480152">
        <w:t xml:space="preserve">new sections on </w:t>
      </w:r>
      <w:r w:rsidR="00480152" w:rsidRPr="008E0689">
        <w:t>investigating allegations of sexual harassment where there are no independent witnesses</w:t>
      </w:r>
      <w:r w:rsidR="00480152">
        <w:t xml:space="preserve">, </w:t>
      </w:r>
      <w:r w:rsidR="00480152">
        <w:rPr>
          <w:color w:val="000000"/>
          <w:shd w:val="clear" w:color="auto" w:fill="FBFBFB"/>
        </w:rPr>
        <w:t>information organisations can share with parties at the conclusion of an investigation, and reporting matters to external agencies or authorities.</w:t>
      </w:r>
    </w:p>
    <w:p w14:paraId="7565CAEC" w14:textId="77777777" w:rsidR="00F8706A" w:rsidRDefault="00F8706A">
      <w:pPr>
        <w:spacing w:after="0" w:line="240" w:lineRule="auto"/>
        <w:rPr>
          <w:rFonts w:cstheme="majorBidi"/>
          <w:color w:val="53565A"/>
          <w:sz w:val="28"/>
          <w:szCs w:val="28"/>
        </w:rPr>
      </w:pPr>
      <w:r>
        <w:br w:type="page"/>
      </w:r>
    </w:p>
    <w:p w14:paraId="20884B0D" w14:textId="064DE563" w:rsidR="004F4556" w:rsidRDefault="004F4556" w:rsidP="004F4556">
      <w:pPr>
        <w:pStyle w:val="Heading30"/>
      </w:pPr>
      <w:r>
        <w:lastRenderedPageBreak/>
        <w:t>Strengthening integrity and governance capability</w:t>
      </w:r>
    </w:p>
    <w:p w14:paraId="25C59287" w14:textId="3C297FDC" w:rsidR="00C15BA2" w:rsidRDefault="00C15BA2" w:rsidP="00C15BA2">
      <w:pPr>
        <w:pStyle w:val="Body"/>
        <w:rPr>
          <w:rStyle w:val="normaltextrun"/>
          <w:rFonts w:ascii="Cambria" w:hAnsi="Cambria" w:cs="Cambria"/>
        </w:rPr>
      </w:pPr>
      <w:bookmarkStart w:id="11" w:name="_Hlk80708297"/>
      <w:r>
        <w:t>This year we published</w:t>
      </w:r>
      <w:r w:rsidR="00DE6E9C">
        <w:t xml:space="preserve"> </w:t>
      </w:r>
      <w:hyperlink r:id="rId29" w:history="1">
        <w:r w:rsidR="00DE6E9C" w:rsidRPr="00FD5881">
          <w:rPr>
            <w:rStyle w:val="Hyperlink"/>
          </w:rPr>
          <w:t>integrity guidance</w:t>
        </w:r>
      </w:hyperlink>
      <w:r w:rsidR="00DE6E9C" w:rsidRPr="003827D6">
        <w:t xml:space="preserve"> for new board directors</w:t>
      </w:r>
      <w:r w:rsidR="00DE6E9C">
        <w:t xml:space="preserve"> </w:t>
      </w:r>
      <w:r>
        <w:t xml:space="preserve">and an </w:t>
      </w:r>
      <w:hyperlink r:id="rId30" w:history="1">
        <w:r w:rsidRPr="00FD5881">
          <w:rPr>
            <w:rStyle w:val="Hyperlink"/>
          </w:rPr>
          <w:t>induction checklist</w:t>
        </w:r>
      </w:hyperlink>
      <w:r w:rsidRPr="003827D6">
        <w:t xml:space="preserve"> for organisations</w:t>
      </w:r>
      <w:r>
        <w:t>.</w:t>
      </w:r>
      <w:r w:rsidR="00DE6E9C">
        <w:t xml:space="preserve"> </w:t>
      </w:r>
    </w:p>
    <w:p w14:paraId="030B9789" w14:textId="4AF2D688" w:rsidR="00DE6E9C" w:rsidRDefault="00DE6E9C" w:rsidP="00DE6E9C">
      <w:pPr>
        <w:pStyle w:val="Body"/>
        <w:rPr>
          <w:rStyle w:val="normaltextrun"/>
        </w:rPr>
      </w:pPr>
      <w:r w:rsidRPr="00DE6E9C">
        <w:rPr>
          <w:rStyle w:val="normaltextrun"/>
        </w:rPr>
        <w:t xml:space="preserve">The </w:t>
      </w:r>
      <w:r w:rsidR="00FD5881">
        <w:rPr>
          <w:rStyle w:val="normaltextrun"/>
        </w:rPr>
        <w:t>guidance targets</w:t>
      </w:r>
      <w:r>
        <w:rPr>
          <w:rStyle w:val="normaltextrun"/>
        </w:rPr>
        <w:t xml:space="preserve"> integrity issues identified by the Victorian Ombudsman in the report:</w:t>
      </w:r>
      <w:r w:rsidR="00776F8D">
        <w:rPr>
          <w:rStyle w:val="normaltextrun"/>
        </w:rPr>
        <w:t xml:space="preserve"> I</w:t>
      </w:r>
      <w:r>
        <w:rPr>
          <w:rStyle w:val="normaltextrun"/>
        </w:rPr>
        <w:t>nvestigation into allegations of improper conduct by officers at Goulburn Murray Water.</w:t>
      </w:r>
      <w:r w:rsidR="00776F8D">
        <w:rPr>
          <w:rStyle w:val="normaltextrun"/>
        </w:rPr>
        <w:t xml:space="preserve"> </w:t>
      </w:r>
      <w:r w:rsidR="008413AB">
        <w:rPr>
          <w:rStyle w:val="normaltextrun"/>
        </w:rPr>
        <w:t xml:space="preserve">It </w:t>
      </w:r>
      <w:r w:rsidR="00776F8D">
        <w:rPr>
          <w:rStyle w:val="normaltextrun"/>
        </w:rPr>
        <w:t>address</w:t>
      </w:r>
      <w:r w:rsidR="008413AB">
        <w:rPr>
          <w:rStyle w:val="normaltextrun"/>
        </w:rPr>
        <w:t>es</w:t>
      </w:r>
      <w:r w:rsidR="00776F8D">
        <w:rPr>
          <w:rStyle w:val="normaltextrun"/>
        </w:rPr>
        <w:t xml:space="preserve"> </w:t>
      </w:r>
      <w:r w:rsidR="003103FA">
        <w:rPr>
          <w:rStyle w:val="normaltextrun"/>
        </w:rPr>
        <w:t xml:space="preserve">awareness and knowledge of </w:t>
      </w:r>
      <w:r w:rsidR="00776F8D">
        <w:rPr>
          <w:rStyle w:val="normaltextrun"/>
        </w:rPr>
        <w:t>public sector policies and obligations</w:t>
      </w:r>
      <w:r w:rsidR="003103FA">
        <w:rPr>
          <w:rStyle w:val="normaltextrun"/>
        </w:rPr>
        <w:t>, helping people understand when and how to apply them in decision making.</w:t>
      </w:r>
    </w:p>
    <w:p w14:paraId="682F8E61" w14:textId="6A227314" w:rsidR="00FD5881" w:rsidRPr="00DE6E9C" w:rsidRDefault="00FD5881" w:rsidP="00DE6E9C">
      <w:pPr>
        <w:pStyle w:val="Body"/>
        <w:rPr>
          <w:rStyle w:val="normaltextrun"/>
        </w:rPr>
      </w:pPr>
      <w:r>
        <w:rPr>
          <w:rStyle w:val="normaltextrun"/>
        </w:rPr>
        <w:t xml:space="preserve">We </w:t>
      </w:r>
      <w:r w:rsidR="001A1226">
        <w:rPr>
          <w:rStyle w:val="normaltextrun"/>
        </w:rPr>
        <w:t>have also commenced development of a</w:t>
      </w:r>
      <w:r>
        <w:rPr>
          <w:rStyle w:val="normaltextrun"/>
        </w:rPr>
        <w:t xml:space="preserve"> comprehensive suite of resources for public entity board directors covering multiple</w:t>
      </w:r>
      <w:r>
        <w:rPr>
          <w:rStyle w:val="normaltextrun"/>
          <w:rFonts w:ascii="Cambria" w:hAnsi="Cambria" w:cs="Cambria"/>
        </w:rPr>
        <w:t> </w:t>
      </w:r>
      <w:r>
        <w:rPr>
          <w:rStyle w:val="normaltextrun"/>
        </w:rPr>
        <w:t>integrity and governance</w:t>
      </w:r>
      <w:r>
        <w:rPr>
          <w:rStyle w:val="normaltextrun"/>
          <w:rFonts w:ascii="Cambria" w:hAnsi="Cambria" w:cs="Cambria"/>
        </w:rPr>
        <w:t> </w:t>
      </w:r>
      <w:r>
        <w:rPr>
          <w:rStyle w:val="normaltextrun"/>
        </w:rPr>
        <w:t>topics.</w:t>
      </w:r>
      <w:r>
        <w:rPr>
          <w:rStyle w:val="normaltextrun"/>
          <w:rFonts w:ascii="Cambria" w:hAnsi="Cambria" w:cs="Cambria"/>
        </w:rPr>
        <w:t> </w:t>
      </w:r>
    </w:p>
    <w:bookmarkEnd w:id="11"/>
    <w:p w14:paraId="6B6B4F92" w14:textId="412EEBA5" w:rsidR="004F4556" w:rsidRDefault="004F4556" w:rsidP="004F4556">
      <w:pPr>
        <w:pStyle w:val="Heading30"/>
      </w:pPr>
      <w:r>
        <w:t>Reviewing and enquiring into critical issues</w:t>
      </w:r>
    </w:p>
    <w:p w14:paraId="5DAB7837" w14:textId="77777777" w:rsidR="00E3493B" w:rsidRDefault="004D3A32" w:rsidP="004D3A32">
      <w:pPr>
        <w:pStyle w:val="Body"/>
      </w:pPr>
      <w:r>
        <w:t xml:space="preserve">The Commission conducts reviews and enquiries to provide </w:t>
      </w:r>
      <w:r w:rsidR="00A745DE">
        <w:t xml:space="preserve">public sector </w:t>
      </w:r>
      <w:r>
        <w:t xml:space="preserve">organisations with an objective </w:t>
      </w:r>
      <w:r w:rsidRPr="008453B6">
        <w:t xml:space="preserve">assessment of how </w:t>
      </w:r>
      <w:r>
        <w:t xml:space="preserve">their </w:t>
      </w:r>
      <w:r w:rsidRPr="008453B6">
        <w:t>people, processes and systems enable outcomes</w:t>
      </w:r>
      <w:r>
        <w:t xml:space="preserve">. </w:t>
      </w:r>
    </w:p>
    <w:p w14:paraId="1BC76BBC" w14:textId="3AC2C926" w:rsidR="00A745DE" w:rsidRDefault="00E3493B" w:rsidP="004D3A32">
      <w:pPr>
        <w:pStyle w:val="Body"/>
      </w:pPr>
      <w:r>
        <w:t xml:space="preserve">Conducting reviews is one of the Commission’s functions under section 39 of the Public Administration Act 2004. </w:t>
      </w:r>
      <w:r w:rsidR="00A745DE">
        <w:t xml:space="preserve">We completed one review </w:t>
      </w:r>
      <w:r>
        <w:t>in</w:t>
      </w:r>
      <w:r w:rsidR="00A745DE">
        <w:t xml:space="preserve"> 2020-21 and commenced another.</w:t>
      </w:r>
    </w:p>
    <w:p w14:paraId="6CA6E194" w14:textId="440443C2" w:rsidR="004D3A32" w:rsidRDefault="004D3A32" w:rsidP="004D3A32">
      <w:pPr>
        <w:pStyle w:val="Body"/>
      </w:pPr>
      <w:r>
        <w:t xml:space="preserve">Reviews identify opportunities for </w:t>
      </w:r>
      <w:r w:rsidR="00A745DE">
        <w:t>an organisation to</w:t>
      </w:r>
      <w:r w:rsidRPr="008453B6">
        <w:t xml:space="preserve"> </w:t>
      </w:r>
      <w:r w:rsidR="00A745DE">
        <w:t xml:space="preserve">improve its performance, repositioning and equipping itself </w:t>
      </w:r>
      <w:r>
        <w:t>to meet future challenges. The findings of reviews also inform the Commission’s preventative integrity work</w:t>
      </w:r>
      <w:r w:rsidR="00A745DE">
        <w:t xml:space="preserve"> which aims to ensure a professional, accountable, responsive and efficient public sector.</w:t>
      </w:r>
    </w:p>
    <w:p w14:paraId="24A62C04" w14:textId="441040EE" w:rsidR="004F4556" w:rsidRDefault="004F4556" w:rsidP="004F4556">
      <w:pPr>
        <w:pStyle w:val="Heading30"/>
      </w:pPr>
      <w:r>
        <w:t>Promoting and advocating for an impartial and professional public sector</w:t>
      </w:r>
    </w:p>
    <w:p w14:paraId="57E96BD5" w14:textId="4D77D12D" w:rsidR="003C21E2" w:rsidRDefault="003C21E2" w:rsidP="00D9773D">
      <w:pPr>
        <w:pStyle w:val="Body"/>
      </w:pPr>
      <w:r>
        <w:t>The COVID-19 Hotel Quarantine Board of Inquiry made one recommendation directly to the Commissioner: that the public sector Commissioner examines the evidence that emerged</w:t>
      </w:r>
      <w:r w:rsidR="00621D83">
        <w:t xml:space="preserve"> in the inquiry as to the lines of accountability and responsibility as between Departmental heads and Ministers and gives guidance across the public service as to the obligations, both in law and in practice, on heads of departments and senior public office holders.</w:t>
      </w:r>
    </w:p>
    <w:p w14:paraId="08A09AEB" w14:textId="6C4DAE52" w:rsidR="00621D83" w:rsidRDefault="00621D83" w:rsidP="00D9773D">
      <w:pPr>
        <w:pStyle w:val="Body"/>
      </w:pPr>
      <w:r>
        <w:lastRenderedPageBreak/>
        <w:t xml:space="preserve">The Commissioner accepted the recommendation and has progressed work on developing the guidance. </w:t>
      </w:r>
      <w:r w:rsidR="005A4A6F">
        <w:t>We expect to publish it</w:t>
      </w:r>
      <w:r>
        <w:t xml:space="preserve"> in 2021, consistent with commitments made</w:t>
      </w:r>
      <w:r w:rsidR="00A62618">
        <w:t xml:space="preserve"> </w:t>
      </w:r>
      <w:r w:rsidR="00E33F6C">
        <w:t>in the Victorian Government response to the Inquiry’s Final Report. The guidance will provide advice about Secretaries’ obligations and responsibilities when informing and advising Ministers.</w:t>
      </w:r>
    </w:p>
    <w:p w14:paraId="3E97C20D" w14:textId="3C6709A2" w:rsidR="00D9773D" w:rsidRDefault="004E1BA5" w:rsidP="00D9773D">
      <w:pPr>
        <w:pStyle w:val="Body"/>
      </w:pPr>
      <w:r>
        <w:t xml:space="preserve">We </w:t>
      </w:r>
      <w:r w:rsidR="00D9773D">
        <w:t>developed a compliance certification process for public entity employers</w:t>
      </w:r>
      <w:r w:rsidR="007A1604">
        <w:t>, delivering on a recommendation made in the Final Industry Segment Reviews Report</w:t>
      </w:r>
      <w:r w:rsidR="00EC40FE">
        <w:t xml:space="preserve"> as part of the</w:t>
      </w:r>
      <w:r w:rsidR="007A1604">
        <w:t xml:space="preserve"> government’s executive employment policy reform</w:t>
      </w:r>
      <w:r w:rsidR="00EC40FE">
        <w:t>s.</w:t>
      </w:r>
    </w:p>
    <w:p w14:paraId="028B3C93" w14:textId="6647C0A4" w:rsidR="004B2FD1" w:rsidRDefault="00EC40FE" w:rsidP="00D9773D">
      <w:pPr>
        <w:pStyle w:val="Body"/>
      </w:pPr>
      <w:r>
        <w:t xml:space="preserve">We </w:t>
      </w:r>
      <w:r w:rsidR="00E33F6C">
        <w:t xml:space="preserve">commenced implementation of </w:t>
      </w:r>
      <w:r>
        <w:t xml:space="preserve">the </w:t>
      </w:r>
      <w:hyperlink r:id="rId31" w:history="1">
        <w:r w:rsidR="004E1BA5" w:rsidRPr="00513028">
          <w:rPr>
            <w:rStyle w:val="Hyperlink"/>
          </w:rPr>
          <w:t>Public Entity Executive Classification Framework</w:t>
        </w:r>
      </w:hyperlink>
      <w:r w:rsidR="004E1BA5">
        <w:t>, completing 3</w:t>
      </w:r>
      <w:r w:rsidR="008413AB">
        <w:t>87</w:t>
      </w:r>
      <w:r w:rsidR="004E1BA5">
        <w:t xml:space="preserve"> assessments in 2020-21. </w:t>
      </w:r>
      <w:r w:rsidR="0027005B">
        <w:t>We</w:t>
      </w:r>
      <w:r w:rsidR="004E1BA5">
        <w:t xml:space="preserve"> </w:t>
      </w:r>
      <w:r w:rsidR="0027005B">
        <w:t>advised</w:t>
      </w:r>
      <w:r w:rsidR="00E879E4">
        <w:t xml:space="preserve"> the Department of Premier and Cabinet </w:t>
      </w:r>
      <w:r w:rsidR="004E1BA5">
        <w:t>on policy aspects of the Public Entity Executive Remuneration Policy in its connection to work value assessments.</w:t>
      </w:r>
      <w:r w:rsidR="0093674A">
        <w:t xml:space="preserve"> </w:t>
      </w:r>
    </w:p>
    <w:p w14:paraId="45D7B440" w14:textId="250D192B" w:rsidR="00EC40FE" w:rsidRDefault="0093674A" w:rsidP="00D9773D">
      <w:pPr>
        <w:pStyle w:val="Body"/>
      </w:pPr>
      <w:r>
        <w:t>These reforms, along with the establishment of the Victorian Independent Remuneration</w:t>
      </w:r>
      <w:r w:rsidR="003C21E2">
        <w:t xml:space="preserve"> Tribunal, are making executive classification and remuneration more consistent between the VPS and public entity employers.</w:t>
      </w:r>
    </w:p>
    <w:p w14:paraId="6B2551DD" w14:textId="7D45D6BE" w:rsidR="007A1604" w:rsidRDefault="004E1BA5" w:rsidP="00D9773D">
      <w:pPr>
        <w:pStyle w:val="Body"/>
      </w:pPr>
      <w:r>
        <w:t>The Commission maintain</w:t>
      </w:r>
      <w:r w:rsidR="00A264BC">
        <w:t>ed</w:t>
      </w:r>
      <w:r>
        <w:t xml:space="preserve"> executive employment matters</w:t>
      </w:r>
      <w:r w:rsidR="00E879E4">
        <w:t>. We answer</w:t>
      </w:r>
      <w:r w:rsidR="00A264BC">
        <w:t>ed</w:t>
      </w:r>
      <w:r w:rsidR="00E879E4">
        <w:t xml:space="preserve"> queries </w:t>
      </w:r>
      <w:r w:rsidR="0027005B">
        <w:t xml:space="preserve">from departments, entities and individuals </w:t>
      </w:r>
      <w:r w:rsidR="00E879E4">
        <w:t>about the executive employment contracts and handbooks</w:t>
      </w:r>
      <w:r w:rsidR="0027005B">
        <w:t>. We use</w:t>
      </w:r>
      <w:r w:rsidR="00A264BC">
        <w:t>d</w:t>
      </w:r>
      <w:r w:rsidR="0027005B">
        <w:t xml:space="preserve"> </w:t>
      </w:r>
      <w:r w:rsidR="00E879E4">
        <w:t>stakeholder feedback to refine the standard contract and policy settings in the handbooks.</w:t>
      </w:r>
      <w:r>
        <w:t xml:space="preserve"> </w:t>
      </w:r>
    </w:p>
    <w:p w14:paraId="03DD3B01" w14:textId="77777777" w:rsidR="00815E8B" w:rsidRDefault="00815E8B">
      <w:pPr>
        <w:spacing w:after="0" w:line="240" w:lineRule="auto"/>
        <w:rPr>
          <w:rFonts w:ascii="VIC SemiBold" w:hAnsi="VIC SemiBold" w:cstheme="majorBidi"/>
          <w:color w:val="53565A"/>
          <w:sz w:val="30"/>
          <w:szCs w:val="32"/>
        </w:rPr>
      </w:pPr>
      <w:r>
        <w:br w:type="page"/>
      </w:r>
    </w:p>
    <w:p w14:paraId="5DD9FE28" w14:textId="04F69C77" w:rsidR="00A36529" w:rsidRDefault="0040140D" w:rsidP="00F51AA9">
      <w:pPr>
        <w:pStyle w:val="Heading20"/>
      </w:pPr>
      <w:r>
        <w:lastRenderedPageBreak/>
        <w:t>Performance</w:t>
      </w:r>
    </w:p>
    <w:tbl>
      <w:tblPr>
        <w:tblStyle w:val="TableHorizontal"/>
        <w:tblW w:w="0" w:type="auto"/>
        <w:tblLook w:val="0420" w:firstRow="1" w:lastRow="0" w:firstColumn="0" w:lastColumn="0" w:noHBand="0" w:noVBand="1"/>
      </w:tblPr>
      <w:tblGrid>
        <w:gridCol w:w="3219"/>
        <w:gridCol w:w="1264"/>
        <w:gridCol w:w="1170"/>
        <w:gridCol w:w="1179"/>
        <w:gridCol w:w="1198"/>
        <w:gridCol w:w="1217"/>
      </w:tblGrid>
      <w:tr w:rsidR="00F51AA9" w14:paraId="6B4B1929" w14:textId="77777777" w:rsidTr="00F51AA9">
        <w:trPr>
          <w:cnfStyle w:val="100000000000" w:firstRow="1" w:lastRow="0" w:firstColumn="0" w:lastColumn="0" w:oddVBand="0" w:evenVBand="0" w:oddHBand="0" w:evenHBand="0" w:firstRowFirstColumn="0" w:firstRowLastColumn="0" w:lastRowFirstColumn="0" w:lastRowLastColumn="0"/>
        </w:trPr>
        <w:tc>
          <w:tcPr>
            <w:tcW w:w="9070" w:type="dxa"/>
            <w:gridSpan w:val="6"/>
            <w:tcBorders>
              <w:bottom w:val="nil"/>
            </w:tcBorders>
          </w:tcPr>
          <w:p w14:paraId="39BB8E33" w14:textId="1B64DDB9" w:rsidR="00F51AA9" w:rsidRPr="00F51AA9" w:rsidRDefault="00F51AA9" w:rsidP="00F51AA9">
            <w:pPr>
              <w:pStyle w:val="Heading30"/>
              <w:outlineLvl w:val="2"/>
              <w:rPr>
                <w:rFonts w:asciiTheme="minorHAnsi" w:hAnsiTheme="minorHAnsi"/>
              </w:rPr>
            </w:pPr>
            <w:r w:rsidRPr="00F51AA9">
              <w:rPr>
                <w:rStyle w:val="Strong"/>
                <w:rFonts w:asciiTheme="minorHAnsi" w:hAnsiTheme="minorHAnsi"/>
              </w:rPr>
              <w:t>Five-year</w:t>
            </w:r>
            <w:r w:rsidRPr="00F51AA9">
              <w:rPr>
                <w:rFonts w:asciiTheme="minorHAnsi" w:hAnsiTheme="minorHAnsi"/>
              </w:rPr>
              <w:t xml:space="preserve"> financial summary</w:t>
            </w:r>
          </w:p>
        </w:tc>
      </w:tr>
      <w:tr w:rsidR="004D047A" w14:paraId="0719BD0C" w14:textId="77777777" w:rsidTr="00E86E54">
        <w:trPr>
          <w:cnfStyle w:val="000000100000" w:firstRow="0" w:lastRow="0" w:firstColumn="0" w:lastColumn="0" w:oddVBand="0" w:evenVBand="0" w:oddHBand="1" w:evenHBand="0" w:firstRowFirstColumn="0" w:firstRowLastColumn="0" w:lastRowFirstColumn="0" w:lastRowLastColumn="0"/>
        </w:trPr>
        <w:tc>
          <w:tcPr>
            <w:tcW w:w="3219" w:type="dxa"/>
            <w:tcBorders>
              <w:top w:val="nil"/>
              <w:bottom w:val="single" w:sz="12" w:space="0" w:color="00573F" w:themeColor="text2"/>
              <w:right w:val="nil"/>
            </w:tcBorders>
          </w:tcPr>
          <w:p w14:paraId="3B856756" w14:textId="1D527497" w:rsidR="00184419" w:rsidRPr="00F51AA9" w:rsidRDefault="00184419" w:rsidP="0095267E">
            <w:pPr>
              <w:pStyle w:val="TableHeader"/>
            </w:pPr>
          </w:p>
        </w:tc>
        <w:tc>
          <w:tcPr>
            <w:tcW w:w="1170" w:type="dxa"/>
            <w:tcBorders>
              <w:top w:val="nil"/>
              <w:left w:val="nil"/>
              <w:bottom w:val="single" w:sz="12" w:space="0" w:color="00573F" w:themeColor="text2"/>
              <w:right w:val="nil"/>
            </w:tcBorders>
            <w:vAlign w:val="center"/>
          </w:tcPr>
          <w:p w14:paraId="07DA2E61" w14:textId="27A85C77" w:rsidR="00B52FB9" w:rsidRPr="00F51AA9" w:rsidRDefault="00184419" w:rsidP="00B52FB9">
            <w:pPr>
              <w:pStyle w:val="TableHeader"/>
              <w:jc w:val="center"/>
            </w:pPr>
            <w:r w:rsidRPr="00F51AA9">
              <w:t>2021</w:t>
            </w:r>
            <w:r w:rsidR="00B52FB9">
              <w:t xml:space="preserve"> </w:t>
            </w:r>
            <w:r w:rsidR="00B52FB9" w:rsidRPr="00B52FB9">
              <w:t>$</w:t>
            </w:r>
          </w:p>
        </w:tc>
        <w:tc>
          <w:tcPr>
            <w:tcW w:w="1170" w:type="dxa"/>
            <w:tcBorders>
              <w:top w:val="nil"/>
              <w:left w:val="nil"/>
              <w:bottom w:val="single" w:sz="12" w:space="0" w:color="00573F" w:themeColor="text2"/>
              <w:right w:val="nil"/>
            </w:tcBorders>
            <w:vAlign w:val="center"/>
          </w:tcPr>
          <w:p w14:paraId="5831F470" w14:textId="140C6D14" w:rsidR="00B52FB9" w:rsidRPr="00F51AA9" w:rsidRDefault="00184419" w:rsidP="00B52FB9">
            <w:pPr>
              <w:pStyle w:val="TableHeader"/>
              <w:jc w:val="center"/>
            </w:pPr>
            <w:r w:rsidRPr="00F51AA9">
              <w:t>2020</w:t>
            </w:r>
            <w:r w:rsidR="00B52FB9">
              <w:t xml:space="preserve"> $</w:t>
            </w:r>
          </w:p>
        </w:tc>
        <w:tc>
          <w:tcPr>
            <w:tcW w:w="1170" w:type="dxa"/>
            <w:tcBorders>
              <w:top w:val="nil"/>
              <w:left w:val="nil"/>
              <w:bottom w:val="single" w:sz="12" w:space="0" w:color="00573F" w:themeColor="text2"/>
              <w:right w:val="nil"/>
            </w:tcBorders>
            <w:vAlign w:val="center"/>
          </w:tcPr>
          <w:p w14:paraId="1A065BEE" w14:textId="043B35E7" w:rsidR="00184419" w:rsidRPr="00F51AA9" w:rsidRDefault="00184419" w:rsidP="00E86E54">
            <w:pPr>
              <w:pStyle w:val="TableHeader"/>
              <w:jc w:val="center"/>
            </w:pPr>
            <w:r w:rsidRPr="00F51AA9">
              <w:t>2019</w:t>
            </w:r>
            <w:r w:rsidR="00B52FB9">
              <w:t xml:space="preserve"> $</w:t>
            </w:r>
          </w:p>
        </w:tc>
        <w:tc>
          <w:tcPr>
            <w:tcW w:w="1170" w:type="dxa"/>
            <w:tcBorders>
              <w:top w:val="nil"/>
              <w:left w:val="nil"/>
              <w:bottom w:val="single" w:sz="12" w:space="0" w:color="00573F" w:themeColor="text2"/>
              <w:right w:val="nil"/>
            </w:tcBorders>
            <w:vAlign w:val="center"/>
          </w:tcPr>
          <w:p w14:paraId="4DA5309F" w14:textId="171505AA" w:rsidR="00184419" w:rsidRPr="00F51AA9" w:rsidRDefault="00184419" w:rsidP="00E86E54">
            <w:pPr>
              <w:pStyle w:val="TableHeader"/>
              <w:jc w:val="center"/>
            </w:pPr>
            <w:r w:rsidRPr="00F51AA9">
              <w:t>2018</w:t>
            </w:r>
            <w:r w:rsidR="00B52FB9">
              <w:t xml:space="preserve"> $</w:t>
            </w:r>
          </w:p>
        </w:tc>
        <w:tc>
          <w:tcPr>
            <w:tcW w:w="1171" w:type="dxa"/>
            <w:tcBorders>
              <w:top w:val="nil"/>
              <w:left w:val="nil"/>
              <w:bottom w:val="single" w:sz="12" w:space="0" w:color="00573F" w:themeColor="text2"/>
            </w:tcBorders>
            <w:vAlign w:val="center"/>
          </w:tcPr>
          <w:p w14:paraId="0F7B452E" w14:textId="048BB62D" w:rsidR="00184419" w:rsidRPr="00F51AA9" w:rsidRDefault="00184419" w:rsidP="00E86E54">
            <w:pPr>
              <w:pStyle w:val="TableHeader"/>
              <w:jc w:val="center"/>
            </w:pPr>
            <w:r w:rsidRPr="00F51AA9">
              <w:t>2017</w:t>
            </w:r>
            <w:r w:rsidR="00B52FB9">
              <w:t xml:space="preserve"> $</w:t>
            </w:r>
          </w:p>
        </w:tc>
      </w:tr>
      <w:tr w:rsidR="004D047A" w14:paraId="6A9154CC" w14:textId="77777777" w:rsidTr="00F51AA9">
        <w:trPr>
          <w:cnfStyle w:val="000000010000" w:firstRow="0" w:lastRow="0" w:firstColumn="0" w:lastColumn="0" w:oddVBand="0" w:evenVBand="0" w:oddHBand="0" w:evenHBand="1" w:firstRowFirstColumn="0" w:firstRowLastColumn="0" w:lastRowFirstColumn="0" w:lastRowLastColumn="0"/>
        </w:trPr>
        <w:tc>
          <w:tcPr>
            <w:tcW w:w="3219" w:type="dxa"/>
            <w:tcBorders>
              <w:top w:val="nil"/>
            </w:tcBorders>
          </w:tcPr>
          <w:p w14:paraId="017625D8" w14:textId="11ACC13D" w:rsidR="00184419" w:rsidRPr="00973F22" w:rsidRDefault="0050118D" w:rsidP="0095267E">
            <w:pPr>
              <w:pStyle w:val="TableBody"/>
            </w:pPr>
            <w:r>
              <w:t>Total income from transactions</w:t>
            </w:r>
          </w:p>
        </w:tc>
        <w:tc>
          <w:tcPr>
            <w:tcW w:w="1170" w:type="dxa"/>
            <w:tcBorders>
              <w:top w:val="single" w:sz="12" w:space="0" w:color="00573F" w:themeColor="text2"/>
            </w:tcBorders>
          </w:tcPr>
          <w:p w14:paraId="2C967097" w14:textId="7C6400DE" w:rsidR="00184419" w:rsidRPr="00973F22" w:rsidRDefault="004D047A" w:rsidP="0095267E">
            <w:pPr>
              <w:pStyle w:val="TableBody"/>
              <w:jc w:val="center"/>
            </w:pPr>
            <w:r>
              <w:t>17,925,861</w:t>
            </w:r>
          </w:p>
        </w:tc>
        <w:tc>
          <w:tcPr>
            <w:tcW w:w="1170" w:type="dxa"/>
            <w:tcBorders>
              <w:top w:val="single" w:sz="12" w:space="0" w:color="00573F" w:themeColor="text2"/>
            </w:tcBorders>
          </w:tcPr>
          <w:p w14:paraId="226A0F46" w14:textId="2EE162C7" w:rsidR="00184419" w:rsidRDefault="004D047A" w:rsidP="0095267E">
            <w:pPr>
              <w:pStyle w:val="TableBody"/>
              <w:jc w:val="center"/>
            </w:pPr>
            <w:r>
              <w:t>19,932,142</w:t>
            </w:r>
          </w:p>
        </w:tc>
        <w:tc>
          <w:tcPr>
            <w:tcW w:w="1170" w:type="dxa"/>
            <w:tcBorders>
              <w:top w:val="single" w:sz="12" w:space="0" w:color="00573F" w:themeColor="text2"/>
            </w:tcBorders>
          </w:tcPr>
          <w:p w14:paraId="32661AB3" w14:textId="71B545C3" w:rsidR="00184419" w:rsidRDefault="004D047A" w:rsidP="0095267E">
            <w:pPr>
              <w:pStyle w:val="TableBody"/>
              <w:jc w:val="center"/>
            </w:pPr>
            <w:r>
              <w:t>17,792,385</w:t>
            </w:r>
          </w:p>
        </w:tc>
        <w:tc>
          <w:tcPr>
            <w:tcW w:w="1170" w:type="dxa"/>
            <w:tcBorders>
              <w:top w:val="single" w:sz="12" w:space="0" w:color="00573F" w:themeColor="text2"/>
            </w:tcBorders>
          </w:tcPr>
          <w:p w14:paraId="240B1156" w14:textId="3063B819" w:rsidR="00184419" w:rsidRDefault="004D047A" w:rsidP="0095267E">
            <w:pPr>
              <w:pStyle w:val="TableBody"/>
              <w:jc w:val="center"/>
            </w:pPr>
            <w:r>
              <w:t>17,112,268</w:t>
            </w:r>
          </w:p>
        </w:tc>
        <w:tc>
          <w:tcPr>
            <w:tcW w:w="1171" w:type="dxa"/>
            <w:tcBorders>
              <w:top w:val="single" w:sz="12" w:space="0" w:color="00573F" w:themeColor="text2"/>
            </w:tcBorders>
          </w:tcPr>
          <w:p w14:paraId="59D8BB2B" w14:textId="6448AAD0" w:rsidR="00184419" w:rsidRPr="00973F22" w:rsidRDefault="00F51995" w:rsidP="0095267E">
            <w:pPr>
              <w:pStyle w:val="TableBody"/>
              <w:jc w:val="center"/>
            </w:pPr>
            <w:r>
              <w:t>15,813,088</w:t>
            </w:r>
          </w:p>
        </w:tc>
      </w:tr>
      <w:tr w:rsidR="00184419" w14:paraId="4AAB058B" w14:textId="77777777" w:rsidTr="00184419">
        <w:trPr>
          <w:cnfStyle w:val="000000100000" w:firstRow="0" w:lastRow="0" w:firstColumn="0" w:lastColumn="0" w:oddVBand="0" w:evenVBand="0" w:oddHBand="1" w:evenHBand="0" w:firstRowFirstColumn="0" w:firstRowLastColumn="0" w:lastRowFirstColumn="0" w:lastRowLastColumn="0"/>
        </w:trPr>
        <w:tc>
          <w:tcPr>
            <w:tcW w:w="3219" w:type="dxa"/>
          </w:tcPr>
          <w:p w14:paraId="646EF51E" w14:textId="2EB5F30B" w:rsidR="00184419" w:rsidRPr="00973F22" w:rsidRDefault="0050118D" w:rsidP="0095267E">
            <w:pPr>
              <w:pStyle w:val="TableBody"/>
            </w:pPr>
            <w:r>
              <w:t>Total expenses from transactions</w:t>
            </w:r>
          </w:p>
        </w:tc>
        <w:tc>
          <w:tcPr>
            <w:tcW w:w="1170" w:type="dxa"/>
          </w:tcPr>
          <w:p w14:paraId="0FBE6607" w14:textId="24ACF9CF" w:rsidR="00184419" w:rsidRPr="00973F22" w:rsidRDefault="004D047A" w:rsidP="0095267E">
            <w:pPr>
              <w:pStyle w:val="TableBody"/>
              <w:jc w:val="center"/>
            </w:pPr>
            <w:r>
              <w:t>20,388,510</w:t>
            </w:r>
          </w:p>
        </w:tc>
        <w:tc>
          <w:tcPr>
            <w:tcW w:w="1170" w:type="dxa"/>
          </w:tcPr>
          <w:p w14:paraId="165CE420" w14:textId="71C982C5" w:rsidR="00184419" w:rsidRDefault="004D047A" w:rsidP="0095267E">
            <w:pPr>
              <w:pStyle w:val="TableBody"/>
              <w:jc w:val="center"/>
            </w:pPr>
            <w:r>
              <w:t>20,091,717</w:t>
            </w:r>
          </w:p>
        </w:tc>
        <w:tc>
          <w:tcPr>
            <w:tcW w:w="1170" w:type="dxa"/>
          </w:tcPr>
          <w:p w14:paraId="354E09E4" w14:textId="1976B62A" w:rsidR="00184419" w:rsidRDefault="004D047A" w:rsidP="0095267E">
            <w:pPr>
              <w:pStyle w:val="TableBody"/>
              <w:jc w:val="center"/>
            </w:pPr>
            <w:r>
              <w:t>19,434,276</w:t>
            </w:r>
          </w:p>
        </w:tc>
        <w:tc>
          <w:tcPr>
            <w:tcW w:w="1170" w:type="dxa"/>
          </w:tcPr>
          <w:p w14:paraId="685C8B59" w14:textId="480AD672" w:rsidR="00184419" w:rsidRDefault="004D047A" w:rsidP="0095267E">
            <w:pPr>
              <w:pStyle w:val="TableBody"/>
              <w:jc w:val="center"/>
            </w:pPr>
            <w:r>
              <w:t>14,293,808</w:t>
            </w:r>
          </w:p>
        </w:tc>
        <w:tc>
          <w:tcPr>
            <w:tcW w:w="1171" w:type="dxa"/>
          </w:tcPr>
          <w:p w14:paraId="04A86157" w14:textId="37F473F0" w:rsidR="00184419" w:rsidRPr="00973F22" w:rsidRDefault="004D047A" w:rsidP="0095267E">
            <w:pPr>
              <w:pStyle w:val="TableBody"/>
              <w:jc w:val="center"/>
            </w:pPr>
            <w:r>
              <w:t>14,299,609</w:t>
            </w:r>
          </w:p>
        </w:tc>
      </w:tr>
      <w:tr w:rsidR="004D047A" w14:paraId="38F84021" w14:textId="77777777" w:rsidTr="00184419">
        <w:trPr>
          <w:cnfStyle w:val="000000010000" w:firstRow="0" w:lastRow="0" w:firstColumn="0" w:lastColumn="0" w:oddVBand="0" w:evenVBand="0" w:oddHBand="0" w:evenHBand="1" w:firstRowFirstColumn="0" w:firstRowLastColumn="0" w:lastRowFirstColumn="0" w:lastRowLastColumn="0"/>
        </w:trPr>
        <w:tc>
          <w:tcPr>
            <w:tcW w:w="3219" w:type="dxa"/>
          </w:tcPr>
          <w:p w14:paraId="185EF4D8" w14:textId="7F7744F1" w:rsidR="0050118D" w:rsidRDefault="0050118D" w:rsidP="0095267E">
            <w:pPr>
              <w:pStyle w:val="TableBody"/>
            </w:pPr>
            <w:r>
              <w:t>Net result from transactions</w:t>
            </w:r>
          </w:p>
        </w:tc>
        <w:tc>
          <w:tcPr>
            <w:tcW w:w="1170" w:type="dxa"/>
          </w:tcPr>
          <w:p w14:paraId="0DE3BCEB" w14:textId="3FF76E95" w:rsidR="0050118D" w:rsidRPr="00973F22" w:rsidRDefault="004D047A" w:rsidP="0095267E">
            <w:pPr>
              <w:pStyle w:val="TableBody"/>
              <w:jc w:val="center"/>
            </w:pPr>
            <w:r>
              <w:t>(2,462,649)</w:t>
            </w:r>
          </w:p>
        </w:tc>
        <w:tc>
          <w:tcPr>
            <w:tcW w:w="1170" w:type="dxa"/>
          </w:tcPr>
          <w:p w14:paraId="74D32A8E" w14:textId="6ACE7549" w:rsidR="0050118D" w:rsidRDefault="004D047A" w:rsidP="0095267E">
            <w:pPr>
              <w:pStyle w:val="TableBody"/>
              <w:jc w:val="center"/>
            </w:pPr>
            <w:r>
              <w:t>(159,575)</w:t>
            </w:r>
          </w:p>
        </w:tc>
        <w:tc>
          <w:tcPr>
            <w:tcW w:w="1170" w:type="dxa"/>
          </w:tcPr>
          <w:p w14:paraId="641489B6" w14:textId="0EC36F8E" w:rsidR="0050118D" w:rsidRDefault="004D047A" w:rsidP="0095267E">
            <w:pPr>
              <w:pStyle w:val="TableBody"/>
              <w:jc w:val="center"/>
            </w:pPr>
            <w:r>
              <w:t>(1,641,891)</w:t>
            </w:r>
          </w:p>
        </w:tc>
        <w:tc>
          <w:tcPr>
            <w:tcW w:w="1170" w:type="dxa"/>
          </w:tcPr>
          <w:p w14:paraId="02F3FC56" w14:textId="0E374B83" w:rsidR="0050118D" w:rsidRDefault="004D047A" w:rsidP="0095267E">
            <w:pPr>
              <w:pStyle w:val="TableBody"/>
              <w:jc w:val="center"/>
            </w:pPr>
            <w:r>
              <w:t>2,818,460</w:t>
            </w:r>
          </w:p>
        </w:tc>
        <w:tc>
          <w:tcPr>
            <w:tcW w:w="1171" w:type="dxa"/>
          </w:tcPr>
          <w:p w14:paraId="65243453" w14:textId="2D8A0163" w:rsidR="0050118D" w:rsidRPr="00973F22" w:rsidRDefault="004D047A" w:rsidP="0095267E">
            <w:pPr>
              <w:pStyle w:val="TableBody"/>
              <w:jc w:val="center"/>
            </w:pPr>
            <w:r>
              <w:t>1,513,479</w:t>
            </w:r>
          </w:p>
        </w:tc>
      </w:tr>
      <w:tr w:rsidR="0050118D" w14:paraId="777D100E" w14:textId="77777777" w:rsidTr="00184419">
        <w:trPr>
          <w:cnfStyle w:val="000000100000" w:firstRow="0" w:lastRow="0" w:firstColumn="0" w:lastColumn="0" w:oddVBand="0" w:evenVBand="0" w:oddHBand="1" w:evenHBand="0" w:firstRowFirstColumn="0" w:firstRowLastColumn="0" w:lastRowFirstColumn="0" w:lastRowLastColumn="0"/>
        </w:trPr>
        <w:tc>
          <w:tcPr>
            <w:tcW w:w="3219" w:type="dxa"/>
          </w:tcPr>
          <w:p w14:paraId="58313C0D" w14:textId="1A5B7C87" w:rsidR="0050118D" w:rsidRDefault="0050118D" w:rsidP="0095267E">
            <w:pPr>
              <w:pStyle w:val="TableBody"/>
            </w:pPr>
            <w:r>
              <w:t>Other economic flows included in net result</w:t>
            </w:r>
            <w:r w:rsidR="004D047A" w:rsidRPr="004D047A">
              <w:rPr>
                <w:vertAlign w:val="superscript"/>
              </w:rPr>
              <w:t>1</w:t>
            </w:r>
          </w:p>
        </w:tc>
        <w:tc>
          <w:tcPr>
            <w:tcW w:w="1170" w:type="dxa"/>
          </w:tcPr>
          <w:p w14:paraId="73D9A718" w14:textId="3E442410" w:rsidR="0050118D" w:rsidRPr="00973F22" w:rsidRDefault="004D047A" w:rsidP="0095267E">
            <w:pPr>
              <w:pStyle w:val="TableBody"/>
              <w:jc w:val="center"/>
            </w:pPr>
            <w:r>
              <w:t>(220,915)</w:t>
            </w:r>
          </w:p>
        </w:tc>
        <w:tc>
          <w:tcPr>
            <w:tcW w:w="1170" w:type="dxa"/>
          </w:tcPr>
          <w:p w14:paraId="7FEC44E4" w14:textId="34DBF01E" w:rsidR="0050118D" w:rsidRDefault="004D047A" w:rsidP="0095267E">
            <w:pPr>
              <w:pStyle w:val="TableBody"/>
              <w:jc w:val="center"/>
            </w:pPr>
            <w:r>
              <w:t>(26,568)</w:t>
            </w:r>
          </w:p>
        </w:tc>
        <w:tc>
          <w:tcPr>
            <w:tcW w:w="1170" w:type="dxa"/>
          </w:tcPr>
          <w:p w14:paraId="261BE4BA" w14:textId="0BBA54BA" w:rsidR="0050118D" w:rsidRDefault="004D047A" w:rsidP="0095267E">
            <w:pPr>
              <w:pStyle w:val="TableBody"/>
              <w:jc w:val="center"/>
            </w:pPr>
            <w:r>
              <w:t>(90,827)</w:t>
            </w:r>
          </w:p>
        </w:tc>
        <w:tc>
          <w:tcPr>
            <w:tcW w:w="1170" w:type="dxa"/>
          </w:tcPr>
          <w:p w14:paraId="17227DD4" w14:textId="2A229FE8" w:rsidR="0050118D" w:rsidRDefault="004D047A" w:rsidP="0095267E">
            <w:pPr>
              <w:pStyle w:val="TableBody"/>
              <w:jc w:val="center"/>
            </w:pPr>
            <w:r>
              <w:t>(1,173)</w:t>
            </w:r>
          </w:p>
        </w:tc>
        <w:tc>
          <w:tcPr>
            <w:tcW w:w="1171" w:type="dxa"/>
          </w:tcPr>
          <w:p w14:paraId="2141E1B8" w14:textId="47CB588C" w:rsidR="0050118D" w:rsidRPr="00973F22" w:rsidRDefault="004D047A" w:rsidP="0095267E">
            <w:pPr>
              <w:pStyle w:val="TableBody"/>
              <w:jc w:val="center"/>
            </w:pPr>
            <w:r>
              <w:t>(22,222)</w:t>
            </w:r>
          </w:p>
        </w:tc>
      </w:tr>
      <w:tr w:rsidR="004D047A" w14:paraId="72F2A203" w14:textId="77777777" w:rsidTr="00184419">
        <w:trPr>
          <w:cnfStyle w:val="000000010000" w:firstRow="0" w:lastRow="0" w:firstColumn="0" w:lastColumn="0" w:oddVBand="0" w:evenVBand="0" w:oddHBand="0" w:evenHBand="1" w:firstRowFirstColumn="0" w:firstRowLastColumn="0" w:lastRowFirstColumn="0" w:lastRowLastColumn="0"/>
        </w:trPr>
        <w:tc>
          <w:tcPr>
            <w:tcW w:w="3219" w:type="dxa"/>
          </w:tcPr>
          <w:p w14:paraId="5EA09622" w14:textId="3A14395C" w:rsidR="0050118D" w:rsidRDefault="0050118D" w:rsidP="0095267E">
            <w:pPr>
              <w:pStyle w:val="TableBody"/>
            </w:pPr>
            <w:r>
              <w:t>Net result for the period</w:t>
            </w:r>
          </w:p>
        </w:tc>
        <w:tc>
          <w:tcPr>
            <w:tcW w:w="1170" w:type="dxa"/>
          </w:tcPr>
          <w:p w14:paraId="51AC847F" w14:textId="5C11A367" w:rsidR="0050118D" w:rsidRPr="00973F22" w:rsidRDefault="004D047A" w:rsidP="0095267E">
            <w:pPr>
              <w:pStyle w:val="TableBody"/>
              <w:jc w:val="center"/>
            </w:pPr>
            <w:r>
              <w:t>(2,242,454)</w:t>
            </w:r>
          </w:p>
        </w:tc>
        <w:tc>
          <w:tcPr>
            <w:tcW w:w="1170" w:type="dxa"/>
          </w:tcPr>
          <w:p w14:paraId="6263D66C" w14:textId="600BA5B4" w:rsidR="0050118D" w:rsidRDefault="004D047A" w:rsidP="0095267E">
            <w:pPr>
              <w:pStyle w:val="TableBody"/>
              <w:jc w:val="center"/>
            </w:pPr>
            <w:r>
              <w:t>(186,143)</w:t>
            </w:r>
          </w:p>
        </w:tc>
        <w:tc>
          <w:tcPr>
            <w:tcW w:w="1170" w:type="dxa"/>
          </w:tcPr>
          <w:p w14:paraId="2B25E8B8" w14:textId="579132D9" w:rsidR="0050118D" w:rsidRDefault="004D047A" w:rsidP="0095267E">
            <w:pPr>
              <w:pStyle w:val="TableBody"/>
              <w:jc w:val="center"/>
            </w:pPr>
            <w:r>
              <w:t>(1,732,718)</w:t>
            </w:r>
          </w:p>
        </w:tc>
        <w:tc>
          <w:tcPr>
            <w:tcW w:w="1170" w:type="dxa"/>
          </w:tcPr>
          <w:p w14:paraId="685D9B81" w14:textId="14AA386A" w:rsidR="0050118D" w:rsidRDefault="004D047A" w:rsidP="0095267E">
            <w:pPr>
              <w:pStyle w:val="TableBody"/>
              <w:jc w:val="center"/>
            </w:pPr>
            <w:r>
              <w:t>2,817,287</w:t>
            </w:r>
          </w:p>
        </w:tc>
        <w:tc>
          <w:tcPr>
            <w:tcW w:w="1171" w:type="dxa"/>
          </w:tcPr>
          <w:p w14:paraId="6A239AB3" w14:textId="1775E1AA" w:rsidR="0050118D" w:rsidRPr="00973F22" w:rsidRDefault="004D047A" w:rsidP="0095267E">
            <w:pPr>
              <w:pStyle w:val="TableBody"/>
              <w:jc w:val="center"/>
            </w:pPr>
            <w:r>
              <w:t>1,491,257</w:t>
            </w:r>
          </w:p>
        </w:tc>
      </w:tr>
      <w:tr w:rsidR="0050118D" w14:paraId="20890D69" w14:textId="77777777" w:rsidTr="00184419">
        <w:trPr>
          <w:cnfStyle w:val="000000100000" w:firstRow="0" w:lastRow="0" w:firstColumn="0" w:lastColumn="0" w:oddVBand="0" w:evenVBand="0" w:oddHBand="1" w:evenHBand="0" w:firstRowFirstColumn="0" w:firstRowLastColumn="0" w:lastRowFirstColumn="0" w:lastRowLastColumn="0"/>
        </w:trPr>
        <w:tc>
          <w:tcPr>
            <w:tcW w:w="3219" w:type="dxa"/>
          </w:tcPr>
          <w:p w14:paraId="74701662" w14:textId="34E95DCE" w:rsidR="0050118D" w:rsidRDefault="0050118D" w:rsidP="0095267E">
            <w:pPr>
              <w:pStyle w:val="TableBody"/>
            </w:pPr>
            <w:r>
              <w:t>Net cash flow from operating activities</w:t>
            </w:r>
          </w:p>
        </w:tc>
        <w:tc>
          <w:tcPr>
            <w:tcW w:w="1170" w:type="dxa"/>
          </w:tcPr>
          <w:p w14:paraId="0B17B18E" w14:textId="6AB74313" w:rsidR="0050118D" w:rsidRPr="00973F22" w:rsidRDefault="004D047A" w:rsidP="0095267E">
            <w:pPr>
              <w:pStyle w:val="TableBody"/>
              <w:jc w:val="center"/>
            </w:pPr>
            <w:r>
              <w:t>718,478</w:t>
            </w:r>
          </w:p>
        </w:tc>
        <w:tc>
          <w:tcPr>
            <w:tcW w:w="1170" w:type="dxa"/>
          </w:tcPr>
          <w:p w14:paraId="2703431E" w14:textId="4B59A510" w:rsidR="0050118D" w:rsidRDefault="004D047A" w:rsidP="0095267E">
            <w:pPr>
              <w:pStyle w:val="TableBody"/>
              <w:jc w:val="center"/>
            </w:pPr>
            <w:r>
              <w:t>712,109</w:t>
            </w:r>
          </w:p>
        </w:tc>
        <w:tc>
          <w:tcPr>
            <w:tcW w:w="1170" w:type="dxa"/>
          </w:tcPr>
          <w:p w14:paraId="4332A805" w14:textId="7B9D0471" w:rsidR="0050118D" w:rsidRDefault="004D047A" w:rsidP="0095267E">
            <w:pPr>
              <w:pStyle w:val="TableBody"/>
              <w:jc w:val="center"/>
            </w:pPr>
            <w:r>
              <w:t>360,839</w:t>
            </w:r>
          </w:p>
        </w:tc>
        <w:tc>
          <w:tcPr>
            <w:tcW w:w="1170" w:type="dxa"/>
          </w:tcPr>
          <w:p w14:paraId="0964A4A8" w14:textId="1A6E8DE7" w:rsidR="0050118D" w:rsidRDefault="004D047A" w:rsidP="0095267E">
            <w:pPr>
              <w:pStyle w:val="TableBody"/>
              <w:jc w:val="center"/>
            </w:pPr>
            <w:r>
              <w:t>770,841</w:t>
            </w:r>
          </w:p>
        </w:tc>
        <w:tc>
          <w:tcPr>
            <w:tcW w:w="1171" w:type="dxa"/>
          </w:tcPr>
          <w:p w14:paraId="750D7687" w14:textId="24EED341" w:rsidR="0050118D" w:rsidRPr="00973F22" w:rsidRDefault="004D047A" w:rsidP="0095267E">
            <w:pPr>
              <w:pStyle w:val="TableBody"/>
              <w:jc w:val="center"/>
            </w:pPr>
            <w:r>
              <w:t>21,936</w:t>
            </w:r>
          </w:p>
        </w:tc>
      </w:tr>
      <w:tr w:rsidR="004D047A" w14:paraId="3361AF09" w14:textId="77777777" w:rsidTr="00184419">
        <w:trPr>
          <w:cnfStyle w:val="000000010000" w:firstRow="0" w:lastRow="0" w:firstColumn="0" w:lastColumn="0" w:oddVBand="0" w:evenVBand="0" w:oddHBand="0" w:evenHBand="1" w:firstRowFirstColumn="0" w:firstRowLastColumn="0" w:lastRowFirstColumn="0" w:lastRowLastColumn="0"/>
        </w:trPr>
        <w:tc>
          <w:tcPr>
            <w:tcW w:w="3219" w:type="dxa"/>
          </w:tcPr>
          <w:p w14:paraId="0C96C1E2" w14:textId="22EE36EA" w:rsidR="0050118D" w:rsidRDefault="0050118D" w:rsidP="0095267E">
            <w:pPr>
              <w:pStyle w:val="TableBody"/>
            </w:pPr>
            <w:r>
              <w:t>Total assets</w:t>
            </w:r>
          </w:p>
        </w:tc>
        <w:tc>
          <w:tcPr>
            <w:tcW w:w="1170" w:type="dxa"/>
          </w:tcPr>
          <w:p w14:paraId="0E98C030" w14:textId="306E7199" w:rsidR="0050118D" w:rsidRPr="00973F22" w:rsidRDefault="004D047A" w:rsidP="0095267E">
            <w:pPr>
              <w:pStyle w:val="TableBody"/>
              <w:jc w:val="center"/>
            </w:pPr>
            <w:r>
              <w:t>11,583,033</w:t>
            </w:r>
          </w:p>
        </w:tc>
        <w:tc>
          <w:tcPr>
            <w:tcW w:w="1170" w:type="dxa"/>
          </w:tcPr>
          <w:p w14:paraId="1511B70D" w14:textId="7C5ABBFC" w:rsidR="0050118D" w:rsidRDefault="004D047A" w:rsidP="0095267E">
            <w:pPr>
              <w:pStyle w:val="TableBody"/>
              <w:jc w:val="center"/>
            </w:pPr>
            <w:r>
              <w:t>13,783,258</w:t>
            </w:r>
          </w:p>
        </w:tc>
        <w:tc>
          <w:tcPr>
            <w:tcW w:w="1170" w:type="dxa"/>
          </w:tcPr>
          <w:p w14:paraId="63A81762" w14:textId="1B6975C4" w:rsidR="0050118D" w:rsidRDefault="004D047A" w:rsidP="0095267E">
            <w:pPr>
              <w:pStyle w:val="TableBody"/>
              <w:jc w:val="center"/>
            </w:pPr>
            <w:r>
              <w:t>13,023,799</w:t>
            </w:r>
          </w:p>
        </w:tc>
        <w:tc>
          <w:tcPr>
            <w:tcW w:w="1170" w:type="dxa"/>
          </w:tcPr>
          <w:p w14:paraId="4295E424" w14:textId="2F7A7D26" w:rsidR="0050118D" w:rsidRDefault="004D047A" w:rsidP="0095267E">
            <w:pPr>
              <w:pStyle w:val="TableBody"/>
              <w:jc w:val="center"/>
            </w:pPr>
            <w:r>
              <w:t>13,799,370</w:t>
            </w:r>
          </w:p>
        </w:tc>
        <w:tc>
          <w:tcPr>
            <w:tcW w:w="1171" w:type="dxa"/>
          </w:tcPr>
          <w:p w14:paraId="0B5E153E" w14:textId="57200B90" w:rsidR="0050118D" w:rsidRPr="00973F22" w:rsidRDefault="004D047A" w:rsidP="0095267E">
            <w:pPr>
              <w:pStyle w:val="TableBody"/>
              <w:jc w:val="center"/>
            </w:pPr>
            <w:r>
              <w:t>9,893,930</w:t>
            </w:r>
          </w:p>
        </w:tc>
      </w:tr>
      <w:tr w:rsidR="0050118D" w14:paraId="4B54382A" w14:textId="77777777" w:rsidTr="00184419">
        <w:trPr>
          <w:cnfStyle w:val="000000100000" w:firstRow="0" w:lastRow="0" w:firstColumn="0" w:lastColumn="0" w:oddVBand="0" w:evenVBand="0" w:oddHBand="1" w:evenHBand="0" w:firstRowFirstColumn="0" w:firstRowLastColumn="0" w:lastRowFirstColumn="0" w:lastRowLastColumn="0"/>
        </w:trPr>
        <w:tc>
          <w:tcPr>
            <w:tcW w:w="3219" w:type="dxa"/>
          </w:tcPr>
          <w:p w14:paraId="701DC5F3" w14:textId="664D6B4D" w:rsidR="0050118D" w:rsidRDefault="0050118D" w:rsidP="0095267E">
            <w:pPr>
              <w:pStyle w:val="TableBody"/>
            </w:pPr>
            <w:r>
              <w:t>Total liabilities</w:t>
            </w:r>
          </w:p>
        </w:tc>
        <w:tc>
          <w:tcPr>
            <w:tcW w:w="1170" w:type="dxa"/>
          </w:tcPr>
          <w:p w14:paraId="413FDC4F" w14:textId="3D2A49BC" w:rsidR="0050118D" w:rsidRPr="00973F22" w:rsidRDefault="004D047A" w:rsidP="0095267E">
            <w:pPr>
              <w:pStyle w:val="TableBody"/>
              <w:jc w:val="center"/>
            </w:pPr>
            <w:r>
              <w:t>5,847,223</w:t>
            </w:r>
          </w:p>
        </w:tc>
        <w:tc>
          <w:tcPr>
            <w:tcW w:w="1170" w:type="dxa"/>
          </w:tcPr>
          <w:p w14:paraId="49F3A53B" w14:textId="7A2D36CC" w:rsidR="0050118D" w:rsidRDefault="004D047A" w:rsidP="0095267E">
            <w:pPr>
              <w:pStyle w:val="TableBody"/>
              <w:jc w:val="center"/>
            </w:pPr>
            <w:r>
              <w:t>5,825,576</w:t>
            </w:r>
          </w:p>
        </w:tc>
        <w:tc>
          <w:tcPr>
            <w:tcW w:w="1170" w:type="dxa"/>
          </w:tcPr>
          <w:p w14:paraId="23169CCE" w14:textId="3BE704E2" w:rsidR="0050118D" w:rsidRDefault="004D047A" w:rsidP="0095267E">
            <w:pPr>
              <w:pStyle w:val="TableBody"/>
              <w:jc w:val="center"/>
            </w:pPr>
            <w:r>
              <w:t>4,885,613</w:t>
            </w:r>
          </w:p>
        </w:tc>
        <w:tc>
          <w:tcPr>
            <w:tcW w:w="1170" w:type="dxa"/>
          </w:tcPr>
          <w:p w14:paraId="358A528B" w14:textId="571E2C7F" w:rsidR="0050118D" w:rsidRDefault="004D047A" w:rsidP="0095267E">
            <w:pPr>
              <w:pStyle w:val="TableBody"/>
              <w:jc w:val="center"/>
            </w:pPr>
            <w:r>
              <w:t>4,271,466</w:t>
            </w:r>
          </w:p>
        </w:tc>
        <w:tc>
          <w:tcPr>
            <w:tcW w:w="1171" w:type="dxa"/>
          </w:tcPr>
          <w:p w14:paraId="168D71D2" w14:textId="71F9EB41" w:rsidR="0050118D" w:rsidRPr="00973F22" w:rsidRDefault="004D047A" w:rsidP="0095267E">
            <w:pPr>
              <w:pStyle w:val="TableBody"/>
              <w:jc w:val="center"/>
            </w:pPr>
            <w:r>
              <w:t>3,619,993</w:t>
            </w:r>
          </w:p>
        </w:tc>
      </w:tr>
      <w:tr w:rsidR="006A53B4" w14:paraId="00DE7C14" w14:textId="77777777" w:rsidTr="006A53B4">
        <w:trPr>
          <w:cnfStyle w:val="000000010000" w:firstRow="0" w:lastRow="0" w:firstColumn="0" w:lastColumn="0" w:oddVBand="0" w:evenVBand="0" w:oddHBand="0" w:evenHBand="1" w:firstRowFirstColumn="0" w:firstRowLastColumn="0" w:lastRowFirstColumn="0" w:lastRowLastColumn="0"/>
        </w:trPr>
        <w:tc>
          <w:tcPr>
            <w:tcW w:w="9070" w:type="dxa"/>
            <w:gridSpan w:val="6"/>
            <w:shd w:val="clear" w:color="auto" w:fill="auto"/>
          </w:tcPr>
          <w:p w14:paraId="4D2E81A7" w14:textId="77777777" w:rsidR="006A53B4" w:rsidRDefault="006A53B4" w:rsidP="006A53B4">
            <w:pPr>
              <w:pStyle w:val="TableBody"/>
              <w:rPr>
                <w:sz w:val="18"/>
                <w:szCs w:val="18"/>
              </w:rPr>
            </w:pPr>
            <w:r w:rsidRPr="0050118D">
              <w:rPr>
                <w:b/>
                <w:bCs/>
                <w:sz w:val="18"/>
                <w:szCs w:val="18"/>
              </w:rPr>
              <w:t xml:space="preserve">Notes: </w:t>
            </w:r>
          </w:p>
          <w:p w14:paraId="68C24BB0" w14:textId="75407AF0" w:rsidR="004D047A" w:rsidRPr="00973F22" w:rsidRDefault="004D047A" w:rsidP="00F8706A">
            <w:pPr>
              <w:pStyle w:val="TableBody"/>
              <w:numPr>
                <w:ilvl w:val="0"/>
                <w:numId w:val="11"/>
              </w:numPr>
            </w:pPr>
            <w:r>
              <w:rPr>
                <w:sz w:val="18"/>
                <w:szCs w:val="18"/>
              </w:rPr>
              <w:t xml:space="preserve">Includes gains or losses from disposal of non-financial assets and revaluation of leave liabilities for changes in the government bond rate. </w:t>
            </w:r>
          </w:p>
        </w:tc>
      </w:tr>
    </w:tbl>
    <w:p w14:paraId="13926A18" w14:textId="77777777" w:rsidR="009F3FBC" w:rsidRDefault="009F3FBC" w:rsidP="00500BC5">
      <w:pPr>
        <w:pStyle w:val="Body"/>
        <w:rPr>
          <w:rStyle w:val="Strong"/>
        </w:rPr>
      </w:pPr>
    </w:p>
    <w:p w14:paraId="6AEBDE64" w14:textId="77777777" w:rsidR="009F3FBC" w:rsidRDefault="009F3FBC">
      <w:pPr>
        <w:spacing w:after="0" w:line="240" w:lineRule="auto"/>
        <w:rPr>
          <w:rStyle w:val="Strong"/>
        </w:rPr>
      </w:pPr>
      <w:r>
        <w:rPr>
          <w:rStyle w:val="Strong"/>
        </w:rPr>
        <w:br w:type="page"/>
      </w:r>
    </w:p>
    <w:p w14:paraId="31C3B1B6" w14:textId="72FCE50B" w:rsidR="00184419" w:rsidRDefault="00500BC5" w:rsidP="00500BC5">
      <w:pPr>
        <w:pStyle w:val="Body"/>
        <w:rPr>
          <w:rStyle w:val="Strong"/>
        </w:rPr>
      </w:pPr>
      <w:r w:rsidRPr="00500BC5">
        <w:rPr>
          <w:rStyle w:val="Strong"/>
        </w:rPr>
        <w:lastRenderedPageBreak/>
        <w:t>Current financial year review and significant changes in financial position</w:t>
      </w:r>
    </w:p>
    <w:p w14:paraId="39924ECE" w14:textId="77777777" w:rsidR="00815E8B" w:rsidRDefault="00B52FB9" w:rsidP="00B52FB9">
      <w:pPr>
        <w:pStyle w:val="Body"/>
      </w:pPr>
      <w:r w:rsidRPr="00B52FB9">
        <w:t xml:space="preserve">In 2020-21, the Commission is reporting a net deficit from transactions of $2.46 million. </w:t>
      </w:r>
    </w:p>
    <w:p w14:paraId="628261A6" w14:textId="592D4A90" w:rsidR="00B52FB9" w:rsidRPr="00B52FB9" w:rsidRDefault="00B52FB9" w:rsidP="00B52FB9">
      <w:pPr>
        <w:pStyle w:val="Body"/>
      </w:pPr>
      <w:r w:rsidRPr="00B52FB9">
        <w:t>The deficit in net results from transactions is mainly due to the Victorian Leadership Academy, People Matter Survey and Public Entity Executive Classification utilising funds received from prior financial years.</w:t>
      </w:r>
    </w:p>
    <w:p w14:paraId="78322EED" w14:textId="3B4AD48C" w:rsidR="00500BC5" w:rsidRDefault="00500BC5" w:rsidP="00500BC5">
      <w:pPr>
        <w:pStyle w:val="Body"/>
        <w:rPr>
          <w:rStyle w:val="Strong"/>
        </w:rPr>
      </w:pPr>
      <w:r w:rsidRPr="00500BC5">
        <w:rPr>
          <w:rStyle w:val="Strong"/>
        </w:rPr>
        <w:t>Financial position – balance sheet</w:t>
      </w:r>
    </w:p>
    <w:p w14:paraId="3FA7F72A" w14:textId="6EB1C4F9" w:rsidR="00B52FB9" w:rsidRPr="00B52FB9" w:rsidRDefault="00B52FB9" w:rsidP="00B52FB9">
      <w:pPr>
        <w:pStyle w:val="Body"/>
      </w:pPr>
      <w:r w:rsidRPr="00B52FB9">
        <w:t xml:space="preserve">The </w:t>
      </w:r>
      <w:r>
        <w:t>Commission’s</w:t>
      </w:r>
      <w:r w:rsidRPr="00B52FB9">
        <w:t xml:space="preserve"> net asset base as at 30 June 2021 is $5.74 million. This is a decrease of $2.22 million from 2019-20. The lower net asset base has been primarily driven by </w:t>
      </w:r>
      <w:r>
        <w:t>the Commission</w:t>
      </w:r>
      <w:r w:rsidRPr="00B52FB9">
        <w:t xml:space="preserve"> using prior years funds for 2020-21 initiatives</w:t>
      </w:r>
      <w:r w:rsidR="00B66321">
        <w:t>.</w:t>
      </w:r>
    </w:p>
    <w:p w14:paraId="0E703E06" w14:textId="60B2BD53" w:rsidR="00500BC5" w:rsidRDefault="00500BC5" w:rsidP="00500BC5">
      <w:pPr>
        <w:pStyle w:val="Body"/>
        <w:rPr>
          <w:rStyle w:val="Strong"/>
        </w:rPr>
      </w:pPr>
      <w:r w:rsidRPr="00500BC5">
        <w:rPr>
          <w:rStyle w:val="Strong"/>
        </w:rPr>
        <w:t>Significant changes in the financial position and major factors affecting performance</w:t>
      </w:r>
    </w:p>
    <w:p w14:paraId="01CE4129" w14:textId="76DB2753" w:rsidR="00B52FB9" w:rsidRPr="00B52FB9" w:rsidRDefault="00B52FB9" w:rsidP="00B52FB9">
      <w:pPr>
        <w:pStyle w:val="Body"/>
      </w:pPr>
      <w:r w:rsidRPr="00B52FB9">
        <w:t xml:space="preserve">There were no significant changes which affected the </w:t>
      </w:r>
      <w:r>
        <w:t>Commission’s</w:t>
      </w:r>
      <w:r w:rsidRPr="00B52FB9">
        <w:t xml:space="preserve"> performance during the reporting period.</w:t>
      </w:r>
    </w:p>
    <w:p w14:paraId="1C89214A" w14:textId="63069739" w:rsidR="00500BC5" w:rsidRDefault="00500BC5" w:rsidP="00500BC5">
      <w:pPr>
        <w:pStyle w:val="Body"/>
        <w:rPr>
          <w:rStyle w:val="Strong"/>
        </w:rPr>
      </w:pPr>
      <w:r w:rsidRPr="00500BC5">
        <w:rPr>
          <w:rStyle w:val="Strong"/>
        </w:rPr>
        <w:t>Capital projects</w:t>
      </w:r>
    </w:p>
    <w:p w14:paraId="59B7B590" w14:textId="63374921" w:rsidR="00B52FB9" w:rsidRPr="00B52FB9" w:rsidRDefault="00B52FB9" w:rsidP="00B52FB9">
      <w:pPr>
        <w:pStyle w:val="Body"/>
      </w:pPr>
      <w:r w:rsidRPr="00B52FB9">
        <w:t xml:space="preserve">During 2020-21 financial year, the </w:t>
      </w:r>
      <w:r>
        <w:t>Commission</w:t>
      </w:r>
      <w:r w:rsidRPr="00B52FB9">
        <w:t xml:space="preserve"> completed </w:t>
      </w:r>
      <w:r>
        <w:t>one</w:t>
      </w:r>
      <w:r w:rsidRPr="00B52FB9">
        <w:t xml:space="preserve"> capital project</w:t>
      </w:r>
      <w:r>
        <w:t xml:space="preserve">: </w:t>
      </w:r>
      <w:r w:rsidRPr="00B52FB9">
        <w:t>Azure Development and Migration</w:t>
      </w:r>
      <w:r>
        <w:t>.</w:t>
      </w:r>
    </w:p>
    <w:p w14:paraId="5B1DA465" w14:textId="61B53019" w:rsidR="00500BC5" w:rsidRDefault="00500BC5" w:rsidP="00500BC5">
      <w:pPr>
        <w:pStyle w:val="Body"/>
        <w:rPr>
          <w:rStyle w:val="Strong"/>
        </w:rPr>
      </w:pPr>
      <w:r w:rsidRPr="00500BC5">
        <w:rPr>
          <w:rStyle w:val="Strong"/>
        </w:rPr>
        <w:t>Disclosure of grants and transfer payments</w:t>
      </w:r>
    </w:p>
    <w:p w14:paraId="46D2A40F" w14:textId="7783548D" w:rsidR="00B52FB9" w:rsidRPr="007A398D" w:rsidRDefault="00B52FB9" w:rsidP="00B52FB9">
      <w:pPr>
        <w:pStyle w:val="Body"/>
      </w:pPr>
      <w:r w:rsidRPr="007A398D">
        <w:t xml:space="preserve">The </w:t>
      </w:r>
      <w:r>
        <w:t>Commission</w:t>
      </w:r>
      <w:r w:rsidRPr="007A398D">
        <w:t xml:space="preserve"> provided a </w:t>
      </w:r>
      <w:r>
        <w:t>$2,500 grant to the Pride Network.</w:t>
      </w:r>
    </w:p>
    <w:p w14:paraId="45D57820" w14:textId="08A735ED" w:rsidR="00500BC5" w:rsidRDefault="00500BC5" w:rsidP="00500BC5">
      <w:pPr>
        <w:pStyle w:val="Body"/>
        <w:rPr>
          <w:rStyle w:val="Strong"/>
        </w:rPr>
      </w:pPr>
      <w:r w:rsidRPr="00500BC5">
        <w:rPr>
          <w:rStyle w:val="Strong"/>
        </w:rPr>
        <w:t>Subsequent events</w:t>
      </w:r>
    </w:p>
    <w:p w14:paraId="11CC8CF5" w14:textId="0C970DE1" w:rsidR="00500BC5" w:rsidRPr="00500BC5" w:rsidRDefault="00B52FB9" w:rsidP="00500BC5">
      <w:pPr>
        <w:pStyle w:val="Body"/>
        <w:rPr>
          <w:rStyle w:val="Strong"/>
          <w:rFonts w:ascii="VIC" w:hAnsi="VIC"/>
        </w:rPr>
      </w:pPr>
      <w:r>
        <w:rPr>
          <w:rStyle w:val="Strong"/>
          <w:rFonts w:ascii="VIC" w:hAnsi="VIC"/>
        </w:rPr>
        <w:t>There are no subsequent events to report.</w:t>
      </w:r>
    </w:p>
    <w:tbl>
      <w:tblPr>
        <w:tblStyle w:val="TableHorizontal"/>
        <w:tblW w:w="0" w:type="auto"/>
        <w:tblLook w:val="0420" w:firstRow="1" w:lastRow="0" w:firstColumn="0" w:lastColumn="0" w:noHBand="0" w:noVBand="1"/>
      </w:tblPr>
      <w:tblGrid>
        <w:gridCol w:w="5147"/>
        <w:gridCol w:w="1307"/>
        <w:gridCol w:w="1308"/>
        <w:gridCol w:w="1308"/>
      </w:tblGrid>
      <w:tr w:rsidR="00F51AA9" w14:paraId="6F5C4A73" w14:textId="77777777" w:rsidTr="00F51AA9">
        <w:trPr>
          <w:cnfStyle w:val="100000000000" w:firstRow="1" w:lastRow="0" w:firstColumn="0" w:lastColumn="0" w:oddVBand="0" w:evenVBand="0" w:oddHBand="0" w:evenHBand="0" w:firstRowFirstColumn="0" w:firstRowLastColumn="0" w:lastRowFirstColumn="0" w:lastRowLastColumn="0"/>
        </w:trPr>
        <w:tc>
          <w:tcPr>
            <w:tcW w:w="9070" w:type="dxa"/>
            <w:gridSpan w:val="4"/>
            <w:tcBorders>
              <w:bottom w:val="nil"/>
            </w:tcBorders>
          </w:tcPr>
          <w:p w14:paraId="3C038D9B" w14:textId="36033F32" w:rsidR="00F51AA9" w:rsidRPr="00F51AA9" w:rsidRDefault="00F51AA9" w:rsidP="00F51AA9">
            <w:pPr>
              <w:pStyle w:val="Heading30"/>
              <w:outlineLvl w:val="2"/>
              <w:rPr>
                <w:rFonts w:asciiTheme="minorHAnsi" w:hAnsiTheme="minorHAnsi"/>
              </w:rPr>
            </w:pPr>
            <w:r w:rsidRPr="00F51AA9">
              <w:rPr>
                <w:rFonts w:asciiTheme="minorHAnsi" w:hAnsiTheme="minorHAnsi"/>
              </w:rPr>
              <w:lastRenderedPageBreak/>
              <w:t>Financial performance</w:t>
            </w:r>
          </w:p>
        </w:tc>
      </w:tr>
      <w:tr w:rsidR="00320E0B" w14:paraId="41DFB573" w14:textId="77777777" w:rsidTr="00E86E54">
        <w:trPr>
          <w:cnfStyle w:val="000000100000" w:firstRow="0" w:lastRow="0" w:firstColumn="0" w:lastColumn="0" w:oddVBand="0" w:evenVBand="0" w:oddHBand="1" w:evenHBand="0" w:firstRowFirstColumn="0" w:firstRowLastColumn="0" w:lastRowFirstColumn="0" w:lastRowLastColumn="0"/>
        </w:trPr>
        <w:tc>
          <w:tcPr>
            <w:tcW w:w="5147" w:type="dxa"/>
            <w:tcBorders>
              <w:bottom w:val="single" w:sz="12" w:space="0" w:color="00573F" w:themeColor="text2"/>
              <w:right w:val="nil"/>
            </w:tcBorders>
            <w:vAlign w:val="center"/>
          </w:tcPr>
          <w:p w14:paraId="49BD8728" w14:textId="09B8A411" w:rsidR="00320E0B" w:rsidRPr="00973F22" w:rsidRDefault="00320E0B" w:rsidP="00E86E54">
            <w:pPr>
              <w:pStyle w:val="TableHeader"/>
            </w:pPr>
          </w:p>
        </w:tc>
        <w:tc>
          <w:tcPr>
            <w:tcW w:w="1307" w:type="dxa"/>
            <w:tcBorders>
              <w:left w:val="nil"/>
              <w:bottom w:val="single" w:sz="12" w:space="0" w:color="00573F" w:themeColor="text2"/>
              <w:right w:val="nil"/>
            </w:tcBorders>
            <w:vAlign w:val="center"/>
          </w:tcPr>
          <w:p w14:paraId="06F6DDD4" w14:textId="77777777" w:rsidR="00320E0B" w:rsidRPr="00973F22" w:rsidRDefault="00320E0B" w:rsidP="00E86E54">
            <w:pPr>
              <w:pStyle w:val="TableHeader"/>
              <w:jc w:val="center"/>
            </w:pPr>
            <w:r>
              <w:t>Target</w:t>
            </w:r>
          </w:p>
        </w:tc>
        <w:tc>
          <w:tcPr>
            <w:tcW w:w="1308" w:type="dxa"/>
            <w:tcBorders>
              <w:left w:val="nil"/>
              <w:bottom w:val="single" w:sz="12" w:space="0" w:color="00573F" w:themeColor="text2"/>
              <w:right w:val="nil"/>
            </w:tcBorders>
            <w:vAlign w:val="center"/>
          </w:tcPr>
          <w:p w14:paraId="47A8CEC1" w14:textId="77777777" w:rsidR="00320E0B" w:rsidRDefault="00320E0B" w:rsidP="00E86E54">
            <w:pPr>
              <w:pStyle w:val="TableHeader"/>
              <w:jc w:val="center"/>
            </w:pPr>
            <w:r>
              <w:t>Actual</w:t>
            </w:r>
          </w:p>
        </w:tc>
        <w:tc>
          <w:tcPr>
            <w:tcW w:w="1308" w:type="dxa"/>
            <w:tcBorders>
              <w:left w:val="nil"/>
              <w:bottom w:val="single" w:sz="12" w:space="0" w:color="00573F" w:themeColor="text2"/>
            </w:tcBorders>
            <w:vAlign w:val="center"/>
          </w:tcPr>
          <w:p w14:paraId="3210998E" w14:textId="77777777" w:rsidR="00320E0B" w:rsidRPr="00973F22" w:rsidRDefault="00320E0B" w:rsidP="00E86E54">
            <w:pPr>
              <w:pStyle w:val="TableHeader"/>
              <w:jc w:val="center"/>
            </w:pPr>
            <w:r>
              <w:t>Achieved</w:t>
            </w:r>
          </w:p>
        </w:tc>
      </w:tr>
      <w:tr w:rsidR="00320E0B" w14:paraId="21547E22" w14:textId="77777777" w:rsidTr="00F51AA9">
        <w:trPr>
          <w:cnfStyle w:val="000000010000" w:firstRow="0" w:lastRow="0" w:firstColumn="0" w:lastColumn="0" w:oddVBand="0" w:evenVBand="0" w:oddHBand="0" w:evenHBand="1" w:firstRowFirstColumn="0" w:firstRowLastColumn="0" w:lastRowFirstColumn="0" w:lastRowLastColumn="0"/>
        </w:trPr>
        <w:tc>
          <w:tcPr>
            <w:tcW w:w="5147" w:type="dxa"/>
            <w:tcBorders>
              <w:top w:val="single" w:sz="12" w:space="0" w:color="00573F" w:themeColor="text2"/>
            </w:tcBorders>
          </w:tcPr>
          <w:p w14:paraId="3E40E6F3" w14:textId="3EC57E08" w:rsidR="00320E0B" w:rsidRPr="00973F22" w:rsidRDefault="00F51AA9" w:rsidP="00F51AA9">
            <w:pPr>
              <w:pStyle w:val="TableHeader"/>
            </w:pPr>
            <w:r>
              <w:t>Operating position</w:t>
            </w:r>
          </w:p>
        </w:tc>
        <w:tc>
          <w:tcPr>
            <w:tcW w:w="1307" w:type="dxa"/>
            <w:tcBorders>
              <w:top w:val="single" w:sz="12" w:space="0" w:color="00573F" w:themeColor="text2"/>
            </w:tcBorders>
          </w:tcPr>
          <w:p w14:paraId="5AE8E0E0" w14:textId="77777777" w:rsidR="00320E0B" w:rsidRPr="00973F22" w:rsidRDefault="00320E0B" w:rsidP="00A75E58">
            <w:pPr>
              <w:pStyle w:val="TableBody"/>
              <w:jc w:val="center"/>
            </w:pPr>
          </w:p>
        </w:tc>
        <w:tc>
          <w:tcPr>
            <w:tcW w:w="1308" w:type="dxa"/>
            <w:tcBorders>
              <w:top w:val="single" w:sz="12" w:space="0" w:color="00573F" w:themeColor="text2"/>
            </w:tcBorders>
          </w:tcPr>
          <w:p w14:paraId="3307E118" w14:textId="77777777" w:rsidR="00320E0B" w:rsidRDefault="00320E0B" w:rsidP="00A75E58">
            <w:pPr>
              <w:pStyle w:val="TableBody"/>
              <w:jc w:val="center"/>
            </w:pPr>
          </w:p>
        </w:tc>
        <w:tc>
          <w:tcPr>
            <w:tcW w:w="1308" w:type="dxa"/>
            <w:tcBorders>
              <w:top w:val="single" w:sz="12" w:space="0" w:color="00573F" w:themeColor="text2"/>
            </w:tcBorders>
          </w:tcPr>
          <w:p w14:paraId="505328E3" w14:textId="77777777" w:rsidR="00320E0B" w:rsidRPr="00973F22" w:rsidRDefault="00320E0B" w:rsidP="00A75E58">
            <w:pPr>
              <w:pStyle w:val="TableBody"/>
              <w:jc w:val="center"/>
            </w:pPr>
          </w:p>
        </w:tc>
      </w:tr>
      <w:tr w:rsidR="00F51AA9" w14:paraId="57651762" w14:textId="77777777" w:rsidTr="00A75E58">
        <w:trPr>
          <w:cnfStyle w:val="000000100000" w:firstRow="0" w:lastRow="0" w:firstColumn="0" w:lastColumn="0" w:oddVBand="0" w:evenVBand="0" w:oddHBand="1" w:evenHBand="0" w:firstRowFirstColumn="0" w:firstRowLastColumn="0" w:lastRowFirstColumn="0" w:lastRowLastColumn="0"/>
        </w:trPr>
        <w:tc>
          <w:tcPr>
            <w:tcW w:w="5147" w:type="dxa"/>
          </w:tcPr>
          <w:p w14:paraId="180092D8" w14:textId="1F2B196D" w:rsidR="00F51AA9" w:rsidRDefault="00F51AA9" w:rsidP="00A75E58">
            <w:pPr>
              <w:pStyle w:val="TableBody"/>
            </w:pPr>
            <w:r>
              <w:t>Net result from transactions is balanced</w:t>
            </w:r>
            <w:r>
              <w:br/>
              <w:t>(Y/N +/-2.5%)</w:t>
            </w:r>
            <w:r w:rsidR="009105B5" w:rsidRPr="009105B5">
              <w:rPr>
                <w:vertAlign w:val="superscript"/>
              </w:rPr>
              <w:t>1</w:t>
            </w:r>
          </w:p>
        </w:tc>
        <w:tc>
          <w:tcPr>
            <w:tcW w:w="1307" w:type="dxa"/>
          </w:tcPr>
          <w:p w14:paraId="690E2DB3" w14:textId="35F537B6" w:rsidR="00F51AA9" w:rsidRPr="00973F22" w:rsidRDefault="001C26E6" w:rsidP="00A75E58">
            <w:pPr>
              <w:pStyle w:val="TableBody"/>
              <w:jc w:val="center"/>
            </w:pPr>
            <w:r>
              <w:t>0</w:t>
            </w:r>
            <w:r>
              <w:br/>
              <w:t>+/-5%</w:t>
            </w:r>
          </w:p>
        </w:tc>
        <w:tc>
          <w:tcPr>
            <w:tcW w:w="1308" w:type="dxa"/>
          </w:tcPr>
          <w:p w14:paraId="5FFC25EF" w14:textId="1F426D53" w:rsidR="00F51AA9" w:rsidRDefault="001C26E6" w:rsidP="00A75E58">
            <w:pPr>
              <w:pStyle w:val="TableBody"/>
              <w:jc w:val="center"/>
            </w:pPr>
            <w:r>
              <w:t>0.08%</w:t>
            </w:r>
          </w:p>
        </w:tc>
        <w:tc>
          <w:tcPr>
            <w:tcW w:w="1308" w:type="dxa"/>
          </w:tcPr>
          <w:p w14:paraId="67482FF7" w14:textId="2F46F937" w:rsidR="00F51AA9" w:rsidRPr="00973F22" w:rsidRDefault="001C26E6" w:rsidP="00A75E58">
            <w:pPr>
              <w:pStyle w:val="TableBody"/>
              <w:jc w:val="center"/>
            </w:pPr>
            <w:r w:rsidRPr="004E6AD6">
              <w:sym w:font="Wingdings" w:char="F0FC"/>
            </w:r>
          </w:p>
        </w:tc>
      </w:tr>
      <w:tr w:rsidR="00320E0B" w14:paraId="1FE1DD6F" w14:textId="77777777" w:rsidTr="00A75E58">
        <w:trPr>
          <w:cnfStyle w:val="000000010000" w:firstRow="0" w:lastRow="0" w:firstColumn="0" w:lastColumn="0" w:oddVBand="0" w:evenVBand="0" w:oddHBand="0" w:evenHBand="1" w:firstRowFirstColumn="0" w:firstRowLastColumn="0" w:lastRowFirstColumn="0" w:lastRowLastColumn="0"/>
        </w:trPr>
        <w:tc>
          <w:tcPr>
            <w:tcW w:w="5147" w:type="dxa"/>
          </w:tcPr>
          <w:p w14:paraId="327FF6DA" w14:textId="1215AAD5" w:rsidR="00320E0B" w:rsidRDefault="00320E0B" w:rsidP="00A75E58">
            <w:pPr>
              <w:pStyle w:val="TableHeader"/>
            </w:pPr>
            <w:r>
              <w:t>Liquidity position</w:t>
            </w:r>
          </w:p>
        </w:tc>
        <w:tc>
          <w:tcPr>
            <w:tcW w:w="1307" w:type="dxa"/>
          </w:tcPr>
          <w:p w14:paraId="722DDB3D" w14:textId="6A25CD7D" w:rsidR="00320E0B" w:rsidRPr="00973F22" w:rsidRDefault="00320E0B" w:rsidP="00A75E58">
            <w:pPr>
              <w:pStyle w:val="TableHeader"/>
              <w:jc w:val="center"/>
            </w:pPr>
          </w:p>
        </w:tc>
        <w:tc>
          <w:tcPr>
            <w:tcW w:w="1308" w:type="dxa"/>
          </w:tcPr>
          <w:p w14:paraId="6440AF64" w14:textId="47492BFF" w:rsidR="00320E0B" w:rsidRDefault="00320E0B" w:rsidP="00A75E58">
            <w:pPr>
              <w:pStyle w:val="TableHeader"/>
              <w:jc w:val="center"/>
            </w:pPr>
          </w:p>
        </w:tc>
        <w:tc>
          <w:tcPr>
            <w:tcW w:w="1308" w:type="dxa"/>
          </w:tcPr>
          <w:p w14:paraId="20956F77" w14:textId="5D29AB94" w:rsidR="00320E0B" w:rsidRPr="00973F22" w:rsidRDefault="00320E0B" w:rsidP="00A75E58">
            <w:pPr>
              <w:pStyle w:val="TableHeader"/>
              <w:jc w:val="center"/>
            </w:pPr>
          </w:p>
        </w:tc>
      </w:tr>
      <w:tr w:rsidR="00320E0B" w14:paraId="0A062A4B" w14:textId="77777777" w:rsidTr="00A75E58">
        <w:trPr>
          <w:cnfStyle w:val="000000100000" w:firstRow="0" w:lastRow="0" w:firstColumn="0" w:lastColumn="0" w:oddVBand="0" w:evenVBand="0" w:oddHBand="1" w:evenHBand="0" w:firstRowFirstColumn="0" w:firstRowLastColumn="0" w:lastRowFirstColumn="0" w:lastRowLastColumn="0"/>
        </w:trPr>
        <w:tc>
          <w:tcPr>
            <w:tcW w:w="5147" w:type="dxa"/>
          </w:tcPr>
          <w:p w14:paraId="36F89D74" w14:textId="533AA6F5" w:rsidR="00320E0B" w:rsidRDefault="00320E0B" w:rsidP="00A75E58">
            <w:pPr>
              <w:pStyle w:val="TableBody"/>
            </w:pPr>
            <w:r>
              <w:t>Current ratio</w:t>
            </w:r>
            <w:r>
              <w:br/>
              <w:t>(current assets / current liabilities &gt;1)</w:t>
            </w:r>
          </w:p>
        </w:tc>
        <w:tc>
          <w:tcPr>
            <w:tcW w:w="1307" w:type="dxa"/>
          </w:tcPr>
          <w:p w14:paraId="7ABD3278" w14:textId="5E836952" w:rsidR="00320E0B" w:rsidRPr="00973F22" w:rsidRDefault="001C26E6" w:rsidP="00A75E58">
            <w:pPr>
              <w:pStyle w:val="TableBody"/>
              <w:jc w:val="center"/>
            </w:pPr>
            <w:r>
              <w:t>&gt;1</w:t>
            </w:r>
          </w:p>
        </w:tc>
        <w:tc>
          <w:tcPr>
            <w:tcW w:w="1308" w:type="dxa"/>
          </w:tcPr>
          <w:p w14:paraId="474622CC" w14:textId="3AFE7F98" w:rsidR="00320E0B" w:rsidRDefault="001C26E6" w:rsidP="00A75E58">
            <w:pPr>
              <w:pStyle w:val="TableBody"/>
              <w:jc w:val="center"/>
            </w:pPr>
            <w:r>
              <w:t>1.71</w:t>
            </w:r>
          </w:p>
        </w:tc>
        <w:tc>
          <w:tcPr>
            <w:tcW w:w="1308" w:type="dxa"/>
          </w:tcPr>
          <w:p w14:paraId="68B1DA07" w14:textId="38BBDC7D" w:rsidR="00320E0B" w:rsidRPr="00973F22" w:rsidRDefault="001C26E6" w:rsidP="00A75E58">
            <w:pPr>
              <w:pStyle w:val="TableBody"/>
              <w:jc w:val="center"/>
            </w:pPr>
            <w:r w:rsidRPr="004E6AD6">
              <w:sym w:font="Wingdings" w:char="F0FC"/>
            </w:r>
          </w:p>
        </w:tc>
      </w:tr>
      <w:tr w:rsidR="00320E0B" w14:paraId="2AFCF65F" w14:textId="77777777" w:rsidTr="00A75E58">
        <w:trPr>
          <w:cnfStyle w:val="000000010000" w:firstRow="0" w:lastRow="0" w:firstColumn="0" w:lastColumn="0" w:oddVBand="0" w:evenVBand="0" w:oddHBand="0" w:evenHBand="1" w:firstRowFirstColumn="0" w:firstRowLastColumn="0" w:lastRowFirstColumn="0" w:lastRowLastColumn="0"/>
        </w:trPr>
        <w:tc>
          <w:tcPr>
            <w:tcW w:w="5147" w:type="dxa"/>
          </w:tcPr>
          <w:p w14:paraId="29913A5E" w14:textId="632C5ABA" w:rsidR="00320E0B" w:rsidRDefault="00320E0B" w:rsidP="00320E0B">
            <w:pPr>
              <w:pStyle w:val="TableHeader"/>
            </w:pPr>
            <w:r>
              <w:t>Efficiency</w:t>
            </w:r>
          </w:p>
        </w:tc>
        <w:tc>
          <w:tcPr>
            <w:tcW w:w="1307" w:type="dxa"/>
          </w:tcPr>
          <w:p w14:paraId="4378E7B0" w14:textId="22A833B8" w:rsidR="00320E0B" w:rsidRPr="00973F22" w:rsidRDefault="00320E0B" w:rsidP="00632372">
            <w:pPr>
              <w:pStyle w:val="TableHeader"/>
              <w:jc w:val="center"/>
            </w:pPr>
          </w:p>
        </w:tc>
        <w:tc>
          <w:tcPr>
            <w:tcW w:w="1308" w:type="dxa"/>
          </w:tcPr>
          <w:p w14:paraId="105D25FB" w14:textId="29D4E35A" w:rsidR="00320E0B" w:rsidRDefault="00320E0B" w:rsidP="00632372">
            <w:pPr>
              <w:pStyle w:val="TableHeader"/>
              <w:jc w:val="center"/>
            </w:pPr>
          </w:p>
        </w:tc>
        <w:tc>
          <w:tcPr>
            <w:tcW w:w="1308" w:type="dxa"/>
          </w:tcPr>
          <w:p w14:paraId="6086B5E5" w14:textId="6722AE70" w:rsidR="00320E0B" w:rsidRPr="00973F22" w:rsidRDefault="00320E0B" w:rsidP="00632372">
            <w:pPr>
              <w:pStyle w:val="TableHeader"/>
              <w:jc w:val="center"/>
            </w:pPr>
          </w:p>
        </w:tc>
      </w:tr>
      <w:tr w:rsidR="00320E0B" w14:paraId="2E363D85" w14:textId="77777777" w:rsidTr="00A75E58">
        <w:trPr>
          <w:cnfStyle w:val="000000100000" w:firstRow="0" w:lastRow="0" w:firstColumn="0" w:lastColumn="0" w:oddVBand="0" w:evenVBand="0" w:oddHBand="1" w:evenHBand="0" w:firstRowFirstColumn="0" w:firstRowLastColumn="0" w:lastRowFirstColumn="0" w:lastRowLastColumn="0"/>
        </w:trPr>
        <w:tc>
          <w:tcPr>
            <w:tcW w:w="5147" w:type="dxa"/>
          </w:tcPr>
          <w:p w14:paraId="4FB28E72" w14:textId="05C71D9F" w:rsidR="00320E0B" w:rsidRDefault="00320E0B" w:rsidP="00A75E58">
            <w:pPr>
              <w:pStyle w:val="TableBody"/>
            </w:pPr>
            <w:r>
              <w:t>Average accounts receivable collection period (target 30 days)</w:t>
            </w:r>
          </w:p>
        </w:tc>
        <w:tc>
          <w:tcPr>
            <w:tcW w:w="1307" w:type="dxa"/>
          </w:tcPr>
          <w:p w14:paraId="100F96DD" w14:textId="66573B4C" w:rsidR="00320E0B" w:rsidRPr="00973F22" w:rsidRDefault="001C26E6" w:rsidP="00A75E58">
            <w:pPr>
              <w:pStyle w:val="TableBody"/>
              <w:jc w:val="center"/>
            </w:pPr>
            <w:r>
              <w:t>90%</w:t>
            </w:r>
          </w:p>
        </w:tc>
        <w:tc>
          <w:tcPr>
            <w:tcW w:w="1308" w:type="dxa"/>
          </w:tcPr>
          <w:p w14:paraId="411B61E5" w14:textId="55587CFE" w:rsidR="00320E0B" w:rsidRDefault="001C26E6" w:rsidP="00A75E58">
            <w:pPr>
              <w:pStyle w:val="TableBody"/>
              <w:jc w:val="center"/>
            </w:pPr>
            <w:r>
              <w:t>62%</w:t>
            </w:r>
          </w:p>
        </w:tc>
        <w:tc>
          <w:tcPr>
            <w:tcW w:w="1308" w:type="dxa"/>
          </w:tcPr>
          <w:p w14:paraId="52875E37" w14:textId="7D891857" w:rsidR="00320E0B" w:rsidRPr="00973F22" w:rsidRDefault="001C26E6" w:rsidP="00A75E58">
            <w:pPr>
              <w:pStyle w:val="TableBody"/>
              <w:jc w:val="center"/>
            </w:pPr>
            <w:r>
              <w:sym w:font="Wingdings" w:char="F0FB"/>
            </w:r>
          </w:p>
        </w:tc>
      </w:tr>
      <w:tr w:rsidR="00320E0B" w14:paraId="55432F84" w14:textId="77777777" w:rsidTr="00A75E58">
        <w:trPr>
          <w:cnfStyle w:val="000000010000" w:firstRow="0" w:lastRow="0" w:firstColumn="0" w:lastColumn="0" w:oddVBand="0" w:evenVBand="0" w:oddHBand="0" w:evenHBand="1" w:firstRowFirstColumn="0" w:firstRowLastColumn="0" w:lastRowFirstColumn="0" w:lastRowLastColumn="0"/>
        </w:trPr>
        <w:tc>
          <w:tcPr>
            <w:tcW w:w="5147" w:type="dxa"/>
          </w:tcPr>
          <w:p w14:paraId="7371342C" w14:textId="511B59C2" w:rsidR="00320E0B" w:rsidRDefault="00320E0B" w:rsidP="00A75E58">
            <w:pPr>
              <w:pStyle w:val="TableBody"/>
            </w:pPr>
            <w:r>
              <w:t>Average</w:t>
            </w:r>
            <w:r w:rsidR="00632372">
              <w:t xml:space="preserve"> time for accounts payable are within government norms (30 days)</w:t>
            </w:r>
          </w:p>
        </w:tc>
        <w:tc>
          <w:tcPr>
            <w:tcW w:w="1307" w:type="dxa"/>
          </w:tcPr>
          <w:p w14:paraId="58EB6376" w14:textId="5BC983FD" w:rsidR="00320E0B" w:rsidRPr="00973F22" w:rsidRDefault="001C26E6" w:rsidP="00A75E58">
            <w:pPr>
              <w:pStyle w:val="TableBody"/>
              <w:jc w:val="center"/>
            </w:pPr>
            <w:r>
              <w:t>90%</w:t>
            </w:r>
          </w:p>
        </w:tc>
        <w:tc>
          <w:tcPr>
            <w:tcW w:w="1308" w:type="dxa"/>
          </w:tcPr>
          <w:p w14:paraId="595379DC" w14:textId="11556279" w:rsidR="00320E0B" w:rsidRDefault="001C26E6" w:rsidP="00A75E58">
            <w:pPr>
              <w:pStyle w:val="TableBody"/>
              <w:jc w:val="center"/>
            </w:pPr>
            <w:r>
              <w:t>74%</w:t>
            </w:r>
          </w:p>
        </w:tc>
        <w:tc>
          <w:tcPr>
            <w:tcW w:w="1308" w:type="dxa"/>
          </w:tcPr>
          <w:p w14:paraId="7276DE83" w14:textId="2A878FDD" w:rsidR="00320E0B" w:rsidRPr="00973F22" w:rsidRDefault="001C26E6" w:rsidP="00A75E58">
            <w:pPr>
              <w:pStyle w:val="TableBody"/>
              <w:jc w:val="center"/>
            </w:pPr>
            <w:r>
              <w:sym w:font="Wingdings" w:char="F0FB"/>
            </w:r>
          </w:p>
        </w:tc>
      </w:tr>
      <w:tr w:rsidR="006A53B4" w14:paraId="5ADD5714" w14:textId="77777777" w:rsidTr="0095267E">
        <w:trPr>
          <w:cnfStyle w:val="000000100000" w:firstRow="0" w:lastRow="0" w:firstColumn="0" w:lastColumn="0" w:oddVBand="0" w:evenVBand="0" w:oddHBand="1" w:evenHBand="0" w:firstRowFirstColumn="0" w:firstRowLastColumn="0" w:lastRowFirstColumn="0" w:lastRowLastColumn="0"/>
        </w:trPr>
        <w:tc>
          <w:tcPr>
            <w:tcW w:w="9070" w:type="dxa"/>
            <w:gridSpan w:val="4"/>
          </w:tcPr>
          <w:p w14:paraId="56D2886D" w14:textId="77777777" w:rsidR="002646ED" w:rsidRDefault="002646ED" w:rsidP="002646ED">
            <w:pPr>
              <w:pStyle w:val="TableBody"/>
              <w:rPr>
                <w:sz w:val="18"/>
                <w:szCs w:val="18"/>
              </w:rPr>
            </w:pPr>
            <w:r w:rsidRPr="009105B5">
              <w:rPr>
                <w:b/>
                <w:bCs/>
                <w:sz w:val="18"/>
                <w:szCs w:val="18"/>
              </w:rPr>
              <w:t>Notes:</w:t>
            </w:r>
            <w:r w:rsidRPr="0050118D">
              <w:rPr>
                <w:b/>
                <w:bCs/>
                <w:sz w:val="18"/>
                <w:szCs w:val="18"/>
              </w:rPr>
              <w:t xml:space="preserve"> </w:t>
            </w:r>
          </w:p>
          <w:p w14:paraId="01349FA6" w14:textId="6F2595D1" w:rsidR="006A53B4" w:rsidRPr="009105B5" w:rsidRDefault="00CE7AFF" w:rsidP="00F8706A">
            <w:pPr>
              <w:pStyle w:val="TableBody"/>
              <w:numPr>
                <w:ilvl w:val="0"/>
                <w:numId w:val="12"/>
              </w:numPr>
              <w:rPr>
                <w:sz w:val="18"/>
                <w:szCs w:val="18"/>
              </w:rPr>
            </w:pPr>
            <w:r>
              <w:rPr>
                <w:sz w:val="18"/>
                <w:szCs w:val="18"/>
              </w:rPr>
              <w:t>Net results of output appropriation and does not include trust funds.</w:t>
            </w:r>
          </w:p>
        </w:tc>
      </w:tr>
    </w:tbl>
    <w:p w14:paraId="668B8476" w14:textId="0B7AE14B" w:rsidR="00F51AA9" w:rsidRPr="00F51AA9" w:rsidRDefault="00F51AA9" w:rsidP="00E86E54">
      <w:pPr>
        <w:pStyle w:val="Heading30"/>
        <w:rPr>
          <w:rStyle w:val="Strong"/>
          <w:rFonts w:ascii="VIC" w:hAnsi="VIC"/>
        </w:rPr>
      </w:pPr>
    </w:p>
    <w:tbl>
      <w:tblPr>
        <w:tblStyle w:val="TableHorizontal"/>
        <w:tblW w:w="0" w:type="auto"/>
        <w:tblLook w:val="0420" w:firstRow="1" w:lastRow="0" w:firstColumn="0" w:lastColumn="0" w:noHBand="0" w:noVBand="1"/>
      </w:tblPr>
      <w:tblGrid>
        <w:gridCol w:w="5147"/>
        <w:gridCol w:w="1307"/>
        <w:gridCol w:w="1308"/>
        <w:gridCol w:w="1308"/>
      </w:tblGrid>
      <w:tr w:rsidR="00632372" w14:paraId="50EB8E15" w14:textId="77777777" w:rsidTr="00E86E54">
        <w:trPr>
          <w:cnfStyle w:val="100000000000" w:firstRow="1" w:lastRow="0" w:firstColumn="0" w:lastColumn="0" w:oddVBand="0" w:evenVBand="0" w:oddHBand="0" w:evenHBand="0" w:firstRowFirstColumn="0" w:firstRowLastColumn="0" w:lastRowFirstColumn="0" w:lastRowLastColumn="0"/>
        </w:trPr>
        <w:tc>
          <w:tcPr>
            <w:tcW w:w="9070" w:type="dxa"/>
            <w:gridSpan w:val="4"/>
            <w:tcBorders>
              <w:bottom w:val="nil"/>
            </w:tcBorders>
          </w:tcPr>
          <w:p w14:paraId="557DA9E5" w14:textId="5C2518AB" w:rsidR="00632372" w:rsidRPr="00E86E54" w:rsidRDefault="00E86E54" w:rsidP="00E86E54">
            <w:pPr>
              <w:pStyle w:val="Heading30"/>
              <w:outlineLvl w:val="2"/>
              <w:rPr>
                <w:rFonts w:asciiTheme="minorHAnsi" w:hAnsiTheme="minorHAnsi"/>
              </w:rPr>
            </w:pPr>
            <w:r>
              <w:rPr>
                <w:rFonts w:asciiTheme="minorHAnsi" w:hAnsiTheme="minorHAnsi"/>
              </w:rPr>
              <w:lastRenderedPageBreak/>
              <w:t>Non-financial performance</w:t>
            </w:r>
          </w:p>
        </w:tc>
      </w:tr>
      <w:tr w:rsidR="00632372" w14:paraId="3EC2209C" w14:textId="77777777" w:rsidTr="00E86E54">
        <w:trPr>
          <w:cnfStyle w:val="000000100000" w:firstRow="0" w:lastRow="0" w:firstColumn="0" w:lastColumn="0" w:oddVBand="0" w:evenVBand="0" w:oddHBand="1" w:evenHBand="0" w:firstRowFirstColumn="0" w:firstRowLastColumn="0" w:lastRowFirstColumn="0" w:lastRowLastColumn="0"/>
        </w:trPr>
        <w:tc>
          <w:tcPr>
            <w:tcW w:w="5147" w:type="dxa"/>
            <w:tcBorders>
              <w:bottom w:val="single" w:sz="12" w:space="0" w:color="00573F" w:themeColor="text2"/>
              <w:right w:val="nil"/>
            </w:tcBorders>
          </w:tcPr>
          <w:p w14:paraId="3A69D7E2" w14:textId="088CC625" w:rsidR="00632372" w:rsidRPr="00632372" w:rsidRDefault="00E86E54" w:rsidP="00632372">
            <w:pPr>
              <w:pStyle w:val="TableHeader"/>
            </w:pPr>
            <w:r>
              <w:t>Services</w:t>
            </w:r>
          </w:p>
        </w:tc>
        <w:tc>
          <w:tcPr>
            <w:tcW w:w="1307" w:type="dxa"/>
            <w:tcBorders>
              <w:left w:val="nil"/>
              <w:bottom w:val="single" w:sz="12" w:space="0" w:color="00573F" w:themeColor="text2"/>
              <w:right w:val="nil"/>
            </w:tcBorders>
            <w:vAlign w:val="bottom"/>
          </w:tcPr>
          <w:p w14:paraId="098BBAAB" w14:textId="6474F10A" w:rsidR="00632372" w:rsidRPr="00973F22" w:rsidRDefault="00632372" w:rsidP="00632372">
            <w:pPr>
              <w:pStyle w:val="TableHeader"/>
              <w:jc w:val="center"/>
            </w:pPr>
            <w:r>
              <w:t>Target</w:t>
            </w:r>
          </w:p>
        </w:tc>
        <w:tc>
          <w:tcPr>
            <w:tcW w:w="1308" w:type="dxa"/>
            <w:tcBorders>
              <w:left w:val="nil"/>
              <w:bottom w:val="single" w:sz="12" w:space="0" w:color="00573F" w:themeColor="text2"/>
              <w:right w:val="nil"/>
            </w:tcBorders>
            <w:vAlign w:val="bottom"/>
          </w:tcPr>
          <w:p w14:paraId="5084E320" w14:textId="1038A460" w:rsidR="00632372" w:rsidRDefault="00632372" w:rsidP="00632372">
            <w:pPr>
              <w:pStyle w:val="TableHeader"/>
              <w:jc w:val="center"/>
            </w:pPr>
            <w:r>
              <w:t>Actual</w:t>
            </w:r>
          </w:p>
        </w:tc>
        <w:tc>
          <w:tcPr>
            <w:tcW w:w="1308" w:type="dxa"/>
            <w:tcBorders>
              <w:left w:val="nil"/>
              <w:bottom w:val="single" w:sz="12" w:space="0" w:color="00573F" w:themeColor="text2"/>
            </w:tcBorders>
            <w:vAlign w:val="bottom"/>
          </w:tcPr>
          <w:p w14:paraId="150A1486" w14:textId="3A7C0B4C" w:rsidR="00632372" w:rsidRPr="00973F22" w:rsidRDefault="00632372" w:rsidP="00632372">
            <w:pPr>
              <w:pStyle w:val="TableHeader"/>
              <w:jc w:val="center"/>
            </w:pPr>
            <w:r>
              <w:t>Achieved</w:t>
            </w:r>
          </w:p>
        </w:tc>
      </w:tr>
      <w:tr w:rsidR="00E86E54" w14:paraId="78B91B60" w14:textId="77777777" w:rsidTr="00C320BA">
        <w:trPr>
          <w:cnfStyle w:val="000000010000" w:firstRow="0" w:lastRow="0" w:firstColumn="0" w:lastColumn="0" w:oddVBand="0" w:evenVBand="0" w:oddHBand="0" w:evenHBand="1" w:firstRowFirstColumn="0" w:firstRowLastColumn="0" w:lastRowFirstColumn="0" w:lastRowLastColumn="0"/>
        </w:trPr>
        <w:tc>
          <w:tcPr>
            <w:tcW w:w="9070" w:type="dxa"/>
            <w:gridSpan w:val="4"/>
            <w:tcBorders>
              <w:top w:val="single" w:sz="12" w:space="0" w:color="00573F" w:themeColor="text2"/>
            </w:tcBorders>
            <w:vAlign w:val="center"/>
          </w:tcPr>
          <w:p w14:paraId="66E0DA74" w14:textId="77777777" w:rsidR="00C071EA" w:rsidRPr="00C320BA" w:rsidRDefault="00E86E54" w:rsidP="00C320BA">
            <w:pPr>
              <w:pStyle w:val="TablechartfigureHeading"/>
              <w:rPr>
                <w:rStyle w:val="Strong"/>
              </w:rPr>
            </w:pPr>
            <w:r w:rsidRPr="00C320BA">
              <w:rPr>
                <w:rStyle w:val="Strong"/>
              </w:rPr>
              <w:t>Service stream 1</w:t>
            </w:r>
          </w:p>
          <w:p w14:paraId="166D433C" w14:textId="3B05C199" w:rsidR="00E86E54" w:rsidRPr="00C071EA" w:rsidRDefault="00E86E54" w:rsidP="00C320BA">
            <w:pPr>
              <w:pStyle w:val="TableBody"/>
            </w:pPr>
            <w:r w:rsidRPr="00C320BA">
              <w:t>W</w:t>
            </w:r>
            <w:r w:rsidRPr="00C320BA">
              <w:rPr>
                <w:rStyle w:val="BodyChar"/>
              </w:rPr>
              <w:t>orkforce data collection, workforce climate measurement, workforce insights analysis, development and reporting</w:t>
            </w:r>
          </w:p>
        </w:tc>
      </w:tr>
      <w:tr w:rsidR="00E86E54" w14:paraId="391A9837"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6527FE5C" w14:textId="3276D0C8" w:rsidR="00E86E54" w:rsidRDefault="00E86E54" w:rsidP="00C320BA">
            <w:pPr>
              <w:pStyle w:val="TableHeader"/>
            </w:pPr>
            <w:r w:rsidRPr="00632372">
              <w:t>Effectiveness</w:t>
            </w:r>
          </w:p>
        </w:tc>
        <w:tc>
          <w:tcPr>
            <w:tcW w:w="1307" w:type="dxa"/>
            <w:vAlign w:val="center"/>
          </w:tcPr>
          <w:p w14:paraId="4A55F181" w14:textId="77777777" w:rsidR="00E86E54" w:rsidRDefault="00E86E54" w:rsidP="00C320BA">
            <w:pPr>
              <w:pStyle w:val="TableHeader"/>
              <w:jc w:val="center"/>
            </w:pPr>
          </w:p>
        </w:tc>
        <w:tc>
          <w:tcPr>
            <w:tcW w:w="1308" w:type="dxa"/>
            <w:vAlign w:val="center"/>
          </w:tcPr>
          <w:p w14:paraId="5E1EB2C9" w14:textId="77777777" w:rsidR="00E86E54" w:rsidRDefault="00E86E54" w:rsidP="00C320BA">
            <w:pPr>
              <w:pStyle w:val="TableHeader"/>
              <w:jc w:val="center"/>
            </w:pPr>
          </w:p>
        </w:tc>
        <w:tc>
          <w:tcPr>
            <w:tcW w:w="1308" w:type="dxa"/>
            <w:vAlign w:val="center"/>
          </w:tcPr>
          <w:p w14:paraId="5ABDA973" w14:textId="77777777" w:rsidR="00E86E54" w:rsidRDefault="00E86E54" w:rsidP="00C320BA">
            <w:pPr>
              <w:pStyle w:val="TableHeader"/>
              <w:jc w:val="center"/>
            </w:pPr>
          </w:p>
        </w:tc>
      </w:tr>
      <w:tr w:rsidR="00E86E54" w14:paraId="31239FC4"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073F1A0B" w14:textId="365020D2" w:rsidR="00E86E54" w:rsidRDefault="00E86E54" w:rsidP="00C320BA">
            <w:pPr>
              <w:pStyle w:val="TableBody"/>
            </w:pPr>
            <w:r>
              <w:t>Proportion of employees who undertake the People Matter Survey across all participating agencies</w:t>
            </w:r>
          </w:p>
        </w:tc>
        <w:tc>
          <w:tcPr>
            <w:tcW w:w="1307" w:type="dxa"/>
            <w:vAlign w:val="center"/>
          </w:tcPr>
          <w:p w14:paraId="1AD6C0AF" w14:textId="62108912" w:rsidR="00E86E54" w:rsidRDefault="004E6AD6" w:rsidP="004E6AD6">
            <w:pPr>
              <w:pStyle w:val="TableBody"/>
              <w:jc w:val="center"/>
            </w:pPr>
            <w:r>
              <w:t>&gt;</w:t>
            </w:r>
            <w:r w:rsidR="00810065">
              <w:t xml:space="preserve"> </w:t>
            </w:r>
            <w:r>
              <w:t>61%</w:t>
            </w:r>
          </w:p>
        </w:tc>
        <w:tc>
          <w:tcPr>
            <w:tcW w:w="1308" w:type="dxa"/>
            <w:vAlign w:val="center"/>
          </w:tcPr>
          <w:p w14:paraId="3BAAC541" w14:textId="07064AC5" w:rsidR="00E86E54" w:rsidRDefault="006877E3" w:rsidP="006877E3">
            <w:pPr>
              <w:pStyle w:val="TableBody"/>
              <w:jc w:val="center"/>
            </w:pPr>
            <w:r>
              <w:t>58%</w:t>
            </w:r>
            <w:r w:rsidR="00A978BA" w:rsidRPr="006877E3">
              <w:rPr>
                <w:vertAlign w:val="superscript"/>
              </w:rPr>
              <w:t>1</w:t>
            </w:r>
          </w:p>
        </w:tc>
        <w:tc>
          <w:tcPr>
            <w:tcW w:w="1308" w:type="dxa"/>
            <w:vAlign w:val="center"/>
          </w:tcPr>
          <w:p w14:paraId="215E13A0" w14:textId="45CEC5DA" w:rsidR="00E86E54" w:rsidRDefault="001C26E6" w:rsidP="006877E3">
            <w:pPr>
              <w:pStyle w:val="TableBody"/>
              <w:jc w:val="center"/>
            </w:pPr>
            <w:r>
              <w:sym w:font="Wingdings" w:char="F0FB"/>
            </w:r>
          </w:p>
        </w:tc>
      </w:tr>
      <w:tr w:rsidR="00632372" w14:paraId="182BEF7F"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3869E8E6" w14:textId="7452C3F0" w:rsidR="00632372" w:rsidRPr="00973F22" w:rsidRDefault="00632372" w:rsidP="00C320BA">
            <w:pPr>
              <w:pStyle w:val="TableBody"/>
            </w:pPr>
            <w:r>
              <w:t>Percentage of agencies that participate in the People Matter Survey</w:t>
            </w:r>
          </w:p>
        </w:tc>
        <w:tc>
          <w:tcPr>
            <w:tcW w:w="1307" w:type="dxa"/>
            <w:vAlign w:val="center"/>
          </w:tcPr>
          <w:p w14:paraId="52188C6E" w14:textId="427E2864" w:rsidR="00632372" w:rsidRPr="00973F22" w:rsidRDefault="004E6AD6" w:rsidP="004E6AD6">
            <w:pPr>
              <w:pStyle w:val="TableBody"/>
              <w:jc w:val="center"/>
            </w:pPr>
            <w:r>
              <w:t>&gt;</w:t>
            </w:r>
            <w:r w:rsidR="00810065">
              <w:t xml:space="preserve"> </w:t>
            </w:r>
            <w:r>
              <w:t>80%</w:t>
            </w:r>
          </w:p>
        </w:tc>
        <w:tc>
          <w:tcPr>
            <w:tcW w:w="1308" w:type="dxa"/>
            <w:vAlign w:val="center"/>
          </w:tcPr>
          <w:p w14:paraId="12D03FBD" w14:textId="3A2F3794" w:rsidR="00632372" w:rsidRDefault="006877E3" w:rsidP="006877E3">
            <w:pPr>
              <w:pStyle w:val="TableBody"/>
              <w:jc w:val="center"/>
            </w:pPr>
            <w:r>
              <w:t>92%</w:t>
            </w:r>
          </w:p>
        </w:tc>
        <w:tc>
          <w:tcPr>
            <w:tcW w:w="1308" w:type="dxa"/>
            <w:vAlign w:val="center"/>
          </w:tcPr>
          <w:p w14:paraId="5A29FF17" w14:textId="4A9BB04E" w:rsidR="00632372" w:rsidRPr="00973F22" w:rsidRDefault="006877E3" w:rsidP="006877E3">
            <w:pPr>
              <w:pStyle w:val="TableBody"/>
              <w:jc w:val="center"/>
            </w:pPr>
            <w:r w:rsidRPr="004E6AD6">
              <w:sym w:font="Wingdings" w:char="F0FC"/>
            </w:r>
          </w:p>
        </w:tc>
      </w:tr>
      <w:tr w:rsidR="00632372" w14:paraId="694629EB"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688FA251" w14:textId="2633BC2F" w:rsidR="00632372" w:rsidRPr="00973F22" w:rsidRDefault="00632372" w:rsidP="00C320BA">
            <w:pPr>
              <w:pStyle w:val="TableHeader"/>
            </w:pPr>
            <w:r w:rsidRPr="00632372">
              <w:t>Efficiency</w:t>
            </w:r>
          </w:p>
        </w:tc>
        <w:tc>
          <w:tcPr>
            <w:tcW w:w="1307" w:type="dxa"/>
            <w:vAlign w:val="center"/>
          </w:tcPr>
          <w:p w14:paraId="6952ECB1" w14:textId="77777777" w:rsidR="00632372" w:rsidRPr="00973F22" w:rsidRDefault="00632372" w:rsidP="004E6AD6">
            <w:pPr>
              <w:pStyle w:val="TableBody"/>
              <w:jc w:val="center"/>
            </w:pPr>
          </w:p>
        </w:tc>
        <w:tc>
          <w:tcPr>
            <w:tcW w:w="1308" w:type="dxa"/>
            <w:vAlign w:val="center"/>
          </w:tcPr>
          <w:p w14:paraId="2D4F3864" w14:textId="545F91EE" w:rsidR="00632372" w:rsidRDefault="00632372" w:rsidP="00C320BA">
            <w:pPr>
              <w:pStyle w:val="TableBody"/>
              <w:jc w:val="center"/>
            </w:pPr>
          </w:p>
        </w:tc>
        <w:tc>
          <w:tcPr>
            <w:tcW w:w="1308" w:type="dxa"/>
            <w:vAlign w:val="center"/>
          </w:tcPr>
          <w:p w14:paraId="533311FE" w14:textId="45D34A2F" w:rsidR="00632372" w:rsidRPr="00973F22" w:rsidRDefault="00632372" w:rsidP="00C320BA">
            <w:pPr>
              <w:pStyle w:val="TableBody"/>
              <w:jc w:val="center"/>
            </w:pPr>
          </w:p>
        </w:tc>
      </w:tr>
      <w:tr w:rsidR="00632372" w14:paraId="6A69AE9A"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0E78A929" w14:textId="2EC021B3" w:rsidR="00632372" w:rsidRDefault="0068532F" w:rsidP="00C320BA">
            <w:pPr>
              <w:pStyle w:val="TableBody"/>
            </w:pPr>
            <w:bookmarkStart w:id="12" w:name="_Hlk84844634"/>
            <w:r>
              <w:t>Proportion of data collection activities completed within target timeframes</w:t>
            </w:r>
            <w:bookmarkEnd w:id="12"/>
          </w:p>
        </w:tc>
        <w:tc>
          <w:tcPr>
            <w:tcW w:w="1307" w:type="dxa"/>
            <w:vAlign w:val="center"/>
          </w:tcPr>
          <w:p w14:paraId="45FE4C35" w14:textId="0E5487ED" w:rsidR="00632372" w:rsidRPr="00973F22" w:rsidRDefault="0068532F" w:rsidP="004E6AD6">
            <w:pPr>
              <w:pStyle w:val="TableBody"/>
              <w:jc w:val="center"/>
            </w:pPr>
            <w:r>
              <w:t>100</w:t>
            </w:r>
            <w:r w:rsidR="004E6AD6">
              <w:t>%</w:t>
            </w:r>
          </w:p>
        </w:tc>
        <w:tc>
          <w:tcPr>
            <w:tcW w:w="1308" w:type="dxa"/>
            <w:vAlign w:val="center"/>
          </w:tcPr>
          <w:p w14:paraId="47BE5D94" w14:textId="5BEF5694" w:rsidR="00632372" w:rsidRDefault="006877E3" w:rsidP="006877E3">
            <w:pPr>
              <w:pStyle w:val="TableBody"/>
              <w:jc w:val="center"/>
            </w:pPr>
            <w:r>
              <w:t>9</w:t>
            </w:r>
            <w:r w:rsidR="0068532F">
              <w:t>4</w:t>
            </w:r>
            <w:r>
              <w:t>%</w:t>
            </w:r>
            <w:r w:rsidR="00B33904" w:rsidRPr="006877E3">
              <w:rPr>
                <w:vertAlign w:val="superscript"/>
              </w:rPr>
              <w:t>2</w:t>
            </w:r>
          </w:p>
        </w:tc>
        <w:tc>
          <w:tcPr>
            <w:tcW w:w="1308" w:type="dxa"/>
            <w:vAlign w:val="center"/>
          </w:tcPr>
          <w:p w14:paraId="6D18C5D0" w14:textId="07D9508C" w:rsidR="00632372" w:rsidRPr="00973F22" w:rsidRDefault="0068532F" w:rsidP="006877E3">
            <w:pPr>
              <w:pStyle w:val="TableBody"/>
              <w:jc w:val="center"/>
            </w:pPr>
            <w:r>
              <w:sym w:font="Wingdings" w:char="F0FB"/>
            </w:r>
          </w:p>
        </w:tc>
      </w:tr>
      <w:tr w:rsidR="00C071EA" w14:paraId="317FA21A" w14:textId="77777777" w:rsidTr="00C320BA">
        <w:trPr>
          <w:cnfStyle w:val="000000010000" w:firstRow="0" w:lastRow="0" w:firstColumn="0" w:lastColumn="0" w:oddVBand="0" w:evenVBand="0" w:oddHBand="0" w:evenHBand="1" w:firstRowFirstColumn="0" w:firstRowLastColumn="0" w:lastRowFirstColumn="0" w:lastRowLastColumn="0"/>
        </w:trPr>
        <w:tc>
          <w:tcPr>
            <w:tcW w:w="9070" w:type="dxa"/>
            <w:gridSpan w:val="4"/>
            <w:vAlign w:val="center"/>
          </w:tcPr>
          <w:p w14:paraId="4985A9D8" w14:textId="77777777" w:rsidR="00C071EA" w:rsidRPr="00C320BA" w:rsidRDefault="00C071EA" w:rsidP="00C320BA">
            <w:pPr>
              <w:pStyle w:val="TablechartfigureHeading"/>
              <w:rPr>
                <w:rStyle w:val="Strong"/>
              </w:rPr>
            </w:pPr>
            <w:r w:rsidRPr="00C320BA">
              <w:rPr>
                <w:rStyle w:val="Strong"/>
              </w:rPr>
              <w:t>Service stream 2</w:t>
            </w:r>
          </w:p>
          <w:p w14:paraId="60E0F764" w14:textId="75A156A3" w:rsidR="00C071EA" w:rsidRPr="00973F22" w:rsidRDefault="00C071EA" w:rsidP="00C320BA">
            <w:pPr>
              <w:pStyle w:val="TableBody"/>
            </w:pPr>
            <w:r w:rsidRPr="00C320BA">
              <w:t>W</w:t>
            </w:r>
            <w:r w:rsidRPr="00C320BA">
              <w:rPr>
                <w:rStyle w:val="BodyChar"/>
              </w:rPr>
              <w:t>orkforce programs and employment pathways</w:t>
            </w:r>
          </w:p>
        </w:tc>
      </w:tr>
      <w:tr w:rsidR="00C071EA" w14:paraId="561585B5"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083299E1" w14:textId="72F388A2" w:rsidR="00C071EA" w:rsidRPr="00E86E54" w:rsidRDefault="00C071EA" w:rsidP="00C320BA">
            <w:pPr>
              <w:pStyle w:val="TableHeader"/>
            </w:pPr>
            <w:r>
              <w:t>Effectiveness</w:t>
            </w:r>
          </w:p>
        </w:tc>
        <w:tc>
          <w:tcPr>
            <w:tcW w:w="1307" w:type="dxa"/>
            <w:vAlign w:val="center"/>
          </w:tcPr>
          <w:p w14:paraId="18460683" w14:textId="49AB0AC3" w:rsidR="00C071EA" w:rsidRPr="00973F22" w:rsidRDefault="00C071EA" w:rsidP="00C320BA">
            <w:pPr>
              <w:pStyle w:val="TableBody"/>
              <w:jc w:val="center"/>
            </w:pPr>
          </w:p>
        </w:tc>
        <w:tc>
          <w:tcPr>
            <w:tcW w:w="1308" w:type="dxa"/>
            <w:vAlign w:val="center"/>
          </w:tcPr>
          <w:p w14:paraId="517484CA" w14:textId="55E63221" w:rsidR="00C071EA" w:rsidRDefault="00C071EA" w:rsidP="00C320BA">
            <w:pPr>
              <w:pStyle w:val="TableBody"/>
              <w:jc w:val="center"/>
            </w:pPr>
          </w:p>
        </w:tc>
        <w:tc>
          <w:tcPr>
            <w:tcW w:w="1308" w:type="dxa"/>
            <w:vAlign w:val="center"/>
          </w:tcPr>
          <w:p w14:paraId="7E1711DF" w14:textId="7B1DF2FA" w:rsidR="00C071EA" w:rsidRPr="00973F22" w:rsidRDefault="00C071EA" w:rsidP="00C320BA">
            <w:pPr>
              <w:pStyle w:val="TableBody"/>
              <w:jc w:val="center"/>
            </w:pPr>
          </w:p>
        </w:tc>
      </w:tr>
      <w:tr w:rsidR="00C071EA" w14:paraId="5427C033"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7CD9B607" w14:textId="36F3CA1A" w:rsidR="00C071EA" w:rsidRPr="00E86E54" w:rsidRDefault="00C071EA" w:rsidP="00C320BA">
            <w:pPr>
              <w:pStyle w:val="TableBody"/>
              <w:rPr>
                <w:b/>
                <w:bCs/>
              </w:rPr>
            </w:pPr>
            <w:r>
              <w:t>CareersVic customer satisfaction score</w:t>
            </w:r>
          </w:p>
        </w:tc>
        <w:tc>
          <w:tcPr>
            <w:tcW w:w="1307" w:type="dxa"/>
            <w:vAlign w:val="center"/>
          </w:tcPr>
          <w:p w14:paraId="47292F8A" w14:textId="6E3983EA" w:rsidR="00C071EA" w:rsidRPr="00973F22" w:rsidRDefault="004E6AD6" w:rsidP="004E6AD6">
            <w:pPr>
              <w:pStyle w:val="TableBody"/>
              <w:jc w:val="center"/>
            </w:pPr>
            <w:r>
              <w:t>50%</w:t>
            </w:r>
          </w:p>
        </w:tc>
        <w:tc>
          <w:tcPr>
            <w:tcW w:w="1308" w:type="dxa"/>
            <w:vAlign w:val="center"/>
          </w:tcPr>
          <w:p w14:paraId="1211AADC" w14:textId="5D96719B" w:rsidR="00C071EA" w:rsidRDefault="004E6AD6" w:rsidP="004E6AD6">
            <w:pPr>
              <w:pStyle w:val="TableBody"/>
              <w:jc w:val="center"/>
            </w:pPr>
            <w:r>
              <w:t>42%</w:t>
            </w:r>
            <w:r w:rsidR="00B33904">
              <w:rPr>
                <w:vertAlign w:val="superscript"/>
              </w:rPr>
              <w:t>3</w:t>
            </w:r>
          </w:p>
        </w:tc>
        <w:tc>
          <w:tcPr>
            <w:tcW w:w="1308" w:type="dxa"/>
            <w:vAlign w:val="center"/>
          </w:tcPr>
          <w:p w14:paraId="4AD478B6" w14:textId="095F4A61" w:rsidR="00C071EA" w:rsidRPr="00973F22" w:rsidRDefault="001C26E6" w:rsidP="004E6AD6">
            <w:pPr>
              <w:pStyle w:val="TableBody"/>
              <w:jc w:val="center"/>
            </w:pPr>
            <w:r>
              <w:sym w:font="Wingdings" w:char="F0FB"/>
            </w:r>
          </w:p>
        </w:tc>
      </w:tr>
      <w:tr w:rsidR="00C071EA" w14:paraId="2F757BAD"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4AAFEE87" w14:textId="732945C4" w:rsidR="00C071EA" w:rsidRPr="00E86E54" w:rsidRDefault="00C071EA" w:rsidP="00C320BA">
            <w:pPr>
              <w:pStyle w:val="TableBody"/>
              <w:rPr>
                <w:b/>
                <w:bCs/>
              </w:rPr>
            </w:pPr>
            <w:r>
              <w:t>CareersVic conversion rate</w:t>
            </w:r>
          </w:p>
        </w:tc>
        <w:tc>
          <w:tcPr>
            <w:tcW w:w="1307" w:type="dxa"/>
            <w:vAlign w:val="center"/>
          </w:tcPr>
          <w:p w14:paraId="5A5EA029" w14:textId="1426CAE3" w:rsidR="00C071EA" w:rsidRPr="00973F22" w:rsidRDefault="004E6AD6" w:rsidP="004E6AD6">
            <w:pPr>
              <w:pStyle w:val="TableBody"/>
              <w:jc w:val="center"/>
            </w:pPr>
            <w:r>
              <w:t>6%</w:t>
            </w:r>
          </w:p>
        </w:tc>
        <w:tc>
          <w:tcPr>
            <w:tcW w:w="1308" w:type="dxa"/>
            <w:vAlign w:val="center"/>
          </w:tcPr>
          <w:p w14:paraId="7B332D0B" w14:textId="63A57BEC" w:rsidR="00C071EA" w:rsidRDefault="004E6AD6" w:rsidP="004E6AD6">
            <w:pPr>
              <w:pStyle w:val="TableBody"/>
              <w:jc w:val="center"/>
            </w:pPr>
            <w:r>
              <w:t>6.26%</w:t>
            </w:r>
          </w:p>
        </w:tc>
        <w:tc>
          <w:tcPr>
            <w:tcW w:w="1308" w:type="dxa"/>
            <w:vAlign w:val="center"/>
          </w:tcPr>
          <w:p w14:paraId="7553EB44" w14:textId="67C59019" w:rsidR="00C071EA" w:rsidRPr="00973F22" w:rsidRDefault="004E6AD6" w:rsidP="004E6AD6">
            <w:pPr>
              <w:pStyle w:val="TableBody"/>
              <w:jc w:val="center"/>
            </w:pPr>
            <w:r w:rsidRPr="004E6AD6">
              <w:sym w:font="Wingdings" w:char="F0FC"/>
            </w:r>
          </w:p>
        </w:tc>
      </w:tr>
      <w:tr w:rsidR="00C071EA" w14:paraId="7BE0D95F"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0559B54A" w14:textId="11665270" w:rsidR="00C071EA" w:rsidRPr="00E86E54" w:rsidRDefault="00C071EA" w:rsidP="00C320BA">
            <w:pPr>
              <w:pStyle w:val="TableBody"/>
              <w:rPr>
                <w:b/>
                <w:bCs/>
              </w:rPr>
            </w:pPr>
            <w:r>
              <w:t>Proportion of graduates participating in Aboriginal and disability pathways</w:t>
            </w:r>
          </w:p>
        </w:tc>
        <w:tc>
          <w:tcPr>
            <w:tcW w:w="1307" w:type="dxa"/>
            <w:vAlign w:val="center"/>
          </w:tcPr>
          <w:p w14:paraId="5D8C98FE" w14:textId="7F411E68" w:rsidR="00C071EA" w:rsidRPr="00973F22" w:rsidRDefault="004E6AD6" w:rsidP="004E6AD6">
            <w:pPr>
              <w:pStyle w:val="TableBody"/>
              <w:jc w:val="center"/>
            </w:pPr>
            <w:r>
              <w:t>10%</w:t>
            </w:r>
          </w:p>
        </w:tc>
        <w:tc>
          <w:tcPr>
            <w:tcW w:w="1308" w:type="dxa"/>
            <w:vAlign w:val="center"/>
          </w:tcPr>
          <w:p w14:paraId="75D6428E" w14:textId="5E8AF833" w:rsidR="00C071EA" w:rsidRDefault="004E6AD6" w:rsidP="004E6AD6">
            <w:pPr>
              <w:pStyle w:val="TableBody"/>
              <w:jc w:val="center"/>
            </w:pPr>
            <w:r>
              <w:t>17.9%</w:t>
            </w:r>
          </w:p>
        </w:tc>
        <w:tc>
          <w:tcPr>
            <w:tcW w:w="1308" w:type="dxa"/>
            <w:vAlign w:val="center"/>
          </w:tcPr>
          <w:p w14:paraId="37C42C36" w14:textId="3607E706" w:rsidR="00C071EA" w:rsidRPr="00973F22" w:rsidRDefault="004E6AD6" w:rsidP="004E6AD6">
            <w:pPr>
              <w:pStyle w:val="TableBody"/>
              <w:jc w:val="center"/>
            </w:pPr>
            <w:r w:rsidRPr="004E6AD6">
              <w:sym w:font="Wingdings" w:char="F0FC"/>
            </w:r>
          </w:p>
        </w:tc>
      </w:tr>
      <w:tr w:rsidR="00C071EA" w14:paraId="17D0C966"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7F50B5B0" w14:textId="125ED907" w:rsidR="00C071EA" w:rsidRPr="00E86E54" w:rsidRDefault="00C071EA" w:rsidP="00C320BA">
            <w:pPr>
              <w:pStyle w:val="TableBody"/>
              <w:rPr>
                <w:b/>
                <w:bCs/>
              </w:rPr>
            </w:pPr>
            <w:r>
              <w:lastRenderedPageBreak/>
              <w:t>Overall satisfaction with engagement, consultation and responsiveness</w:t>
            </w:r>
            <w:r w:rsidR="00DB6036">
              <w:t xml:space="preserve"> from the VPSC grads team</w:t>
            </w:r>
          </w:p>
        </w:tc>
        <w:tc>
          <w:tcPr>
            <w:tcW w:w="1307" w:type="dxa"/>
            <w:vAlign w:val="center"/>
          </w:tcPr>
          <w:p w14:paraId="56571E37" w14:textId="4BFEF383" w:rsidR="00C071EA" w:rsidRPr="00973F22" w:rsidRDefault="004E6AD6" w:rsidP="004E6AD6">
            <w:pPr>
              <w:pStyle w:val="TableBody"/>
              <w:jc w:val="center"/>
            </w:pPr>
            <w:r>
              <w:t>85%</w:t>
            </w:r>
          </w:p>
        </w:tc>
        <w:tc>
          <w:tcPr>
            <w:tcW w:w="1308" w:type="dxa"/>
            <w:vAlign w:val="center"/>
          </w:tcPr>
          <w:p w14:paraId="672F18CB" w14:textId="19E371EB" w:rsidR="00C071EA" w:rsidRDefault="004E6AD6" w:rsidP="004E6AD6">
            <w:pPr>
              <w:pStyle w:val="TableBody"/>
              <w:jc w:val="center"/>
            </w:pPr>
            <w:r>
              <w:t>87%</w:t>
            </w:r>
          </w:p>
        </w:tc>
        <w:tc>
          <w:tcPr>
            <w:tcW w:w="1308" w:type="dxa"/>
            <w:vAlign w:val="center"/>
          </w:tcPr>
          <w:p w14:paraId="14D70468" w14:textId="6836A27A" w:rsidR="00C071EA" w:rsidRPr="00973F22" w:rsidRDefault="004E6AD6" w:rsidP="004E6AD6">
            <w:pPr>
              <w:pStyle w:val="TableBody"/>
              <w:jc w:val="center"/>
            </w:pPr>
            <w:r w:rsidRPr="004E6AD6">
              <w:sym w:font="Wingdings" w:char="F0FC"/>
            </w:r>
          </w:p>
        </w:tc>
      </w:tr>
      <w:tr w:rsidR="004E6AD6" w14:paraId="257B6EDE"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0B1D94CB" w14:textId="043C59EF" w:rsidR="004E6AD6" w:rsidRDefault="004E6AD6" w:rsidP="00C320BA">
            <w:pPr>
              <w:pStyle w:val="TableBody"/>
            </w:pPr>
            <w:r>
              <w:t>Percentage of Victorian Public Service workforce registered with the JSE</w:t>
            </w:r>
          </w:p>
        </w:tc>
        <w:tc>
          <w:tcPr>
            <w:tcW w:w="1307" w:type="dxa"/>
            <w:vAlign w:val="center"/>
          </w:tcPr>
          <w:p w14:paraId="08E1E759" w14:textId="5EF80DDE" w:rsidR="004E6AD6" w:rsidRDefault="004E6AD6" w:rsidP="004E6AD6">
            <w:pPr>
              <w:pStyle w:val="TableBody"/>
              <w:jc w:val="center"/>
            </w:pPr>
            <w:r>
              <w:t>70%</w:t>
            </w:r>
          </w:p>
        </w:tc>
        <w:tc>
          <w:tcPr>
            <w:tcW w:w="1308" w:type="dxa"/>
            <w:vAlign w:val="center"/>
          </w:tcPr>
          <w:p w14:paraId="5D74EC44" w14:textId="02B776DD" w:rsidR="004E6AD6" w:rsidRDefault="004E6AD6" w:rsidP="004E6AD6">
            <w:pPr>
              <w:pStyle w:val="TableBody"/>
              <w:jc w:val="center"/>
            </w:pPr>
            <w:r>
              <w:t>80%</w:t>
            </w:r>
          </w:p>
        </w:tc>
        <w:tc>
          <w:tcPr>
            <w:tcW w:w="1308" w:type="dxa"/>
            <w:vAlign w:val="center"/>
          </w:tcPr>
          <w:p w14:paraId="6998C99D" w14:textId="1303FF3C" w:rsidR="004E6AD6" w:rsidRPr="00973F22" w:rsidRDefault="004E6AD6" w:rsidP="004E6AD6">
            <w:pPr>
              <w:pStyle w:val="TableBody"/>
              <w:jc w:val="center"/>
            </w:pPr>
            <w:r w:rsidRPr="004E6AD6">
              <w:sym w:font="Wingdings" w:char="F0FC"/>
            </w:r>
          </w:p>
        </w:tc>
      </w:tr>
      <w:tr w:rsidR="004E6AD6" w14:paraId="3E24C378"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3D99223A" w14:textId="40136D3B" w:rsidR="004E6AD6" w:rsidRDefault="004E6AD6" w:rsidP="00C320BA">
            <w:pPr>
              <w:pStyle w:val="TableBody"/>
            </w:pPr>
            <w:r>
              <w:t xml:space="preserve">Percentage of Victorian Public Service jobs advertised </w:t>
            </w:r>
            <w:r w:rsidR="00DB6036">
              <w:t>through</w:t>
            </w:r>
            <w:r>
              <w:t xml:space="preserve"> the </w:t>
            </w:r>
            <w:r w:rsidR="00DB6036">
              <w:t>Jobs and Skills Exchange</w:t>
            </w:r>
          </w:p>
        </w:tc>
        <w:tc>
          <w:tcPr>
            <w:tcW w:w="1307" w:type="dxa"/>
            <w:vAlign w:val="center"/>
          </w:tcPr>
          <w:p w14:paraId="36C2ED87" w14:textId="4452531D" w:rsidR="004E6AD6" w:rsidRDefault="0068532F" w:rsidP="004E6AD6">
            <w:pPr>
              <w:pStyle w:val="TableBody"/>
              <w:jc w:val="center"/>
            </w:pPr>
            <w:r>
              <w:t>90</w:t>
            </w:r>
            <w:r w:rsidR="004E6AD6">
              <w:t>%</w:t>
            </w:r>
          </w:p>
        </w:tc>
        <w:tc>
          <w:tcPr>
            <w:tcW w:w="1308" w:type="dxa"/>
            <w:vAlign w:val="center"/>
          </w:tcPr>
          <w:p w14:paraId="6F1F2171" w14:textId="254B61D8" w:rsidR="004E6AD6" w:rsidRDefault="0068532F" w:rsidP="004E6AD6">
            <w:pPr>
              <w:pStyle w:val="TableBody"/>
              <w:jc w:val="center"/>
            </w:pPr>
            <w:r>
              <w:t>88.2</w:t>
            </w:r>
            <w:r w:rsidR="004E6AD6">
              <w:t>%</w:t>
            </w:r>
          </w:p>
        </w:tc>
        <w:tc>
          <w:tcPr>
            <w:tcW w:w="1308" w:type="dxa"/>
            <w:vAlign w:val="center"/>
          </w:tcPr>
          <w:p w14:paraId="1852DE3F" w14:textId="57F55AEF" w:rsidR="004E6AD6" w:rsidRPr="00973F22" w:rsidRDefault="0068532F" w:rsidP="004E6AD6">
            <w:pPr>
              <w:pStyle w:val="TableBody"/>
              <w:jc w:val="center"/>
            </w:pPr>
            <w:r>
              <w:sym w:font="Wingdings" w:char="F0FB"/>
            </w:r>
          </w:p>
        </w:tc>
      </w:tr>
      <w:tr w:rsidR="0068532F" w14:paraId="1179230D"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7B3F4A90" w14:textId="078069B9" w:rsidR="0068532F" w:rsidRDefault="0068532F" w:rsidP="00C320BA">
            <w:pPr>
              <w:pStyle w:val="TableBody"/>
            </w:pPr>
            <w:r>
              <w:t>Number of engagement and promotion activities undertaken by the J</w:t>
            </w:r>
            <w:r w:rsidR="00DB6036">
              <w:t>obs and Skills Exchange</w:t>
            </w:r>
          </w:p>
        </w:tc>
        <w:tc>
          <w:tcPr>
            <w:tcW w:w="1307" w:type="dxa"/>
            <w:vAlign w:val="center"/>
          </w:tcPr>
          <w:p w14:paraId="461C7B4F" w14:textId="0D7B80C9" w:rsidR="0068532F" w:rsidRDefault="0068532F" w:rsidP="004E6AD6">
            <w:pPr>
              <w:pStyle w:val="TableBody"/>
              <w:jc w:val="center"/>
            </w:pPr>
            <w:r>
              <w:t>20</w:t>
            </w:r>
          </w:p>
        </w:tc>
        <w:tc>
          <w:tcPr>
            <w:tcW w:w="1308" w:type="dxa"/>
            <w:vAlign w:val="center"/>
          </w:tcPr>
          <w:p w14:paraId="4DB36F6C" w14:textId="310FD9AE" w:rsidR="0068532F" w:rsidRDefault="0068532F" w:rsidP="004E6AD6">
            <w:pPr>
              <w:pStyle w:val="TableBody"/>
              <w:jc w:val="center"/>
            </w:pPr>
            <w:r>
              <w:t>12</w:t>
            </w:r>
            <w:r w:rsidR="00B33904">
              <w:rPr>
                <w:vertAlign w:val="superscript"/>
              </w:rPr>
              <w:t>4</w:t>
            </w:r>
          </w:p>
        </w:tc>
        <w:tc>
          <w:tcPr>
            <w:tcW w:w="1308" w:type="dxa"/>
            <w:vAlign w:val="center"/>
          </w:tcPr>
          <w:p w14:paraId="77C66762" w14:textId="2F8BF76D" w:rsidR="0068532F" w:rsidRDefault="0068532F" w:rsidP="004E6AD6">
            <w:pPr>
              <w:pStyle w:val="TableBody"/>
              <w:jc w:val="center"/>
            </w:pPr>
            <w:r>
              <w:sym w:font="Wingdings" w:char="F0FB"/>
            </w:r>
          </w:p>
        </w:tc>
      </w:tr>
      <w:tr w:rsidR="0068532F" w14:paraId="0CF05050"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6498F9E4" w14:textId="28E33D4E" w:rsidR="0068532F" w:rsidRDefault="0068532F" w:rsidP="00C320BA">
            <w:pPr>
              <w:pStyle w:val="TableBody"/>
            </w:pPr>
            <w:r>
              <w:t>Satisfaction with response to user queries on the J</w:t>
            </w:r>
            <w:r w:rsidR="00DB6036">
              <w:t>obs and Skills Exchange</w:t>
            </w:r>
            <w:r>
              <w:t xml:space="preserve"> platform</w:t>
            </w:r>
          </w:p>
        </w:tc>
        <w:tc>
          <w:tcPr>
            <w:tcW w:w="1307" w:type="dxa"/>
            <w:vAlign w:val="center"/>
          </w:tcPr>
          <w:p w14:paraId="5BB77E3D" w14:textId="105EFF08" w:rsidR="0068532F" w:rsidRDefault="0068532F" w:rsidP="004E6AD6">
            <w:pPr>
              <w:pStyle w:val="TableBody"/>
              <w:jc w:val="center"/>
            </w:pPr>
            <w:r>
              <w:t>80</w:t>
            </w:r>
          </w:p>
        </w:tc>
        <w:tc>
          <w:tcPr>
            <w:tcW w:w="1308" w:type="dxa"/>
            <w:vAlign w:val="center"/>
          </w:tcPr>
          <w:p w14:paraId="2972BEE8" w14:textId="3FB788A8" w:rsidR="0068532F" w:rsidRDefault="0068532F" w:rsidP="004E6AD6">
            <w:pPr>
              <w:pStyle w:val="TableBody"/>
              <w:jc w:val="center"/>
            </w:pPr>
            <w:r>
              <w:t>91</w:t>
            </w:r>
          </w:p>
        </w:tc>
        <w:tc>
          <w:tcPr>
            <w:tcW w:w="1308" w:type="dxa"/>
            <w:vAlign w:val="center"/>
          </w:tcPr>
          <w:p w14:paraId="32128E78" w14:textId="26B58D48" w:rsidR="0068532F" w:rsidRDefault="0068532F" w:rsidP="004E6AD6">
            <w:pPr>
              <w:pStyle w:val="TableBody"/>
              <w:jc w:val="center"/>
            </w:pPr>
            <w:r w:rsidRPr="004E6AD6">
              <w:sym w:font="Wingdings" w:char="F0FC"/>
            </w:r>
          </w:p>
        </w:tc>
      </w:tr>
      <w:tr w:rsidR="004E6AD6" w14:paraId="2E9680C1"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0D7D8DB7" w14:textId="7AAE56E4" w:rsidR="004E6AD6" w:rsidRDefault="004E6AD6" w:rsidP="00C320BA">
            <w:pPr>
              <w:pStyle w:val="TableBody"/>
            </w:pPr>
            <w:r>
              <w:t>Percentage of J</w:t>
            </w:r>
            <w:r w:rsidR="00DB6036">
              <w:t>obs and Skills Exchange</w:t>
            </w:r>
            <w:r>
              <w:t xml:space="preserve"> members with member profiles</w:t>
            </w:r>
          </w:p>
        </w:tc>
        <w:tc>
          <w:tcPr>
            <w:tcW w:w="1307" w:type="dxa"/>
            <w:vAlign w:val="center"/>
          </w:tcPr>
          <w:p w14:paraId="24B24D45" w14:textId="2DA73946" w:rsidR="004E6AD6" w:rsidRDefault="004E6AD6" w:rsidP="004E6AD6">
            <w:pPr>
              <w:pStyle w:val="TableBody"/>
              <w:jc w:val="center"/>
            </w:pPr>
            <w:r>
              <w:t>20%</w:t>
            </w:r>
          </w:p>
        </w:tc>
        <w:tc>
          <w:tcPr>
            <w:tcW w:w="1308" w:type="dxa"/>
            <w:vAlign w:val="center"/>
          </w:tcPr>
          <w:p w14:paraId="674B14D9" w14:textId="7F16FBF9" w:rsidR="004E6AD6" w:rsidRDefault="004E6AD6" w:rsidP="004E6AD6">
            <w:pPr>
              <w:pStyle w:val="TableBody"/>
              <w:jc w:val="center"/>
            </w:pPr>
            <w:r>
              <w:t>22%</w:t>
            </w:r>
          </w:p>
        </w:tc>
        <w:tc>
          <w:tcPr>
            <w:tcW w:w="1308" w:type="dxa"/>
            <w:vAlign w:val="center"/>
          </w:tcPr>
          <w:p w14:paraId="466BBF4B" w14:textId="4DFDC395" w:rsidR="004E6AD6" w:rsidRPr="00973F22" w:rsidRDefault="004E6AD6" w:rsidP="004E6AD6">
            <w:pPr>
              <w:pStyle w:val="TableBody"/>
              <w:jc w:val="center"/>
            </w:pPr>
            <w:r w:rsidRPr="004E6AD6">
              <w:sym w:font="Wingdings" w:char="F0FC"/>
            </w:r>
          </w:p>
        </w:tc>
      </w:tr>
      <w:tr w:rsidR="00C071EA" w14:paraId="46A3D8CE"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6A2FB9B0" w14:textId="37D50223" w:rsidR="00C071EA" w:rsidRPr="00E86E54" w:rsidRDefault="00C071EA" w:rsidP="00C320BA">
            <w:pPr>
              <w:pStyle w:val="TableHeader"/>
              <w:rPr>
                <w:b/>
                <w:bCs/>
              </w:rPr>
            </w:pPr>
            <w:r>
              <w:t>Efficiency</w:t>
            </w:r>
          </w:p>
        </w:tc>
        <w:tc>
          <w:tcPr>
            <w:tcW w:w="1307" w:type="dxa"/>
            <w:vAlign w:val="center"/>
          </w:tcPr>
          <w:p w14:paraId="43F3907F" w14:textId="77777777" w:rsidR="00C071EA" w:rsidRPr="00973F22" w:rsidRDefault="00C071EA" w:rsidP="00C320BA">
            <w:pPr>
              <w:pStyle w:val="TableBody"/>
              <w:jc w:val="center"/>
            </w:pPr>
          </w:p>
        </w:tc>
        <w:tc>
          <w:tcPr>
            <w:tcW w:w="1308" w:type="dxa"/>
            <w:vAlign w:val="center"/>
          </w:tcPr>
          <w:p w14:paraId="71FB1FC4" w14:textId="77777777" w:rsidR="00C071EA" w:rsidRDefault="00C071EA" w:rsidP="00C320BA">
            <w:pPr>
              <w:pStyle w:val="TableBody"/>
              <w:jc w:val="center"/>
            </w:pPr>
          </w:p>
        </w:tc>
        <w:tc>
          <w:tcPr>
            <w:tcW w:w="1308" w:type="dxa"/>
            <w:vAlign w:val="center"/>
          </w:tcPr>
          <w:p w14:paraId="49FE94EB" w14:textId="77777777" w:rsidR="00C071EA" w:rsidRPr="00973F22" w:rsidRDefault="00C071EA" w:rsidP="00C320BA">
            <w:pPr>
              <w:pStyle w:val="TableBody"/>
              <w:jc w:val="center"/>
            </w:pPr>
          </w:p>
        </w:tc>
      </w:tr>
      <w:tr w:rsidR="00C071EA" w14:paraId="43BDD6DD"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477C8B81" w14:textId="01BFC66B" w:rsidR="00C071EA" w:rsidRPr="00E86E54" w:rsidRDefault="00C071EA" w:rsidP="00C320BA">
            <w:pPr>
              <w:pStyle w:val="TableBody"/>
              <w:rPr>
                <w:b/>
                <w:bCs/>
              </w:rPr>
            </w:pPr>
            <w:r>
              <w:t>Real cost per graduate recruitment and development over 12 months</w:t>
            </w:r>
          </w:p>
        </w:tc>
        <w:tc>
          <w:tcPr>
            <w:tcW w:w="1307" w:type="dxa"/>
            <w:vAlign w:val="center"/>
          </w:tcPr>
          <w:p w14:paraId="1000C1F0" w14:textId="6D038A64" w:rsidR="00C071EA" w:rsidRPr="00973F22" w:rsidRDefault="004E6AD6" w:rsidP="00810065">
            <w:pPr>
              <w:pStyle w:val="TableBody"/>
              <w:jc w:val="center"/>
            </w:pPr>
            <w:r>
              <w:t>&lt;</w:t>
            </w:r>
            <w:r w:rsidR="00810065">
              <w:t xml:space="preserve"> </w:t>
            </w:r>
            <w:r>
              <w:t>$17,634</w:t>
            </w:r>
          </w:p>
        </w:tc>
        <w:tc>
          <w:tcPr>
            <w:tcW w:w="1308" w:type="dxa"/>
            <w:vAlign w:val="center"/>
          </w:tcPr>
          <w:p w14:paraId="081CC126" w14:textId="2EBA8122" w:rsidR="00C071EA" w:rsidRDefault="00951167" w:rsidP="00760E33">
            <w:pPr>
              <w:pStyle w:val="TableBody"/>
              <w:jc w:val="center"/>
            </w:pPr>
            <w:r>
              <w:t>$17,433</w:t>
            </w:r>
          </w:p>
        </w:tc>
        <w:tc>
          <w:tcPr>
            <w:tcW w:w="1308" w:type="dxa"/>
            <w:vAlign w:val="center"/>
          </w:tcPr>
          <w:p w14:paraId="522A81AE" w14:textId="267EB603" w:rsidR="00C071EA" w:rsidRPr="00973F22" w:rsidRDefault="00951167" w:rsidP="004E6AD6">
            <w:pPr>
              <w:pStyle w:val="TableBody"/>
              <w:jc w:val="center"/>
            </w:pPr>
            <w:r w:rsidRPr="004E6AD6">
              <w:sym w:font="Wingdings" w:char="F0FC"/>
            </w:r>
          </w:p>
        </w:tc>
      </w:tr>
      <w:tr w:rsidR="00C071EA" w14:paraId="02E24A53"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7296400A" w14:textId="352BB836" w:rsidR="00C071EA" w:rsidRPr="00E86E54" w:rsidRDefault="00C071EA" w:rsidP="00C320BA">
            <w:pPr>
              <w:pStyle w:val="TableBody"/>
              <w:rPr>
                <w:b/>
                <w:bCs/>
              </w:rPr>
            </w:pPr>
            <w:r>
              <w:t>Springboard cost per transaction</w:t>
            </w:r>
          </w:p>
        </w:tc>
        <w:tc>
          <w:tcPr>
            <w:tcW w:w="1307" w:type="dxa"/>
            <w:vAlign w:val="center"/>
          </w:tcPr>
          <w:p w14:paraId="0923ADEE" w14:textId="3BE116F7" w:rsidR="00C071EA" w:rsidRPr="00973F22" w:rsidRDefault="004E6AD6" w:rsidP="00195B3C">
            <w:pPr>
              <w:pStyle w:val="TableBody"/>
              <w:jc w:val="center"/>
            </w:pPr>
            <w:r>
              <w:t>&lt;</w:t>
            </w:r>
            <w:r w:rsidR="00810065">
              <w:t xml:space="preserve"> </w:t>
            </w:r>
            <w:r w:rsidR="00195B3C">
              <w:t>$30.00</w:t>
            </w:r>
          </w:p>
        </w:tc>
        <w:tc>
          <w:tcPr>
            <w:tcW w:w="1308" w:type="dxa"/>
            <w:vAlign w:val="center"/>
          </w:tcPr>
          <w:p w14:paraId="38D44553" w14:textId="0C425D18" w:rsidR="00C071EA" w:rsidRDefault="00195B3C" w:rsidP="00195B3C">
            <w:pPr>
              <w:pStyle w:val="TableBody"/>
              <w:jc w:val="center"/>
            </w:pPr>
            <w:r>
              <w:t>$21.90</w:t>
            </w:r>
          </w:p>
        </w:tc>
        <w:tc>
          <w:tcPr>
            <w:tcW w:w="1308" w:type="dxa"/>
            <w:vAlign w:val="center"/>
          </w:tcPr>
          <w:p w14:paraId="42744E07" w14:textId="774DAEF3" w:rsidR="00C071EA" w:rsidRPr="00973F22" w:rsidRDefault="00195B3C" w:rsidP="00195B3C">
            <w:pPr>
              <w:pStyle w:val="TableBody"/>
              <w:jc w:val="center"/>
            </w:pPr>
            <w:r w:rsidRPr="004E6AD6">
              <w:sym w:font="Wingdings" w:char="F0FC"/>
            </w:r>
          </w:p>
        </w:tc>
      </w:tr>
      <w:tr w:rsidR="00C071EA" w14:paraId="2B87BCBC" w14:textId="77777777" w:rsidTr="00C320BA">
        <w:trPr>
          <w:cnfStyle w:val="000000010000" w:firstRow="0" w:lastRow="0" w:firstColumn="0" w:lastColumn="0" w:oddVBand="0" w:evenVBand="0" w:oddHBand="0" w:evenHBand="1" w:firstRowFirstColumn="0" w:firstRowLastColumn="0" w:lastRowFirstColumn="0" w:lastRowLastColumn="0"/>
        </w:trPr>
        <w:tc>
          <w:tcPr>
            <w:tcW w:w="9070" w:type="dxa"/>
            <w:gridSpan w:val="4"/>
            <w:vAlign w:val="center"/>
          </w:tcPr>
          <w:p w14:paraId="6AFD8493" w14:textId="77777777" w:rsidR="00C071EA" w:rsidRPr="00C320BA" w:rsidRDefault="00C071EA" w:rsidP="00C320BA">
            <w:pPr>
              <w:pStyle w:val="TablechartfigureHeading"/>
              <w:rPr>
                <w:rStyle w:val="Strong"/>
              </w:rPr>
            </w:pPr>
            <w:r w:rsidRPr="00C320BA">
              <w:rPr>
                <w:rStyle w:val="Strong"/>
              </w:rPr>
              <w:t>Service stream 3</w:t>
            </w:r>
          </w:p>
          <w:p w14:paraId="654BE471" w14:textId="1AD3E102" w:rsidR="00C071EA" w:rsidRPr="00973F22" w:rsidRDefault="00C071EA" w:rsidP="00C320BA">
            <w:pPr>
              <w:pStyle w:val="TableBody"/>
            </w:pPr>
            <w:r>
              <w:rPr>
                <w:rFonts w:asciiTheme="minorHAnsi" w:hAnsiTheme="minorHAnsi"/>
              </w:rPr>
              <w:t>Development of programs tailored to each band of the Senior Executive Service of the Victorian Public Service</w:t>
            </w:r>
          </w:p>
        </w:tc>
      </w:tr>
      <w:tr w:rsidR="00C071EA" w14:paraId="05BC99D7"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79DCB751" w14:textId="2FC0F337" w:rsidR="00C071EA" w:rsidRDefault="00C071EA" w:rsidP="00C320BA">
            <w:pPr>
              <w:pStyle w:val="TableHeader"/>
            </w:pPr>
            <w:r>
              <w:t>Effectiveness</w:t>
            </w:r>
          </w:p>
        </w:tc>
        <w:tc>
          <w:tcPr>
            <w:tcW w:w="1307" w:type="dxa"/>
            <w:vAlign w:val="center"/>
          </w:tcPr>
          <w:p w14:paraId="23719C28" w14:textId="77777777" w:rsidR="00C071EA" w:rsidRPr="00973F22" w:rsidRDefault="00C071EA" w:rsidP="00C320BA">
            <w:pPr>
              <w:pStyle w:val="TableBody"/>
              <w:jc w:val="center"/>
            </w:pPr>
          </w:p>
        </w:tc>
        <w:tc>
          <w:tcPr>
            <w:tcW w:w="1308" w:type="dxa"/>
            <w:vAlign w:val="center"/>
          </w:tcPr>
          <w:p w14:paraId="58807C94" w14:textId="77777777" w:rsidR="00C071EA" w:rsidRDefault="00C071EA" w:rsidP="00C320BA">
            <w:pPr>
              <w:pStyle w:val="TableBody"/>
              <w:jc w:val="center"/>
            </w:pPr>
          </w:p>
        </w:tc>
        <w:tc>
          <w:tcPr>
            <w:tcW w:w="1308" w:type="dxa"/>
            <w:vAlign w:val="center"/>
          </w:tcPr>
          <w:p w14:paraId="54380FA2" w14:textId="77777777" w:rsidR="00C071EA" w:rsidRPr="00973F22" w:rsidRDefault="00C071EA" w:rsidP="00C320BA">
            <w:pPr>
              <w:pStyle w:val="TableBody"/>
              <w:jc w:val="center"/>
            </w:pPr>
          </w:p>
        </w:tc>
      </w:tr>
      <w:tr w:rsidR="00C071EA" w14:paraId="75A60915"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2D761A33" w14:textId="53458B78" w:rsidR="00C071EA" w:rsidRDefault="00C071EA" w:rsidP="00C320BA">
            <w:pPr>
              <w:pStyle w:val="TableBody"/>
            </w:pPr>
            <w:r>
              <w:t>Total number of modules delivered</w:t>
            </w:r>
          </w:p>
        </w:tc>
        <w:tc>
          <w:tcPr>
            <w:tcW w:w="1307" w:type="dxa"/>
            <w:vAlign w:val="center"/>
          </w:tcPr>
          <w:p w14:paraId="26D7D133" w14:textId="29DD9973" w:rsidR="00C071EA" w:rsidRPr="00973F22" w:rsidRDefault="00195B3C" w:rsidP="00195B3C">
            <w:pPr>
              <w:pStyle w:val="TableBody"/>
              <w:jc w:val="center"/>
            </w:pPr>
            <w:r>
              <w:t>30</w:t>
            </w:r>
          </w:p>
        </w:tc>
        <w:tc>
          <w:tcPr>
            <w:tcW w:w="1308" w:type="dxa"/>
            <w:vAlign w:val="center"/>
          </w:tcPr>
          <w:p w14:paraId="40814D9F" w14:textId="6495F822" w:rsidR="00C071EA" w:rsidRDefault="00195B3C" w:rsidP="00195B3C">
            <w:pPr>
              <w:pStyle w:val="TableBody"/>
              <w:jc w:val="center"/>
            </w:pPr>
            <w:r>
              <w:t>138</w:t>
            </w:r>
          </w:p>
        </w:tc>
        <w:tc>
          <w:tcPr>
            <w:tcW w:w="1308" w:type="dxa"/>
            <w:vAlign w:val="center"/>
          </w:tcPr>
          <w:p w14:paraId="3B8B9A2A" w14:textId="685D1F65" w:rsidR="00C071EA" w:rsidRPr="00973F22" w:rsidRDefault="00195B3C" w:rsidP="00195B3C">
            <w:pPr>
              <w:pStyle w:val="TableBody"/>
              <w:jc w:val="center"/>
            </w:pPr>
            <w:r w:rsidRPr="004E6AD6">
              <w:sym w:font="Wingdings" w:char="F0FC"/>
            </w:r>
          </w:p>
        </w:tc>
      </w:tr>
      <w:tr w:rsidR="00C071EA" w14:paraId="7CBDC6F6"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5BF66D9C" w14:textId="2E045841" w:rsidR="00C071EA" w:rsidRDefault="00C071EA" w:rsidP="00C320BA">
            <w:pPr>
              <w:pStyle w:val="TableBody"/>
            </w:pPr>
            <w:r>
              <w:lastRenderedPageBreak/>
              <w:t>Program relevance to the Victorian Public Service</w:t>
            </w:r>
          </w:p>
        </w:tc>
        <w:tc>
          <w:tcPr>
            <w:tcW w:w="1307" w:type="dxa"/>
            <w:vAlign w:val="center"/>
          </w:tcPr>
          <w:p w14:paraId="17D7CE45" w14:textId="67B45FF0" w:rsidR="00C071EA" w:rsidRPr="00973F22" w:rsidRDefault="00195B3C" w:rsidP="00195B3C">
            <w:pPr>
              <w:pStyle w:val="TableBody"/>
              <w:jc w:val="center"/>
            </w:pPr>
            <w:r>
              <w:t>80%</w:t>
            </w:r>
          </w:p>
        </w:tc>
        <w:tc>
          <w:tcPr>
            <w:tcW w:w="1308" w:type="dxa"/>
            <w:vAlign w:val="center"/>
          </w:tcPr>
          <w:p w14:paraId="4D10E350" w14:textId="4ADCACA2" w:rsidR="00C071EA" w:rsidRDefault="00195B3C" w:rsidP="00195B3C">
            <w:pPr>
              <w:pStyle w:val="TableBody"/>
              <w:jc w:val="center"/>
            </w:pPr>
            <w:r>
              <w:t>82%</w:t>
            </w:r>
          </w:p>
        </w:tc>
        <w:tc>
          <w:tcPr>
            <w:tcW w:w="1308" w:type="dxa"/>
            <w:vAlign w:val="center"/>
          </w:tcPr>
          <w:p w14:paraId="1BED6163" w14:textId="0ED79BDF" w:rsidR="00C071EA" w:rsidRPr="00973F22" w:rsidRDefault="00195B3C" w:rsidP="00195B3C">
            <w:pPr>
              <w:pStyle w:val="TableBody"/>
              <w:jc w:val="center"/>
            </w:pPr>
            <w:r w:rsidRPr="004E6AD6">
              <w:sym w:font="Wingdings" w:char="F0FC"/>
            </w:r>
          </w:p>
        </w:tc>
      </w:tr>
      <w:tr w:rsidR="00C071EA" w14:paraId="15E96D79"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46ADCC3E" w14:textId="77BA9166" w:rsidR="00C071EA" w:rsidRDefault="00C071EA" w:rsidP="00C320BA">
            <w:pPr>
              <w:pStyle w:val="TableBody"/>
            </w:pPr>
            <w:r>
              <w:t>Program suitability to the executive level</w:t>
            </w:r>
          </w:p>
        </w:tc>
        <w:tc>
          <w:tcPr>
            <w:tcW w:w="1307" w:type="dxa"/>
            <w:vAlign w:val="center"/>
          </w:tcPr>
          <w:p w14:paraId="1481319B" w14:textId="606920D4" w:rsidR="00C071EA" w:rsidRPr="00973F22" w:rsidRDefault="00195B3C" w:rsidP="00195B3C">
            <w:pPr>
              <w:pStyle w:val="TableBody"/>
              <w:jc w:val="center"/>
            </w:pPr>
            <w:r>
              <w:t>80%</w:t>
            </w:r>
          </w:p>
        </w:tc>
        <w:tc>
          <w:tcPr>
            <w:tcW w:w="1308" w:type="dxa"/>
            <w:vAlign w:val="center"/>
          </w:tcPr>
          <w:p w14:paraId="3B58BAEF" w14:textId="60572D1A" w:rsidR="00C071EA" w:rsidRDefault="00195B3C" w:rsidP="00195B3C">
            <w:pPr>
              <w:pStyle w:val="TableBody"/>
              <w:jc w:val="center"/>
            </w:pPr>
            <w:r>
              <w:t>89%</w:t>
            </w:r>
          </w:p>
        </w:tc>
        <w:tc>
          <w:tcPr>
            <w:tcW w:w="1308" w:type="dxa"/>
            <w:vAlign w:val="center"/>
          </w:tcPr>
          <w:p w14:paraId="5608426F" w14:textId="0B6A27CC" w:rsidR="00C071EA" w:rsidRPr="00973F22" w:rsidRDefault="00195B3C" w:rsidP="00195B3C">
            <w:pPr>
              <w:pStyle w:val="TableBody"/>
              <w:jc w:val="center"/>
            </w:pPr>
            <w:r w:rsidRPr="004E6AD6">
              <w:sym w:font="Wingdings" w:char="F0FC"/>
            </w:r>
          </w:p>
        </w:tc>
      </w:tr>
      <w:tr w:rsidR="00C071EA" w14:paraId="4CFB501C"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457AE0BE" w14:textId="349A6CC0" w:rsidR="00C071EA" w:rsidRDefault="00C071EA" w:rsidP="00C320BA">
            <w:pPr>
              <w:pStyle w:val="TableBody"/>
            </w:pPr>
            <w:r>
              <w:t>Overall participant satisfaction</w:t>
            </w:r>
            <w:r w:rsidR="00DB6036">
              <w:t xml:space="preserve"> with the Victorian Leadership Academy</w:t>
            </w:r>
          </w:p>
        </w:tc>
        <w:tc>
          <w:tcPr>
            <w:tcW w:w="1307" w:type="dxa"/>
            <w:vAlign w:val="center"/>
          </w:tcPr>
          <w:p w14:paraId="160CA06F" w14:textId="0B1013C9" w:rsidR="00C071EA" w:rsidRPr="00973F22" w:rsidRDefault="00195B3C" w:rsidP="00195B3C">
            <w:pPr>
              <w:pStyle w:val="TableBody"/>
              <w:jc w:val="center"/>
            </w:pPr>
            <w:r>
              <w:t>80%</w:t>
            </w:r>
          </w:p>
        </w:tc>
        <w:tc>
          <w:tcPr>
            <w:tcW w:w="1308" w:type="dxa"/>
            <w:vAlign w:val="center"/>
          </w:tcPr>
          <w:p w14:paraId="7D7379C5" w14:textId="712A9E84" w:rsidR="00C071EA" w:rsidRDefault="00195B3C" w:rsidP="00195B3C">
            <w:pPr>
              <w:pStyle w:val="TableBody"/>
              <w:jc w:val="center"/>
            </w:pPr>
            <w:r>
              <w:t>95%</w:t>
            </w:r>
          </w:p>
        </w:tc>
        <w:tc>
          <w:tcPr>
            <w:tcW w:w="1308" w:type="dxa"/>
            <w:vAlign w:val="center"/>
          </w:tcPr>
          <w:p w14:paraId="5213644A" w14:textId="02D3B3CE" w:rsidR="00C071EA" w:rsidRPr="00973F22" w:rsidRDefault="00195B3C" w:rsidP="00195B3C">
            <w:pPr>
              <w:pStyle w:val="TableBody"/>
              <w:jc w:val="center"/>
            </w:pPr>
            <w:r w:rsidRPr="004E6AD6">
              <w:sym w:font="Wingdings" w:char="F0FC"/>
            </w:r>
          </w:p>
        </w:tc>
      </w:tr>
      <w:tr w:rsidR="00C071EA" w14:paraId="6FD12345"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53E82A0D" w14:textId="78E14304" w:rsidR="00C071EA" w:rsidRDefault="00C071EA" w:rsidP="00C320BA">
            <w:pPr>
              <w:pStyle w:val="TableBody"/>
            </w:pPr>
            <w:r>
              <w:t xml:space="preserve">Percentage of new </w:t>
            </w:r>
            <w:r w:rsidR="00DB6036">
              <w:t xml:space="preserve">to VPS </w:t>
            </w:r>
            <w:r>
              <w:t xml:space="preserve">executives participating in the </w:t>
            </w:r>
            <w:r w:rsidR="00DB6036">
              <w:t xml:space="preserve">VPSC </w:t>
            </w:r>
            <w:r>
              <w:t>induction program</w:t>
            </w:r>
          </w:p>
        </w:tc>
        <w:tc>
          <w:tcPr>
            <w:tcW w:w="1307" w:type="dxa"/>
            <w:vAlign w:val="center"/>
          </w:tcPr>
          <w:p w14:paraId="0CA225CB" w14:textId="2A405AAD" w:rsidR="00C071EA" w:rsidRPr="00973F22" w:rsidRDefault="00195B3C" w:rsidP="00195B3C">
            <w:pPr>
              <w:pStyle w:val="TableBody"/>
              <w:jc w:val="center"/>
            </w:pPr>
            <w:r>
              <w:t>78%</w:t>
            </w:r>
          </w:p>
        </w:tc>
        <w:tc>
          <w:tcPr>
            <w:tcW w:w="1308" w:type="dxa"/>
            <w:vAlign w:val="center"/>
          </w:tcPr>
          <w:p w14:paraId="439093E5" w14:textId="79FFF074" w:rsidR="00C071EA" w:rsidRDefault="00195B3C" w:rsidP="00195B3C">
            <w:pPr>
              <w:pStyle w:val="TableBody"/>
              <w:jc w:val="center"/>
            </w:pPr>
            <w:r>
              <w:t>92%</w:t>
            </w:r>
          </w:p>
        </w:tc>
        <w:tc>
          <w:tcPr>
            <w:tcW w:w="1308" w:type="dxa"/>
            <w:vAlign w:val="center"/>
          </w:tcPr>
          <w:p w14:paraId="1C86860B" w14:textId="6AB89960" w:rsidR="00C071EA" w:rsidRPr="00973F22" w:rsidRDefault="00195B3C" w:rsidP="00195B3C">
            <w:pPr>
              <w:pStyle w:val="TableBody"/>
              <w:jc w:val="center"/>
            </w:pPr>
            <w:r w:rsidRPr="004E6AD6">
              <w:sym w:font="Wingdings" w:char="F0FC"/>
            </w:r>
          </w:p>
        </w:tc>
      </w:tr>
      <w:tr w:rsidR="00C071EA" w14:paraId="0ACBAB6E" w14:textId="77777777" w:rsidTr="00C320BA">
        <w:trPr>
          <w:cnfStyle w:val="000000100000" w:firstRow="0" w:lastRow="0" w:firstColumn="0" w:lastColumn="0" w:oddVBand="0" w:evenVBand="0" w:oddHBand="1" w:evenHBand="0" w:firstRowFirstColumn="0" w:firstRowLastColumn="0" w:lastRowFirstColumn="0" w:lastRowLastColumn="0"/>
        </w:trPr>
        <w:tc>
          <w:tcPr>
            <w:tcW w:w="5147" w:type="dxa"/>
            <w:vAlign w:val="center"/>
          </w:tcPr>
          <w:p w14:paraId="201A0298" w14:textId="6F40CE23" w:rsidR="00C071EA" w:rsidRDefault="00C071EA" w:rsidP="00C320BA">
            <w:pPr>
              <w:pStyle w:val="TableHeader"/>
            </w:pPr>
            <w:r>
              <w:t>Efficiency</w:t>
            </w:r>
          </w:p>
        </w:tc>
        <w:tc>
          <w:tcPr>
            <w:tcW w:w="1307" w:type="dxa"/>
            <w:vAlign w:val="center"/>
          </w:tcPr>
          <w:p w14:paraId="20E2439C" w14:textId="77777777" w:rsidR="00C071EA" w:rsidRPr="00973F22" w:rsidRDefault="00C071EA" w:rsidP="00C320BA">
            <w:pPr>
              <w:pStyle w:val="TableBody"/>
              <w:jc w:val="center"/>
            </w:pPr>
          </w:p>
        </w:tc>
        <w:tc>
          <w:tcPr>
            <w:tcW w:w="1308" w:type="dxa"/>
            <w:vAlign w:val="center"/>
          </w:tcPr>
          <w:p w14:paraId="2348689A" w14:textId="77777777" w:rsidR="00C071EA" w:rsidRDefault="00C071EA" w:rsidP="00C320BA">
            <w:pPr>
              <w:pStyle w:val="TableBody"/>
              <w:jc w:val="center"/>
            </w:pPr>
          </w:p>
        </w:tc>
        <w:tc>
          <w:tcPr>
            <w:tcW w:w="1308" w:type="dxa"/>
            <w:vAlign w:val="center"/>
          </w:tcPr>
          <w:p w14:paraId="2BE1A6E0" w14:textId="77777777" w:rsidR="00C071EA" w:rsidRPr="00973F22" w:rsidRDefault="00C071EA" w:rsidP="00C320BA">
            <w:pPr>
              <w:pStyle w:val="TableBody"/>
              <w:jc w:val="center"/>
            </w:pPr>
          </w:p>
        </w:tc>
      </w:tr>
      <w:tr w:rsidR="00C071EA" w14:paraId="4132750E"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48DCBA23" w14:textId="0D486164" w:rsidR="00C071EA" w:rsidRDefault="00C071EA" w:rsidP="00C320BA">
            <w:pPr>
              <w:pStyle w:val="TableBody"/>
            </w:pPr>
            <w:r>
              <w:t>Completion rate across programs</w:t>
            </w:r>
          </w:p>
        </w:tc>
        <w:tc>
          <w:tcPr>
            <w:tcW w:w="1307" w:type="dxa"/>
            <w:vAlign w:val="center"/>
          </w:tcPr>
          <w:p w14:paraId="56DDB232" w14:textId="072CC28A" w:rsidR="00C071EA" w:rsidRPr="00973F22" w:rsidRDefault="00195B3C" w:rsidP="00195B3C">
            <w:pPr>
              <w:pStyle w:val="TableBody"/>
              <w:jc w:val="center"/>
            </w:pPr>
            <w:r>
              <w:t>80%</w:t>
            </w:r>
          </w:p>
        </w:tc>
        <w:tc>
          <w:tcPr>
            <w:tcW w:w="1308" w:type="dxa"/>
            <w:vAlign w:val="center"/>
          </w:tcPr>
          <w:p w14:paraId="120A0E12" w14:textId="5DAE4DEA" w:rsidR="00C071EA" w:rsidRDefault="00195B3C" w:rsidP="00195B3C">
            <w:pPr>
              <w:pStyle w:val="TableBody"/>
              <w:jc w:val="center"/>
            </w:pPr>
            <w:r>
              <w:t>58%</w:t>
            </w:r>
            <w:r w:rsidR="00B33904">
              <w:rPr>
                <w:vertAlign w:val="superscript"/>
              </w:rPr>
              <w:t>5</w:t>
            </w:r>
          </w:p>
        </w:tc>
        <w:tc>
          <w:tcPr>
            <w:tcW w:w="1308" w:type="dxa"/>
            <w:vAlign w:val="center"/>
          </w:tcPr>
          <w:p w14:paraId="26CA7D37" w14:textId="2E2382CB" w:rsidR="00C071EA" w:rsidRPr="00973F22" w:rsidRDefault="001C26E6" w:rsidP="00195B3C">
            <w:pPr>
              <w:pStyle w:val="TableBody"/>
              <w:jc w:val="center"/>
            </w:pPr>
            <w:r>
              <w:sym w:font="Wingdings" w:char="F0FB"/>
            </w:r>
          </w:p>
        </w:tc>
      </w:tr>
      <w:tr w:rsidR="00C320BA" w14:paraId="15904B54" w14:textId="77777777" w:rsidTr="00C320BA">
        <w:trPr>
          <w:cnfStyle w:val="000000100000" w:firstRow="0" w:lastRow="0" w:firstColumn="0" w:lastColumn="0" w:oddVBand="0" w:evenVBand="0" w:oddHBand="1" w:evenHBand="0" w:firstRowFirstColumn="0" w:firstRowLastColumn="0" w:lastRowFirstColumn="0" w:lastRowLastColumn="0"/>
        </w:trPr>
        <w:tc>
          <w:tcPr>
            <w:tcW w:w="9070" w:type="dxa"/>
            <w:gridSpan w:val="4"/>
            <w:vAlign w:val="center"/>
          </w:tcPr>
          <w:p w14:paraId="5CAA7B72" w14:textId="77777777" w:rsidR="00C320BA" w:rsidRPr="00C320BA" w:rsidRDefault="00C320BA" w:rsidP="00C320BA">
            <w:pPr>
              <w:pStyle w:val="TablechartfigureHeading"/>
              <w:rPr>
                <w:rStyle w:val="Strong"/>
              </w:rPr>
            </w:pPr>
            <w:r w:rsidRPr="00C320BA">
              <w:rPr>
                <w:rStyle w:val="Strong"/>
              </w:rPr>
              <w:t>Service stream 4</w:t>
            </w:r>
          </w:p>
          <w:p w14:paraId="0D01B52E" w14:textId="134EB6C2" w:rsidR="00C320BA" w:rsidRPr="00973F22" w:rsidRDefault="00C320BA" w:rsidP="00C320BA">
            <w:pPr>
              <w:pStyle w:val="TableBody"/>
            </w:pPr>
            <w:r>
              <w:rPr>
                <w:rFonts w:asciiTheme="minorHAnsi" w:hAnsiTheme="minorHAnsi"/>
              </w:rPr>
              <w:t>Victorian executive service reform and public entity executive reforms</w:t>
            </w:r>
          </w:p>
        </w:tc>
      </w:tr>
      <w:tr w:rsidR="00C320BA" w14:paraId="69C79D29" w14:textId="77777777" w:rsidTr="00C320BA">
        <w:trPr>
          <w:cnfStyle w:val="000000010000" w:firstRow="0" w:lastRow="0" w:firstColumn="0" w:lastColumn="0" w:oddVBand="0" w:evenVBand="0" w:oddHBand="0" w:evenHBand="1" w:firstRowFirstColumn="0" w:firstRowLastColumn="0" w:lastRowFirstColumn="0" w:lastRowLastColumn="0"/>
        </w:trPr>
        <w:tc>
          <w:tcPr>
            <w:tcW w:w="5147" w:type="dxa"/>
            <w:vAlign w:val="center"/>
          </w:tcPr>
          <w:p w14:paraId="52376CC0" w14:textId="47EE4C61" w:rsidR="00C320BA" w:rsidRDefault="00C320BA" w:rsidP="00C320BA">
            <w:pPr>
              <w:pStyle w:val="TableHeader"/>
            </w:pPr>
            <w:r>
              <w:t>Effectiveness</w:t>
            </w:r>
          </w:p>
        </w:tc>
        <w:tc>
          <w:tcPr>
            <w:tcW w:w="1307" w:type="dxa"/>
            <w:vAlign w:val="center"/>
          </w:tcPr>
          <w:p w14:paraId="3353E15C" w14:textId="77777777" w:rsidR="00C320BA" w:rsidRPr="00973F22" w:rsidRDefault="00C320BA" w:rsidP="00C320BA">
            <w:pPr>
              <w:pStyle w:val="TableBody"/>
              <w:jc w:val="center"/>
            </w:pPr>
          </w:p>
        </w:tc>
        <w:tc>
          <w:tcPr>
            <w:tcW w:w="1308" w:type="dxa"/>
            <w:vAlign w:val="center"/>
          </w:tcPr>
          <w:p w14:paraId="33F95792" w14:textId="77777777" w:rsidR="00C320BA" w:rsidRDefault="00C320BA" w:rsidP="00C320BA">
            <w:pPr>
              <w:pStyle w:val="TableBody"/>
              <w:jc w:val="center"/>
            </w:pPr>
          </w:p>
        </w:tc>
        <w:tc>
          <w:tcPr>
            <w:tcW w:w="1308" w:type="dxa"/>
            <w:vAlign w:val="center"/>
          </w:tcPr>
          <w:p w14:paraId="7FA14B03" w14:textId="77777777" w:rsidR="00C320BA" w:rsidRPr="00973F22" w:rsidRDefault="00C320BA" w:rsidP="00C320BA">
            <w:pPr>
              <w:pStyle w:val="TableBody"/>
              <w:jc w:val="center"/>
            </w:pPr>
          </w:p>
        </w:tc>
      </w:tr>
      <w:tr w:rsidR="00C320BA" w14:paraId="3FEAF95B" w14:textId="77777777" w:rsidTr="0095267E">
        <w:trPr>
          <w:cnfStyle w:val="000000100000" w:firstRow="0" w:lastRow="0" w:firstColumn="0" w:lastColumn="0" w:oddVBand="0" w:evenVBand="0" w:oddHBand="1" w:evenHBand="0" w:firstRowFirstColumn="0" w:firstRowLastColumn="0" w:lastRowFirstColumn="0" w:lastRowLastColumn="0"/>
        </w:trPr>
        <w:tc>
          <w:tcPr>
            <w:tcW w:w="5147" w:type="dxa"/>
          </w:tcPr>
          <w:p w14:paraId="72203C30" w14:textId="2CCCF6D9" w:rsidR="00C320BA" w:rsidRPr="00C320BA" w:rsidRDefault="00C320BA" w:rsidP="00C320BA">
            <w:pPr>
              <w:pStyle w:val="TableBody"/>
            </w:pPr>
            <w:r w:rsidRPr="00C320BA">
              <w:t>V</w:t>
            </w:r>
            <w:r w:rsidR="00DB6036">
              <w:t>ictorian Public Service</w:t>
            </w:r>
            <w:r w:rsidRPr="00C320BA">
              <w:t xml:space="preserve"> classification assessments completed on schedule</w:t>
            </w:r>
          </w:p>
        </w:tc>
        <w:tc>
          <w:tcPr>
            <w:tcW w:w="1307" w:type="dxa"/>
            <w:vAlign w:val="center"/>
          </w:tcPr>
          <w:p w14:paraId="59B1F8EC" w14:textId="27E43BFF" w:rsidR="00C320BA" w:rsidRPr="00C320BA" w:rsidRDefault="00195B3C" w:rsidP="00195B3C">
            <w:pPr>
              <w:pStyle w:val="TableBody"/>
              <w:jc w:val="center"/>
            </w:pPr>
            <w:r>
              <w:t>80%</w:t>
            </w:r>
          </w:p>
        </w:tc>
        <w:tc>
          <w:tcPr>
            <w:tcW w:w="1308" w:type="dxa"/>
            <w:vAlign w:val="center"/>
          </w:tcPr>
          <w:p w14:paraId="1BA74D7A" w14:textId="1A94F818" w:rsidR="00C320BA" w:rsidRPr="00C320BA" w:rsidRDefault="00195B3C" w:rsidP="00195B3C">
            <w:pPr>
              <w:pStyle w:val="TableBody"/>
              <w:jc w:val="center"/>
            </w:pPr>
            <w:r>
              <w:t>86%</w:t>
            </w:r>
          </w:p>
        </w:tc>
        <w:tc>
          <w:tcPr>
            <w:tcW w:w="1308" w:type="dxa"/>
            <w:vAlign w:val="center"/>
          </w:tcPr>
          <w:p w14:paraId="7C540FB1" w14:textId="430A58BA" w:rsidR="00C320BA" w:rsidRPr="00C320BA" w:rsidRDefault="00195B3C" w:rsidP="00195B3C">
            <w:pPr>
              <w:pStyle w:val="TableBody"/>
              <w:jc w:val="center"/>
            </w:pPr>
            <w:r w:rsidRPr="004E6AD6">
              <w:sym w:font="Wingdings" w:char="F0FC"/>
            </w:r>
          </w:p>
        </w:tc>
      </w:tr>
      <w:tr w:rsidR="00C320BA" w14:paraId="1033CC21" w14:textId="77777777" w:rsidTr="0095267E">
        <w:trPr>
          <w:cnfStyle w:val="000000010000" w:firstRow="0" w:lastRow="0" w:firstColumn="0" w:lastColumn="0" w:oddVBand="0" w:evenVBand="0" w:oddHBand="0" w:evenHBand="1" w:firstRowFirstColumn="0" w:firstRowLastColumn="0" w:lastRowFirstColumn="0" w:lastRowLastColumn="0"/>
        </w:trPr>
        <w:tc>
          <w:tcPr>
            <w:tcW w:w="5147" w:type="dxa"/>
          </w:tcPr>
          <w:p w14:paraId="68F78AE0" w14:textId="5E1735A3" w:rsidR="00C320BA" w:rsidRDefault="00C320BA" w:rsidP="00C320BA">
            <w:pPr>
              <w:pStyle w:val="TableHeader"/>
            </w:pPr>
            <w:r>
              <w:t>Efficiency</w:t>
            </w:r>
          </w:p>
        </w:tc>
        <w:tc>
          <w:tcPr>
            <w:tcW w:w="1307" w:type="dxa"/>
            <w:vAlign w:val="center"/>
          </w:tcPr>
          <w:p w14:paraId="7B97959A" w14:textId="77777777" w:rsidR="00C320BA" w:rsidRPr="00973F22" w:rsidRDefault="00C320BA" w:rsidP="00C320BA">
            <w:pPr>
              <w:pStyle w:val="TableBody"/>
              <w:jc w:val="center"/>
            </w:pPr>
          </w:p>
        </w:tc>
        <w:tc>
          <w:tcPr>
            <w:tcW w:w="1308" w:type="dxa"/>
            <w:vAlign w:val="center"/>
          </w:tcPr>
          <w:p w14:paraId="01533A2C" w14:textId="77777777" w:rsidR="00C320BA" w:rsidRDefault="00C320BA" w:rsidP="00C320BA">
            <w:pPr>
              <w:pStyle w:val="TableBody"/>
              <w:jc w:val="center"/>
            </w:pPr>
          </w:p>
        </w:tc>
        <w:tc>
          <w:tcPr>
            <w:tcW w:w="1308" w:type="dxa"/>
            <w:vAlign w:val="center"/>
          </w:tcPr>
          <w:p w14:paraId="70EB5BF5" w14:textId="77777777" w:rsidR="00C320BA" w:rsidRPr="00973F22" w:rsidRDefault="00C320BA" w:rsidP="00C320BA">
            <w:pPr>
              <w:pStyle w:val="TableBody"/>
              <w:jc w:val="center"/>
            </w:pPr>
          </w:p>
        </w:tc>
      </w:tr>
      <w:tr w:rsidR="00C320BA" w14:paraId="06D2EAFB" w14:textId="77777777" w:rsidTr="0095267E">
        <w:trPr>
          <w:cnfStyle w:val="000000100000" w:firstRow="0" w:lastRow="0" w:firstColumn="0" w:lastColumn="0" w:oddVBand="0" w:evenVBand="0" w:oddHBand="1" w:evenHBand="0" w:firstRowFirstColumn="0" w:firstRowLastColumn="0" w:lastRowFirstColumn="0" w:lastRowLastColumn="0"/>
        </w:trPr>
        <w:tc>
          <w:tcPr>
            <w:tcW w:w="5147" w:type="dxa"/>
          </w:tcPr>
          <w:p w14:paraId="642F9481" w14:textId="3B71A8F3" w:rsidR="00C320BA" w:rsidRDefault="00C320BA" w:rsidP="00C320BA">
            <w:pPr>
              <w:pStyle w:val="TableBody"/>
            </w:pPr>
            <w:r>
              <w:t>Percentage of executive employment queries responded to within standard timeframe</w:t>
            </w:r>
          </w:p>
        </w:tc>
        <w:tc>
          <w:tcPr>
            <w:tcW w:w="1307" w:type="dxa"/>
            <w:vAlign w:val="center"/>
          </w:tcPr>
          <w:p w14:paraId="1060FF38" w14:textId="20053127" w:rsidR="00C320BA" w:rsidRPr="00973F22" w:rsidRDefault="00195B3C" w:rsidP="00195B3C">
            <w:pPr>
              <w:pStyle w:val="TableBody"/>
              <w:jc w:val="center"/>
            </w:pPr>
            <w:r>
              <w:t>80%</w:t>
            </w:r>
          </w:p>
        </w:tc>
        <w:tc>
          <w:tcPr>
            <w:tcW w:w="1308" w:type="dxa"/>
            <w:vAlign w:val="center"/>
          </w:tcPr>
          <w:p w14:paraId="742BBF76" w14:textId="0B4ABF81" w:rsidR="00C320BA" w:rsidRDefault="00195B3C" w:rsidP="00195B3C">
            <w:pPr>
              <w:pStyle w:val="TableBody"/>
              <w:jc w:val="center"/>
            </w:pPr>
            <w:r>
              <w:t>94%</w:t>
            </w:r>
          </w:p>
        </w:tc>
        <w:tc>
          <w:tcPr>
            <w:tcW w:w="1308" w:type="dxa"/>
            <w:vAlign w:val="center"/>
          </w:tcPr>
          <w:p w14:paraId="4D5D13F1" w14:textId="4DA17108" w:rsidR="00C320BA" w:rsidRPr="00973F22" w:rsidRDefault="00195B3C" w:rsidP="00195B3C">
            <w:pPr>
              <w:pStyle w:val="TableBody"/>
              <w:jc w:val="center"/>
            </w:pPr>
            <w:r w:rsidRPr="004E6AD6">
              <w:sym w:font="Wingdings" w:char="F0FC"/>
            </w:r>
          </w:p>
        </w:tc>
      </w:tr>
      <w:tr w:rsidR="00C320BA" w14:paraId="1C5BB838" w14:textId="77777777" w:rsidTr="0095267E">
        <w:trPr>
          <w:cnfStyle w:val="000000010000" w:firstRow="0" w:lastRow="0" w:firstColumn="0" w:lastColumn="0" w:oddVBand="0" w:evenVBand="0" w:oddHBand="0" w:evenHBand="1" w:firstRowFirstColumn="0" w:firstRowLastColumn="0" w:lastRowFirstColumn="0" w:lastRowLastColumn="0"/>
        </w:trPr>
        <w:tc>
          <w:tcPr>
            <w:tcW w:w="9070" w:type="dxa"/>
            <w:gridSpan w:val="4"/>
          </w:tcPr>
          <w:p w14:paraId="3CBC36B1" w14:textId="77777777" w:rsidR="00C320BA" w:rsidRDefault="00C320BA" w:rsidP="00C320BA">
            <w:pPr>
              <w:pStyle w:val="TablechartfigureHeading"/>
            </w:pPr>
            <w:r>
              <w:t>Service stream 5</w:t>
            </w:r>
          </w:p>
          <w:p w14:paraId="61693679" w14:textId="1B8B02DD" w:rsidR="00C320BA" w:rsidRPr="00973F22" w:rsidRDefault="00C320BA" w:rsidP="00C320BA">
            <w:pPr>
              <w:pStyle w:val="TableBody"/>
            </w:pPr>
            <w:r>
              <w:rPr>
                <w:rFonts w:asciiTheme="minorHAnsi" w:hAnsiTheme="minorHAnsi"/>
              </w:rPr>
              <w:t>Issuing, maintaining and promoting Codes of Conduct and Employment Standards</w:t>
            </w:r>
          </w:p>
        </w:tc>
      </w:tr>
      <w:tr w:rsidR="00C320BA" w14:paraId="1E08048E" w14:textId="77777777" w:rsidTr="0095267E">
        <w:trPr>
          <w:cnfStyle w:val="000000100000" w:firstRow="0" w:lastRow="0" w:firstColumn="0" w:lastColumn="0" w:oddVBand="0" w:evenVBand="0" w:oddHBand="1" w:evenHBand="0" w:firstRowFirstColumn="0" w:firstRowLastColumn="0" w:lastRowFirstColumn="0" w:lastRowLastColumn="0"/>
        </w:trPr>
        <w:tc>
          <w:tcPr>
            <w:tcW w:w="5147" w:type="dxa"/>
          </w:tcPr>
          <w:p w14:paraId="09F142E3" w14:textId="433BC99B" w:rsidR="00C320BA" w:rsidRDefault="00C320BA" w:rsidP="00C320BA">
            <w:pPr>
              <w:pStyle w:val="TableHeader"/>
            </w:pPr>
            <w:r>
              <w:t>Effectiveness</w:t>
            </w:r>
          </w:p>
        </w:tc>
        <w:tc>
          <w:tcPr>
            <w:tcW w:w="1307" w:type="dxa"/>
            <w:vAlign w:val="center"/>
          </w:tcPr>
          <w:p w14:paraId="079FA2E2" w14:textId="77777777" w:rsidR="00C320BA" w:rsidRPr="00973F22" w:rsidRDefault="00C320BA" w:rsidP="00C320BA">
            <w:pPr>
              <w:pStyle w:val="TableBody"/>
              <w:jc w:val="center"/>
            </w:pPr>
          </w:p>
        </w:tc>
        <w:tc>
          <w:tcPr>
            <w:tcW w:w="1308" w:type="dxa"/>
            <w:vAlign w:val="center"/>
          </w:tcPr>
          <w:p w14:paraId="12387638" w14:textId="77777777" w:rsidR="00C320BA" w:rsidRDefault="00C320BA" w:rsidP="00C320BA">
            <w:pPr>
              <w:pStyle w:val="TableBody"/>
              <w:jc w:val="center"/>
            </w:pPr>
          </w:p>
        </w:tc>
        <w:tc>
          <w:tcPr>
            <w:tcW w:w="1308" w:type="dxa"/>
            <w:vAlign w:val="center"/>
          </w:tcPr>
          <w:p w14:paraId="1B1C0C13" w14:textId="77777777" w:rsidR="00C320BA" w:rsidRPr="00973F22" w:rsidRDefault="00C320BA" w:rsidP="00C320BA">
            <w:pPr>
              <w:pStyle w:val="TableBody"/>
              <w:jc w:val="center"/>
            </w:pPr>
          </w:p>
        </w:tc>
      </w:tr>
      <w:tr w:rsidR="00C320BA" w14:paraId="0EFCE5E9" w14:textId="77777777" w:rsidTr="0095267E">
        <w:trPr>
          <w:cnfStyle w:val="000000010000" w:firstRow="0" w:lastRow="0" w:firstColumn="0" w:lastColumn="0" w:oddVBand="0" w:evenVBand="0" w:oddHBand="0" w:evenHBand="1" w:firstRowFirstColumn="0" w:firstRowLastColumn="0" w:lastRowFirstColumn="0" w:lastRowLastColumn="0"/>
        </w:trPr>
        <w:tc>
          <w:tcPr>
            <w:tcW w:w="5147" w:type="dxa"/>
          </w:tcPr>
          <w:p w14:paraId="43DFC190" w14:textId="4E269B2D" w:rsidR="00C320BA" w:rsidRPr="00C320BA" w:rsidRDefault="00C320BA" w:rsidP="00C320BA">
            <w:pPr>
              <w:pStyle w:val="TableBody"/>
            </w:pPr>
            <w:r w:rsidRPr="00C320BA">
              <w:t xml:space="preserve">Percentage of agencies who interacted with the </w:t>
            </w:r>
            <w:r w:rsidR="00DB6036">
              <w:t>VPSC</w:t>
            </w:r>
            <w:r w:rsidR="00DB6036" w:rsidRPr="00C320BA">
              <w:t xml:space="preserve"> </w:t>
            </w:r>
            <w:r w:rsidRPr="00C320BA">
              <w:t>and indicated advice and support assisted them to improve integrity capability</w:t>
            </w:r>
          </w:p>
        </w:tc>
        <w:tc>
          <w:tcPr>
            <w:tcW w:w="1307" w:type="dxa"/>
            <w:vAlign w:val="center"/>
          </w:tcPr>
          <w:p w14:paraId="7A117771" w14:textId="7D8D1BB5" w:rsidR="00C320BA" w:rsidRPr="00C320BA" w:rsidRDefault="00195B3C" w:rsidP="00195B3C">
            <w:pPr>
              <w:pStyle w:val="TableBody"/>
              <w:jc w:val="center"/>
            </w:pPr>
            <w:r>
              <w:t>85%</w:t>
            </w:r>
          </w:p>
        </w:tc>
        <w:tc>
          <w:tcPr>
            <w:tcW w:w="1308" w:type="dxa"/>
            <w:vAlign w:val="center"/>
          </w:tcPr>
          <w:p w14:paraId="0B202ADB" w14:textId="6D3F195B" w:rsidR="00C320BA" w:rsidRPr="00C320BA" w:rsidRDefault="00A61A1D" w:rsidP="00195B3C">
            <w:pPr>
              <w:pStyle w:val="TableBody"/>
              <w:jc w:val="center"/>
            </w:pPr>
            <w:r>
              <w:t>90%</w:t>
            </w:r>
          </w:p>
        </w:tc>
        <w:tc>
          <w:tcPr>
            <w:tcW w:w="1308" w:type="dxa"/>
            <w:vAlign w:val="center"/>
          </w:tcPr>
          <w:p w14:paraId="6C18D053" w14:textId="5C584F73" w:rsidR="00C320BA" w:rsidRPr="00C320BA" w:rsidRDefault="00A61A1D" w:rsidP="00195B3C">
            <w:pPr>
              <w:pStyle w:val="TableBody"/>
              <w:jc w:val="center"/>
            </w:pPr>
            <w:r w:rsidRPr="004E6AD6">
              <w:sym w:font="Wingdings" w:char="F0FC"/>
            </w:r>
          </w:p>
        </w:tc>
      </w:tr>
      <w:tr w:rsidR="00C320BA" w14:paraId="01AB60E4" w14:textId="77777777" w:rsidTr="0095267E">
        <w:trPr>
          <w:cnfStyle w:val="000000100000" w:firstRow="0" w:lastRow="0" w:firstColumn="0" w:lastColumn="0" w:oddVBand="0" w:evenVBand="0" w:oddHBand="1" w:evenHBand="0" w:firstRowFirstColumn="0" w:firstRowLastColumn="0" w:lastRowFirstColumn="0" w:lastRowLastColumn="0"/>
        </w:trPr>
        <w:tc>
          <w:tcPr>
            <w:tcW w:w="5147" w:type="dxa"/>
          </w:tcPr>
          <w:p w14:paraId="1AF18A05" w14:textId="46500712" w:rsidR="00C320BA" w:rsidRDefault="00C320BA" w:rsidP="00C320BA">
            <w:pPr>
              <w:pStyle w:val="TableHeader"/>
            </w:pPr>
            <w:r>
              <w:lastRenderedPageBreak/>
              <w:t>Efficiency</w:t>
            </w:r>
          </w:p>
        </w:tc>
        <w:tc>
          <w:tcPr>
            <w:tcW w:w="1307" w:type="dxa"/>
            <w:vAlign w:val="center"/>
          </w:tcPr>
          <w:p w14:paraId="3F48906C" w14:textId="77777777" w:rsidR="00C320BA" w:rsidRPr="00973F22" w:rsidRDefault="00C320BA" w:rsidP="00C320BA">
            <w:pPr>
              <w:pStyle w:val="TableBody"/>
              <w:jc w:val="center"/>
            </w:pPr>
          </w:p>
        </w:tc>
        <w:tc>
          <w:tcPr>
            <w:tcW w:w="1308" w:type="dxa"/>
            <w:vAlign w:val="center"/>
          </w:tcPr>
          <w:p w14:paraId="5DD95853" w14:textId="77777777" w:rsidR="00C320BA" w:rsidRDefault="00C320BA" w:rsidP="00C320BA">
            <w:pPr>
              <w:pStyle w:val="TableBody"/>
              <w:jc w:val="center"/>
            </w:pPr>
          </w:p>
        </w:tc>
        <w:tc>
          <w:tcPr>
            <w:tcW w:w="1308" w:type="dxa"/>
            <w:vAlign w:val="center"/>
          </w:tcPr>
          <w:p w14:paraId="761E40DD" w14:textId="77777777" w:rsidR="00C320BA" w:rsidRPr="00973F22" w:rsidRDefault="00C320BA" w:rsidP="00C320BA">
            <w:pPr>
              <w:pStyle w:val="TableBody"/>
              <w:jc w:val="center"/>
            </w:pPr>
          </w:p>
        </w:tc>
      </w:tr>
      <w:tr w:rsidR="00C320BA" w14:paraId="2EBD9437" w14:textId="77777777" w:rsidTr="0095267E">
        <w:trPr>
          <w:cnfStyle w:val="000000010000" w:firstRow="0" w:lastRow="0" w:firstColumn="0" w:lastColumn="0" w:oddVBand="0" w:evenVBand="0" w:oddHBand="0" w:evenHBand="1" w:firstRowFirstColumn="0" w:firstRowLastColumn="0" w:lastRowFirstColumn="0" w:lastRowLastColumn="0"/>
        </w:trPr>
        <w:tc>
          <w:tcPr>
            <w:tcW w:w="5147" w:type="dxa"/>
          </w:tcPr>
          <w:p w14:paraId="0A366B8A" w14:textId="72B2A37A" w:rsidR="00C320BA" w:rsidRPr="00C320BA" w:rsidRDefault="00195B3C" w:rsidP="00C320BA">
            <w:pPr>
              <w:pStyle w:val="TableBody"/>
            </w:pPr>
            <w:r>
              <w:t>Branch responds to requests for ad-hoc advice, lobbyist registration, and reviews according to acceptable timeframes set out in policy manuals</w:t>
            </w:r>
          </w:p>
        </w:tc>
        <w:tc>
          <w:tcPr>
            <w:tcW w:w="1307" w:type="dxa"/>
            <w:vAlign w:val="center"/>
          </w:tcPr>
          <w:p w14:paraId="64C8488D" w14:textId="5F1B66C7" w:rsidR="00C320BA" w:rsidRPr="00C320BA" w:rsidRDefault="00195B3C" w:rsidP="00195B3C">
            <w:pPr>
              <w:pStyle w:val="TableBody"/>
              <w:jc w:val="center"/>
            </w:pPr>
            <w:r>
              <w:t>85%</w:t>
            </w:r>
          </w:p>
        </w:tc>
        <w:tc>
          <w:tcPr>
            <w:tcW w:w="1308" w:type="dxa"/>
            <w:vAlign w:val="center"/>
          </w:tcPr>
          <w:p w14:paraId="729424A2" w14:textId="54AB010B" w:rsidR="00C320BA" w:rsidRPr="00C320BA" w:rsidRDefault="00195B3C" w:rsidP="00195B3C">
            <w:pPr>
              <w:pStyle w:val="TableBody"/>
              <w:jc w:val="center"/>
            </w:pPr>
            <w:r>
              <w:t>90%</w:t>
            </w:r>
          </w:p>
        </w:tc>
        <w:tc>
          <w:tcPr>
            <w:tcW w:w="1308" w:type="dxa"/>
            <w:vAlign w:val="center"/>
          </w:tcPr>
          <w:p w14:paraId="384E4BC5" w14:textId="3F53F809" w:rsidR="00C320BA" w:rsidRPr="00C320BA" w:rsidRDefault="00195B3C" w:rsidP="00195B3C">
            <w:pPr>
              <w:pStyle w:val="TableBody"/>
              <w:jc w:val="center"/>
            </w:pPr>
            <w:r w:rsidRPr="004E6AD6">
              <w:sym w:font="Wingdings" w:char="F0FC"/>
            </w:r>
          </w:p>
        </w:tc>
      </w:tr>
      <w:tr w:rsidR="006A53B4" w14:paraId="2C9A8E46" w14:textId="77777777" w:rsidTr="006A53B4">
        <w:trPr>
          <w:cnfStyle w:val="000000100000" w:firstRow="0" w:lastRow="0" w:firstColumn="0" w:lastColumn="0" w:oddVBand="0" w:evenVBand="0" w:oddHBand="1" w:evenHBand="0" w:firstRowFirstColumn="0" w:firstRowLastColumn="0" w:lastRowFirstColumn="0" w:lastRowLastColumn="0"/>
        </w:trPr>
        <w:tc>
          <w:tcPr>
            <w:tcW w:w="9070" w:type="dxa"/>
            <w:gridSpan w:val="4"/>
          </w:tcPr>
          <w:p w14:paraId="40DBFDD5" w14:textId="77777777" w:rsidR="006A53B4" w:rsidRDefault="006A53B4" w:rsidP="00C320BA">
            <w:pPr>
              <w:pStyle w:val="TableBody"/>
              <w:rPr>
                <w:sz w:val="18"/>
                <w:szCs w:val="18"/>
              </w:rPr>
            </w:pPr>
            <w:r w:rsidRPr="0050118D">
              <w:rPr>
                <w:b/>
                <w:bCs/>
                <w:sz w:val="18"/>
                <w:szCs w:val="18"/>
              </w:rPr>
              <w:t xml:space="preserve">Notes: </w:t>
            </w:r>
          </w:p>
          <w:p w14:paraId="4EDB71C5" w14:textId="02EFDF35" w:rsidR="006877E3" w:rsidRDefault="006877E3" w:rsidP="00F8706A">
            <w:pPr>
              <w:pStyle w:val="TableBody"/>
              <w:numPr>
                <w:ilvl w:val="0"/>
                <w:numId w:val="14"/>
              </w:numPr>
              <w:rPr>
                <w:sz w:val="18"/>
                <w:szCs w:val="18"/>
              </w:rPr>
            </w:pPr>
            <w:bookmarkStart w:id="13" w:name="_Hlk84844779"/>
            <w:r>
              <w:rPr>
                <w:sz w:val="18"/>
                <w:szCs w:val="18"/>
              </w:rPr>
              <w:t>Participation was lower during COVID-19.</w:t>
            </w:r>
          </w:p>
          <w:p w14:paraId="47529586" w14:textId="24377936" w:rsidR="00B33904" w:rsidRDefault="00B33904" w:rsidP="00F8706A">
            <w:pPr>
              <w:pStyle w:val="TableBody"/>
              <w:numPr>
                <w:ilvl w:val="0"/>
                <w:numId w:val="14"/>
              </w:numPr>
              <w:rPr>
                <w:sz w:val="18"/>
                <w:szCs w:val="18"/>
              </w:rPr>
            </w:pPr>
            <w:r>
              <w:rPr>
                <w:sz w:val="18"/>
                <w:szCs w:val="18"/>
              </w:rPr>
              <w:t>Collection of workforce data was impacted by COVID-19. The People Matter Survey was delayed from April to October 2020.</w:t>
            </w:r>
          </w:p>
          <w:p w14:paraId="0A419D7E" w14:textId="5A5EB030" w:rsidR="00A1480B" w:rsidRDefault="00E77EDE" w:rsidP="00F8706A">
            <w:pPr>
              <w:pStyle w:val="TableBody"/>
              <w:numPr>
                <w:ilvl w:val="0"/>
                <w:numId w:val="14"/>
              </w:numPr>
              <w:rPr>
                <w:sz w:val="18"/>
                <w:szCs w:val="18"/>
              </w:rPr>
            </w:pPr>
            <w:r>
              <w:rPr>
                <w:sz w:val="18"/>
                <w:szCs w:val="18"/>
              </w:rPr>
              <w:t>The customer satisfaction score for Careers.Vic was lower due to the flow of schools jobs on the platform. Satisfaction was low during peak advertisement periods for schools. Satisfaction was above target during other periods.</w:t>
            </w:r>
          </w:p>
          <w:p w14:paraId="7D9A1A85" w14:textId="2A9F9813" w:rsidR="0068532F" w:rsidRPr="00A1480B" w:rsidRDefault="0068532F" w:rsidP="00F8706A">
            <w:pPr>
              <w:pStyle w:val="TableBody"/>
              <w:numPr>
                <w:ilvl w:val="0"/>
                <w:numId w:val="14"/>
              </w:numPr>
              <w:rPr>
                <w:sz w:val="18"/>
                <w:szCs w:val="18"/>
              </w:rPr>
            </w:pPr>
            <w:r>
              <w:rPr>
                <w:sz w:val="18"/>
                <w:szCs w:val="18"/>
              </w:rPr>
              <w:t>The number of J</w:t>
            </w:r>
            <w:r w:rsidR="00DB6036">
              <w:rPr>
                <w:sz w:val="18"/>
                <w:szCs w:val="18"/>
              </w:rPr>
              <w:t>obs and Skills Exchange</w:t>
            </w:r>
            <w:r>
              <w:rPr>
                <w:sz w:val="18"/>
                <w:szCs w:val="18"/>
              </w:rPr>
              <w:t xml:space="preserve"> engagement and promotional activities was reduced due to COVID-19 restrictions.</w:t>
            </w:r>
          </w:p>
          <w:p w14:paraId="7A5BBE25" w14:textId="734FF5A3" w:rsidR="00A1480B" w:rsidRPr="00C320BA" w:rsidRDefault="00810065" w:rsidP="00F8706A">
            <w:pPr>
              <w:pStyle w:val="TableBody"/>
              <w:numPr>
                <w:ilvl w:val="0"/>
                <w:numId w:val="14"/>
              </w:numPr>
            </w:pPr>
            <w:r>
              <w:rPr>
                <w:sz w:val="18"/>
                <w:szCs w:val="18"/>
              </w:rPr>
              <w:t>In 2020-21, the Victorian Leadership Academy offered short-term development activities instead of long-term development programs as in previous years. The lower completion rate is due to Executives having less time available for development activities during COVID-19.</w:t>
            </w:r>
            <w:bookmarkEnd w:id="13"/>
          </w:p>
        </w:tc>
      </w:tr>
    </w:tbl>
    <w:p w14:paraId="48F6DC10" w14:textId="6222ED82" w:rsidR="000132C3" w:rsidRPr="00622554" w:rsidRDefault="000132C3" w:rsidP="000132C3">
      <w:pPr>
        <w:pStyle w:val="Separator"/>
      </w:pPr>
      <w:r w:rsidRPr="00622554">
        <w:t>S</w:t>
      </w:r>
      <w:r>
        <w:t>ection 2</w:t>
      </w:r>
    </w:p>
    <w:p w14:paraId="71316D9C" w14:textId="708E5D45" w:rsidR="0040140D" w:rsidRDefault="000132C3" w:rsidP="0040140D">
      <w:pPr>
        <w:pStyle w:val="Heading10"/>
      </w:pPr>
      <w:bookmarkStart w:id="14" w:name="_Governance_and_organisational"/>
      <w:bookmarkStart w:id="15" w:name="_Toc73541441"/>
      <w:bookmarkStart w:id="16" w:name="_Toc73541679"/>
      <w:bookmarkStart w:id="17" w:name="_Toc73542058"/>
      <w:bookmarkEnd w:id="14"/>
      <w:r>
        <w:t>G</w:t>
      </w:r>
      <w:r w:rsidR="0040140D">
        <w:t>overnance and organisational structure</w:t>
      </w:r>
      <w:bookmarkEnd w:id="15"/>
      <w:bookmarkEnd w:id="16"/>
      <w:bookmarkEnd w:id="17"/>
    </w:p>
    <w:p w14:paraId="3D83A290" w14:textId="130FCAB1" w:rsidR="00E14E14" w:rsidRDefault="00811747" w:rsidP="0040140D">
      <w:pPr>
        <w:pStyle w:val="Heading20"/>
      </w:pPr>
      <w:r>
        <w:t>M</w:t>
      </w:r>
      <w:r w:rsidR="0040140D">
        <w:t>inister</w:t>
      </w:r>
    </w:p>
    <w:p w14:paraId="2608DD31" w14:textId="3DBA065F" w:rsidR="001B0C0A" w:rsidRDefault="001B0C0A" w:rsidP="001B0C0A">
      <w:pPr>
        <w:pStyle w:val="Body"/>
        <w:rPr>
          <w:lang w:eastAsia="en-AU"/>
        </w:rPr>
      </w:pPr>
      <w:r>
        <w:rPr>
          <w:lang w:eastAsia="en-AU"/>
        </w:rPr>
        <w:t>The Commission is overseen by the Minister for Government Services, Hon Danny Pearson MP. The Minister for Government Services oversees the public sector, cyber security and citizen digital transaction reform.</w:t>
      </w:r>
    </w:p>
    <w:p w14:paraId="7E5996E1" w14:textId="1ED97C55" w:rsidR="0040140D" w:rsidRDefault="0040140D" w:rsidP="0040140D">
      <w:pPr>
        <w:pStyle w:val="Heading20"/>
      </w:pPr>
      <w:r>
        <w:t>Organisational structure</w:t>
      </w:r>
    </w:p>
    <w:p w14:paraId="18838EB7" w14:textId="7CD9B41A" w:rsidR="007D2968" w:rsidRDefault="007D2968" w:rsidP="007D2968">
      <w:pPr>
        <w:pStyle w:val="Heading30"/>
      </w:pPr>
      <w:r>
        <w:t>Commissioner</w:t>
      </w:r>
    </w:p>
    <w:p w14:paraId="066EC126" w14:textId="55840168" w:rsidR="007D2968" w:rsidRDefault="007D2968" w:rsidP="007D2968">
      <w:pPr>
        <w:pStyle w:val="Body"/>
      </w:pPr>
      <w:r>
        <w:t xml:space="preserve">Adam Fennessy PSM is the Commissioner of the Victorian Public Sector Commission. He joined the Commission in July 2020. </w:t>
      </w:r>
    </w:p>
    <w:p w14:paraId="0858CB8D" w14:textId="4ADF1EC8" w:rsidR="007D2968" w:rsidRDefault="007D2968" w:rsidP="007D2968">
      <w:pPr>
        <w:pStyle w:val="Body"/>
      </w:pPr>
      <w:r>
        <w:lastRenderedPageBreak/>
        <w:t>Adam has over 20 years of public sector experience at state and federal levels, including four years as Secretary of the Victorian Department of Environment, Land, Water &amp; Planning and prior to that the Department of Environment &amp; Primary Industries. Adam has worked in the private sector as a partner with advisory firm Ernst &amp; Young. Adam has served on several boards including the Institute of Public Administration Australia (IPAA</w:t>
      </w:r>
      <w:r w:rsidR="008F439D">
        <w:t xml:space="preserve"> </w:t>
      </w:r>
      <w:r>
        <w:t>Victoria), Infrastructure Victoria, Monash Sustainable Development Institute and Women &amp; Leadership Australia.</w:t>
      </w:r>
    </w:p>
    <w:p w14:paraId="3C37D4CE" w14:textId="05E5F79F" w:rsidR="007D2968" w:rsidRDefault="007D2968" w:rsidP="007D2968">
      <w:pPr>
        <w:pStyle w:val="Body"/>
      </w:pPr>
      <w:r>
        <w:t>Adam is a fellow of IPAA Victoria</w:t>
      </w:r>
      <w:r w:rsidR="008F439D">
        <w:t xml:space="preserve"> </w:t>
      </w:r>
      <w:r>
        <w:t xml:space="preserve">and a member of the Champions of Change network. In 2018, he received a </w:t>
      </w:r>
      <w:r w:rsidR="008F439D">
        <w:t>public service medal</w:t>
      </w:r>
      <w:r>
        <w:t xml:space="preserve"> for leadership in the Victorian public sector.</w:t>
      </w:r>
    </w:p>
    <w:p w14:paraId="0C4F4F5D" w14:textId="07821426" w:rsidR="007D2968" w:rsidRDefault="007D2968" w:rsidP="007D2968">
      <w:pPr>
        <w:pStyle w:val="Heading30"/>
        <w:rPr>
          <w:rStyle w:val="Heading3Char"/>
        </w:rPr>
      </w:pPr>
      <w:r>
        <w:t>Depu</w:t>
      </w:r>
      <w:r w:rsidRPr="007D2968">
        <w:rPr>
          <w:rStyle w:val="Heading3Char"/>
        </w:rPr>
        <w:t>ty Commissioner</w:t>
      </w:r>
    </w:p>
    <w:p w14:paraId="2064DA29" w14:textId="77777777" w:rsidR="007D2968" w:rsidRDefault="007D2968" w:rsidP="007D2968">
      <w:pPr>
        <w:pStyle w:val="Body"/>
      </w:pPr>
      <w:r>
        <w:t>Julia Griffith PSM is the Deputy Commissioner of the Victorian Public Sector Commission. She joined the Commission in June 2019.</w:t>
      </w:r>
    </w:p>
    <w:p w14:paraId="581215AF" w14:textId="77777777" w:rsidR="007D2968" w:rsidRDefault="007D2968" w:rsidP="007D2968">
      <w:pPr>
        <w:pStyle w:val="Body"/>
      </w:pPr>
      <w:r>
        <w:t>She has more than 30 years’ experience in the Victorian public service, during which time she has been Deputy Secretary or Executive Director in a range of justice portfolios including Youth Justice, Police, Corrections, Crime Prevention, Victims Services and the Infringements System.</w:t>
      </w:r>
    </w:p>
    <w:p w14:paraId="244BA097" w14:textId="62593EA4" w:rsidR="007D2968" w:rsidRDefault="007D2968" w:rsidP="007D2968">
      <w:pPr>
        <w:pStyle w:val="Body"/>
      </w:pPr>
      <w:r>
        <w:t>Julia was also responsible for leading the Victorian government’s employment programs for disadvantaged job seekers and redeveloping child protection placement and support services. Her career achievements have been built on a strong background in youth work, research, training and community development.</w:t>
      </w:r>
    </w:p>
    <w:p w14:paraId="14C4F60B" w14:textId="34405138" w:rsidR="008F439D" w:rsidRDefault="008F439D" w:rsidP="007D2968">
      <w:pPr>
        <w:pStyle w:val="Body"/>
      </w:pPr>
      <w:r>
        <w:t xml:space="preserve">In </w:t>
      </w:r>
      <w:r w:rsidR="006875D7" w:rsidRPr="006875D7">
        <w:t>2018</w:t>
      </w:r>
      <w:r w:rsidR="00A75E58">
        <w:t xml:space="preserve"> </w:t>
      </w:r>
      <w:r>
        <w:t>Julia received a public service medal for leadership in the Victorian public sector.</w:t>
      </w:r>
    </w:p>
    <w:p w14:paraId="77E22082" w14:textId="77777777" w:rsidR="00073FD5" w:rsidRDefault="00073FD5">
      <w:pPr>
        <w:spacing w:after="0" w:line="240" w:lineRule="auto"/>
        <w:rPr>
          <w:rFonts w:cstheme="majorBidi"/>
          <w:color w:val="53565A"/>
          <w:sz w:val="28"/>
          <w:szCs w:val="28"/>
        </w:rPr>
      </w:pPr>
      <w:r>
        <w:br w:type="page"/>
      </w:r>
    </w:p>
    <w:p w14:paraId="05E09DBD" w14:textId="503E0F69" w:rsidR="001B0C0A" w:rsidRDefault="001B0C0A" w:rsidP="00C654C3">
      <w:pPr>
        <w:pStyle w:val="Heading30"/>
      </w:pPr>
      <w:r>
        <w:lastRenderedPageBreak/>
        <w:t>Organisational chart</w:t>
      </w:r>
    </w:p>
    <w:p w14:paraId="159EB880" w14:textId="77777777" w:rsidR="00237B51" w:rsidRDefault="00237B51" w:rsidP="00237B51">
      <w:pPr>
        <w:pStyle w:val="Body"/>
      </w:pPr>
    </w:p>
    <w:p w14:paraId="6B6E5EC8" w14:textId="5DC01D5D" w:rsidR="00237B51" w:rsidRDefault="00237B51" w:rsidP="00A264BC">
      <w:pPr>
        <w:pStyle w:val="Body"/>
      </w:pPr>
      <w:r>
        <w:rPr>
          <w:noProof/>
        </w:rPr>
        <w:drawing>
          <wp:inline distT="0" distB="0" distL="0" distR="0" wp14:anchorId="2E336A01" wp14:editId="47BDFE3A">
            <wp:extent cx="5939790" cy="3218180"/>
            <wp:effectExtent l="0" t="0" r="3810" b="1270"/>
            <wp:docPr id="2" name="Picture 2" descr="This chart shows the organisational structure of the Commission. The Commissioner is supported by the Deputy Commissioner. There are 6 branches: People and Analytics, Victorian leadership Academy, Workforce and Engagement, Integrity and Advisory, Governance and Corporate, and the Jobs and Skills Exchange. Each branch is led by a Director or Executive Director. There are 3 to 5 workgroups within each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shows the organisational structure of the Commission. The Commissioner is supported by the Deputy Commissioner. There are 6 branches: People and Analytics, Victorian leadership Academy, Workforce and Engagement, Integrity and Advisory, Governance and Corporate, and the Jobs and Skills Exchange. Each branch is led by a Director or Executive Director. There are 3 to 5 workgroups within each branch."/>
                    <pic:cNvPicPr/>
                  </pic:nvPicPr>
                  <pic:blipFill>
                    <a:blip r:embed="rId32"/>
                    <a:stretch>
                      <a:fillRect/>
                    </a:stretch>
                  </pic:blipFill>
                  <pic:spPr>
                    <a:xfrm>
                      <a:off x="0" y="0"/>
                      <a:ext cx="5939790" cy="3218180"/>
                    </a:xfrm>
                    <a:prstGeom prst="rect">
                      <a:avLst/>
                    </a:prstGeom>
                  </pic:spPr>
                </pic:pic>
              </a:graphicData>
            </a:graphic>
          </wp:inline>
        </w:drawing>
      </w:r>
    </w:p>
    <w:p w14:paraId="1FCA5FEF" w14:textId="0518CB4A" w:rsidR="00D2354F" w:rsidRDefault="00D2354F" w:rsidP="001B0C0A">
      <w:pPr>
        <w:pStyle w:val="Heading20"/>
      </w:pPr>
    </w:p>
    <w:p w14:paraId="7AB60956" w14:textId="2986CEB6" w:rsidR="0040140D" w:rsidRPr="00C521D5" w:rsidRDefault="009F3FBC">
      <w:pPr>
        <w:pStyle w:val="Heading20"/>
      </w:pPr>
      <w:r>
        <w:br w:type="page"/>
      </w:r>
      <w:r w:rsidR="0040140D">
        <w:lastRenderedPageBreak/>
        <w:t>Governance</w:t>
      </w:r>
    </w:p>
    <w:p w14:paraId="4F58C05E" w14:textId="3F591FD0" w:rsidR="009F3FBC" w:rsidRDefault="00523B6A" w:rsidP="00523B6A">
      <w:pPr>
        <w:pStyle w:val="Body"/>
      </w:pPr>
      <w:r w:rsidRPr="00523B6A">
        <w:t>The Commission is a statutory authority</w:t>
      </w:r>
      <w:r>
        <w:t xml:space="preserve"> </w:t>
      </w:r>
      <w:r w:rsidRPr="00523B6A">
        <w:t xml:space="preserve">accountable to the </w:t>
      </w:r>
      <w:r w:rsidR="000528F3">
        <w:t>Minister for Government Services.</w:t>
      </w:r>
      <w:r w:rsidR="00FC7BB2">
        <w:t xml:space="preserve"> </w:t>
      </w:r>
      <w:r w:rsidR="00E33F6C">
        <w:t xml:space="preserve">Our integrity functions are independent from Ministerial direction or control. </w:t>
      </w:r>
    </w:p>
    <w:p w14:paraId="286FABC3" w14:textId="75BF84DB" w:rsidR="00523B6A" w:rsidRDefault="00523B6A" w:rsidP="00523B6A">
      <w:pPr>
        <w:pStyle w:val="Body"/>
      </w:pPr>
      <w:r w:rsidRPr="00523B6A">
        <w:t>For administrative arrangements, we are</w:t>
      </w:r>
      <w:r>
        <w:t xml:space="preserve"> </w:t>
      </w:r>
      <w:r w:rsidRPr="00523B6A">
        <w:t>supported by the Department of Premier and</w:t>
      </w:r>
      <w:r>
        <w:t xml:space="preserve"> </w:t>
      </w:r>
      <w:r w:rsidRPr="00523B6A">
        <w:t>Cabinet. Our work is complementary, and we</w:t>
      </w:r>
      <w:r>
        <w:t xml:space="preserve"> </w:t>
      </w:r>
      <w:r w:rsidRPr="00523B6A">
        <w:t>align in pursuit of providing central coordination,</w:t>
      </w:r>
      <w:r>
        <w:t xml:space="preserve"> </w:t>
      </w:r>
      <w:r w:rsidRPr="00523B6A">
        <w:t>leadership and stewardship of the public sector.</w:t>
      </w:r>
      <w:r>
        <w:t xml:space="preserve"> </w:t>
      </w:r>
    </w:p>
    <w:p w14:paraId="0A5CFEBF" w14:textId="55A241A3" w:rsidR="00523B6A" w:rsidRDefault="00523B6A" w:rsidP="00523B6A">
      <w:pPr>
        <w:pStyle w:val="Heading30"/>
      </w:pPr>
      <w:r w:rsidRPr="00023CDD">
        <w:t xml:space="preserve">Advisory </w:t>
      </w:r>
      <w:r w:rsidRPr="00523B6A">
        <w:t>Board</w:t>
      </w:r>
    </w:p>
    <w:p w14:paraId="799B1FF3" w14:textId="0F9BC363" w:rsidR="00622284" w:rsidRDefault="00811747" w:rsidP="00523B6A">
      <w:pPr>
        <w:pStyle w:val="Body"/>
        <w:rPr>
          <w:rStyle w:val="normaltextrun"/>
          <w:rFonts w:ascii="Cambria" w:hAnsi="Cambria" w:cs="Cambria"/>
        </w:rPr>
      </w:pPr>
      <w:r>
        <w:rPr>
          <w:rStyle w:val="normaltextrun"/>
        </w:rPr>
        <w:t xml:space="preserve">The Commission’s Advisory Board </w:t>
      </w:r>
      <w:r w:rsidR="000528F3">
        <w:rPr>
          <w:rStyle w:val="normaltextrun"/>
        </w:rPr>
        <w:t xml:space="preserve">currently </w:t>
      </w:r>
      <w:r>
        <w:rPr>
          <w:rStyle w:val="normaltextrun"/>
        </w:rPr>
        <w:t xml:space="preserve">consists of the Secretary, Department of Premier and Cabinet </w:t>
      </w:r>
      <w:r w:rsidR="00E90B86">
        <w:rPr>
          <w:rStyle w:val="normaltextrun"/>
        </w:rPr>
        <w:t>as chairperson</w:t>
      </w:r>
      <w:r w:rsidR="000528F3">
        <w:rPr>
          <w:rStyle w:val="normaltextrun"/>
        </w:rPr>
        <w:t>. The Minister for Government Services</w:t>
      </w:r>
      <w:r w:rsidR="00E90B86">
        <w:rPr>
          <w:rStyle w:val="normaltextrun"/>
        </w:rPr>
        <w:t xml:space="preserve"> </w:t>
      </w:r>
      <w:r w:rsidR="000528F3">
        <w:rPr>
          <w:rStyle w:val="normaltextrun"/>
        </w:rPr>
        <w:t>may appoint</w:t>
      </w:r>
      <w:r>
        <w:rPr>
          <w:rStyle w:val="normaltextrun"/>
        </w:rPr>
        <w:t xml:space="preserve"> </w:t>
      </w:r>
      <w:r w:rsidR="00E90B86">
        <w:rPr>
          <w:rStyle w:val="normaltextrun"/>
        </w:rPr>
        <w:t xml:space="preserve">up to 7 </w:t>
      </w:r>
      <w:r>
        <w:rPr>
          <w:rStyle w:val="normaltextrun"/>
        </w:rPr>
        <w:t>other members</w:t>
      </w:r>
      <w:r w:rsidR="000528F3">
        <w:rPr>
          <w:rStyle w:val="normaltextrun"/>
        </w:rPr>
        <w:t>.</w:t>
      </w:r>
    </w:p>
    <w:p w14:paraId="1BB859E2" w14:textId="4B49B799" w:rsidR="00523B6A" w:rsidRPr="00A6080F" w:rsidRDefault="00523B6A" w:rsidP="00523B6A">
      <w:pPr>
        <w:pStyle w:val="Body"/>
        <w:rPr>
          <w:rStyle w:val="normaltextrun"/>
          <w:rFonts w:ascii="Cambria" w:hAnsi="Cambria" w:cs="Cambria"/>
        </w:rPr>
      </w:pPr>
      <w:r w:rsidRPr="00523B6A">
        <w:rPr>
          <w:rStyle w:val="eop"/>
          <w:rFonts w:ascii="Times New Roman" w:hAnsi="Times New Roman"/>
        </w:rPr>
        <w:t>​</w:t>
      </w:r>
      <w:r w:rsidRPr="00523B6A">
        <w:t>The Board’s</w:t>
      </w:r>
      <w:r w:rsidRPr="00523B6A">
        <w:rPr>
          <w:rStyle w:val="normaltextrun"/>
        </w:rPr>
        <w:t xml:space="preserve"> role is to provide strategic advice </w:t>
      </w:r>
      <w:r w:rsidR="008A0BEB">
        <w:rPr>
          <w:rStyle w:val="normaltextrun"/>
        </w:rPr>
        <w:t>on</w:t>
      </w:r>
      <w:r w:rsidRPr="00523B6A">
        <w:rPr>
          <w:rStyle w:val="normaltextrun"/>
        </w:rPr>
        <w:t xml:space="preserve"> matters relevant to the objectives</w:t>
      </w:r>
      <w:r w:rsidR="00811747">
        <w:rPr>
          <w:rStyle w:val="normaltextrun"/>
        </w:rPr>
        <w:t xml:space="preserve">, </w:t>
      </w:r>
      <w:r w:rsidRPr="00523B6A">
        <w:rPr>
          <w:rStyle w:val="normaltextrun"/>
        </w:rPr>
        <w:t xml:space="preserve">functions </w:t>
      </w:r>
      <w:r w:rsidR="00811747">
        <w:rPr>
          <w:rStyle w:val="normaltextrun"/>
        </w:rPr>
        <w:t xml:space="preserve">and strategy </w:t>
      </w:r>
      <w:r w:rsidRPr="00523B6A">
        <w:rPr>
          <w:rStyle w:val="normaltextrun"/>
        </w:rPr>
        <w:t>of the Commission.</w:t>
      </w:r>
      <w:r w:rsidR="00A6080F">
        <w:rPr>
          <w:rFonts w:ascii="Cambria" w:hAnsi="Cambria" w:cs="Cambria"/>
        </w:rPr>
        <w:t xml:space="preserve"> </w:t>
      </w:r>
      <w:r w:rsidRPr="00523B6A">
        <w:rPr>
          <w:rStyle w:val="normaltextrun"/>
        </w:rPr>
        <w:t xml:space="preserve">The Commissioner may liaise with the Minister for Government Services and </w:t>
      </w:r>
      <w:r w:rsidR="00622284">
        <w:rPr>
          <w:rStyle w:val="normaltextrun"/>
        </w:rPr>
        <w:t>Secretary, Department of Premier and Cabinet</w:t>
      </w:r>
      <w:r w:rsidRPr="00523B6A">
        <w:rPr>
          <w:rStyle w:val="normaltextrun"/>
        </w:rPr>
        <w:t xml:space="preserve"> on the f</w:t>
      </w:r>
      <w:r w:rsidR="008A0BEB">
        <w:rPr>
          <w:rStyle w:val="normaltextrun"/>
        </w:rPr>
        <w:t>uture</w:t>
      </w:r>
      <w:r w:rsidRPr="00523B6A">
        <w:rPr>
          <w:rStyle w:val="normaltextrun"/>
        </w:rPr>
        <w:t xml:space="preserve"> operation of the Board.</w:t>
      </w:r>
    </w:p>
    <w:p w14:paraId="0D9D82FA" w14:textId="1C37C257" w:rsidR="00EC7CB9" w:rsidRDefault="00EC7CB9" w:rsidP="00EC7CB9">
      <w:pPr>
        <w:pStyle w:val="Heading30"/>
        <w:rPr>
          <w:rStyle w:val="normaltextrun"/>
        </w:rPr>
      </w:pPr>
      <w:r>
        <w:rPr>
          <w:rStyle w:val="normaltextrun"/>
        </w:rPr>
        <w:t>Audit and risk management committee</w:t>
      </w:r>
    </w:p>
    <w:p w14:paraId="222747B8" w14:textId="246B03E7" w:rsidR="00EC7CB9" w:rsidRDefault="000D36E0" w:rsidP="00EC7CB9">
      <w:pPr>
        <w:pStyle w:val="Body"/>
      </w:pPr>
      <w:r>
        <w:t>The Commission has an audit and risk management committee. The chairperson is Greg Wilson. Other members include Shaun Condron and Stephen Bourchier.</w:t>
      </w:r>
    </w:p>
    <w:p w14:paraId="00106BD1" w14:textId="246DC2B5" w:rsidR="004C0B70" w:rsidRDefault="004C0B70" w:rsidP="00EC7CB9">
      <w:pPr>
        <w:pStyle w:val="Body"/>
      </w:pPr>
      <w:r>
        <w:t>The committee is responsible for:</w:t>
      </w:r>
    </w:p>
    <w:p w14:paraId="22433AA2" w14:textId="57C0B694" w:rsidR="004C0B70" w:rsidRPr="004C0B70" w:rsidRDefault="004C0B70" w:rsidP="004C0B70">
      <w:pPr>
        <w:pStyle w:val="Bullet1"/>
      </w:pPr>
      <w:r>
        <w:t>improving the Commission’s effectiveness and efficiency</w:t>
      </w:r>
    </w:p>
    <w:p w14:paraId="2A110C3A" w14:textId="2147882C" w:rsidR="004C0B70" w:rsidRPr="004C0B70" w:rsidRDefault="004C0B70" w:rsidP="004C0B70">
      <w:pPr>
        <w:pStyle w:val="Bullet1"/>
      </w:pPr>
      <w:r>
        <w:t>ensuring compliance</w:t>
      </w:r>
      <w:r w:rsidRPr="004C0B70">
        <w:t xml:space="preserve"> with applicable laws and regulations</w:t>
      </w:r>
      <w:r w:rsidRPr="004C0B70">
        <w:rPr>
          <w:rFonts w:ascii="Cambria" w:hAnsi="Cambria" w:cs="Cambria"/>
        </w:rPr>
        <w:t> </w:t>
      </w:r>
    </w:p>
    <w:p w14:paraId="1BCC75E0" w14:textId="48DD8883" w:rsidR="007E45F6" w:rsidRDefault="007E45F6" w:rsidP="007E45F6">
      <w:pPr>
        <w:pStyle w:val="Bullet1"/>
      </w:pPr>
      <w:r>
        <w:t xml:space="preserve">coordinating </w:t>
      </w:r>
      <w:r w:rsidR="004C0B70">
        <w:t>audits</w:t>
      </w:r>
      <w:r w:rsidR="002E51E7">
        <w:t xml:space="preserve">, considering </w:t>
      </w:r>
      <w:r w:rsidR="004C0B70">
        <w:t>recommendations</w:t>
      </w:r>
      <w:r w:rsidR="002E51E7">
        <w:t xml:space="preserve"> and implementing actions</w:t>
      </w:r>
    </w:p>
    <w:p w14:paraId="3273B82E" w14:textId="2F77CDB3" w:rsidR="007E45F6" w:rsidRDefault="002E51E7" w:rsidP="004C0B70">
      <w:pPr>
        <w:pStyle w:val="Bullet1"/>
      </w:pPr>
      <w:r>
        <w:t>overseeing operation of the risk management framework</w:t>
      </w:r>
    </w:p>
    <w:p w14:paraId="21D36A3B" w14:textId="35A17F2B" w:rsidR="004C0B70" w:rsidRDefault="002E51E7" w:rsidP="004C0B70">
      <w:pPr>
        <w:pStyle w:val="Bullet1"/>
      </w:pPr>
      <w:r>
        <w:t>reviewing the annual report and</w:t>
      </w:r>
      <w:r w:rsidR="007E45F6">
        <w:t xml:space="preserve"> financial information</w:t>
      </w:r>
      <w:r w:rsidR="004C0B70">
        <w:t>.</w:t>
      </w:r>
    </w:p>
    <w:p w14:paraId="0F9861CD" w14:textId="003CD7C5" w:rsidR="00670FFB" w:rsidRDefault="00951167" w:rsidP="00670FFB">
      <w:pPr>
        <w:pStyle w:val="Bullet1"/>
        <w:numPr>
          <w:ilvl w:val="0"/>
          <w:numId w:val="0"/>
        </w:numPr>
      </w:pPr>
      <w:r>
        <w:t>The</w:t>
      </w:r>
      <w:r w:rsidR="00670FFB">
        <w:t xml:space="preserve"> Commission’s internal response to the COVID-19 pandemic</w:t>
      </w:r>
      <w:r>
        <w:t xml:space="preserve"> was audited</w:t>
      </w:r>
      <w:r w:rsidR="00670FFB">
        <w:t>.</w:t>
      </w:r>
    </w:p>
    <w:p w14:paraId="274EF589" w14:textId="77777777" w:rsidR="009F3FBC" w:rsidRDefault="009F3FBC">
      <w:pPr>
        <w:spacing w:after="0" w:line="240" w:lineRule="auto"/>
      </w:pPr>
      <w:r>
        <w:br w:type="page"/>
      </w:r>
    </w:p>
    <w:p w14:paraId="2791D40C" w14:textId="392E4F06" w:rsidR="00D0425D" w:rsidRDefault="00D0425D" w:rsidP="00670FFB">
      <w:pPr>
        <w:pStyle w:val="Bullet1"/>
        <w:numPr>
          <w:ilvl w:val="0"/>
          <w:numId w:val="0"/>
        </w:numPr>
      </w:pPr>
      <w:r>
        <w:lastRenderedPageBreak/>
        <w:t>The audit concluded:</w:t>
      </w:r>
    </w:p>
    <w:p w14:paraId="3442B468" w14:textId="295FE278" w:rsidR="00D0425D" w:rsidRDefault="00D0425D" w:rsidP="00D0425D">
      <w:pPr>
        <w:pStyle w:val="Bullet1"/>
      </w:pPr>
      <w:r>
        <w:t>we have established adequate policies, procedures and safety measures to mitigate pandemic related health and safety risks in the workplace and from a remote working perspective</w:t>
      </w:r>
    </w:p>
    <w:p w14:paraId="3A2E82A5" w14:textId="1644DF4D" w:rsidR="00D0425D" w:rsidRDefault="00D0425D" w:rsidP="00D0425D">
      <w:pPr>
        <w:pStyle w:val="Bullet1"/>
      </w:pPr>
      <w:r>
        <w:t>we have implemented a robust response framework wher</w:t>
      </w:r>
      <w:r w:rsidR="006706FD">
        <w:t>e processes are reviewed and updated regularly to comply with the Victorian Government’s health advice</w:t>
      </w:r>
    </w:p>
    <w:p w14:paraId="6B37465E" w14:textId="74818D7E" w:rsidR="006706FD" w:rsidRDefault="006706FD" w:rsidP="00D0425D">
      <w:pPr>
        <w:pStyle w:val="Bullet1"/>
      </w:pPr>
      <w:r>
        <w:t>our people are kept informed of any changes to processes and encouraged to stay connected and share their concerns and feedback to management.</w:t>
      </w:r>
    </w:p>
    <w:p w14:paraId="291E101D" w14:textId="08857A45" w:rsidR="006706FD" w:rsidRDefault="006706FD" w:rsidP="006706FD">
      <w:pPr>
        <w:pStyle w:val="Bullet1"/>
        <w:numPr>
          <w:ilvl w:val="0"/>
          <w:numId w:val="0"/>
        </w:numPr>
      </w:pPr>
      <w:r>
        <w:t>We will record learnings to continuously improve our systems, policies and procedures, including return to workplace operations.</w:t>
      </w:r>
    </w:p>
    <w:p w14:paraId="76FD6AAC" w14:textId="51219A86" w:rsidR="0040140D" w:rsidRDefault="005A4A6F" w:rsidP="0040140D">
      <w:pPr>
        <w:pStyle w:val="Heading20"/>
      </w:pPr>
      <w:r>
        <w:t>Our people</w:t>
      </w:r>
    </w:p>
    <w:p w14:paraId="435552E0" w14:textId="77777777" w:rsidR="00A119FF" w:rsidRDefault="00A119FF" w:rsidP="00523B6A">
      <w:pPr>
        <w:pStyle w:val="Body"/>
      </w:pPr>
      <w:r>
        <w:t xml:space="preserve">We </w:t>
      </w:r>
      <w:r w:rsidR="00991BB8">
        <w:t>upskill and engage our people, supporting and enabling</w:t>
      </w:r>
      <w:r>
        <w:t xml:space="preserve"> them to deliver on the Commission’s vision. </w:t>
      </w:r>
    </w:p>
    <w:p w14:paraId="76849D37" w14:textId="15371BE8" w:rsidR="00523B6A" w:rsidRDefault="00E90B86" w:rsidP="00523B6A">
      <w:pPr>
        <w:pStyle w:val="Body"/>
      </w:pPr>
      <w:r>
        <w:t xml:space="preserve">We </w:t>
      </w:r>
      <w:r w:rsidR="00A119FF">
        <w:t>do this</w:t>
      </w:r>
      <w:r>
        <w:t xml:space="preserve"> by:</w:t>
      </w:r>
    </w:p>
    <w:p w14:paraId="5BD7B831" w14:textId="46B3FD60" w:rsidR="00523B6A" w:rsidRDefault="00523B6A" w:rsidP="00523B6A">
      <w:pPr>
        <w:pStyle w:val="Bullet1"/>
      </w:pPr>
      <w:r>
        <w:t>develop</w:t>
      </w:r>
      <w:r w:rsidR="00E90B86">
        <w:t>ing</w:t>
      </w:r>
      <w:r>
        <w:t xml:space="preserve"> capabilities</w:t>
      </w:r>
    </w:p>
    <w:p w14:paraId="570FE2D4" w14:textId="7114D500" w:rsidR="00523B6A" w:rsidRDefault="00523B6A" w:rsidP="00523B6A">
      <w:pPr>
        <w:pStyle w:val="Bullet1"/>
      </w:pPr>
      <w:r>
        <w:t>enrich</w:t>
      </w:r>
      <w:r w:rsidR="00E90B86">
        <w:t>ing</w:t>
      </w:r>
      <w:r>
        <w:t xml:space="preserve"> culture</w:t>
      </w:r>
    </w:p>
    <w:p w14:paraId="70836FC1" w14:textId="6F7C1DE5" w:rsidR="00523B6A" w:rsidRDefault="00523B6A" w:rsidP="00523B6A">
      <w:pPr>
        <w:pStyle w:val="Bullet1"/>
      </w:pPr>
      <w:r>
        <w:t>connect</w:t>
      </w:r>
      <w:r w:rsidR="00E90B86">
        <w:t>ing</w:t>
      </w:r>
      <w:r>
        <w:t xml:space="preserve"> people.</w:t>
      </w:r>
    </w:p>
    <w:p w14:paraId="2B5F5947" w14:textId="0C11B684" w:rsidR="00523B6A" w:rsidRDefault="00523B6A" w:rsidP="00523B6A">
      <w:pPr>
        <w:pStyle w:val="Heading30"/>
      </w:pPr>
      <w:r>
        <w:t>Develop</w:t>
      </w:r>
      <w:r w:rsidR="00843654">
        <w:t xml:space="preserve">ing </w:t>
      </w:r>
      <w:r>
        <w:t xml:space="preserve">capabilities </w:t>
      </w:r>
    </w:p>
    <w:p w14:paraId="58902C35" w14:textId="1131D8F4" w:rsidR="00523B6A" w:rsidRDefault="00523B6A" w:rsidP="00C654C3">
      <w:pPr>
        <w:pStyle w:val="Body"/>
      </w:pPr>
      <w:r>
        <w:t xml:space="preserve">We develop the leadership, management and communication capabilities of our people to enable them to achieve the Commission’s vision and </w:t>
      </w:r>
      <w:r w:rsidR="00843654">
        <w:t>goals</w:t>
      </w:r>
      <w:r>
        <w:t>.</w:t>
      </w:r>
    </w:p>
    <w:p w14:paraId="2B717501" w14:textId="24E3D9B6" w:rsidR="00BD014C" w:rsidRDefault="003B4958" w:rsidP="00C654C3">
      <w:pPr>
        <w:pStyle w:val="Body"/>
      </w:pPr>
      <w:r>
        <w:t xml:space="preserve">This year, </w:t>
      </w:r>
      <w:r w:rsidR="00D177C8">
        <w:t>our people were trained in:</w:t>
      </w:r>
    </w:p>
    <w:p w14:paraId="1944D317" w14:textId="77777777" w:rsidR="003B4958" w:rsidRDefault="00D3244D" w:rsidP="003B4958">
      <w:pPr>
        <w:pStyle w:val="Bullet1"/>
      </w:pPr>
      <w:r>
        <w:t>writing to influence</w:t>
      </w:r>
      <w:r w:rsidR="003B4958">
        <w:t xml:space="preserve"> and </w:t>
      </w:r>
      <w:r w:rsidR="00BD014C">
        <w:t>writing for the web</w:t>
      </w:r>
    </w:p>
    <w:p w14:paraId="105D0B80" w14:textId="77777777" w:rsidR="003B4958" w:rsidRDefault="00D3244D" w:rsidP="003B4958">
      <w:pPr>
        <w:pStyle w:val="Bullet1"/>
      </w:pPr>
      <w:r>
        <w:t>critical and analytical skills</w:t>
      </w:r>
    </w:p>
    <w:p w14:paraId="6F2EB5F1" w14:textId="77777777" w:rsidR="003B4958" w:rsidRDefault="00D3244D" w:rsidP="003B4958">
      <w:pPr>
        <w:pStyle w:val="Bullet1"/>
      </w:pPr>
      <w:r>
        <w:t>data literacy</w:t>
      </w:r>
    </w:p>
    <w:p w14:paraId="13C85B79" w14:textId="4AF06CDC" w:rsidR="003B4958" w:rsidRDefault="003B4958" w:rsidP="003B4958">
      <w:pPr>
        <w:pStyle w:val="Bullet1"/>
      </w:pPr>
      <w:r>
        <w:t>administering the Freedom of Information Act.</w:t>
      </w:r>
    </w:p>
    <w:p w14:paraId="4458C2C7" w14:textId="6F9D92BB" w:rsidR="00BD014C" w:rsidRDefault="00563903" w:rsidP="003B4958">
      <w:pPr>
        <w:pStyle w:val="Bullet1"/>
        <w:numPr>
          <w:ilvl w:val="0"/>
          <w:numId w:val="0"/>
        </w:numPr>
      </w:pPr>
      <w:r>
        <w:t xml:space="preserve">We </w:t>
      </w:r>
      <w:r w:rsidR="00BD014C">
        <w:t xml:space="preserve">also </w:t>
      </w:r>
      <w:r>
        <w:t xml:space="preserve">developed </w:t>
      </w:r>
      <w:r w:rsidR="00BD014C">
        <w:t>an</w:t>
      </w:r>
      <w:r>
        <w:t xml:space="preserve"> eLearn </w:t>
      </w:r>
      <w:r w:rsidR="00BD014C">
        <w:t xml:space="preserve">unit that explains </w:t>
      </w:r>
      <w:r w:rsidR="003B4958">
        <w:t>how to</w:t>
      </w:r>
      <w:r w:rsidR="00BD014C">
        <w:t xml:space="preserve"> avoid, declar</w:t>
      </w:r>
      <w:r w:rsidR="003B4958">
        <w:t>e</w:t>
      </w:r>
      <w:r w:rsidR="00BD014C">
        <w:t xml:space="preserve"> and manag</w:t>
      </w:r>
      <w:r w:rsidR="003B4958">
        <w:t>e</w:t>
      </w:r>
      <w:r>
        <w:t xml:space="preserve"> conflicts of interest.</w:t>
      </w:r>
    </w:p>
    <w:p w14:paraId="355BF2D5" w14:textId="63A4CA66" w:rsidR="00523B6A" w:rsidRPr="00C654C3" w:rsidRDefault="00523B6A" w:rsidP="00C654C3">
      <w:pPr>
        <w:pStyle w:val="Heading30"/>
      </w:pPr>
      <w:r w:rsidRPr="00C654C3">
        <w:lastRenderedPageBreak/>
        <w:t>Enrich</w:t>
      </w:r>
      <w:r w:rsidR="00843654">
        <w:t>ing</w:t>
      </w:r>
      <w:r w:rsidRPr="00C654C3">
        <w:t xml:space="preserve"> culture</w:t>
      </w:r>
    </w:p>
    <w:p w14:paraId="2DFCD661" w14:textId="12BBA583" w:rsidR="00523B6A" w:rsidRDefault="00523B6A" w:rsidP="00C654C3">
      <w:pPr>
        <w:pStyle w:val="Body"/>
      </w:pPr>
      <w:r>
        <w:t xml:space="preserve">We respect each other and actively model the </w:t>
      </w:r>
      <w:r w:rsidR="00843654">
        <w:t>public sector</w:t>
      </w:r>
      <w:r>
        <w:t xml:space="preserve"> values to embrace diversity, </w:t>
      </w:r>
      <w:r w:rsidR="009511E7">
        <w:t>inclusion</w:t>
      </w:r>
      <w:r>
        <w:t xml:space="preserve"> and workplace flexibility.</w:t>
      </w:r>
    </w:p>
    <w:p w14:paraId="5F9ABDAE" w14:textId="4A0175E4" w:rsidR="00041CAA" w:rsidRDefault="00AF2D02" w:rsidP="00C654C3">
      <w:pPr>
        <w:pStyle w:val="Body"/>
      </w:pPr>
      <w:r>
        <w:t xml:space="preserve">This year we developed a plan for implementing the </w:t>
      </w:r>
      <w:r w:rsidR="00014F65">
        <w:t xml:space="preserve">Victorian public sector </w:t>
      </w:r>
      <w:hyperlink r:id="rId33" w:history="1">
        <w:r w:rsidR="00014F65" w:rsidRPr="00187748">
          <w:rPr>
            <w:rStyle w:val="Hyperlink"/>
          </w:rPr>
          <w:t>m</w:t>
        </w:r>
        <w:r w:rsidRPr="00187748">
          <w:rPr>
            <w:rStyle w:val="Hyperlink"/>
          </w:rPr>
          <w:t xml:space="preserve">ental </w:t>
        </w:r>
        <w:r w:rsidR="00014F65" w:rsidRPr="00187748">
          <w:rPr>
            <w:rStyle w:val="Hyperlink"/>
          </w:rPr>
          <w:t>h</w:t>
        </w:r>
        <w:r w:rsidRPr="00187748">
          <w:rPr>
            <w:rStyle w:val="Hyperlink"/>
          </w:rPr>
          <w:t xml:space="preserve">ealth and </w:t>
        </w:r>
        <w:r w:rsidR="00014F65" w:rsidRPr="00187748">
          <w:rPr>
            <w:rStyle w:val="Hyperlink"/>
          </w:rPr>
          <w:t>w</w:t>
        </w:r>
        <w:r w:rsidRPr="00187748">
          <w:rPr>
            <w:rStyle w:val="Hyperlink"/>
          </w:rPr>
          <w:t xml:space="preserve">ellbeing </w:t>
        </w:r>
        <w:r w:rsidR="00014F65" w:rsidRPr="00187748">
          <w:rPr>
            <w:rStyle w:val="Hyperlink"/>
          </w:rPr>
          <w:t>c</w:t>
        </w:r>
        <w:r w:rsidRPr="00187748">
          <w:rPr>
            <w:rStyle w:val="Hyperlink"/>
          </w:rPr>
          <w:t>harter</w:t>
        </w:r>
      </w:hyperlink>
      <w:r w:rsidR="00041CAA">
        <w:rPr>
          <w:rStyle w:val="Hyperlink"/>
          <w:u w:val="none"/>
        </w:rPr>
        <w:t xml:space="preserve"> </w:t>
      </w:r>
      <w:r w:rsidR="00041CAA" w:rsidRPr="00041CAA">
        <w:t>at the Commission</w:t>
      </w:r>
      <w:r>
        <w:t xml:space="preserve">. </w:t>
      </w:r>
      <w:r w:rsidR="00041CAA">
        <w:t xml:space="preserve">We </w:t>
      </w:r>
      <w:r w:rsidR="00187748">
        <w:t xml:space="preserve">developed a policy and guideline to build </w:t>
      </w:r>
      <w:r w:rsidR="00D177C8">
        <w:t>mental health and wellbeing</w:t>
      </w:r>
      <w:r w:rsidR="00187748">
        <w:t xml:space="preserve"> capabilit</w:t>
      </w:r>
      <w:r w:rsidR="00D177C8">
        <w:t>ies</w:t>
      </w:r>
      <w:r w:rsidR="00187748">
        <w:t xml:space="preserve">, address risk factors and support </w:t>
      </w:r>
      <w:r w:rsidR="00D177C8">
        <w:t xml:space="preserve">employees to seek help. </w:t>
      </w:r>
    </w:p>
    <w:p w14:paraId="7BF3F9A9" w14:textId="47A75C0E" w:rsidR="00253FC4" w:rsidRDefault="00D177C8" w:rsidP="00C654C3">
      <w:pPr>
        <w:pStyle w:val="Body"/>
      </w:pPr>
      <w:r>
        <w:t xml:space="preserve">We engaged En Masse to deliver </w:t>
      </w:r>
      <w:r w:rsidR="00041CAA">
        <w:t xml:space="preserve">training in </w:t>
      </w:r>
      <w:r>
        <w:t>mental health</w:t>
      </w:r>
      <w:r w:rsidR="00041CAA">
        <w:t xml:space="preserve">. </w:t>
      </w:r>
      <w:r w:rsidR="00253FC4">
        <w:t xml:space="preserve">We </w:t>
      </w:r>
      <w:r w:rsidR="00041CAA">
        <w:t>also worked with</w:t>
      </w:r>
      <w:r w:rsidR="00253FC4">
        <w:t xml:space="preserve"> Grace Papers, an Australian digital platform, to deliver online courses, tools, tips and strategies designed to help parents and carers practice </w:t>
      </w:r>
      <w:r w:rsidR="00041CAA">
        <w:t>self-care and</w:t>
      </w:r>
      <w:r w:rsidR="00253FC4">
        <w:t xml:space="preserve"> manage work life balance.</w:t>
      </w:r>
    </w:p>
    <w:p w14:paraId="3B9EDCD8" w14:textId="72925D79" w:rsidR="00041CAA" w:rsidRDefault="00041CAA" w:rsidP="00C654C3">
      <w:pPr>
        <w:pStyle w:val="Body"/>
      </w:pPr>
      <w:r>
        <w:t xml:space="preserve">Our learning and development program reflects </w:t>
      </w:r>
      <w:r w:rsidR="008B0910">
        <w:t xml:space="preserve">a focus on </w:t>
      </w:r>
      <w:r>
        <w:t>diversity and inclusion.</w:t>
      </w:r>
    </w:p>
    <w:p w14:paraId="7603E00B" w14:textId="221D3611" w:rsidR="00041CAA" w:rsidRDefault="008B0910" w:rsidP="00C654C3">
      <w:pPr>
        <w:pStyle w:val="Body"/>
      </w:pPr>
      <w:r>
        <w:t>Workshops in the program include</w:t>
      </w:r>
      <w:r w:rsidR="00006D31">
        <w:t>d</w:t>
      </w:r>
      <w:r>
        <w:t>:</w:t>
      </w:r>
    </w:p>
    <w:p w14:paraId="6071AD67" w14:textId="21659F84" w:rsidR="00041CAA" w:rsidRDefault="00041CAA" w:rsidP="00F8706A">
      <w:pPr>
        <w:pStyle w:val="Body"/>
        <w:numPr>
          <w:ilvl w:val="0"/>
          <w:numId w:val="10"/>
        </w:numPr>
      </w:pPr>
      <w:r>
        <w:t xml:space="preserve">Aboriginal cultural </w:t>
      </w:r>
      <w:r w:rsidR="008B0910">
        <w:t xml:space="preserve">awareness and </w:t>
      </w:r>
      <w:r>
        <w:t>capability</w:t>
      </w:r>
    </w:p>
    <w:p w14:paraId="4C147F87" w14:textId="7A9336A6" w:rsidR="00041CAA" w:rsidRDefault="008B0910" w:rsidP="00F8706A">
      <w:pPr>
        <w:pStyle w:val="Body"/>
        <w:numPr>
          <w:ilvl w:val="0"/>
          <w:numId w:val="10"/>
        </w:numPr>
      </w:pPr>
      <w:r>
        <w:t>d</w:t>
      </w:r>
      <w:r w:rsidR="00041CAA">
        <w:t>isability confidence</w:t>
      </w:r>
      <w:r>
        <w:t xml:space="preserve"> and workplace adjustments</w:t>
      </w:r>
      <w:r w:rsidR="000B7A1E">
        <w:t>.</w:t>
      </w:r>
    </w:p>
    <w:p w14:paraId="7CA46BD9" w14:textId="3E2D0795" w:rsidR="000B7A1E" w:rsidRDefault="000B7A1E" w:rsidP="000B7A1E">
      <w:pPr>
        <w:pStyle w:val="Body"/>
      </w:pPr>
      <w:r>
        <w:t>Orientation training includes information about:</w:t>
      </w:r>
    </w:p>
    <w:p w14:paraId="288E286B" w14:textId="022618E1" w:rsidR="00041CAA" w:rsidRDefault="008B0910" w:rsidP="00F8706A">
      <w:pPr>
        <w:pStyle w:val="Body"/>
        <w:numPr>
          <w:ilvl w:val="0"/>
          <w:numId w:val="10"/>
        </w:numPr>
      </w:pPr>
      <w:r>
        <w:t>h</w:t>
      </w:r>
      <w:r w:rsidR="00041CAA">
        <w:t>uman rights</w:t>
      </w:r>
      <w:r>
        <w:t xml:space="preserve"> and equal employment opportunity</w:t>
      </w:r>
    </w:p>
    <w:p w14:paraId="445CC20E" w14:textId="3A1CE0A4" w:rsidR="00594348" w:rsidRDefault="008B0910" w:rsidP="00F8706A">
      <w:pPr>
        <w:pStyle w:val="Body"/>
        <w:numPr>
          <w:ilvl w:val="0"/>
          <w:numId w:val="10"/>
        </w:numPr>
      </w:pPr>
      <w:r>
        <w:t>LGBTIQ</w:t>
      </w:r>
      <w:r w:rsidR="006875D7">
        <w:t xml:space="preserve"> and workplace inclusion</w:t>
      </w:r>
    </w:p>
    <w:p w14:paraId="7EED11C3" w14:textId="4ED7B58D" w:rsidR="00131033" w:rsidRDefault="008B0910" w:rsidP="00F8706A">
      <w:pPr>
        <w:pStyle w:val="Body"/>
        <w:numPr>
          <w:ilvl w:val="0"/>
          <w:numId w:val="10"/>
        </w:numPr>
      </w:pPr>
      <w:r>
        <w:t>professional obligations and respectful behaviours.</w:t>
      </w:r>
    </w:p>
    <w:p w14:paraId="0BA52450" w14:textId="24C8725C" w:rsidR="00523B6A" w:rsidRPr="00C654C3" w:rsidRDefault="00523B6A" w:rsidP="00C654C3">
      <w:pPr>
        <w:pStyle w:val="Heading30"/>
      </w:pPr>
      <w:r w:rsidRPr="00C654C3">
        <w:t>Connect</w:t>
      </w:r>
      <w:r w:rsidR="00843654">
        <w:t>ing</w:t>
      </w:r>
      <w:r w:rsidRPr="00C654C3">
        <w:t xml:space="preserve"> people</w:t>
      </w:r>
    </w:p>
    <w:p w14:paraId="57B91B02" w14:textId="1269EE68" w:rsidR="00523B6A" w:rsidRPr="00D55EC5" w:rsidRDefault="00523B6A" w:rsidP="00D55EC5">
      <w:pPr>
        <w:pStyle w:val="Body"/>
      </w:pPr>
      <w:r w:rsidRPr="00D55EC5">
        <w:t>We promote collaboration and engagement as a natural part of our work to foster responsiveness, high quality and integration.</w:t>
      </w:r>
    </w:p>
    <w:p w14:paraId="25F3200D" w14:textId="77777777" w:rsidR="00131033" w:rsidRDefault="004876A9" w:rsidP="00D55EC5">
      <w:pPr>
        <w:pStyle w:val="Body"/>
      </w:pPr>
      <w:r>
        <w:t>During COVID-19, we provided technical training</w:t>
      </w:r>
      <w:r w:rsidR="00242747">
        <w:t xml:space="preserve"> in software</w:t>
      </w:r>
      <w:r>
        <w:t xml:space="preserve"> to support remote work and hybrid teams. This included training in cyber hygiene to </w:t>
      </w:r>
      <w:r w:rsidR="00242747">
        <w:t>appropriately manage information security.</w:t>
      </w:r>
      <w:r w:rsidR="00131033">
        <w:t xml:space="preserve"> </w:t>
      </w:r>
    </w:p>
    <w:p w14:paraId="7B63C819" w14:textId="678FD428" w:rsidR="00F8706A" w:rsidRDefault="00131033" w:rsidP="00C521D5">
      <w:pPr>
        <w:pStyle w:val="Body"/>
      </w:pPr>
      <w:r>
        <w:t>When the office reopened, we provided COVIDSafe training that explained the safety measures, systems and procedures in place. This included rules for using shared spaces and collaboration rooms.</w:t>
      </w:r>
    </w:p>
    <w:p w14:paraId="312B5CB2" w14:textId="217E6FBA" w:rsidR="009349FF" w:rsidRDefault="00F8706A" w:rsidP="009A1187">
      <w:pPr>
        <w:spacing w:after="0" w:line="240" w:lineRule="auto"/>
      </w:pPr>
      <w:r>
        <w:br w:type="page"/>
      </w:r>
    </w:p>
    <w:p w14:paraId="52571843" w14:textId="359DE821" w:rsidR="009349FF" w:rsidRPr="00622554" w:rsidRDefault="009349FF" w:rsidP="009349FF">
      <w:pPr>
        <w:pStyle w:val="Separator"/>
      </w:pPr>
      <w:r w:rsidRPr="00622554">
        <w:lastRenderedPageBreak/>
        <w:t>S</w:t>
      </w:r>
      <w:r>
        <w:t>ection 3</w:t>
      </w:r>
    </w:p>
    <w:p w14:paraId="4E672E1C" w14:textId="4DB70DB1" w:rsidR="0040140D" w:rsidRDefault="000132C3" w:rsidP="0040140D">
      <w:pPr>
        <w:pStyle w:val="Heading10"/>
      </w:pPr>
      <w:bookmarkStart w:id="18" w:name="_Workforce_data"/>
      <w:bookmarkStart w:id="19" w:name="_Toc73541442"/>
      <w:bookmarkStart w:id="20" w:name="_Toc73541680"/>
      <w:bookmarkStart w:id="21" w:name="_Toc73542059"/>
      <w:bookmarkEnd w:id="18"/>
      <w:r>
        <w:t>W</w:t>
      </w:r>
      <w:r w:rsidR="0040140D">
        <w:t>orkforce data</w:t>
      </w:r>
      <w:bookmarkEnd w:id="19"/>
      <w:bookmarkEnd w:id="20"/>
      <w:bookmarkEnd w:id="21"/>
    </w:p>
    <w:p w14:paraId="6760D005" w14:textId="1CD08DAC" w:rsidR="0040140D" w:rsidRDefault="0040140D" w:rsidP="0040140D">
      <w:pPr>
        <w:pStyle w:val="Heading20"/>
      </w:pPr>
      <w:r>
        <w:t>Public sector values and employment principles</w:t>
      </w:r>
    </w:p>
    <w:p w14:paraId="63904736" w14:textId="2372E7A0" w:rsidR="00103EA5" w:rsidRDefault="00103EA5" w:rsidP="001031BB">
      <w:pPr>
        <w:pStyle w:val="Body"/>
      </w:pPr>
      <w:r>
        <w:t xml:space="preserve">The Commission’s employees adhere to the public sector values and </w:t>
      </w:r>
      <w:r w:rsidR="00DE5B23">
        <w:t>the code of conduct for Victorian public sector employees.</w:t>
      </w:r>
    </w:p>
    <w:p w14:paraId="5B443601" w14:textId="6E985B12" w:rsidR="00103EA5" w:rsidRDefault="00103EA5" w:rsidP="0018453C">
      <w:pPr>
        <w:pStyle w:val="Body"/>
      </w:pPr>
      <w:r>
        <w:t xml:space="preserve">The </w:t>
      </w:r>
      <w:r w:rsidR="00DE5B23">
        <w:t xml:space="preserve">public sector </w:t>
      </w:r>
      <w:r>
        <w:t>values are</w:t>
      </w:r>
      <w:r w:rsidR="0018453C">
        <w:t xml:space="preserve"> </w:t>
      </w:r>
      <w:r>
        <w:t>responsiveness</w:t>
      </w:r>
      <w:r w:rsidR="0018453C">
        <w:t xml:space="preserve">, </w:t>
      </w:r>
      <w:r>
        <w:t>integrity, impartiality</w:t>
      </w:r>
      <w:r w:rsidR="0018453C">
        <w:t xml:space="preserve">, </w:t>
      </w:r>
      <w:r>
        <w:t>accountability</w:t>
      </w:r>
      <w:r w:rsidR="0018453C">
        <w:t xml:space="preserve">, </w:t>
      </w:r>
      <w:r>
        <w:t>respect</w:t>
      </w:r>
      <w:r w:rsidR="0018453C">
        <w:t xml:space="preserve">, </w:t>
      </w:r>
      <w:r>
        <w:t>leadership</w:t>
      </w:r>
      <w:r w:rsidR="0018453C">
        <w:t xml:space="preserve"> and </w:t>
      </w:r>
      <w:r>
        <w:t>human rights.</w:t>
      </w:r>
    </w:p>
    <w:p w14:paraId="5882D3F7" w14:textId="409A6456" w:rsidR="00845C66" w:rsidRDefault="00CE6560" w:rsidP="001031BB">
      <w:pPr>
        <w:pStyle w:val="Body"/>
      </w:pPr>
      <w:r>
        <w:t>As an employer, w</w:t>
      </w:r>
      <w:r w:rsidR="00E33F6C">
        <w:t>e adhere to the public sector employment principles</w:t>
      </w:r>
      <w:r w:rsidR="00845C66">
        <w:t>:</w:t>
      </w:r>
    </w:p>
    <w:p w14:paraId="2300EB1B" w14:textId="426BC9D5" w:rsidR="00845C66" w:rsidRDefault="00845C66" w:rsidP="00845C66">
      <w:pPr>
        <w:pStyle w:val="Bullet1"/>
      </w:pPr>
      <w:r>
        <w:t>employment decisions are based on merit</w:t>
      </w:r>
    </w:p>
    <w:p w14:paraId="3C2ADAB4" w14:textId="436E9870" w:rsidR="00845C66" w:rsidRDefault="00845C66" w:rsidP="00845C66">
      <w:pPr>
        <w:pStyle w:val="Bullet1"/>
      </w:pPr>
      <w:r>
        <w:t>employees are treated fair</w:t>
      </w:r>
      <w:r w:rsidR="00103EA5">
        <w:t>ly</w:t>
      </w:r>
      <w:r>
        <w:t xml:space="preserve"> and reasonably</w:t>
      </w:r>
    </w:p>
    <w:p w14:paraId="3D060F85" w14:textId="5E8D2D59" w:rsidR="00845C66" w:rsidRDefault="00845C66" w:rsidP="00845C66">
      <w:pPr>
        <w:pStyle w:val="Bullet1"/>
      </w:pPr>
      <w:r>
        <w:t>equal employment opportunity is provided</w:t>
      </w:r>
    </w:p>
    <w:p w14:paraId="69118C64" w14:textId="18BD9694" w:rsidR="00845C66" w:rsidRDefault="00845C66" w:rsidP="00845C66">
      <w:pPr>
        <w:pStyle w:val="Bullet1"/>
      </w:pPr>
      <w:r>
        <w:t>human rights are upheld</w:t>
      </w:r>
    </w:p>
    <w:p w14:paraId="3C466CE1" w14:textId="01525EF6" w:rsidR="00845C66" w:rsidRDefault="00845C66" w:rsidP="00845C66">
      <w:pPr>
        <w:pStyle w:val="Bullet1"/>
      </w:pPr>
      <w:r>
        <w:t>employees have a</w:t>
      </w:r>
      <w:r w:rsidR="00CD3576">
        <w:t>n</w:t>
      </w:r>
      <w:r>
        <w:t xml:space="preserve"> avenue of redress against unfair or unreasonable treatment</w:t>
      </w:r>
    </w:p>
    <w:p w14:paraId="03F3DFBD" w14:textId="3F9C105B" w:rsidR="00845C66" w:rsidRDefault="00845C66" w:rsidP="00845C66">
      <w:pPr>
        <w:pStyle w:val="Bullet1"/>
      </w:pPr>
      <w:r>
        <w:t>career public service is fostered.</w:t>
      </w:r>
    </w:p>
    <w:p w14:paraId="41169121" w14:textId="584D470C" w:rsidR="00845C66" w:rsidRDefault="00103EA5" w:rsidP="00845C66">
      <w:pPr>
        <w:pStyle w:val="Body"/>
        <w:rPr>
          <w:lang w:eastAsia="en-AU"/>
        </w:rPr>
      </w:pPr>
      <w:r>
        <w:rPr>
          <w:lang w:eastAsia="en-AU"/>
        </w:rPr>
        <w:t>These principles</w:t>
      </w:r>
      <w:r w:rsidR="00845C66">
        <w:rPr>
          <w:lang w:eastAsia="en-AU"/>
        </w:rPr>
        <w:t xml:space="preserve"> set the right conditions for productive and harmonious working relationships by ensuring employees are treated well, have</w:t>
      </w:r>
      <w:r w:rsidR="0018453C">
        <w:rPr>
          <w:lang w:eastAsia="en-AU"/>
        </w:rPr>
        <w:t xml:space="preserve"> access to</w:t>
      </w:r>
      <w:r w:rsidR="00845C66">
        <w:rPr>
          <w:lang w:eastAsia="en-AU"/>
        </w:rPr>
        <w:t xml:space="preserve"> career opportunities and can safely raise their concerns.</w:t>
      </w:r>
    </w:p>
    <w:p w14:paraId="4081BF95" w14:textId="4D76E6E5" w:rsidR="00764D31" w:rsidRPr="001031BB" w:rsidRDefault="00103EA5" w:rsidP="001031BB">
      <w:pPr>
        <w:pStyle w:val="Body"/>
      </w:pPr>
      <w:r w:rsidRPr="001031BB">
        <w:t>Our selection process ensures that applicants are evaluated fairly and equitably on the basis of the key selection criteria and other accountabilities without discrimination.</w:t>
      </w:r>
      <w:r w:rsidR="00764D31">
        <w:t xml:space="preserve"> </w:t>
      </w:r>
      <w:r w:rsidR="00764D31" w:rsidRPr="00764D31">
        <w:t xml:space="preserve">The </w:t>
      </w:r>
      <w:r w:rsidR="00764D31">
        <w:t>Commission</w:t>
      </w:r>
      <w:r w:rsidR="00764D31" w:rsidRPr="00764D31">
        <w:t xml:space="preserve"> advised its employees on how to avoid conflicts of interest, how to respond to offers of gifts and how it deals with misconduct</w:t>
      </w:r>
      <w:r w:rsidR="00764D31">
        <w:t>.</w:t>
      </w:r>
    </w:p>
    <w:p w14:paraId="67DAF393" w14:textId="21953439" w:rsidR="0040140D" w:rsidRDefault="0040140D" w:rsidP="0040140D">
      <w:pPr>
        <w:pStyle w:val="Heading20"/>
      </w:pPr>
      <w:r>
        <w:t>Comparative workforce data</w:t>
      </w:r>
    </w:p>
    <w:p w14:paraId="6D3E9008" w14:textId="7292C93B" w:rsidR="0018453C" w:rsidRDefault="00103EA5" w:rsidP="006A53B4">
      <w:pPr>
        <w:pStyle w:val="Body"/>
      </w:pPr>
      <w:r w:rsidRPr="001031BB">
        <w:t>Employees have been correctly classified in workforce data collections.</w:t>
      </w:r>
    </w:p>
    <w:tbl>
      <w:tblPr>
        <w:tblStyle w:val="TableHorizontal"/>
        <w:tblW w:w="0" w:type="auto"/>
        <w:tblLook w:val="0420" w:firstRow="1" w:lastRow="0" w:firstColumn="0" w:lastColumn="0" w:noHBand="0" w:noVBand="1"/>
      </w:tblPr>
      <w:tblGrid>
        <w:gridCol w:w="3181"/>
        <w:gridCol w:w="1963"/>
        <w:gridCol w:w="1963"/>
        <w:gridCol w:w="1963"/>
      </w:tblGrid>
      <w:tr w:rsidR="006A53B4" w14:paraId="22AD7BE8" w14:textId="77777777" w:rsidTr="006A53B4">
        <w:trPr>
          <w:cnfStyle w:val="100000000000" w:firstRow="1" w:lastRow="0" w:firstColumn="0" w:lastColumn="0" w:oddVBand="0" w:evenVBand="0" w:oddHBand="0" w:evenHBand="0" w:firstRowFirstColumn="0" w:firstRowLastColumn="0" w:lastRowFirstColumn="0" w:lastRowLastColumn="0"/>
        </w:trPr>
        <w:tc>
          <w:tcPr>
            <w:tcW w:w="9070" w:type="dxa"/>
            <w:gridSpan w:val="4"/>
            <w:tcBorders>
              <w:bottom w:val="nil"/>
            </w:tcBorders>
          </w:tcPr>
          <w:p w14:paraId="1B22D762" w14:textId="13802079" w:rsidR="006A53B4" w:rsidRPr="006A53B4" w:rsidRDefault="006A53B4" w:rsidP="006A53B4">
            <w:pPr>
              <w:pStyle w:val="Heading30"/>
              <w:outlineLvl w:val="2"/>
              <w:rPr>
                <w:rFonts w:asciiTheme="minorHAnsi" w:hAnsiTheme="minorHAnsi"/>
              </w:rPr>
            </w:pPr>
            <w:r w:rsidRPr="006A53B4">
              <w:rPr>
                <w:rFonts w:asciiTheme="minorHAnsi" w:hAnsiTheme="minorHAnsi"/>
              </w:rPr>
              <w:lastRenderedPageBreak/>
              <w:t>Staffing trends from 2019 to 2021</w:t>
            </w:r>
          </w:p>
        </w:tc>
      </w:tr>
      <w:tr w:rsidR="00C15A86" w14:paraId="6EB34F1F" w14:textId="77777777" w:rsidTr="006A53B4">
        <w:trPr>
          <w:cnfStyle w:val="000000100000" w:firstRow="0" w:lastRow="0" w:firstColumn="0" w:lastColumn="0" w:oddVBand="0" w:evenVBand="0" w:oddHBand="1" w:evenHBand="0" w:firstRowFirstColumn="0" w:firstRowLastColumn="0" w:lastRowFirstColumn="0" w:lastRowLastColumn="0"/>
        </w:trPr>
        <w:tc>
          <w:tcPr>
            <w:tcW w:w="3181" w:type="dxa"/>
            <w:tcBorders>
              <w:bottom w:val="single" w:sz="12" w:space="0" w:color="00573F" w:themeColor="text2"/>
              <w:right w:val="nil"/>
            </w:tcBorders>
          </w:tcPr>
          <w:p w14:paraId="6D626D4D" w14:textId="58285C25" w:rsidR="00C15A86" w:rsidRPr="00973F22" w:rsidRDefault="00C15A86" w:rsidP="00F64188">
            <w:pPr>
              <w:pStyle w:val="TableHeader"/>
            </w:pPr>
          </w:p>
        </w:tc>
        <w:tc>
          <w:tcPr>
            <w:tcW w:w="1963" w:type="dxa"/>
            <w:tcBorders>
              <w:left w:val="nil"/>
              <w:bottom w:val="single" w:sz="12" w:space="0" w:color="00573F" w:themeColor="text2"/>
              <w:right w:val="nil"/>
            </w:tcBorders>
          </w:tcPr>
          <w:p w14:paraId="740814B6" w14:textId="66AC50A7" w:rsidR="00C15A86" w:rsidRPr="00973F22" w:rsidRDefault="00C15A86" w:rsidP="00F64188">
            <w:pPr>
              <w:pStyle w:val="TableHeader"/>
              <w:jc w:val="center"/>
            </w:pPr>
            <w:r>
              <w:t>2021</w:t>
            </w:r>
          </w:p>
        </w:tc>
        <w:tc>
          <w:tcPr>
            <w:tcW w:w="1963" w:type="dxa"/>
            <w:tcBorders>
              <w:left w:val="nil"/>
              <w:bottom w:val="single" w:sz="12" w:space="0" w:color="00573F" w:themeColor="text2"/>
              <w:right w:val="nil"/>
            </w:tcBorders>
          </w:tcPr>
          <w:p w14:paraId="250E33FB" w14:textId="1E63D6A1" w:rsidR="00C15A86" w:rsidRDefault="00C15A86" w:rsidP="00F64188">
            <w:pPr>
              <w:pStyle w:val="TableHeader"/>
              <w:jc w:val="center"/>
            </w:pPr>
            <w:r>
              <w:t>2020</w:t>
            </w:r>
          </w:p>
        </w:tc>
        <w:tc>
          <w:tcPr>
            <w:tcW w:w="1963" w:type="dxa"/>
            <w:tcBorders>
              <w:left w:val="nil"/>
              <w:bottom w:val="single" w:sz="12" w:space="0" w:color="00573F" w:themeColor="text2"/>
            </w:tcBorders>
          </w:tcPr>
          <w:p w14:paraId="750F8020" w14:textId="469DAD91" w:rsidR="00C15A86" w:rsidRPr="00973F22" w:rsidRDefault="00C15A86" w:rsidP="00F64188">
            <w:pPr>
              <w:pStyle w:val="TableHeader"/>
              <w:jc w:val="center"/>
            </w:pPr>
            <w:r>
              <w:t>2019</w:t>
            </w:r>
          </w:p>
        </w:tc>
      </w:tr>
      <w:tr w:rsidR="00C15A86" w14:paraId="7DF220F9" w14:textId="77777777" w:rsidTr="006A53B4">
        <w:trPr>
          <w:cnfStyle w:val="000000010000" w:firstRow="0" w:lastRow="0" w:firstColumn="0" w:lastColumn="0" w:oddVBand="0" w:evenVBand="0" w:oddHBand="0" w:evenHBand="1" w:firstRowFirstColumn="0" w:firstRowLastColumn="0" w:lastRowFirstColumn="0" w:lastRowLastColumn="0"/>
        </w:trPr>
        <w:tc>
          <w:tcPr>
            <w:tcW w:w="3181" w:type="dxa"/>
            <w:tcBorders>
              <w:top w:val="single" w:sz="12" w:space="0" w:color="00573F" w:themeColor="text2"/>
            </w:tcBorders>
          </w:tcPr>
          <w:p w14:paraId="6FEF5012" w14:textId="7A43EC47" w:rsidR="00C15A86" w:rsidRPr="00973F22" w:rsidRDefault="00C15A86" w:rsidP="00F64188">
            <w:pPr>
              <w:pStyle w:val="TableBody"/>
            </w:pPr>
            <w:r>
              <w:t xml:space="preserve">Headcount </w:t>
            </w:r>
            <w:r>
              <w:br/>
            </w:r>
            <w:r>
              <w:rPr>
                <w:sz w:val="18"/>
                <w:szCs w:val="18"/>
              </w:rPr>
              <w:t>N</w:t>
            </w:r>
            <w:r w:rsidRPr="00C15A86">
              <w:rPr>
                <w:sz w:val="18"/>
                <w:szCs w:val="18"/>
              </w:rPr>
              <w:t>ot including statutory appointments</w:t>
            </w:r>
            <w:r>
              <w:rPr>
                <w:sz w:val="18"/>
                <w:szCs w:val="18"/>
              </w:rPr>
              <w:t>.</w:t>
            </w:r>
          </w:p>
        </w:tc>
        <w:tc>
          <w:tcPr>
            <w:tcW w:w="1963" w:type="dxa"/>
            <w:tcBorders>
              <w:top w:val="single" w:sz="12" w:space="0" w:color="00573F" w:themeColor="text2"/>
            </w:tcBorders>
          </w:tcPr>
          <w:p w14:paraId="4ADFAD76" w14:textId="257356FF" w:rsidR="00C15A86" w:rsidRPr="00973F22" w:rsidRDefault="003027E6" w:rsidP="00F64188">
            <w:pPr>
              <w:pStyle w:val="TableBody"/>
              <w:jc w:val="center"/>
            </w:pPr>
            <w:r>
              <w:t>112</w:t>
            </w:r>
          </w:p>
        </w:tc>
        <w:tc>
          <w:tcPr>
            <w:tcW w:w="1963" w:type="dxa"/>
            <w:tcBorders>
              <w:top w:val="single" w:sz="12" w:space="0" w:color="00573F" w:themeColor="text2"/>
            </w:tcBorders>
          </w:tcPr>
          <w:p w14:paraId="1667B111" w14:textId="676F7A87" w:rsidR="00C15A86" w:rsidRDefault="00C15A86" w:rsidP="00F64188">
            <w:pPr>
              <w:pStyle w:val="TableBody"/>
              <w:jc w:val="center"/>
            </w:pPr>
            <w:r>
              <w:t>96</w:t>
            </w:r>
          </w:p>
        </w:tc>
        <w:tc>
          <w:tcPr>
            <w:tcW w:w="1963" w:type="dxa"/>
            <w:tcBorders>
              <w:top w:val="single" w:sz="12" w:space="0" w:color="00573F" w:themeColor="text2"/>
            </w:tcBorders>
          </w:tcPr>
          <w:p w14:paraId="020E6981" w14:textId="1FCEC92D" w:rsidR="00C15A86" w:rsidRPr="00973F22" w:rsidRDefault="00C15A86" w:rsidP="00F64188">
            <w:pPr>
              <w:pStyle w:val="TableBody"/>
              <w:jc w:val="center"/>
            </w:pPr>
            <w:r>
              <w:t>90</w:t>
            </w:r>
          </w:p>
        </w:tc>
      </w:tr>
      <w:tr w:rsidR="00C15A86" w14:paraId="5A6F806C" w14:textId="77777777" w:rsidTr="00C15A86">
        <w:trPr>
          <w:cnfStyle w:val="000000100000" w:firstRow="0" w:lastRow="0" w:firstColumn="0" w:lastColumn="0" w:oddVBand="0" w:evenVBand="0" w:oddHBand="1" w:evenHBand="0" w:firstRowFirstColumn="0" w:firstRowLastColumn="0" w:lastRowFirstColumn="0" w:lastRowLastColumn="0"/>
        </w:trPr>
        <w:tc>
          <w:tcPr>
            <w:tcW w:w="3181" w:type="dxa"/>
          </w:tcPr>
          <w:p w14:paraId="4CE7E99E" w14:textId="267D1EA5" w:rsidR="00C15A86" w:rsidRPr="00973F22" w:rsidRDefault="00C15A86" w:rsidP="00F64188">
            <w:pPr>
              <w:pStyle w:val="TableBody"/>
            </w:pPr>
            <w:r>
              <w:t>F</w:t>
            </w:r>
            <w:r w:rsidR="008D64C4">
              <w:t>ull time equivalent</w:t>
            </w:r>
          </w:p>
        </w:tc>
        <w:tc>
          <w:tcPr>
            <w:tcW w:w="1963" w:type="dxa"/>
          </w:tcPr>
          <w:p w14:paraId="77FA3839" w14:textId="5FBB2E9E" w:rsidR="00C15A86" w:rsidRPr="00973F22" w:rsidRDefault="003027E6" w:rsidP="00F64188">
            <w:pPr>
              <w:pStyle w:val="TableBody"/>
              <w:jc w:val="center"/>
            </w:pPr>
            <w:r>
              <w:t>107.18</w:t>
            </w:r>
          </w:p>
        </w:tc>
        <w:tc>
          <w:tcPr>
            <w:tcW w:w="1963" w:type="dxa"/>
          </w:tcPr>
          <w:p w14:paraId="6A28D16B" w14:textId="2DBC86BE" w:rsidR="00C15A86" w:rsidRDefault="00C15A86" w:rsidP="00F64188">
            <w:pPr>
              <w:pStyle w:val="TableBody"/>
              <w:jc w:val="center"/>
            </w:pPr>
            <w:r>
              <w:t>88.63</w:t>
            </w:r>
          </w:p>
        </w:tc>
        <w:tc>
          <w:tcPr>
            <w:tcW w:w="1963" w:type="dxa"/>
          </w:tcPr>
          <w:p w14:paraId="554BDD24" w14:textId="556EF5EB" w:rsidR="00C15A86" w:rsidRPr="00973F22" w:rsidRDefault="00C15A86" w:rsidP="00F64188">
            <w:pPr>
              <w:pStyle w:val="TableBody"/>
              <w:jc w:val="center"/>
            </w:pPr>
            <w:r>
              <w:t>85.13</w:t>
            </w:r>
          </w:p>
        </w:tc>
      </w:tr>
    </w:tbl>
    <w:p w14:paraId="506FC75C" w14:textId="51789188" w:rsidR="00CD3576" w:rsidRDefault="00CD3576" w:rsidP="00111A04">
      <w:pPr>
        <w:pStyle w:val="Heading30"/>
      </w:pPr>
    </w:p>
    <w:tbl>
      <w:tblPr>
        <w:tblStyle w:val="TableHorizontal"/>
        <w:tblW w:w="0" w:type="auto"/>
        <w:tblLook w:val="0420" w:firstRow="1" w:lastRow="0" w:firstColumn="0" w:lastColumn="0" w:noHBand="0" w:noVBand="1"/>
      </w:tblPr>
      <w:tblGrid>
        <w:gridCol w:w="2722"/>
        <w:gridCol w:w="1607"/>
        <w:gridCol w:w="1633"/>
        <w:gridCol w:w="1490"/>
        <w:gridCol w:w="1618"/>
      </w:tblGrid>
      <w:tr w:rsidR="005A6EFC" w14:paraId="7F40C4F1" w14:textId="77777777" w:rsidTr="005A6EFC">
        <w:trPr>
          <w:cnfStyle w:val="100000000000" w:firstRow="1" w:lastRow="0" w:firstColumn="0" w:lastColumn="0" w:oddVBand="0" w:evenVBand="0" w:oddHBand="0" w:evenHBand="0" w:firstRowFirstColumn="0" w:firstRowLastColumn="0" w:lastRowFirstColumn="0" w:lastRowLastColumn="0"/>
        </w:trPr>
        <w:tc>
          <w:tcPr>
            <w:tcW w:w="9070" w:type="dxa"/>
            <w:gridSpan w:val="5"/>
            <w:tcBorders>
              <w:bottom w:val="nil"/>
            </w:tcBorders>
          </w:tcPr>
          <w:p w14:paraId="646B30EC" w14:textId="3167569B" w:rsidR="005A6EFC" w:rsidRPr="005A6EFC" w:rsidRDefault="005A6EFC" w:rsidP="005A6EFC">
            <w:pPr>
              <w:pStyle w:val="Heading30"/>
              <w:outlineLvl w:val="2"/>
              <w:rPr>
                <w:rFonts w:asciiTheme="minorHAnsi" w:hAnsiTheme="minorHAnsi"/>
              </w:rPr>
            </w:pPr>
            <w:r w:rsidRPr="005A6EFC">
              <w:rPr>
                <w:rFonts w:asciiTheme="minorHAnsi" w:hAnsiTheme="minorHAnsi"/>
              </w:rPr>
              <w:lastRenderedPageBreak/>
              <w:t>Summary of employment levels as at 30 June</w:t>
            </w:r>
          </w:p>
        </w:tc>
      </w:tr>
      <w:tr w:rsidR="00C15A86" w14:paraId="429845EC" w14:textId="77777777" w:rsidTr="005A6EFC">
        <w:trPr>
          <w:cnfStyle w:val="000000100000" w:firstRow="0" w:lastRow="0" w:firstColumn="0" w:lastColumn="0" w:oddVBand="0" w:evenVBand="0" w:oddHBand="1" w:evenHBand="0" w:firstRowFirstColumn="0" w:firstRowLastColumn="0" w:lastRowFirstColumn="0" w:lastRowLastColumn="0"/>
        </w:trPr>
        <w:tc>
          <w:tcPr>
            <w:tcW w:w="2722" w:type="dxa"/>
            <w:tcBorders>
              <w:bottom w:val="single" w:sz="12" w:space="0" w:color="00573F" w:themeColor="text2"/>
              <w:right w:val="nil"/>
            </w:tcBorders>
          </w:tcPr>
          <w:p w14:paraId="4058BA30" w14:textId="77777777" w:rsidR="00C15A86" w:rsidRDefault="00C15A86" w:rsidP="00F64188">
            <w:pPr>
              <w:pStyle w:val="TableHeader"/>
            </w:pPr>
          </w:p>
        </w:tc>
        <w:tc>
          <w:tcPr>
            <w:tcW w:w="3240" w:type="dxa"/>
            <w:gridSpan w:val="2"/>
            <w:tcBorders>
              <w:left w:val="nil"/>
              <w:bottom w:val="single" w:sz="12" w:space="0" w:color="00573F" w:themeColor="text2"/>
              <w:right w:val="nil"/>
            </w:tcBorders>
          </w:tcPr>
          <w:p w14:paraId="35DE36E9" w14:textId="535AACB8" w:rsidR="00C15A86" w:rsidRDefault="00C15A86" w:rsidP="00F64188">
            <w:pPr>
              <w:pStyle w:val="TableHeader"/>
              <w:jc w:val="center"/>
            </w:pPr>
            <w:r>
              <w:t>2021</w:t>
            </w:r>
          </w:p>
        </w:tc>
        <w:tc>
          <w:tcPr>
            <w:tcW w:w="3108" w:type="dxa"/>
            <w:gridSpan w:val="2"/>
            <w:tcBorders>
              <w:left w:val="nil"/>
              <w:bottom w:val="single" w:sz="12" w:space="0" w:color="00573F" w:themeColor="text2"/>
            </w:tcBorders>
          </w:tcPr>
          <w:p w14:paraId="31D48FAA" w14:textId="01ED00BE" w:rsidR="00C15A86" w:rsidRDefault="00C15A86" w:rsidP="00F64188">
            <w:pPr>
              <w:pStyle w:val="TableHeader"/>
              <w:jc w:val="center"/>
            </w:pPr>
            <w:r>
              <w:t>2020</w:t>
            </w:r>
          </w:p>
        </w:tc>
      </w:tr>
      <w:tr w:rsidR="00C15A86" w14:paraId="0334F56F" w14:textId="77777777" w:rsidTr="005A6EFC">
        <w:trPr>
          <w:cnfStyle w:val="000000010000" w:firstRow="0" w:lastRow="0" w:firstColumn="0" w:lastColumn="0" w:oddVBand="0" w:evenVBand="0" w:oddHBand="0" w:evenHBand="1" w:firstRowFirstColumn="0" w:firstRowLastColumn="0" w:lastRowFirstColumn="0" w:lastRowLastColumn="0"/>
        </w:trPr>
        <w:tc>
          <w:tcPr>
            <w:tcW w:w="2722" w:type="dxa"/>
            <w:tcBorders>
              <w:top w:val="single" w:sz="12" w:space="0" w:color="00573F" w:themeColor="text2"/>
            </w:tcBorders>
          </w:tcPr>
          <w:p w14:paraId="5A109BED" w14:textId="77777777" w:rsidR="00C15A86" w:rsidRPr="00973F22" w:rsidRDefault="00C15A86" w:rsidP="00F64188">
            <w:pPr>
              <w:pStyle w:val="TableHeader"/>
            </w:pPr>
            <w:r>
              <w:t>Item</w:t>
            </w:r>
          </w:p>
        </w:tc>
        <w:tc>
          <w:tcPr>
            <w:tcW w:w="1607" w:type="dxa"/>
            <w:tcBorders>
              <w:top w:val="single" w:sz="12" w:space="0" w:color="00573F" w:themeColor="text2"/>
            </w:tcBorders>
          </w:tcPr>
          <w:p w14:paraId="4A3AB63A" w14:textId="4BFB1BF2" w:rsidR="00C15A86" w:rsidRPr="00973F22" w:rsidRDefault="00C15A86" w:rsidP="00F64188">
            <w:pPr>
              <w:pStyle w:val="TableHeader"/>
              <w:jc w:val="center"/>
            </w:pPr>
            <w:r>
              <w:t>Headcount</w:t>
            </w:r>
          </w:p>
        </w:tc>
        <w:tc>
          <w:tcPr>
            <w:tcW w:w="1633" w:type="dxa"/>
            <w:tcBorders>
              <w:top w:val="single" w:sz="12" w:space="0" w:color="00573F" w:themeColor="text2"/>
            </w:tcBorders>
          </w:tcPr>
          <w:p w14:paraId="496DB4D3" w14:textId="07041A52" w:rsidR="00C15A86" w:rsidRDefault="00C15A86" w:rsidP="00F64188">
            <w:pPr>
              <w:pStyle w:val="TableHeader"/>
              <w:jc w:val="center"/>
            </w:pPr>
            <w:r>
              <w:t>FTE</w:t>
            </w:r>
          </w:p>
        </w:tc>
        <w:tc>
          <w:tcPr>
            <w:tcW w:w="1490" w:type="dxa"/>
            <w:tcBorders>
              <w:top w:val="single" w:sz="12" w:space="0" w:color="00573F" w:themeColor="text2"/>
            </w:tcBorders>
          </w:tcPr>
          <w:p w14:paraId="67B0DCA8" w14:textId="267CCE47" w:rsidR="00C15A86" w:rsidRDefault="00C15A86" w:rsidP="00F64188">
            <w:pPr>
              <w:pStyle w:val="TableHeader"/>
              <w:jc w:val="center"/>
            </w:pPr>
            <w:r>
              <w:t>Headcount</w:t>
            </w:r>
          </w:p>
        </w:tc>
        <w:tc>
          <w:tcPr>
            <w:tcW w:w="1618" w:type="dxa"/>
            <w:tcBorders>
              <w:top w:val="single" w:sz="12" w:space="0" w:color="00573F" w:themeColor="text2"/>
            </w:tcBorders>
          </w:tcPr>
          <w:p w14:paraId="10BECFC2" w14:textId="3E1FAD2A" w:rsidR="00C15A86" w:rsidRPr="00973F22" w:rsidRDefault="00C15A86" w:rsidP="00F64188">
            <w:pPr>
              <w:pStyle w:val="TableHeader"/>
              <w:jc w:val="center"/>
            </w:pPr>
            <w:r>
              <w:t>FTE</w:t>
            </w:r>
          </w:p>
        </w:tc>
      </w:tr>
      <w:tr w:rsidR="00C15A86" w14:paraId="59BC52BA" w14:textId="77777777" w:rsidTr="00C15A86">
        <w:trPr>
          <w:cnfStyle w:val="000000100000" w:firstRow="0" w:lastRow="0" w:firstColumn="0" w:lastColumn="0" w:oddVBand="0" w:evenVBand="0" w:oddHBand="1" w:evenHBand="0" w:firstRowFirstColumn="0" w:firstRowLastColumn="0" w:lastRowFirstColumn="0" w:lastRowLastColumn="0"/>
        </w:trPr>
        <w:tc>
          <w:tcPr>
            <w:tcW w:w="2722" w:type="dxa"/>
          </w:tcPr>
          <w:p w14:paraId="21B86065" w14:textId="55638AE8" w:rsidR="00C15A86" w:rsidRPr="00973F22" w:rsidRDefault="00C15A86" w:rsidP="00F64188">
            <w:pPr>
              <w:pStyle w:val="TableBody"/>
            </w:pPr>
            <w:r>
              <w:t xml:space="preserve">Headcount </w:t>
            </w:r>
            <w:r>
              <w:br/>
            </w:r>
            <w:r>
              <w:rPr>
                <w:sz w:val="18"/>
                <w:szCs w:val="18"/>
              </w:rPr>
              <w:t>N</w:t>
            </w:r>
            <w:r w:rsidRPr="00C15A86">
              <w:rPr>
                <w:sz w:val="18"/>
                <w:szCs w:val="18"/>
              </w:rPr>
              <w:t>ot including statutory appointments</w:t>
            </w:r>
            <w:r>
              <w:rPr>
                <w:sz w:val="18"/>
                <w:szCs w:val="18"/>
              </w:rPr>
              <w:t>.</w:t>
            </w:r>
          </w:p>
        </w:tc>
        <w:tc>
          <w:tcPr>
            <w:tcW w:w="1607" w:type="dxa"/>
          </w:tcPr>
          <w:p w14:paraId="3956B798" w14:textId="6FEDBFA0" w:rsidR="00C15A86" w:rsidRPr="00973F22" w:rsidRDefault="003027E6" w:rsidP="00F64188">
            <w:pPr>
              <w:pStyle w:val="TableBody"/>
              <w:jc w:val="center"/>
            </w:pPr>
            <w:r>
              <w:t>112</w:t>
            </w:r>
          </w:p>
        </w:tc>
        <w:tc>
          <w:tcPr>
            <w:tcW w:w="1633" w:type="dxa"/>
          </w:tcPr>
          <w:p w14:paraId="4ECE15D7" w14:textId="3434CA26" w:rsidR="00C15A86" w:rsidRDefault="003027E6" w:rsidP="00F64188">
            <w:pPr>
              <w:pStyle w:val="TableBody"/>
              <w:jc w:val="center"/>
            </w:pPr>
            <w:r>
              <w:t>107.18</w:t>
            </w:r>
          </w:p>
        </w:tc>
        <w:tc>
          <w:tcPr>
            <w:tcW w:w="1490" w:type="dxa"/>
          </w:tcPr>
          <w:p w14:paraId="3E8F96A6" w14:textId="28E310DD" w:rsidR="00C15A86" w:rsidRDefault="00BE064B" w:rsidP="00F64188">
            <w:pPr>
              <w:pStyle w:val="TableBody"/>
              <w:jc w:val="center"/>
            </w:pPr>
            <w:r>
              <w:t>96</w:t>
            </w:r>
          </w:p>
        </w:tc>
        <w:tc>
          <w:tcPr>
            <w:tcW w:w="1618" w:type="dxa"/>
          </w:tcPr>
          <w:p w14:paraId="5328A7DB" w14:textId="54647ECF" w:rsidR="00C15A86" w:rsidRPr="00973F22" w:rsidRDefault="00BE064B" w:rsidP="00F64188">
            <w:pPr>
              <w:pStyle w:val="TableBody"/>
              <w:jc w:val="center"/>
            </w:pPr>
            <w:r>
              <w:t>88.63</w:t>
            </w:r>
          </w:p>
        </w:tc>
      </w:tr>
      <w:tr w:rsidR="00C15A86" w14:paraId="03EC0B06" w14:textId="77777777" w:rsidTr="00C15A86">
        <w:trPr>
          <w:cnfStyle w:val="000000010000" w:firstRow="0" w:lastRow="0" w:firstColumn="0" w:lastColumn="0" w:oddVBand="0" w:evenVBand="0" w:oddHBand="0" w:evenHBand="1" w:firstRowFirstColumn="0" w:firstRowLastColumn="0" w:lastRowFirstColumn="0" w:lastRowLastColumn="0"/>
        </w:trPr>
        <w:tc>
          <w:tcPr>
            <w:tcW w:w="2722" w:type="dxa"/>
          </w:tcPr>
          <w:p w14:paraId="28BE7F11" w14:textId="3A263167" w:rsidR="00C15A86" w:rsidRPr="00973F22" w:rsidRDefault="00BE064B" w:rsidP="00F64188">
            <w:pPr>
              <w:pStyle w:val="TableBody"/>
            </w:pPr>
            <w:r>
              <w:t>Ongoing full time</w:t>
            </w:r>
          </w:p>
        </w:tc>
        <w:tc>
          <w:tcPr>
            <w:tcW w:w="1607" w:type="dxa"/>
          </w:tcPr>
          <w:p w14:paraId="2F1D6C52" w14:textId="5DC5485D" w:rsidR="00C15A86" w:rsidRPr="00973F22" w:rsidRDefault="003027E6" w:rsidP="00F64188">
            <w:pPr>
              <w:pStyle w:val="TableBody"/>
              <w:jc w:val="center"/>
            </w:pPr>
            <w:r>
              <w:t>52</w:t>
            </w:r>
          </w:p>
        </w:tc>
        <w:tc>
          <w:tcPr>
            <w:tcW w:w="1633" w:type="dxa"/>
          </w:tcPr>
          <w:p w14:paraId="16D141A9" w14:textId="6C5BB1F1" w:rsidR="00C15A86" w:rsidRDefault="003027E6" w:rsidP="00F64188">
            <w:pPr>
              <w:pStyle w:val="TableBody"/>
              <w:jc w:val="center"/>
            </w:pPr>
            <w:r>
              <w:t>52</w:t>
            </w:r>
          </w:p>
        </w:tc>
        <w:tc>
          <w:tcPr>
            <w:tcW w:w="1490" w:type="dxa"/>
          </w:tcPr>
          <w:p w14:paraId="19F50B1A" w14:textId="235291FB" w:rsidR="00C15A86" w:rsidRDefault="00BE064B" w:rsidP="00F64188">
            <w:pPr>
              <w:pStyle w:val="TableBody"/>
              <w:jc w:val="center"/>
            </w:pPr>
            <w:r>
              <w:t>58</w:t>
            </w:r>
          </w:p>
        </w:tc>
        <w:tc>
          <w:tcPr>
            <w:tcW w:w="1618" w:type="dxa"/>
          </w:tcPr>
          <w:p w14:paraId="74D0A8E3" w14:textId="5894DB5F" w:rsidR="00C15A86" w:rsidRPr="00973F22" w:rsidRDefault="00BE064B" w:rsidP="00F64188">
            <w:pPr>
              <w:pStyle w:val="TableBody"/>
              <w:jc w:val="center"/>
            </w:pPr>
            <w:r>
              <w:t>58</w:t>
            </w:r>
          </w:p>
        </w:tc>
      </w:tr>
      <w:tr w:rsidR="00BE064B" w14:paraId="052D74E4" w14:textId="77777777" w:rsidTr="00C15A86">
        <w:trPr>
          <w:cnfStyle w:val="000000100000" w:firstRow="0" w:lastRow="0" w:firstColumn="0" w:lastColumn="0" w:oddVBand="0" w:evenVBand="0" w:oddHBand="1" w:evenHBand="0" w:firstRowFirstColumn="0" w:firstRowLastColumn="0" w:lastRowFirstColumn="0" w:lastRowLastColumn="0"/>
        </w:trPr>
        <w:tc>
          <w:tcPr>
            <w:tcW w:w="2722" w:type="dxa"/>
          </w:tcPr>
          <w:p w14:paraId="52D9D5DF" w14:textId="203E0EFF" w:rsidR="00BE064B" w:rsidRDefault="00BE064B" w:rsidP="00F64188">
            <w:pPr>
              <w:pStyle w:val="TableBody"/>
            </w:pPr>
            <w:r>
              <w:t>Ongoing part time</w:t>
            </w:r>
          </w:p>
        </w:tc>
        <w:tc>
          <w:tcPr>
            <w:tcW w:w="1607" w:type="dxa"/>
          </w:tcPr>
          <w:p w14:paraId="09EEBA9C" w14:textId="16EF6E6C" w:rsidR="00BE064B" w:rsidRDefault="003027E6" w:rsidP="00F64188">
            <w:pPr>
              <w:pStyle w:val="TableBody"/>
              <w:jc w:val="center"/>
            </w:pPr>
            <w:r>
              <w:t>10</w:t>
            </w:r>
          </w:p>
        </w:tc>
        <w:tc>
          <w:tcPr>
            <w:tcW w:w="1633" w:type="dxa"/>
          </w:tcPr>
          <w:p w14:paraId="2679AA0C" w14:textId="7A6BD2A3" w:rsidR="00BE064B" w:rsidRDefault="003027E6" w:rsidP="00F64188">
            <w:pPr>
              <w:pStyle w:val="TableBody"/>
              <w:jc w:val="center"/>
            </w:pPr>
            <w:r>
              <w:t>7</w:t>
            </w:r>
          </w:p>
        </w:tc>
        <w:tc>
          <w:tcPr>
            <w:tcW w:w="1490" w:type="dxa"/>
          </w:tcPr>
          <w:p w14:paraId="247D4AC1" w14:textId="61B0A0B4" w:rsidR="00BE064B" w:rsidRDefault="00BE064B" w:rsidP="00F64188">
            <w:pPr>
              <w:pStyle w:val="TableBody"/>
              <w:jc w:val="center"/>
            </w:pPr>
            <w:r>
              <w:t>9</w:t>
            </w:r>
          </w:p>
        </w:tc>
        <w:tc>
          <w:tcPr>
            <w:tcW w:w="1618" w:type="dxa"/>
          </w:tcPr>
          <w:p w14:paraId="75A99105" w14:textId="215E5A4D" w:rsidR="00BE064B" w:rsidRDefault="00BE064B" w:rsidP="00F64188">
            <w:pPr>
              <w:pStyle w:val="TableBody"/>
              <w:jc w:val="center"/>
            </w:pPr>
            <w:r>
              <w:t>5.58</w:t>
            </w:r>
          </w:p>
        </w:tc>
      </w:tr>
      <w:tr w:rsidR="00BE064B" w14:paraId="7213815D" w14:textId="77777777" w:rsidTr="00C15A86">
        <w:trPr>
          <w:cnfStyle w:val="000000010000" w:firstRow="0" w:lastRow="0" w:firstColumn="0" w:lastColumn="0" w:oddVBand="0" w:evenVBand="0" w:oddHBand="0" w:evenHBand="1" w:firstRowFirstColumn="0" w:firstRowLastColumn="0" w:lastRowFirstColumn="0" w:lastRowLastColumn="0"/>
        </w:trPr>
        <w:tc>
          <w:tcPr>
            <w:tcW w:w="2722" w:type="dxa"/>
          </w:tcPr>
          <w:p w14:paraId="30F28E07" w14:textId="7B0CBD97" w:rsidR="00BE064B" w:rsidRDefault="00BE064B" w:rsidP="00F64188">
            <w:pPr>
              <w:pStyle w:val="TableBody"/>
            </w:pPr>
            <w:r>
              <w:t>Fixed term full time</w:t>
            </w:r>
          </w:p>
        </w:tc>
        <w:tc>
          <w:tcPr>
            <w:tcW w:w="1607" w:type="dxa"/>
          </w:tcPr>
          <w:p w14:paraId="643F769C" w14:textId="6D0290B3" w:rsidR="00BE064B" w:rsidRDefault="003027E6" w:rsidP="00F64188">
            <w:pPr>
              <w:pStyle w:val="TableBody"/>
              <w:jc w:val="center"/>
            </w:pPr>
            <w:r>
              <w:t>39</w:t>
            </w:r>
          </w:p>
        </w:tc>
        <w:tc>
          <w:tcPr>
            <w:tcW w:w="1633" w:type="dxa"/>
          </w:tcPr>
          <w:p w14:paraId="71B6373B" w14:textId="4DB3BA49" w:rsidR="00BE064B" w:rsidRDefault="003027E6" w:rsidP="00F64188">
            <w:pPr>
              <w:pStyle w:val="TableBody"/>
              <w:jc w:val="center"/>
            </w:pPr>
            <w:r>
              <w:t>39</w:t>
            </w:r>
          </w:p>
        </w:tc>
        <w:tc>
          <w:tcPr>
            <w:tcW w:w="1490" w:type="dxa"/>
          </w:tcPr>
          <w:p w14:paraId="7671B63C" w14:textId="0D2AA455" w:rsidR="00BE064B" w:rsidRDefault="00BE064B" w:rsidP="00F64188">
            <w:pPr>
              <w:pStyle w:val="TableBody"/>
              <w:jc w:val="center"/>
            </w:pPr>
            <w:r>
              <w:t>18</w:t>
            </w:r>
          </w:p>
        </w:tc>
        <w:tc>
          <w:tcPr>
            <w:tcW w:w="1618" w:type="dxa"/>
          </w:tcPr>
          <w:p w14:paraId="036919E8" w14:textId="68BD5AC3" w:rsidR="00BE064B" w:rsidRDefault="00BE064B" w:rsidP="00F64188">
            <w:pPr>
              <w:pStyle w:val="TableBody"/>
              <w:jc w:val="center"/>
            </w:pPr>
            <w:r>
              <w:t>18</w:t>
            </w:r>
          </w:p>
        </w:tc>
      </w:tr>
      <w:tr w:rsidR="00BE064B" w14:paraId="1488283A" w14:textId="77777777" w:rsidTr="00C15A86">
        <w:trPr>
          <w:cnfStyle w:val="000000100000" w:firstRow="0" w:lastRow="0" w:firstColumn="0" w:lastColumn="0" w:oddVBand="0" w:evenVBand="0" w:oddHBand="1" w:evenHBand="0" w:firstRowFirstColumn="0" w:firstRowLastColumn="0" w:lastRowFirstColumn="0" w:lastRowLastColumn="0"/>
        </w:trPr>
        <w:tc>
          <w:tcPr>
            <w:tcW w:w="2722" w:type="dxa"/>
          </w:tcPr>
          <w:p w14:paraId="67250E65" w14:textId="7E685BD0" w:rsidR="00BE064B" w:rsidRDefault="00BE064B" w:rsidP="00F64188">
            <w:pPr>
              <w:pStyle w:val="TableBody"/>
            </w:pPr>
            <w:r>
              <w:t>Fixed term part time</w:t>
            </w:r>
          </w:p>
        </w:tc>
        <w:tc>
          <w:tcPr>
            <w:tcW w:w="1607" w:type="dxa"/>
          </w:tcPr>
          <w:p w14:paraId="13A61BF9" w14:textId="02FE6248" w:rsidR="00BE064B" w:rsidRDefault="003027E6" w:rsidP="00F64188">
            <w:pPr>
              <w:pStyle w:val="TableBody"/>
              <w:jc w:val="center"/>
            </w:pPr>
            <w:r>
              <w:t>3</w:t>
            </w:r>
          </w:p>
        </w:tc>
        <w:tc>
          <w:tcPr>
            <w:tcW w:w="1633" w:type="dxa"/>
          </w:tcPr>
          <w:p w14:paraId="668BECC8" w14:textId="51BE8820" w:rsidR="00BE064B" w:rsidRDefault="003027E6" w:rsidP="00F64188">
            <w:pPr>
              <w:pStyle w:val="TableBody"/>
              <w:jc w:val="center"/>
            </w:pPr>
            <w:r>
              <w:t>2.45</w:t>
            </w:r>
          </w:p>
        </w:tc>
        <w:tc>
          <w:tcPr>
            <w:tcW w:w="1490" w:type="dxa"/>
          </w:tcPr>
          <w:p w14:paraId="21079FE1" w14:textId="1A4FB41F" w:rsidR="00BE064B" w:rsidRDefault="00BE064B" w:rsidP="00F64188">
            <w:pPr>
              <w:pStyle w:val="TableBody"/>
              <w:jc w:val="center"/>
            </w:pPr>
            <w:r>
              <w:t>7</w:t>
            </w:r>
          </w:p>
        </w:tc>
        <w:tc>
          <w:tcPr>
            <w:tcW w:w="1618" w:type="dxa"/>
          </w:tcPr>
          <w:p w14:paraId="3C8D51CE" w14:textId="4BB51A0D" w:rsidR="00BE064B" w:rsidRDefault="00BE064B" w:rsidP="00F64188">
            <w:pPr>
              <w:pStyle w:val="TableBody"/>
              <w:jc w:val="center"/>
            </w:pPr>
            <w:r>
              <w:t>4.1</w:t>
            </w:r>
          </w:p>
        </w:tc>
      </w:tr>
      <w:tr w:rsidR="00BE064B" w14:paraId="3F942034" w14:textId="77777777" w:rsidTr="00C15A86">
        <w:trPr>
          <w:cnfStyle w:val="000000010000" w:firstRow="0" w:lastRow="0" w:firstColumn="0" w:lastColumn="0" w:oddVBand="0" w:evenVBand="0" w:oddHBand="0" w:evenHBand="1" w:firstRowFirstColumn="0" w:firstRowLastColumn="0" w:lastRowFirstColumn="0" w:lastRowLastColumn="0"/>
        </w:trPr>
        <w:tc>
          <w:tcPr>
            <w:tcW w:w="2722" w:type="dxa"/>
          </w:tcPr>
          <w:p w14:paraId="135DCB65" w14:textId="20C6B126" w:rsidR="00BE064B" w:rsidRDefault="00BE064B" w:rsidP="00F64188">
            <w:pPr>
              <w:pStyle w:val="TableBody"/>
            </w:pPr>
            <w:r>
              <w:t>Inoperative paid maternity leave</w:t>
            </w:r>
          </w:p>
        </w:tc>
        <w:tc>
          <w:tcPr>
            <w:tcW w:w="1607" w:type="dxa"/>
          </w:tcPr>
          <w:p w14:paraId="10509EFD" w14:textId="1579121D" w:rsidR="00BE064B" w:rsidRDefault="003027E6" w:rsidP="00F64188">
            <w:pPr>
              <w:pStyle w:val="TableBody"/>
              <w:jc w:val="center"/>
            </w:pPr>
            <w:r>
              <w:t>7</w:t>
            </w:r>
          </w:p>
        </w:tc>
        <w:tc>
          <w:tcPr>
            <w:tcW w:w="1633" w:type="dxa"/>
          </w:tcPr>
          <w:p w14:paraId="7FEFFED9" w14:textId="4D9FE37F" w:rsidR="00BE064B" w:rsidRDefault="003027E6" w:rsidP="00F64188">
            <w:pPr>
              <w:pStyle w:val="TableBody"/>
              <w:jc w:val="center"/>
            </w:pPr>
            <w:r>
              <w:t>5.8</w:t>
            </w:r>
          </w:p>
        </w:tc>
        <w:tc>
          <w:tcPr>
            <w:tcW w:w="1490" w:type="dxa"/>
          </w:tcPr>
          <w:p w14:paraId="3510D676" w14:textId="7DB533B2" w:rsidR="00BE064B" w:rsidRDefault="00BE064B" w:rsidP="00F64188">
            <w:pPr>
              <w:pStyle w:val="TableBody"/>
              <w:jc w:val="center"/>
            </w:pPr>
            <w:r>
              <w:t>2</w:t>
            </w:r>
          </w:p>
        </w:tc>
        <w:tc>
          <w:tcPr>
            <w:tcW w:w="1618" w:type="dxa"/>
          </w:tcPr>
          <w:p w14:paraId="62004641" w14:textId="561166E2" w:rsidR="00BE064B" w:rsidRDefault="00BE064B" w:rsidP="00F64188">
            <w:pPr>
              <w:pStyle w:val="TableBody"/>
              <w:jc w:val="center"/>
            </w:pPr>
            <w:r>
              <w:t>1.4</w:t>
            </w:r>
          </w:p>
        </w:tc>
      </w:tr>
      <w:tr w:rsidR="00BE064B" w14:paraId="6F939F61" w14:textId="77777777" w:rsidTr="00C15A86">
        <w:trPr>
          <w:cnfStyle w:val="000000100000" w:firstRow="0" w:lastRow="0" w:firstColumn="0" w:lastColumn="0" w:oddVBand="0" w:evenVBand="0" w:oddHBand="1" w:evenHBand="0" w:firstRowFirstColumn="0" w:firstRowLastColumn="0" w:lastRowFirstColumn="0" w:lastRowLastColumn="0"/>
        </w:trPr>
        <w:tc>
          <w:tcPr>
            <w:tcW w:w="2722" w:type="dxa"/>
          </w:tcPr>
          <w:p w14:paraId="0EE9C7B8" w14:textId="2E984EF7" w:rsidR="00BE064B" w:rsidRDefault="00BE064B" w:rsidP="00F64188">
            <w:pPr>
              <w:pStyle w:val="TableBody"/>
            </w:pPr>
            <w:r>
              <w:t xml:space="preserve">Inoperative paid </w:t>
            </w:r>
            <w:r>
              <w:br/>
              <w:t>long service leave</w:t>
            </w:r>
          </w:p>
        </w:tc>
        <w:tc>
          <w:tcPr>
            <w:tcW w:w="1607" w:type="dxa"/>
          </w:tcPr>
          <w:p w14:paraId="399F9178" w14:textId="09E756BB" w:rsidR="00BE064B" w:rsidRDefault="003027E6" w:rsidP="00F64188">
            <w:pPr>
              <w:pStyle w:val="TableBody"/>
              <w:jc w:val="center"/>
            </w:pPr>
            <w:r>
              <w:t>0</w:t>
            </w:r>
          </w:p>
        </w:tc>
        <w:tc>
          <w:tcPr>
            <w:tcW w:w="1633" w:type="dxa"/>
          </w:tcPr>
          <w:p w14:paraId="399C8834" w14:textId="0AF70460" w:rsidR="00BE064B" w:rsidRDefault="003027E6" w:rsidP="00F64188">
            <w:pPr>
              <w:pStyle w:val="TableBody"/>
              <w:jc w:val="center"/>
            </w:pPr>
            <w:r>
              <w:t>0</w:t>
            </w:r>
          </w:p>
        </w:tc>
        <w:tc>
          <w:tcPr>
            <w:tcW w:w="1490" w:type="dxa"/>
          </w:tcPr>
          <w:p w14:paraId="4522040A" w14:textId="74A4BFA5" w:rsidR="00BE064B" w:rsidRDefault="00BE064B" w:rsidP="00F64188">
            <w:pPr>
              <w:pStyle w:val="TableBody"/>
              <w:jc w:val="center"/>
            </w:pPr>
            <w:r>
              <w:t>1</w:t>
            </w:r>
          </w:p>
        </w:tc>
        <w:tc>
          <w:tcPr>
            <w:tcW w:w="1618" w:type="dxa"/>
          </w:tcPr>
          <w:p w14:paraId="4501C29B" w14:textId="6F590B15" w:rsidR="00BE064B" w:rsidRDefault="00BE064B" w:rsidP="00F64188">
            <w:pPr>
              <w:pStyle w:val="TableBody"/>
              <w:jc w:val="center"/>
            </w:pPr>
            <w:r>
              <w:t>1</w:t>
            </w:r>
          </w:p>
        </w:tc>
      </w:tr>
      <w:tr w:rsidR="00BE064B" w14:paraId="43F576D1" w14:textId="77777777" w:rsidTr="00C15A86">
        <w:trPr>
          <w:cnfStyle w:val="000000010000" w:firstRow="0" w:lastRow="0" w:firstColumn="0" w:lastColumn="0" w:oddVBand="0" w:evenVBand="0" w:oddHBand="0" w:evenHBand="1" w:firstRowFirstColumn="0" w:firstRowLastColumn="0" w:lastRowFirstColumn="0" w:lastRowLastColumn="0"/>
        </w:trPr>
        <w:tc>
          <w:tcPr>
            <w:tcW w:w="2722" w:type="dxa"/>
          </w:tcPr>
          <w:p w14:paraId="2B1D6D7C" w14:textId="4F1EFC24" w:rsidR="00BE064B" w:rsidRDefault="00BE064B" w:rsidP="00F64188">
            <w:pPr>
              <w:pStyle w:val="TableBody"/>
            </w:pPr>
            <w:r>
              <w:t>Casual</w:t>
            </w:r>
          </w:p>
        </w:tc>
        <w:tc>
          <w:tcPr>
            <w:tcW w:w="1607" w:type="dxa"/>
          </w:tcPr>
          <w:p w14:paraId="22FDECD7" w14:textId="416F9271" w:rsidR="00BE064B" w:rsidRDefault="003027E6" w:rsidP="00F64188">
            <w:pPr>
              <w:pStyle w:val="TableBody"/>
              <w:jc w:val="center"/>
            </w:pPr>
            <w:r>
              <w:t>1</w:t>
            </w:r>
          </w:p>
        </w:tc>
        <w:tc>
          <w:tcPr>
            <w:tcW w:w="1633" w:type="dxa"/>
          </w:tcPr>
          <w:p w14:paraId="0273AFD4" w14:textId="212C33E6" w:rsidR="00BE064B" w:rsidRDefault="003027E6" w:rsidP="00F64188">
            <w:pPr>
              <w:pStyle w:val="TableBody"/>
              <w:jc w:val="center"/>
            </w:pPr>
            <w:r>
              <w:t>0.93</w:t>
            </w:r>
          </w:p>
        </w:tc>
        <w:tc>
          <w:tcPr>
            <w:tcW w:w="1490" w:type="dxa"/>
          </w:tcPr>
          <w:p w14:paraId="2B2D0294" w14:textId="460B256E" w:rsidR="00BE064B" w:rsidRDefault="00BE064B" w:rsidP="00F64188">
            <w:pPr>
              <w:pStyle w:val="TableBody"/>
              <w:jc w:val="center"/>
            </w:pPr>
            <w:r>
              <w:t>1</w:t>
            </w:r>
          </w:p>
        </w:tc>
        <w:tc>
          <w:tcPr>
            <w:tcW w:w="1618" w:type="dxa"/>
          </w:tcPr>
          <w:p w14:paraId="78C8A1D6" w14:textId="00B21EC0" w:rsidR="00BE064B" w:rsidRDefault="00BE064B" w:rsidP="00F64188">
            <w:pPr>
              <w:pStyle w:val="TableBody"/>
              <w:jc w:val="center"/>
            </w:pPr>
            <w:r>
              <w:t>0.55</w:t>
            </w:r>
          </w:p>
        </w:tc>
      </w:tr>
    </w:tbl>
    <w:p w14:paraId="743BB3F3" w14:textId="1973E075" w:rsidR="00CD3576" w:rsidRDefault="00CD3576" w:rsidP="00111A04">
      <w:pPr>
        <w:pStyle w:val="Heading30"/>
      </w:pPr>
    </w:p>
    <w:tbl>
      <w:tblPr>
        <w:tblStyle w:val="TableHorizontal"/>
        <w:tblW w:w="0" w:type="auto"/>
        <w:tblLayout w:type="fixed"/>
        <w:tblLook w:val="0420" w:firstRow="1" w:lastRow="0" w:firstColumn="0" w:lastColumn="0" w:noHBand="0" w:noVBand="1"/>
      </w:tblPr>
      <w:tblGrid>
        <w:gridCol w:w="1418"/>
        <w:gridCol w:w="1275"/>
        <w:gridCol w:w="1275"/>
        <w:gridCol w:w="1277"/>
        <w:gridCol w:w="1275"/>
        <w:gridCol w:w="1275"/>
        <w:gridCol w:w="1276"/>
      </w:tblGrid>
      <w:tr w:rsidR="005A6EFC" w14:paraId="5B85D59C" w14:textId="77777777" w:rsidTr="005A6EFC">
        <w:trPr>
          <w:cnfStyle w:val="100000000000" w:firstRow="1" w:lastRow="0" w:firstColumn="0" w:lastColumn="0" w:oddVBand="0" w:evenVBand="0" w:oddHBand="0" w:evenHBand="0" w:firstRowFirstColumn="0" w:firstRowLastColumn="0" w:lastRowFirstColumn="0" w:lastRowLastColumn="0"/>
        </w:trPr>
        <w:tc>
          <w:tcPr>
            <w:tcW w:w="9070" w:type="dxa"/>
            <w:gridSpan w:val="7"/>
            <w:tcBorders>
              <w:bottom w:val="nil"/>
            </w:tcBorders>
          </w:tcPr>
          <w:p w14:paraId="3127B635" w14:textId="5FAA9BE8" w:rsidR="005A6EFC" w:rsidRPr="005A6EFC" w:rsidRDefault="005A6EFC" w:rsidP="005A6EFC">
            <w:pPr>
              <w:pStyle w:val="Heading30"/>
              <w:outlineLvl w:val="2"/>
              <w:rPr>
                <w:rFonts w:asciiTheme="minorHAnsi" w:hAnsiTheme="minorHAnsi"/>
              </w:rPr>
            </w:pPr>
            <w:r w:rsidRPr="005A6EFC">
              <w:rPr>
                <w:rFonts w:asciiTheme="minorHAnsi" w:hAnsiTheme="minorHAnsi"/>
              </w:rPr>
              <w:lastRenderedPageBreak/>
              <w:t>Staff as at 30 June</w:t>
            </w:r>
            <w:r>
              <w:rPr>
                <w:rFonts w:asciiTheme="minorHAnsi" w:hAnsiTheme="minorHAnsi"/>
              </w:rPr>
              <w:t xml:space="preserve"> by age</w:t>
            </w:r>
          </w:p>
        </w:tc>
      </w:tr>
      <w:tr w:rsidR="00BE064B" w14:paraId="654A8B9F" w14:textId="77777777" w:rsidTr="005A6EFC">
        <w:trPr>
          <w:cnfStyle w:val="000000100000" w:firstRow="0" w:lastRow="0" w:firstColumn="0" w:lastColumn="0" w:oddVBand="0" w:evenVBand="0" w:oddHBand="1" w:evenHBand="0" w:firstRowFirstColumn="0" w:firstRowLastColumn="0" w:lastRowFirstColumn="0" w:lastRowLastColumn="0"/>
        </w:trPr>
        <w:tc>
          <w:tcPr>
            <w:tcW w:w="1418" w:type="dxa"/>
            <w:tcBorders>
              <w:bottom w:val="single" w:sz="12" w:space="0" w:color="00573F" w:themeColor="text2"/>
              <w:right w:val="nil"/>
            </w:tcBorders>
          </w:tcPr>
          <w:p w14:paraId="1D5867C1" w14:textId="77777777" w:rsidR="00BE064B" w:rsidRDefault="00BE064B" w:rsidP="00F64188">
            <w:pPr>
              <w:pStyle w:val="TableHeader"/>
            </w:pPr>
          </w:p>
        </w:tc>
        <w:tc>
          <w:tcPr>
            <w:tcW w:w="3827" w:type="dxa"/>
            <w:gridSpan w:val="3"/>
            <w:tcBorders>
              <w:left w:val="nil"/>
              <w:right w:val="nil"/>
            </w:tcBorders>
          </w:tcPr>
          <w:p w14:paraId="2B67F6E5" w14:textId="4B6BBFE9" w:rsidR="00BE064B" w:rsidRDefault="00BE064B" w:rsidP="00F64188">
            <w:pPr>
              <w:pStyle w:val="TableHeader"/>
              <w:jc w:val="center"/>
            </w:pPr>
            <w:r>
              <w:t>2021</w:t>
            </w:r>
          </w:p>
        </w:tc>
        <w:tc>
          <w:tcPr>
            <w:tcW w:w="3825" w:type="dxa"/>
            <w:gridSpan w:val="3"/>
            <w:tcBorders>
              <w:left w:val="nil"/>
            </w:tcBorders>
          </w:tcPr>
          <w:p w14:paraId="4ECE8ED6" w14:textId="02748A5E" w:rsidR="00BE064B" w:rsidRDefault="00BE064B" w:rsidP="00F64188">
            <w:pPr>
              <w:pStyle w:val="TableHeader"/>
              <w:jc w:val="center"/>
            </w:pPr>
            <w:r>
              <w:t>2020</w:t>
            </w:r>
          </w:p>
        </w:tc>
      </w:tr>
      <w:tr w:rsidR="00BE064B" w14:paraId="17F4A4B3" w14:textId="77777777" w:rsidTr="005A6EFC">
        <w:trPr>
          <w:cnfStyle w:val="000000010000" w:firstRow="0" w:lastRow="0" w:firstColumn="0" w:lastColumn="0" w:oddVBand="0" w:evenVBand="0" w:oddHBand="0" w:evenHBand="1" w:firstRowFirstColumn="0" w:firstRowLastColumn="0" w:lastRowFirstColumn="0" w:lastRowLastColumn="0"/>
        </w:trPr>
        <w:tc>
          <w:tcPr>
            <w:tcW w:w="1418" w:type="dxa"/>
            <w:tcBorders>
              <w:top w:val="single" w:sz="12" w:space="0" w:color="00573F" w:themeColor="text2"/>
            </w:tcBorders>
          </w:tcPr>
          <w:p w14:paraId="77DB3178" w14:textId="2739A5A2" w:rsidR="00BE064B" w:rsidRPr="00973F22" w:rsidRDefault="004C1F36" w:rsidP="00F64188">
            <w:pPr>
              <w:pStyle w:val="TableHeader"/>
            </w:pPr>
            <w:r>
              <w:t>Age</w:t>
            </w:r>
          </w:p>
        </w:tc>
        <w:tc>
          <w:tcPr>
            <w:tcW w:w="1275" w:type="dxa"/>
            <w:tcBorders>
              <w:top w:val="single" w:sz="12" w:space="0" w:color="00573F" w:themeColor="text2"/>
            </w:tcBorders>
          </w:tcPr>
          <w:p w14:paraId="2F05B936" w14:textId="04BA347E" w:rsidR="00BE064B" w:rsidRPr="00973F22" w:rsidRDefault="004C1F36" w:rsidP="00F64188">
            <w:pPr>
              <w:pStyle w:val="TableHeader"/>
              <w:jc w:val="center"/>
            </w:pPr>
            <w:r>
              <w:t>Female</w:t>
            </w:r>
          </w:p>
        </w:tc>
        <w:tc>
          <w:tcPr>
            <w:tcW w:w="1275" w:type="dxa"/>
            <w:tcBorders>
              <w:top w:val="single" w:sz="12" w:space="0" w:color="00573F" w:themeColor="text2"/>
            </w:tcBorders>
          </w:tcPr>
          <w:p w14:paraId="099F26C2" w14:textId="49E9D84A" w:rsidR="00BE064B" w:rsidRDefault="004C1F36" w:rsidP="00F64188">
            <w:pPr>
              <w:pStyle w:val="TableHeader"/>
              <w:jc w:val="center"/>
            </w:pPr>
            <w:r>
              <w:t>Male</w:t>
            </w:r>
          </w:p>
        </w:tc>
        <w:tc>
          <w:tcPr>
            <w:tcW w:w="1276" w:type="dxa"/>
            <w:tcBorders>
              <w:top w:val="single" w:sz="12" w:space="0" w:color="00573F" w:themeColor="text2"/>
            </w:tcBorders>
          </w:tcPr>
          <w:p w14:paraId="56C31843" w14:textId="3C4D4A1D" w:rsidR="00BE064B" w:rsidRDefault="004C1F36" w:rsidP="00F64188">
            <w:pPr>
              <w:pStyle w:val="TableHeader"/>
              <w:jc w:val="center"/>
            </w:pPr>
            <w:r>
              <w:t>Self-described</w:t>
            </w:r>
          </w:p>
        </w:tc>
        <w:tc>
          <w:tcPr>
            <w:tcW w:w="1275" w:type="dxa"/>
            <w:tcBorders>
              <w:top w:val="single" w:sz="12" w:space="0" w:color="00573F" w:themeColor="text2"/>
            </w:tcBorders>
          </w:tcPr>
          <w:p w14:paraId="399EA7A9" w14:textId="57CD7612" w:rsidR="00BE064B" w:rsidRDefault="004C1F36" w:rsidP="00F64188">
            <w:pPr>
              <w:pStyle w:val="TableHeader"/>
              <w:jc w:val="center"/>
            </w:pPr>
            <w:r>
              <w:t>Female</w:t>
            </w:r>
          </w:p>
        </w:tc>
        <w:tc>
          <w:tcPr>
            <w:tcW w:w="1275" w:type="dxa"/>
            <w:tcBorders>
              <w:top w:val="single" w:sz="12" w:space="0" w:color="00573F" w:themeColor="text2"/>
            </w:tcBorders>
          </w:tcPr>
          <w:p w14:paraId="25DAB564" w14:textId="603DADFD" w:rsidR="00BE064B" w:rsidRDefault="004C1F36" w:rsidP="00F64188">
            <w:pPr>
              <w:pStyle w:val="TableHeader"/>
              <w:jc w:val="center"/>
            </w:pPr>
            <w:r>
              <w:t>Male</w:t>
            </w:r>
          </w:p>
        </w:tc>
        <w:tc>
          <w:tcPr>
            <w:tcW w:w="1276" w:type="dxa"/>
            <w:tcBorders>
              <w:top w:val="single" w:sz="12" w:space="0" w:color="00573F" w:themeColor="text2"/>
            </w:tcBorders>
          </w:tcPr>
          <w:p w14:paraId="1692C74D" w14:textId="1962B7B8" w:rsidR="00BE064B" w:rsidRPr="00973F22" w:rsidRDefault="004C1F36" w:rsidP="00F64188">
            <w:pPr>
              <w:pStyle w:val="TableHeader"/>
              <w:jc w:val="center"/>
            </w:pPr>
            <w:r>
              <w:t>Self-described</w:t>
            </w:r>
          </w:p>
        </w:tc>
      </w:tr>
      <w:tr w:rsidR="00BE064B" w14:paraId="7ADFC5B4" w14:textId="77777777" w:rsidTr="004C1F36">
        <w:trPr>
          <w:cnfStyle w:val="000000100000" w:firstRow="0" w:lastRow="0" w:firstColumn="0" w:lastColumn="0" w:oddVBand="0" w:evenVBand="0" w:oddHBand="1" w:evenHBand="0" w:firstRowFirstColumn="0" w:firstRowLastColumn="0" w:lastRowFirstColumn="0" w:lastRowLastColumn="0"/>
        </w:trPr>
        <w:tc>
          <w:tcPr>
            <w:tcW w:w="1418" w:type="dxa"/>
          </w:tcPr>
          <w:p w14:paraId="1F5F24B2" w14:textId="3A108A01" w:rsidR="00BE064B" w:rsidRPr="00973F22" w:rsidRDefault="004C1F36" w:rsidP="00F64188">
            <w:pPr>
              <w:pStyle w:val="TableBody"/>
            </w:pPr>
            <w:r>
              <w:t>Under 25</w:t>
            </w:r>
          </w:p>
        </w:tc>
        <w:tc>
          <w:tcPr>
            <w:tcW w:w="1275" w:type="dxa"/>
          </w:tcPr>
          <w:p w14:paraId="200F86F3" w14:textId="37CFC61D" w:rsidR="00BE064B" w:rsidRPr="00973F22" w:rsidRDefault="003027E6" w:rsidP="00F64188">
            <w:pPr>
              <w:pStyle w:val="TableBody"/>
              <w:jc w:val="center"/>
            </w:pPr>
            <w:r>
              <w:t>3</w:t>
            </w:r>
          </w:p>
        </w:tc>
        <w:tc>
          <w:tcPr>
            <w:tcW w:w="1275" w:type="dxa"/>
          </w:tcPr>
          <w:p w14:paraId="0EB8DA4B" w14:textId="38F00BEB" w:rsidR="00BE064B" w:rsidRDefault="003027E6" w:rsidP="00F64188">
            <w:pPr>
              <w:pStyle w:val="TableBody"/>
              <w:jc w:val="center"/>
            </w:pPr>
            <w:r>
              <w:t>1</w:t>
            </w:r>
          </w:p>
        </w:tc>
        <w:tc>
          <w:tcPr>
            <w:tcW w:w="1276" w:type="dxa"/>
          </w:tcPr>
          <w:p w14:paraId="6C8C0F8E" w14:textId="6C0617DA" w:rsidR="00BE064B" w:rsidRDefault="003027E6" w:rsidP="00F64188">
            <w:pPr>
              <w:pStyle w:val="TableBody"/>
              <w:jc w:val="center"/>
            </w:pPr>
            <w:r>
              <w:t>0</w:t>
            </w:r>
          </w:p>
        </w:tc>
        <w:tc>
          <w:tcPr>
            <w:tcW w:w="1275" w:type="dxa"/>
          </w:tcPr>
          <w:p w14:paraId="649B23B2" w14:textId="443189D2" w:rsidR="00BE064B" w:rsidRDefault="004C1F36" w:rsidP="00F64188">
            <w:pPr>
              <w:pStyle w:val="TableBody"/>
              <w:jc w:val="center"/>
            </w:pPr>
            <w:r>
              <w:t>2</w:t>
            </w:r>
          </w:p>
        </w:tc>
        <w:tc>
          <w:tcPr>
            <w:tcW w:w="1275" w:type="dxa"/>
          </w:tcPr>
          <w:p w14:paraId="506A0882" w14:textId="3B810C0A" w:rsidR="00BE064B" w:rsidRDefault="004C1F36" w:rsidP="00F64188">
            <w:pPr>
              <w:pStyle w:val="TableBody"/>
              <w:jc w:val="center"/>
            </w:pPr>
            <w:r>
              <w:t>1</w:t>
            </w:r>
          </w:p>
        </w:tc>
        <w:tc>
          <w:tcPr>
            <w:tcW w:w="1276" w:type="dxa"/>
          </w:tcPr>
          <w:p w14:paraId="2EB54333" w14:textId="022CDAF8" w:rsidR="00BE064B" w:rsidRPr="00973F22" w:rsidRDefault="004C1F36" w:rsidP="00F64188">
            <w:pPr>
              <w:pStyle w:val="TableBody"/>
              <w:jc w:val="center"/>
            </w:pPr>
            <w:r>
              <w:t>1</w:t>
            </w:r>
          </w:p>
        </w:tc>
      </w:tr>
      <w:tr w:rsidR="00BE064B" w14:paraId="58DD85B7" w14:textId="77777777" w:rsidTr="004C1F36">
        <w:trPr>
          <w:cnfStyle w:val="000000010000" w:firstRow="0" w:lastRow="0" w:firstColumn="0" w:lastColumn="0" w:oddVBand="0" w:evenVBand="0" w:oddHBand="0" w:evenHBand="1" w:firstRowFirstColumn="0" w:firstRowLastColumn="0" w:lastRowFirstColumn="0" w:lastRowLastColumn="0"/>
        </w:trPr>
        <w:tc>
          <w:tcPr>
            <w:tcW w:w="1418" w:type="dxa"/>
          </w:tcPr>
          <w:p w14:paraId="75B083D9" w14:textId="3B39DAD9" w:rsidR="00BE064B" w:rsidRPr="00973F22" w:rsidRDefault="004C1F36" w:rsidP="00F64188">
            <w:pPr>
              <w:pStyle w:val="TableBody"/>
            </w:pPr>
            <w:r>
              <w:t>25-34</w:t>
            </w:r>
          </w:p>
        </w:tc>
        <w:tc>
          <w:tcPr>
            <w:tcW w:w="1275" w:type="dxa"/>
          </w:tcPr>
          <w:p w14:paraId="0FBF069C" w14:textId="36E7561F" w:rsidR="00BE064B" w:rsidRPr="00973F22" w:rsidRDefault="003027E6" w:rsidP="00F64188">
            <w:pPr>
              <w:pStyle w:val="TableBody"/>
              <w:jc w:val="center"/>
            </w:pPr>
            <w:r>
              <w:t>21</w:t>
            </w:r>
          </w:p>
        </w:tc>
        <w:tc>
          <w:tcPr>
            <w:tcW w:w="1275" w:type="dxa"/>
          </w:tcPr>
          <w:p w14:paraId="2E6D3C01" w14:textId="17A3146D" w:rsidR="00BE064B" w:rsidRDefault="003027E6" w:rsidP="00F64188">
            <w:pPr>
              <w:pStyle w:val="TableBody"/>
              <w:jc w:val="center"/>
            </w:pPr>
            <w:r>
              <w:t>11</w:t>
            </w:r>
          </w:p>
        </w:tc>
        <w:tc>
          <w:tcPr>
            <w:tcW w:w="1276" w:type="dxa"/>
          </w:tcPr>
          <w:p w14:paraId="5DE35856" w14:textId="66534774" w:rsidR="00BE064B" w:rsidRDefault="003027E6" w:rsidP="00F64188">
            <w:pPr>
              <w:pStyle w:val="TableBody"/>
              <w:jc w:val="center"/>
            </w:pPr>
            <w:r>
              <w:t>1</w:t>
            </w:r>
          </w:p>
        </w:tc>
        <w:tc>
          <w:tcPr>
            <w:tcW w:w="1275" w:type="dxa"/>
          </w:tcPr>
          <w:p w14:paraId="2FA3C815" w14:textId="7F2A0367" w:rsidR="00BE064B" w:rsidRDefault="004C1F36" w:rsidP="00F64188">
            <w:pPr>
              <w:pStyle w:val="TableBody"/>
              <w:jc w:val="center"/>
            </w:pPr>
            <w:r>
              <w:t>21</w:t>
            </w:r>
          </w:p>
        </w:tc>
        <w:tc>
          <w:tcPr>
            <w:tcW w:w="1275" w:type="dxa"/>
          </w:tcPr>
          <w:p w14:paraId="284F076C" w14:textId="448B45ED" w:rsidR="00BE064B" w:rsidRDefault="004C1F36" w:rsidP="00F64188">
            <w:pPr>
              <w:pStyle w:val="TableBody"/>
              <w:jc w:val="center"/>
            </w:pPr>
            <w:r>
              <w:t>11</w:t>
            </w:r>
          </w:p>
        </w:tc>
        <w:tc>
          <w:tcPr>
            <w:tcW w:w="1276" w:type="dxa"/>
          </w:tcPr>
          <w:p w14:paraId="393F9FAD" w14:textId="49DD47B6" w:rsidR="00BE064B" w:rsidRPr="00973F22" w:rsidRDefault="004C1F36" w:rsidP="00F64188">
            <w:pPr>
              <w:pStyle w:val="TableBody"/>
              <w:jc w:val="center"/>
            </w:pPr>
            <w:r>
              <w:t>1</w:t>
            </w:r>
          </w:p>
        </w:tc>
      </w:tr>
      <w:tr w:rsidR="00BE064B" w14:paraId="28A0997E" w14:textId="77777777" w:rsidTr="004C1F36">
        <w:trPr>
          <w:cnfStyle w:val="000000100000" w:firstRow="0" w:lastRow="0" w:firstColumn="0" w:lastColumn="0" w:oddVBand="0" w:evenVBand="0" w:oddHBand="1" w:evenHBand="0" w:firstRowFirstColumn="0" w:firstRowLastColumn="0" w:lastRowFirstColumn="0" w:lastRowLastColumn="0"/>
        </w:trPr>
        <w:tc>
          <w:tcPr>
            <w:tcW w:w="1418" w:type="dxa"/>
          </w:tcPr>
          <w:p w14:paraId="455F9D77" w14:textId="46B0664A" w:rsidR="00BE064B" w:rsidRDefault="004C1F36" w:rsidP="00F64188">
            <w:pPr>
              <w:pStyle w:val="TableBody"/>
            </w:pPr>
            <w:r>
              <w:t>35-44</w:t>
            </w:r>
          </w:p>
        </w:tc>
        <w:tc>
          <w:tcPr>
            <w:tcW w:w="1275" w:type="dxa"/>
          </w:tcPr>
          <w:p w14:paraId="0028ABDC" w14:textId="3EAF11FE" w:rsidR="00BE064B" w:rsidRDefault="003027E6" w:rsidP="00F64188">
            <w:pPr>
              <w:pStyle w:val="TableBody"/>
              <w:jc w:val="center"/>
            </w:pPr>
            <w:r>
              <w:t>25</w:t>
            </w:r>
          </w:p>
        </w:tc>
        <w:tc>
          <w:tcPr>
            <w:tcW w:w="1275" w:type="dxa"/>
          </w:tcPr>
          <w:p w14:paraId="3355D14B" w14:textId="3119C789" w:rsidR="00BE064B" w:rsidRDefault="003027E6" w:rsidP="00F64188">
            <w:pPr>
              <w:pStyle w:val="TableBody"/>
              <w:jc w:val="center"/>
            </w:pPr>
            <w:r>
              <w:t>11</w:t>
            </w:r>
          </w:p>
        </w:tc>
        <w:tc>
          <w:tcPr>
            <w:tcW w:w="1276" w:type="dxa"/>
          </w:tcPr>
          <w:p w14:paraId="7C79DD9A" w14:textId="4508A99D" w:rsidR="00BE064B" w:rsidRDefault="003027E6" w:rsidP="00F64188">
            <w:pPr>
              <w:pStyle w:val="TableBody"/>
              <w:jc w:val="center"/>
            </w:pPr>
            <w:r>
              <w:t>0</w:t>
            </w:r>
          </w:p>
        </w:tc>
        <w:tc>
          <w:tcPr>
            <w:tcW w:w="1275" w:type="dxa"/>
          </w:tcPr>
          <w:p w14:paraId="7E4AF0D4" w14:textId="42AE07B0" w:rsidR="00BE064B" w:rsidRDefault="004C1F36" w:rsidP="00F64188">
            <w:pPr>
              <w:pStyle w:val="TableBody"/>
              <w:jc w:val="center"/>
            </w:pPr>
            <w:r>
              <w:t>18</w:t>
            </w:r>
          </w:p>
        </w:tc>
        <w:tc>
          <w:tcPr>
            <w:tcW w:w="1275" w:type="dxa"/>
          </w:tcPr>
          <w:p w14:paraId="7A7FD634" w14:textId="2969B172" w:rsidR="00BE064B" w:rsidRDefault="004C1F36" w:rsidP="00F64188">
            <w:pPr>
              <w:pStyle w:val="TableBody"/>
              <w:jc w:val="center"/>
            </w:pPr>
            <w:r>
              <w:t>8</w:t>
            </w:r>
          </w:p>
        </w:tc>
        <w:tc>
          <w:tcPr>
            <w:tcW w:w="1276" w:type="dxa"/>
          </w:tcPr>
          <w:p w14:paraId="1C05E14A" w14:textId="00A94055" w:rsidR="00BE064B" w:rsidRDefault="004C1F36" w:rsidP="00F64188">
            <w:pPr>
              <w:pStyle w:val="TableBody"/>
              <w:jc w:val="center"/>
            </w:pPr>
            <w:r>
              <w:t>0</w:t>
            </w:r>
          </w:p>
        </w:tc>
      </w:tr>
      <w:tr w:rsidR="00BE064B" w14:paraId="0DE4A59D" w14:textId="77777777" w:rsidTr="004C1F36">
        <w:trPr>
          <w:cnfStyle w:val="000000010000" w:firstRow="0" w:lastRow="0" w:firstColumn="0" w:lastColumn="0" w:oddVBand="0" w:evenVBand="0" w:oddHBand="0" w:evenHBand="1" w:firstRowFirstColumn="0" w:firstRowLastColumn="0" w:lastRowFirstColumn="0" w:lastRowLastColumn="0"/>
        </w:trPr>
        <w:tc>
          <w:tcPr>
            <w:tcW w:w="1418" w:type="dxa"/>
          </w:tcPr>
          <w:p w14:paraId="342D46CC" w14:textId="69CA5806" w:rsidR="00BE064B" w:rsidRDefault="004C1F36" w:rsidP="00F64188">
            <w:pPr>
              <w:pStyle w:val="TableBody"/>
            </w:pPr>
            <w:r>
              <w:t>45-54</w:t>
            </w:r>
          </w:p>
        </w:tc>
        <w:tc>
          <w:tcPr>
            <w:tcW w:w="1275" w:type="dxa"/>
          </w:tcPr>
          <w:p w14:paraId="4801D9A6" w14:textId="785FB383" w:rsidR="00BE064B" w:rsidRDefault="003027E6" w:rsidP="00F64188">
            <w:pPr>
              <w:pStyle w:val="TableBody"/>
              <w:jc w:val="center"/>
            </w:pPr>
            <w:r>
              <w:t>8</w:t>
            </w:r>
          </w:p>
        </w:tc>
        <w:tc>
          <w:tcPr>
            <w:tcW w:w="1275" w:type="dxa"/>
          </w:tcPr>
          <w:p w14:paraId="0A079178" w14:textId="06D9F29D" w:rsidR="00BE064B" w:rsidRDefault="003027E6" w:rsidP="00F64188">
            <w:pPr>
              <w:pStyle w:val="TableBody"/>
              <w:jc w:val="center"/>
            </w:pPr>
            <w:r>
              <w:t>10</w:t>
            </w:r>
          </w:p>
        </w:tc>
        <w:tc>
          <w:tcPr>
            <w:tcW w:w="1276" w:type="dxa"/>
          </w:tcPr>
          <w:p w14:paraId="658234A4" w14:textId="723D372A" w:rsidR="00BE064B" w:rsidRDefault="003027E6" w:rsidP="00F64188">
            <w:pPr>
              <w:pStyle w:val="TableBody"/>
              <w:jc w:val="center"/>
            </w:pPr>
            <w:r>
              <w:t>0</w:t>
            </w:r>
          </w:p>
        </w:tc>
        <w:tc>
          <w:tcPr>
            <w:tcW w:w="1275" w:type="dxa"/>
          </w:tcPr>
          <w:p w14:paraId="5F646C1A" w14:textId="2FFBE2FD" w:rsidR="00BE064B" w:rsidRDefault="004C1F36" w:rsidP="00F64188">
            <w:pPr>
              <w:pStyle w:val="TableBody"/>
              <w:jc w:val="center"/>
            </w:pPr>
            <w:r>
              <w:t>7</w:t>
            </w:r>
          </w:p>
        </w:tc>
        <w:tc>
          <w:tcPr>
            <w:tcW w:w="1275" w:type="dxa"/>
          </w:tcPr>
          <w:p w14:paraId="3D405BF4" w14:textId="6D3FD3DB" w:rsidR="00BE064B" w:rsidRDefault="004C1F36" w:rsidP="00F64188">
            <w:pPr>
              <w:pStyle w:val="TableBody"/>
              <w:jc w:val="center"/>
            </w:pPr>
            <w:r>
              <w:t>9</w:t>
            </w:r>
          </w:p>
        </w:tc>
        <w:tc>
          <w:tcPr>
            <w:tcW w:w="1276" w:type="dxa"/>
          </w:tcPr>
          <w:p w14:paraId="2A941489" w14:textId="19A1CF35" w:rsidR="00BE064B" w:rsidRDefault="004C1F36" w:rsidP="00F64188">
            <w:pPr>
              <w:pStyle w:val="TableBody"/>
              <w:jc w:val="center"/>
            </w:pPr>
            <w:r>
              <w:t>0</w:t>
            </w:r>
          </w:p>
        </w:tc>
      </w:tr>
      <w:tr w:rsidR="00BE064B" w14:paraId="27C1F47B" w14:textId="77777777" w:rsidTr="004C1F36">
        <w:trPr>
          <w:cnfStyle w:val="000000100000" w:firstRow="0" w:lastRow="0" w:firstColumn="0" w:lastColumn="0" w:oddVBand="0" w:evenVBand="0" w:oddHBand="1" w:evenHBand="0" w:firstRowFirstColumn="0" w:firstRowLastColumn="0" w:lastRowFirstColumn="0" w:lastRowLastColumn="0"/>
        </w:trPr>
        <w:tc>
          <w:tcPr>
            <w:tcW w:w="1418" w:type="dxa"/>
          </w:tcPr>
          <w:p w14:paraId="17B22359" w14:textId="7013F09B" w:rsidR="00BE064B" w:rsidRDefault="004C1F36" w:rsidP="00F64188">
            <w:pPr>
              <w:pStyle w:val="TableBody"/>
            </w:pPr>
            <w:r>
              <w:t>55-64</w:t>
            </w:r>
          </w:p>
        </w:tc>
        <w:tc>
          <w:tcPr>
            <w:tcW w:w="1275" w:type="dxa"/>
          </w:tcPr>
          <w:p w14:paraId="2802C05C" w14:textId="3B04ED94" w:rsidR="00BE064B" w:rsidRDefault="003027E6" w:rsidP="00F64188">
            <w:pPr>
              <w:pStyle w:val="TableBody"/>
              <w:jc w:val="center"/>
            </w:pPr>
            <w:r>
              <w:t>16</w:t>
            </w:r>
          </w:p>
        </w:tc>
        <w:tc>
          <w:tcPr>
            <w:tcW w:w="1275" w:type="dxa"/>
          </w:tcPr>
          <w:p w14:paraId="0C9A57A7" w14:textId="471B2C85" w:rsidR="00BE064B" w:rsidRDefault="003027E6" w:rsidP="00F64188">
            <w:pPr>
              <w:pStyle w:val="TableBody"/>
              <w:jc w:val="center"/>
            </w:pPr>
            <w:r>
              <w:t>2</w:t>
            </w:r>
          </w:p>
        </w:tc>
        <w:tc>
          <w:tcPr>
            <w:tcW w:w="1276" w:type="dxa"/>
          </w:tcPr>
          <w:p w14:paraId="28370861" w14:textId="7887B76A" w:rsidR="00BE064B" w:rsidRDefault="003027E6" w:rsidP="00F64188">
            <w:pPr>
              <w:pStyle w:val="TableBody"/>
              <w:jc w:val="center"/>
            </w:pPr>
            <w:r>
              <w:t>0</w:t>
            </w:r>
          </w:p>
        </w:tc>
        <w:tc>
          <w:tcPr>
            <w:tcW w:w="1275" w:type="dxa"/>
          </w:tcPr>
          <w:p w14:paraId="1821470F" w14:textId="12B36097" w:rsidR="00BE064B" w:rsidRDefault="004C1F36" w:rsidP="00F64188">
            <w:pPr>
              <w:pStyle w:val="TableBody"/>
              <w:jc w:val="center"/>
            </w:pPr>
            <w:r>
              <w:t>13</w:t>
            </w:r>
          </w:p>
        </w:tc>
        <w:tc>
          <w:tcPr>
            <w:tcW w:w="1275" w:type="dxa"/>
          </w:tcPr>
          <w:p w14:paraId="523A4D35" w14:textId="068D2A38" w:rsidR="00BE064B" w:rsidRDefault="004C1F36" w:rsidP="00F64188">
            <w:pPr>
              <w:pStyle w:val="TableBody"/>
              <w:jc w:val="center"/>
            </w:pPr>
            <w:r>
              <w:t>3</w:t>
            </w:r>
          </w:p>
        </w:tc>
        <w:tc>
          <w:tcPr>
            <w:tcW w:w="1276" w:type="dxa"/>
          </w:tcPr>
          <w:p w14:paraId="4FAFD66D" w14:textId="479E8D5F" w:rsidR="00BE064B" w:rsidRDefault="004C1F36" w:rsidP="00F64188">
            <w:pPr>
              <w:pStyle w:val="TableBody"/>
              <w:jc w:val="center"/>
            </w:pPr>
            <w:r>
              <w:t>0</w:t>
            </w:r>
          </w:p>
        </w:tc>
      </w:tr>
      <w:tr w:rsidR="00BE064B" w14:paraId="6B7CC6B3" w14:textId="77777777" w:rsidTr="004C1F36">
        <w:trPr>
          <w:cnfStyle w:val="000000010000" w:firstRow="0" w:lastRow="0" w:firstColumn="0" w:lastColumn="0" w:oddVBand="0" w:evenVBand="0" w:oddHBand="0" w:evenHBand="1" w:firstRowFirstColumn="0" w:firstRowLastColumn="0" w:lastRowFirstColumn="0" w:lastRowLastColumn="0"/>
        </w:trPr>
        <w:tc>
          <w:tcPr>
            <w:tcW w:w="1418" w:type="dxa"/>
          </w:tcPr>
          <w:p w14:paraId="56CCE734" w14:textId="0C6AC347" w:rsidR="00BE064B" w:rsidRDefault="003027E6" w:rsidP="00F64188">
            <w:pPr>
              <w:pStyle w:val="TableBody"/>
            </w:pPr>
            <w:r>
              <w:t>65 and over</w:t>
            </w:r>
          </w:p>
        </w:tc>
        <w:tc>
          <w:tcPr>
            <w:tcW w:w="1275" w:type="dxa"/>
          </w:tcPr>
          <w:p w14:paraId="0DCE8B89" w14:textId="09945A31" w:rsidR="00BE064B" w:rsidRDefault="003027E6" w:rsidP="00F64188">
            <w:pPr>
              <w:pStyle w:val="TableBody"/>
              <w:jc w:val="center"/>
            </w:pPr>
            <w:r>
              <w:t>1</w:t>
            </w:r>
          </w:p>
        </w:tc>
        <w:tc>
          <w:tcPr>
            <w:tcW w:w="1275" w:type="dxa"/>
          </w:tcPr>
          <w:p w14:paraId="47CBD1D9" w14:textId="1B54C6DF" w:rsidR="00BE064B" w:rsidRDefault="003027E6" w:rsidP="00F64188">
            <w:pPr>
              <w:pStyle w:val="TableBody"/>
              <w:jc w:val="center"/>
            </w:pPr>
            <w:r>
              <w:t>2</w:t>
            </w:r>
          </w:p>
        </w:tc>
        <w:tc>
          <w:tcPr>
            <w:tcW w:w="1276" w:type="dxa"/>
          </w:tcPr>
          <w:p w14:paraId="2BA4EB8F" w14:textId="1E5E0DEA" w:rsidR="00BE064B" w:rsidRDefault="003027E6" w:rsidP="00F64188">
            <w:pPr>
              <w:pStyle w:val="TableBody"/>
              <w:jc w:val="center"/>
            </w:pPr>
            <w:r>
              <w:t>0</w:t>
            </w:r>
          </w:p>
        </w:tc>
        <w:tc>
          <w:tcPr>
            <w:tcW w:w="1275" w:type="dxa"/>
          </w:tcPr>
          <w:p w14:paraId="713E4BD1" w14:textId="77FE6804" w:rsidR="00BE064B" w:rsidRDefault="004C1F36" w:rsidP="00F64188">
            <w:pPr>
              <w:pStyle w:val="TableBody"/>
              <w:jc w:val="center"/>
            </w:pPr>
            <w:r>
              <w:t>1</w:t>
            </w:r>
          </w:p>
        </w:tc>
        <w:tc>
          <w:tcPr>
            <w:tcW w:w="1275" w:type="dxa"/>
          </w:tcPr>
          <w:p w14:paraId="16A46FC8" w14:textId="75E95F1B" w:rsidR="00BE064B" w:rsidRDefault="004C1F36" w:rsidP="00F64188">
            <w:pPr>
              <w:pStyle w:val="TableBody"/>
              <w:jc w:val="center"/>
            </w:pPr>
            <w:r>
              <w:t>0</w:t>
            </w:r>
          </w:p>
        </w:tc>
        <w:tc>
          <w:tcPr>
            <w:tcW w:w="1276" w:type="dxa"/>
          </w:tcPr>
          <w:p w14:paraId="7DEF96E5" w14:textId="362C1172" w:rsidR="00BE064B" w:rsidRDefault="004C1F36" w:rsidP="00F64188">
            <w:pPr>
              <w:pStyle w:val="TableBody"/>
              <w:jc w:val="center"/>
            </w:pPr>
            <w:r>
              <w:t>0</w:t>
            </w:r>
          </w:p>
        </w:tc>
      </w:tr>
      <w:tr w:rsidR="00BE064B" w14:paraId="589E6177" w14:textId="77777777" w:rsidTr="004C1F36">
        <w:trPr>
          <w:cnfStyle w:val="000000100000" w:firstRow="0" w:lastRow="0" w:firstColumn="0" w:lastColumn="0" w:oddVBand="0" w:evenVBand="0" w:oddHBand="1" w:evenHBand="0" w:firstRowFirstColumn="0" w:firstRowLastColumn="0" w:lastRowFirstColumn="0" w:lastRowLastColumn="0"/>
        </w:trPr>
        <w:tc>
          <w:tcPr>
            <w:tcW w:w="1418" w:type="dxa"/>
          </w:tcPr>
          <w:p w14:paraId="2CDFB671" w14:textId="51C3F096" w:rsidR="00BE064B" w:rsidRDefault="004C1F36" w:rsidP="00F64188">
            <w:pPr>
              <w:pStyle w:val="TableBody"/>
            </w:pPr>
            <w:r>
              <w:t>Total</w:t>
            </w:r>
          </w:p>
        </w:tc>
        <w:tc>
          <w:tcPr>
            <w:tcW w:w="1275" w:type="dxa"/>
          </w:tcPr>
          <w:p w14:paraId="1D66D8CE" w14:textId="0E617FF2" w:rsidR="00BE064B" w:rsidRDefault="003027E6" w:rsidP="00F64188">
            <w:pPr>
              <w:pStyle w:val="TableBody"/>
              <w:jc w:val="center"/>
            </w:pPr>
            <w:r>
              <w:t>74</w:t>
            </w:r>
          </w:p>
        </w:tc>
        <w:tc>
          <w:tcPr>
            <w:tcW w:w="1275" w:type="dxa"/>
          </w:tcPr>
          <w:p w14:paraId="0D9822D1" w14:textId="4632C7C2" w:rsidR="00BE064B" w:rsidRDefault="003027E6" w:rsidP="00F64188">
            <w:pPr>
              <w:pStyle w:val="TableBody"/>
              <w:jc w:val="center"/>
            </w:pPr>
            <w:r>
              <w:t>37</w:t>
            </w:r>
          </w:p>
        </w:tc>
        <w:tc>
          <w:tcPr>
            <w:tcW w:w="1276" w:type="dxa"/>
          </w:tcPr>
          <w:p w14:paraId="6552E583" w14:textId="252647F4" w:rsidR="00BE064B" w:rsidRDefault="003027E6" w:rsidP="00F64188">
            <w:pPr>
              <w:pStyle w:val="TableBody"/>
              <w:jc w:val="center"/>
            </w:pPr>
            <w:r>
              <w:t>1</w:t>
            </w:r>
          </w:p>
        </w:tc>
        <w:tc>
          <w:tcPr>
            <w:tcW w:w="1275" w:type="dxa"/>
          </w:tcPr>
          <w:p w14:paraId="207C6672" w14:textId="5EAB024A" w:rsidR="00BE064B" w:rsidRDefault="004C1F36" w:rsidP="00F64188">
            <w:pPr>
              <w:pStyle w:val="TableBody"/>
              <w:jc w:val="center"/>
            </w:pPr>
            <w:r>
              <w:t>62</w:t>
            </w:r>
          </w:p>
        </w:tc>
        <w:tc>
          <w:tcPr>
            <w:tcW w:w="1275" w:type="dxa"/>
          </w:tcPr>
          <w:p w14:paraId="4C4B36FB" w14:textId="129E13DE" w:rsidR="00BE064B" w:rsidRDefault="004C1F36" w:rsidP="00F64188">
            <w:pPr>
              <w:pStyle w:val="TableBody"/>
              <w:jc w:val="center"/>
            </w:pPr>
            <w:r>
              <w:t>32</w:t>
            </w:r>
          </w:p>
        </w:tc>
        <w:tc>
          <w:tcPr>
            <w:tcW w:w="1276" w:type="dxa"/>
          </w:tcPr>
          <w:p w14:paraId="5F72F7EE" w14:textId="4B822E43" w:rsidR="00BE064B" w:rsidRDefault="004C1F36" w:rsidP="00F64188">
            <w:pPr>
              <w:pStyle w:val="TableBody"/>
              <w:jc w:val="center"/>
            </w:pPr>
            <w:r>
              <w:t>2</w:t>
            </w:r>
          </w:p>
        </w:tc>
      </w:tr>
    </w:tbl>
    <w:p w14:paraId="19FD3373" w14:textId="64358CD9" w:rsidR="00BE064B" w:rsidRDefault="00BE064B" w:rsidP="00111A04">
      <w:pPr>
        <w:pStyle w:val="Heading30"/>
      </w:pPr>
    </w:p>
    <w:tbl>
      <w:tblPr>
        <w:tblStyle w:val="TableHorizontal"/>
        <w:tblW w:w="0" w:type="auto"/>
        <w:tblLayout w:type="fixed"/>
        <w:tblLook w:val="0420" w:firstRow="1" w:lastRow="0" w:firstColumn="0" w:lastColumn="0" w:noHBand="0" w:noVBand="1"/>
      </w:tblPr>
      <w:tblGrid>
        <w:gridCol w:w="1418"/>
        <w:gridCol w:w="1275"/>
        <w:gridCol w:w="1275"/>
        <w:gridCol w:w="1277"/>
        <w:gridCol w:w="1275"/>
        <w:gridCol w:w="1275"/>
        <w:gridCol w:w="1276"/>
      </w:tblGrid>
      <w:tr w:rsidR="002F044D" w14:paraId="16DFD023" w14:textId="77777777" w:rsidTr="002F044D">
        <w:trPr>
          <w:cnfStyle w:val="100000000000" w:firstRow="1" w:lastRow="0" w:firstColumn="0" w:lastColumn="0" w:oddVBand="0" w:evenVBand="0" w:oddHBand="0" w:evenHBand="0" w:firstRowFirstColumn="0" w:firstRowLastColumn="0" w:lastRowFirstColumn="0" w:lastRowLastColumn="0"/>
        </w:trPr>
        <w:tc>
          <w:tcPr>
            <w:tcW w:w="9070" w:type="dxa"/>
            <w:gridSpan w:val="7"/>
            <w:tcBorders>
              <w:bottom w:val="nil"/>
            </w:tcBorders>
          </w:tcPr>
          <w:p w14:paraId="72328330" w14:textId="5047504E" w:rsidR="002F044D" w:rsidRPr="002F044D" w:rsidRDefault="002F044D" w:rsidP="002F044D">
            <w:pPr>
              <w:pStyle w:val="Heading30"/>
              <w:outlineLvl w:val="2"/>
              <w:rPr>
                <w:rFonts w:ascii="VIC" w:hAnsi="VIC"/>
              </w:rPr>
            </w:pPr>
            <w:r w:rsidRPr="002F044D">
              <w:rPr>
                <w:rFonts w:ascii="VIC" w:hAnsi="VIC"/>
              </w:rPr>
              <w:lastRenderedPageBreak/>
              <w:t>Staff as at 30 June by grade</w:t>
            </w:r>
          </w:p>
        </w:tc>
      </w:tr>
      <w:tr w:rsidR="004C1F36" w14:paraId="2DA49ECF" w14:textId="77777777" w:rsidTr="002F044D">
        <w:trPr>
          <w:cnfStyle w:val="000000100000" w:firstRow="0" w:lastRow="0" w:firstColumn="0" w:lastColumn="0" w:oddVBand="0" w:evenVBand="0" w:oddHBand="1" w:evenHBand="0" w:firstRowFirstColumn="0" w:firstRowLastColumn="0" w:lastRowFirstColumn="0" w:lastRowLastColumn="0"/>
        </w:trPr>
        <w:tc>
          <w:tcPr>
            <w:tcW w:w="1418" w:type="dxa"/>
            <w:tcBorders>
              <w:bottom w:val="single" w:sz="12" w:space="0" w:color="00573F" w:themeColor="text2"/>
              <w:right w:val="nil"/>
            </w:tcBorders>
          </w:tcPr>
          <w:p w14:paraId="62587A82" w14:textId="77777777" w:rsidR="004C1F36" w:rsidRDefault="004C1F36" w:rsidP="00F64188">
            <w:pPr>
              <w:pStyle w:val="TableHeader"/>
            </w:pPr>
          </w:p>
        </w:tc>
        <w:tc>
          <w:tcPr>
            <w:tcW w:w="3827" w:type="dxa"/>
            <w:gridSpan w:val="3"/>
            <w:tcBorders>
              <w:left w:val="nil"/>
              <w:right w:val="nil"/>
            </w:tcBorders>
          </w:tcPr>
          <w:p w14:paraId="7760A6C3" w14:textId="77777777" w:rsidR="004C1F36" w:rsidRDefault="004C1F36" w:rsidP="00F64188">
            <w:pPr>
              <w:pStyle w:val="TableHeader"/>
              <w:jc w:val="center"/>
            </w:pPr>
            <w:r>
              <w:t>2021</w:t>
            </w:r>
          </w:p>
        </w:tc>
        <w:tc>
          <w:tcPr>
            <w:tcW w:w="3825" w:type="dxa"/>
            <w:gridSpan w:val="3"/>
            <w:tcBorders>
              <w:left w:val="nil"/>
            </w:tcBorders>
          </w:tcPr>
          <w:p w14:paraId="51EA895D" w14:textId="77777777" w:rsidR="004C1F36" w:rsidRDefault="004C1F36" w:rsidP="00F64188">
            <w:pPr>
              <w:pStyle w:val="TableHeader"/>
              <w:jc w:val="center"/>
            </w:pPr>
            <w:r>
              <w:t>2020</w:t>
            </w:r>
          </w:p>
        </w:tc>
      </w:tr>
      <w:tr w:rsidR="004C1F36" w14:paraId="7EE15B60" w14:textId="77777777" w:rsidTr="002F044D">
        <w:trPr>
          <w:cnfStyle w:val="000000010000" w:firstRow="0" w:lastRow="0" w:firstColumn="0" w:lastColumn="0" w:oddVBand="0" w:evenVBand="0" w:oddHBand="0" w:evenHBand="1" w:firstRowFirstColumn="0" w:firstRowLastColumn="0" w:lastRowFirstColumn="0" w:lastRowLastColumn="0"/>
        </w:trPr>
        <w:tc>
          <w:tcPr>
            <w:tcW w:w="1418" w:type="dxa"/>
            <w:tcBorders>
              <w:top w:val="single" w:sz="12" w:space="0" w:color="00573F" w:themeColor="text2"/>
            </w:tcBorders>
          </w:tcPr>
          <w:p w14:paraId="1F6D45DD" w14:textId="0331FAA2" w:rsidR="004C1F36" w:rsidRPr="00973F22" w:rsidRDefault="004C1F36" w:rsidP="00F64188">
            <w:pPr>
              <w:pStyle w:val="TableHeader"/>
            </w:pPr>
            <w:r>
              <w:t>Grade</w:t>
            </w:r>
          </w:p>
        </w:tc>
        <w:tc>
          <w:tcPr>
            <w:tcW w:w="1275" w:type="dxa"/>
            <w:tcBorders>
              <w:top w:val="single" w:sz="12" w:space="0" w:color="00573F" w:themeColor="text2"/>
            </w:tcBorders>
          </w:tcPr>
          <w:p w14:paraId="3E1E00E2" w14:textId="77777777" w:rsidR="004C1F36" w:rsidRPr="00973F22" w:rsidRDefault="004C1F36" w:rsidP="00F64188">
            <w:pPr>
              <w:pStyle w:val="TableHeader"/>
              <w:jc w:val="center"/>
            </w:pPr>
            <w:r>
              <w:t>Female</w:t>
            </w:r>
          </w:p>
        </w:tc>
        <w:tc>
          <w:tcPr>
            <w:tcW w:w="1275" w:type="dxa"/>
            <w:tcBorders>
              <w:top w:val="single" w:sz="12" w:space="0" w:color="00573F" w:themeColor="text2"/>
            </w:tcBorders>
          </w:tcPr>
          <w:p w14:paraId="2014B086" w14:textId="77777777" w:rsidR="004C1F36" w:rsidRDefault="004C1F36" w:rsidP="00F64188">
            <w:pPr>
              <w:pStyle w:val="TableHeader"/>
              <w:jc w:val="center"/>
            </w:pPr>
            <w:r>
              <w:t>Male</w:t>
            </w:r>
          </w:p>
        </w:tc>
        <w:tc>
          <w:tcPr>
            <w:tcW w:w="1276" w:type="dxa"/>
            <w:tcBorders>
              <w:top w:val="single" w:sz="12" w:space="0" w:color="00573F" w:themeColor="text2"/>
            </w:tcBorders>
          </w:tcPr>
          <w:p w14:paraId="54C4D706" w14:textId="77777777" w:rsidR="004C1F36" w:rsidRDefault="004C1F36" w:rsidP="00F64188">
            <w:pPr>
              <w:pStyle w:val="TableHeader"/>
              <w:jc w:val="center"/>
            </w:pPr>
            <w:r>
              <w:t>Self-described</w:t>
            </w:r>
          </w:p>
        </w:tc>
        <w:tc>
          <w:tcPr>
            <w:tcW w:w="1275" w:type="dxa"/>
            <w:tcBorders>
              <w:top w:val="single" w:sz="12" w:space="0" w:color="00573F" w:themeColor="text2"/>
            </w:tcBorders>
          </w:tcPr>
          <w:p w14:paraId="1E79F2EC" w14:textId="77777777" w:rsidR="004C1F36" w:rsidRDefault="004C1F36" w:rsidP="00F64188">
            <w:pPr>
              <w:pStyle w:val="TableHeader"/>
              <w:jc w:val="center"/>
            </w:pPr>
            <w:r>
              <w:t>Female</w:t>
            </w:r>
          </w:p>
        </w:tc>
        <w:tc>
          <w:tcPr>
            <w:tcW w:w="1275" w:type="dxa"/>
            <w:tcBorders>
              <w:top w:val="single" w:sz="12" w:space="0" w:color="00573F" w:themeColor="text2"/>
            </w:tcBorders>
          </w:tcPr>
          <w:p w14:paraId="4769173C" w14:textId="77777777" w:rsidR="004C1F36" w:rsidRDefault="004C1F36" w:rsidP="00F64188">
            <w:pPr>
              <w:pStyle w:val="TableHeader"/>
              <w:jc w:val="center"/>
            </w:pPr>
            <w:r>
              <w:t>Male</w:t>
            </w:r>
          </w:p>
        </w:tc>
        <w:tc>
          <w:tcPr>
            <w:tcW w:w="1276" w:type="dxa"/>
            <w:tcBorders>
              <w:top w:val="single" w:sz="12" w:space="0" w:color="00573F" w:themeColor="text2"/>
            </w:tcBorders>
          </w:tcPr>
          <w:p w14:paraId="25AD27EC" w14:textId="77777777" w:rsidR="004C1F36" w:rsidRPr="00973F22" w:rsidRDefault="004C1F36" w:rsidP="00F64188">
            <w:pPr>
              <w:pStyle w:val="TableHeader"/>
              <w:jc w:val="center"/>
            </w:pPr>
            <w:r>
              <w:t>Self-described</w:t>
            </w:r>
          </w:p>
        </w:tc>
      </w:tr>
      <w:tr w:rsidR="004C1F36" w14:paraId="57A5CD54" w14:textId="77777777" w:rsidTr="00F64188">
        <w:trPr>
          <w:cnfStyle w:val="000000100000" w:firstRow="0" w:lastRow="0" w:firstColumn="0" w:lastColumn="0" w:oddVBand="0" w:evenVBand="0" w:oddHBand="1" w:evenHBand="0" w:firstRowFirstColumn="0" w:firstRowLastColumn="0" w:lastRowFirstColumn="0" w:lastRowLastColumn="0"/>
        </w:trPr>
        <w:tc>
          <w:tcPr>
            <w:tcW w:w="1418" w:type="dxa"/>
          </w:tcPr>
          <w:p w14:paraId="267B7F7E" w14:textId="53CEE99F" w:rsidR="004C1F36" w:rsidRPr="00973F22" w:rsidRDefault="004C1F36" w:rsidP="00F64188">
            <w:pPr>
              <w:pStyle w:val="TableBody"/>
            </w:pPr>
            <w:r>
              <w:t>Casual</w:t>
            </w:r>
          </w:p>
        </w:tc>
        <w:tc>
          <w:tcPr>
            <w:tcW w:w="1275" w:type="dxa"/>
          </w:tcPr>
          <w:p w14:paraId="6AD6C3F0" w14:textId="4D39C5FA" w:rsidR="004C1F36" w:rsidRPr="00973F22" w:rsidRDefault="003027E6" w:rsidP="00F64188">
            <w:pPr>
              <w:pStyle w:val="TableBody"/>
              <w:jc w:val="center"/>
            </w:pPr>
            <w:r>
              <w:t>1</w:t>
            </w:r>
          </w:p>
        </w:tc>
        <w:tc>
          <w:tcPr>
            <w:tcW w:w="1275" w:type="dxa"/>
          </w:tcPr>
          <w:p w14:paraId="4C27ACBF" w14:textId="3C6CE75B" w:rsidR="004C1F36" w:rsidRDefault="003027E6" w:rsidP="00F64188">
            <w:pPr>
              <w:pStyle w:val="TableBody"/>
              <w:jc w:val="center"/>
            </w:pPr>
            <w:r>
              <w:t>0</w:t>
            </w:r>
          </w:p>
        </w:tc>
        <w:tc>
          <w:tcPr>
            <w:tcW w:w="1276" w:type="dxa"/>
          </w:tcPr>
          <w:p w14:paraId="291AFE38" w14:textId="38F4583D" w:rsidR="004C1F36" w:rsidRDefault="003027E6" w:rsidP="00F64188">
            <w:pPr>
              <w:pStyle w:val="TableBody"/>
              <w:jc w:val="center"/>
            </w:pPr>
            <w:r>
              <w:t>0</w:t>
            </w:r>
          </w:p>
        </w:tc>
        <w:tc>
          <w:tcPr>
            <w:tcW w:w="1275" w:type="dxa"/>
          </w:tcPr>
          <w:p w14:paraId="0B97743A" w14:textId="057D36AA" w:rsidR="004C1F36" w:rsidRDefault="004C1F36" w:rsidP="00F64188">
            <w:pPr>
              <w:pStyle w:val="TableBody"/>
              <w:jc w:val="center"/>
            </w:pPr>
            <w:r>
              <w:t>0</w:t>
            </w:r>
          </w:p>
        </w:tc>
        <w:tc>
          <w:tcPr>
            <w:tcW w:w="1275" w:type="dxa"/>
          </w:tcPr>
          <w:p w14:paraId="4C528C4B" w14:textId="2FA6CDC0" w:rsidR="004C1F36" w:rsidRDefault="004C1F36" w:rsidP="00F64188">
            <w:pPr>
              <w:pStyle w:val="TableBody"/>
              <w:jc w:val="center"/>
            </w:pPr>
            <w:r>
              <w:t>1</w:t>
            </w:r>
          </w:p>
        </w:tc>
        <w:tc>
          <w:tcPr>
            <w:tcW w:w="1276" w:type="dxa"/>
          </w:tcPr>
          <w:p w14:paraId="15DCEE11" w14:textId="28155713" w:rsidR="004C1F36" w:rsidRPr="00973F22" w:rsidRDefault="004C1F36" w:rsidP="00F64188">
            <w:pPr>
              <w:pStyle w:val="TableBody"/>
              <w:jc w:val="center"/>
            </w:pPr>
            <w:r>
              <w:t>0</w:t>
            </w:r>
          </w:p>
        </w:tc>
      </w:tr>
      <w:tr w:rsidR="004C1F36" w14:paraId="5144726F" w14:textId="77777777" w:rsidTr="00F64188">
        <w:trPr>
          <w:cnfStyle w:val="000000010000" w:firstRow="0" w:lastRow="0" w:firstColumn="0" w:lastColumn="0" w:oddVBand="0" w:evenVBand="0" w:oddHBand="0" w:evenHBand="1" w:firstRowFirstColumn="0" w:firstRowLastColumn="0" w:lastRowFirstColumn="0" w:lastRowLastColumn="0"/>
        </w:trPr>
        <w:tc>
          <w:tcPr>
            <w:tcW w:w="1418" w:type="dxa"/>
          </w:tcPr>
          <w:p w14:paraId="0EC2F07A" w14:textId="002DBE54" w:rsidR="004C1F36" w:rsidRPr="00973F22" w:rsidRDefault="004C1F36" w:rsidP="00F64188">
            <w:pPr>
              <w:pStyle w:val="TableBody"/>
            </w:pPr>
            <w:r>
              <w:t>VPS1</w:t>
            </w:r>
          </w:p>
        </w:tc>
        <w:tc>
          <w:tcPr>
            <w:tcW w:w="1275" w:type="dxa"/>
          </w:tcPr>
          <w:p w14:paraId="67902D71" w14:textId="10E9EF42" w:rsidR="004C1F36" w:rsidRPr="00973F22" w:rsidRDefault="003027E6" w:rsidP="00F64188">
            <w:pPr>
              <w:pStyle w:val="TableBody"/>
              <w:jc w:val="center"/>
            </w:pPr>
            <w:r>
              <w:t>0</w:t>
            </w:r>
          </w:p>
        </w:tc>
        <w:tc>
          <w:tcPr>
            <w:tcW w:w="1275" w:type="dxa"/>
          </w:tcPr>
          <w:p w14:paraId="212C3FF0" w14:textId="798C7B4F" w:rsidR="004C1F36" w:rsidRDefault="003027E6" w:rsidP="00F64188">
            <w:pPr>
              <w:pStyle w:val="TableBody"/>
              <w:jc w:val="center"/>
            </w:pPr>
            <w:r>
              <w:t>1</w:t>
            </w:r>
          </w:p>
        </w:tc>
        <w:tc>
          <w:tcPr>
            <w:tcW w:w="1276" w:type="dxa"/>
          </w:tcPr>
          <w:p w14:paraId="399DA5A4" w14:textId="1D6378B7" w:rsidR="004C1F36" w:rsidRDefault="003027E6" w:rsidP="00F64188">
            <w:pPr>
              <w:pStyle w:val="TableBody"/>
              <w:jc w:val="center"/>
            </w:pPr>
            <w:r>
              <w:t>0</w:t>
            </w:r>
          </w:p>
        </w:tc>
        <w:tc>
          <w:tcPr>
            <w:tcW w:w="1275" w:type="dxa"/>
          </w:tcPr>
          <w:p w14:paraId="6FE85B0B" w14:textId="63DE4AE1" w:rsidR="004C1F36" w:rsidRDefault="004C1F36" w:rsidP="00F64188">
            <w:pPr>
              <w:pStyle w:val="TableBody"/>
              <w:jc w:val="center"/>
            </w:pPr>
            <w:r>
              <w:t>0</w:t>
            </w:r>
          </w:p>
        </w:tc>
        <w:tc>
          <w:tcPr>
            <w:tcW w:w="1275" w:type="dxa"/>
          </w:tcPr>
          <w:p w14:paraId="3FF9A65D" w14:textId="23D442E0" w:rsidR="004C1F36" w:rsidRDefault="004C1F36" w:rsidP="00F64188">
            <w:pPr>
              <w:pStyle w:val="TableBody"/>
              <w:jc w:val="center"/>
            </w:pPr>
            <w:r>
              <w:t>1</w:t>
            </w:r>
          </w:p>
        </w:tc>
        <w:tc>
          <w:tcPr>
            <w:tcW w:w="1276" w:type="dxa"/>
          </w:tcPr>
          <w:p w14:paraId="677010E1" w14:textId="776FF96A" w:rsidR="004C1F36" w:rsidRPr="00973F22" w:rsidRDefault="004C1F36" w:rsidP="00F64188">
            <w:pPr>
              <w:pStyle w:val="TableBody"/>
              <w:jc w:val="center"/>
            </w:pPr>
            <w:r>
              <w:t>0</w:t>
            </w:r>
          </w:p>
        </w:tc>
      </w:tr>
      <w:tr w:rsidR="004C1F36" w14:paraId="7E7AFB16" w14:textId="77777777" w:rsidTr="00F64188">
        <w:trPr>
          <w:cnfStyle w:val="000000100000" w:firstRow="0" w:lastRow="0" w:firstColumn="0" w:lastColumn="0" w:oddVBand="0" w:evenVBand="0" w:oddHBand="1" w:evenHBand="0" w:firstRowFirstColumn="0" w:firstRowLastColumn="0" w:lastRowFirstColumn="0" w:lastRowLastColumn="0"/>
        </w:trPr>
        <w:tc>
          <w:tcPr>
            <w:tcW w:w="1418" w:type="dxa"/>
          </w:tcPr>
          <w:p w14:paraId="49E6FF57" w14:textId="5E62FB65" w:rsidR="004C1F36" w:rsidRDefault="004C1F36" w:rsidP="00F64188">
            <w:pPr>
              <w:pStyle w:val="TableBody"/>
            </w:pPr>
            <w:r>
              <w:t>VPS2</w:t>
            </w:r>
          </w:p>
        </w:tc>
        <w:tc>
          <w:tcPr>
            <w:tcW w:w="1275" w:type="dxa"/>
          </w:tcPr>
          <w:p w14:paraId="3DDE7F7A" w14:textId="0C1AD76E" w:rsidR="004C1F36" w:rsidRDefault="003027E6" w:rsidP="00F64188">
            <w:pPr>
              <w:pStyle w:val="TableBody"/>
              <w:jc w:val="center"/>
            </w:pPr>
            <w:r>
              <w:t>4</w:t>
            </w:r>
          </w:p>
        </w:tc>
        <w:tc>
          <w:tcPr>
            <w:tcW w:w="1275" w:type="dxa"/>
          </w:tcPr>
          <w:p w14:paraId="1BCD411E" w14:textId="7CC74D5B" w:rsidR="004C1F36" w:rsidRDefault="003027E6" w:rsidP="00F64188">
            <w:pPr>
              <w:pStyle w:val="TableBody"/>
              <w:jc w:val="center"/>
            </w:pPr>
            <w:r>
              <w:t>0</w:t>
            </w:r>
          </w:p>
        </w:tc>
        <w:tc>
          <w:tcPr>
            <w:tcW w:w="1276" w:type="dxa"/>
          </w:tcPr>
          <w:p w14:paraId="2C47CE8D" w14:textId="04EF9752" w:rsidR="004C1F36" w:rsidRDefault="003027E6" w:rsidP="00F64188">
            <w:pPr>
              <w:pStyle w:val="TableBody"/>
              <w:jc w:val="center"/>
            </w:pPr>
            <w:r>
              <w:t>0</w:t>
            </w:r>
          </w:p>
        </w:tc>
        <w:tc>
          <w:tcPr>
            <w:tcW w:w="1275" w:type="dxa"/>
          </w:tcPr>
          <w:p w14:paraId="59CBC8F8" w14:textId="4E81FA5A" w:rsidR="004C1F36" w:rsidRDefault="004C1F36" w:rsidP="00F64188">
            <w:pPr>
              <w:pStyle w:val="TableBody"/>
              <w:jc w:val="center"/>
            </w:pPr>
            <w:r>
              <w:t>1</w:t>
            </w:r>
          </w:p>
        </w:tc>
        <w:tc>
          <w:tcPr>
            <w:tcW w:w="1275" w:type="dxa"/>
          </w:tcPr>
          <w:p w14:paraId="79E9B273" w14:textId="074EEA2F" w:rsidR="004C1F36" w:rsidRDefault="004C1F36" w:rsidP="00F64188">
            <w:pPr>
              <w:pStyle w:val="TableBody"/>
              <w:jc w:val="center"/>
            </w:pPr>
            <w:r>
              <w:t>1</w:t>
            </w:r>
          </w:p>
        </w:tc>
        <w:tc>
          <w:tcPr>
            <w:tcW w:w="1276" w:type="dxa"/>
          </w:tcPr>
          <w:p w14:paraId="156FD63F" w14:textId="75F4BE3E" w:rsidR="004C1F36" w:rsidRDefault="004C1F36" w:rsidP="00F64188">
            <w:pPr>
              <w:pStyle w:val="TableBody"/>
              <w:jc w:val="center"/>
            </w:pPr>
            <w:r>
              <w:t>1</w:t>
            </w:r>
          </w:p>
        </w:tc>
      </w:tr>
      <w:tr w:rsidR="004C1F36" w14:paraId="08B32267" w14:textId="77777777" w:rsidTr="00F64188">
        <w:trPr>
          <w:cnfStyle w:val="000000010000" w:firstRow="0" w:lastRow="0" w:firstColumn="0" w:lastColumn="0" w:oddVBand="0" w:evenVBand="0" w:oddHBand="0" w:evenHBand="1" w:firstRowFirstColumn="0" w:firstRowLastColumn="0" w:lastRowFirstColumn="0" w:lastRowLastColumn="0"/>
        </w:trPr>
        <w:tc>
          <w:tcPr>
            <w:tcW w:w="1418" w:type="dxa"/>
          </w:tcPr>
          <w:p w14:paraId="4EFF70C7" w14:textId="50E41A55" w:rsidR="004C1F36" w:rsidRDefault="004C1F36" w:rsidP="00F64188">
            <w:pPr>
              <w:pStyle w:val="TableBody"/>
            </w:pPr>
            <w:r>
              <w:t>VPS3</w:t>
            </w:r>
          </w:p>
        </w:tc>
        <w:tc>
          <w:tcPr>
            <w:tcW w:w="1275" w:type="dxa"/>
          </w:tcPr>
          <w:p w14:paraId="389670D0" w14:textId="768CD09E" w:rsidR="004C1F36" w:rsidRDefault="003027E6" w:rsidP="00F64188">
            <w:pPr>
              <w:pStyle w:val="TableBody"/>
              <w:jc w:val="center"/>
            </w:pPr>
            <w:r>
              <w:t>9</w:t>
            </w:r>
          </w:p>
        </w:tc>
        <w:tc>
          <w:tcPr>
            <w:tcW w:w="1275" w:type="dxa"/>
          </w:tcPr>
          <w:p w14:paraId="7E72B253" w14:textId="132C4792" w:rsidR="004C1F36" w:rsidRDefault="003027E6" w:rsidP="00F64188">
            <w:pPr>
              <w:pStyle w:val="TableBody"/>
              <w:jc w:val="center"/>
            </w:pPr>
            <w:r>
              <w:t>4</w:t>
            </w:r>
          </w:p>
        </w:tc>
        <w:tc>
          <w:tcPr>
            <w:tcW w:w="1276" w:type="dxa"/>
          </w:tcPr>
          <w:p w14:paraId="11302765" w14:textId="24C25D6B" w:rsidR="004C1F36" w:rsidRDefault="003027E6" w:rsidP="00F64188">
            <w:pPr>
              <w:pStyle w:val="TableBody"/>
              <w:jc w:val="center"/>
            </w:pPr>
            <w:r>
              <w:t>0</w:t>
            </w:r>
          </w:p>
        </w:tc>
        <w:tc>
          <w:tcPr>
            <w:tcW w:w="1275" w:type="dxa"/>
          </w:tcPr>
          <w:p w14:paraId="7F64104D" w14:textId="744A4ED0" w:rsidR="004C1F36" w:rsidRDefault="004C1F36" w:rsidP="00F64188">
            <w:pPr>
              <w:pStyle w:val="TableBody"/>
              <w:jc w:val="center"/>
            </w:pPr>
            <w:r>
              <w:t>10</w:t>
            </w:r>
          </w:p>
        </w:tc>
        <w:tc>
          <w:tcPr>
            <w:tcW w:w="1275" w:type="dxa"/>
          </w:tcPr>
          <w:p w14:paraId="3CD2462B" w14:textId="607FFC3F" w:rsidR="004C1F36" w:rsidRDefault="004C1F36" w:rsidP="00F64188">
            <w:pPr>
              <w:pStyle w:val="TableBody"/>
              <w:jc w:val="center"/>
            </w:pPr>
            <w:r>
              <w:t>2</w:t>
            </w:r>
          </w:p>
        </w:tc>
        <w:tc>
          <w:tcPr>
            <w:tcW w:w="1276" w:type="dxa"/>
          </w:tcPr>
          <w:p w14:paraId="69DAC48C" w14:textId="77777777" w:rsidR="004C1F36" w:rsidRDefault="004C1F36" w:rsidP="00F64188">
            <w:pPr>
              <w:pStyle w:val="TableBody"/>
              <w:jc w:val="center"/>
            </w:pPr>
            <w:r>
              <w:t>0</w:t>
            </w:r>
          </w:p>
        </w:tc>
      </w:tr>
      <w:tr w:rsidR="004C1F36" w14:paraId="4DAD29A7" w14:textId="77777777" w:rsidTr="00F64188">
        <w:trPr>
          <w:cnfStyle w:val="000000100000" w:firstRow="0" w:lastRow="0" w:firstColumn="0" w:lastColumn="0" w:oddVBand="0" w:evenVBand="0" w:oddHBand="1" w:evenHBand="0" w:firstRowFirstColumn="0" w:firstRowLastColumn="0" w:lastRowFirstColumn="0" w:lastRowLastColumn="0"/>
        </w:trPr>
        <w:tc>
          <w:tcPr>
            <w:tcW w:w="1418" w:type="dxa"/>
          </w:tcPr>
          <w:p w14:paraId="5B3B8057" w14:textId="7B9EB638" w:rsidR="004C1F36" w:rsidRDefault="004C1F36" w:rsidP="00F64188">
            <w:pPr>
              <w:pStyle w:val="TableBody"/>
            </w:pPr>
            <w:r>
              <w:t>VPS4</w:t>
            </w:r>
          </w:p>
        </w:tc>
        <w:tc>
          <w:tcPr>
            <w:tcW w:w="1275" w:type="dxa"/>
          </w:tcPr>
          <w:p w14:paraId="14B768EB" w14:textId="7ABE6A93" w:rsidR="004C1F36" w:rsidRDefault="003027E6" w:rsidP="00F64188">
            <w:pPr>
              <w:pStyle w:val="TableBody"/>
              <w:jc w:val="center"/>
            </w:pPr>
            <w:r>
              <w:t>15</w:t>
            </w:r>
          </w:p>
        </w:tc>
        <w:tc>
          <w:tcPr>
            <w:tcW w:w="1275" w:type="dxa"/>
          </w:tcPr>
          <w:p w14:paraId="5B40B4A5" w14:textId="760B737F" w:rsidR="004C1F36" w:rsidRDefault="003027E6" w:rsidP="00F64188">
            <w:pPr>
              <w:pStyle w:val="TableBody"/>
              <w:jc w:val="center"/>
            </w:pPr>
            <w:r>
              <w:t>6</w:t>
            </w:r>
          </w:p>
        </w:tc>
        <w:tc>
          <w:tcPr>
            <w:tcW w:w="1276" w:type="dxa"/>
          </w:tcPr>
          <w:p w14:paraId="5C5EFD66" w14:textId="305AD722" w:rsidR="004C1F36" w:rsidRDefault="003027E6" w:rsidP="00F64188">
            <w:pPr>
              <w:pStyle w:val="TableBody"/>
              <w:jc w:val="center"/>
            </w:pPr>
            <w:r>
              <w:t>0</w:t>
            </w:r>
          </w:p>
        </w:tc>
        <w:tc>
          <w:tcPr>
            <w:tcW w:w="1275" w:type="dxa"/>
          </w:tcPr>
          <w:p w14:paraId="432C1BA1" w14:textId="4BF13DD1" w:rsidR="004C1F36" w:rsidRDefault="004C1F36" w:rsidP="00F64188">
            <w:pPr>
              <w:pStyle w:val="TableBody"/>
              <w:jc w:val="center"/>
            </w:pPr>
            <w:r>
              <w:t>12</w:t>
            </w:r>
          </w:p>
        </w:tc>
        <w:tc>
          <w:tcPr>
            <w:tcW w:w="1275" w:type="dxa"/>
          </w:tcPr>
          <w:p w14:paraId="0E2CC6B5" w14:textId="45127FFF" w:rsidR="004C1F36" w:rsidRDefault="004C1F36" w:rsidP="00F64188">
            <w:pPr>
              <w:pStyle w:val="TableBody"/>
              <w:jc w:val="center"/>
            </w:pPr>
            <w:r>
              <w:t>6</w:t>
            </w:r>
          </w:p>
        </w:tc>
        <w:tc>
          <w:tcPr>
            <w:tcW w:w="1276" w:type="dxa"/>
          </w:tcPr>
          <w:p w14:paraId="66CFD1B6" w14:textId="36A21D75" w:rsidR="004C1F36" w:rsidRDefault="004C1F36" w:rsidP="00F64188">
            <w:pPr>
              <w:pStyle w:val="TableBody"/>
              <w:jc w:val="center"/>
            </w:pPr>
            <w:r>
              <w:t>0</w:t>
            </w:r>
          </w:p>
        </w:tc>
      </w:tr>
      <w:tr w:rsidR="004C1F36" w14:paraId="69F76F26" w14:textId="77777777" w:rsidTr="00F64188">
        <w:trPr>
          <w:cnfStyle w:val="000000010000" w:firstRow="0" w:lastRow="0" w:firstColumn="0" w:lastColumn="0" w:oddVBand="0" w:evenVBand="0" w:oddHBand="0" w:evenHBand="1" w:firstRowFirstColumn="0" w:firstRowLastColumn="0" w:lastRowFirstColumn="0" w:lastRowLastColumn="0"/>
        </w:trPr>
        <w:tc>
          <w:tcPr>
            <w:tcW w:w="1418" w:type="dxa"/>
          </w:tcPr>
          <w:p w14:paraId="0723D326" w14:textId="16C7F1B4" w:rsidR="004C1F36" w:rsidRDefault="004C1F36" w:rsidP="00F64188">
            <w:pPr>
              <w:pStyle w:val="TableBody"/>
            </w:pPr>
            <w:r>
              <w:t>VPS5</w:t>
            </w:r>
          </w:p>
        </w:tc>
        <w:tc>
          <w:tcPr>
            <w:tcW w:w="1275" w:type="dxa"/>
          </w:tcPr>
          <w:p w14:paraId="0468065D" w14:textId="09BB77B0" w:rsidR="004C1F36" w:rsidRDefault="003027E6" w:rsidP="00F64188">
            <w:pPr>
              <w:pStyle w:val="TableBody"/>
              <w:jc w:val="center"/>
            </w:pPr>
            <w:r>
              <w:t>25</w:t>
            </w:r>
          </w:p>
        </w:tc>
        <w:tc>
          <w:tcPr>
            <w:tcW w:w="1275" w:type="dxa"/>
          </w:tcPr>
          <w:p w14:paraId="25C8E20C" w14:textId="16E7644E" w:rsidR="004C1F36" w:rsidRDefault="003027E6" w:rsidP="00F64188">
            <w:pPr>
              <w:pStyle w:val="TableBody"/>
              <w:jc w:val="center"/>
            </w:pPr>
            <w:r>
              <w:t>13</w:t>
            </w:r>
          </w:p>
        </w:tc>
        <w:tc>
          <w:tcPr>
            <w:tcW w:w="1276" w:type="dxa"/>
          </w:tcPr>
          <w:p w14:paraId="2694AC0B" w14:textId="45FFD230" w:rsidR="004C1F36" w:rsidRDefault="003027E6" w:rsidP="00F64188">
            <w:pPr>
              <w:pStyle w:val="TableBody"/>
              <w:jc w:val="center"/>
            </w:pPr>
            <w:r>
              <w:t>0</w:t>
            </w:r>
          </w:p>
        </w:tc>
        <w:tc>
          <w:tcPr>
            <w:tcW w:w="1275" w:type="dxa"/>
          </w:tcPr>
          <w:p w14:paraId="3098F8FD" w14:textId="5E0D5B04" w:rsidR="004C1F36" w:rsidRDefault="004C1F36" w:rsidP="00F64188">
            <w:pPr>
              <w:pStyle w:val="TableBody"/>
              <w:jc w:val="center"/>
            </w:pPr>
            <w:r>
              <w:t>23</w:t>
            </w:r>
          </w:p>
        </w:tc>
        <w:tc>
          <w:tcPr>
            <w:tcW w:w="1275" w:type="dxa"/>
          </w:tcPr>
          <w:p w14:paraId="7794D753" w14:textId="2BE78209" w:rsidR="004C1F36" w:rsidRDefault="004C1F36" w:rsidP="00F64188">
            <w:pPr>
              <w:pStyle w:val="TableBody"/>
              <w:jc w:val="center"/>
            </w:pPr>
            <w:r>
              <w:t>11</w:t>
            </w:r>
          </w:p>
        </w:tc>
        <w:tc>
          <w:tcPr>
            <w:tcW w:w="1276" w:type="dxa"/>
          </w:tcPr>
          <w:p w14:paraId="24158E0E" w14:textId="67E49262" w:rsidR="004C1F36" w:rsidRDefault="004C1F36" w:rsidP="00F64188">
            <w:pPr>
              <w:pStyle w:val="TableBody"/>
              <w:jc w:val="center"/>
            </w:pPr>
            <w:r>
              <w:t>1</w:t>
            </w:r>
          </w:p>
        </w:tc>
      </w:tr>
      <w:tr w:rsidR="004C1F36" w14:paraId="7ED00F05" w14:textId="77777777" w:rsidTr="00F64188">
        <w:trPr>
          <w:cnfStyle w:val="000000100000" w:firstRow="0" w:lastRow="0" w:firstColumn="0" w:lastColumn="0" w:oddVBand="0" w:evenVBand="0" w:oddHBand="1" w:evenHBand="0" w:firstRowFirstColumn="0" w:firstRowLastColumn="0" w:lastRowFirstColumn="0" w:lastRowLastColumn="0"/>
        </w:trPr>
        <w:tc>
          <w:tcPr>
            <w:tcW w:w="1418" w:type="dxa"/>
          </w:tcPr>
          <w:p w14:paraId="546FEA42" w14:textId="1DEDE1D0" w:rsidR="004C1F36" w:rsidRDefault="004C1F36" w:rsidP="00F64188">
            <w:pPr>
              <w:pStyle w:val="TableBody"/>
            </w:pPr>
            <w:r>
              <w:t>VPS6</w:t>
            </w:r>
          </w:p>
        </w:tc>
        <w:tc>
          <w:tcPr>
            <w:tcW w:w="1275" w:type="dxa"/>
          </w:tcPr>
          <w:p w14:paraId="647ABD91" w14:textId="6B5208B3" w:rsidR="004C1F36" w:rsidRDefault="003027E6" w:rsidP="00F64188">
            <w:pPr>
              <w:pStyle w:val="TableBody"/>
              <w:jc w:val="center"/>
            </w:pPr>
            <w:r>
              <w:t>17</w:t>
            </w:r>
          </w:p>
        </w:tc>
        <w:tc>
          <w:tcPr>
            <w:tcW w:w="1275" w:type="dxa"/>
          </w:tcPr>
          <w:p w14:paraId="53C74A7A" w14:textId="2836487A" w:rsidR="004C1F36" w:rsidRDefault="003027E6" w:rsidP="00F64188">
            <w:pPr>
              <w:pStyle w:val="TableBody"/>
              <w:jc w:val="center"/>
            </w:pPr>
            <w:r>
              <w:t>11</w:t>
            </w:r>
          </w:p>
        </w:tc>
        <w:tc>
          <w:tcPr>
            <w:tcW w:w="1276" w:type="dxa"/>
          </w:tcPr>
          <w:p w14:paraId="1F810C41" w14:textId="458737CD" w:rsidR="004C1F36" w:rsidRDefault="003027E6" w:rsidP="00F64188">
            <w:pPr>
              <w:pStyle w:val="TableBody"/>
              <w:jc w:val="center"/>
            </w:pPr>
            <w:r>
              <w:t>1</w:t>
            </w:r>
          </w:p>
        </w:tc>
        <w:tc>
          <w:tcPr>
            <w:tcW w:w="1275" w:type="dxa"/>
          </w:tcPr>
          <w:p w14:paraId="34BFDC9A" w14:textId="4BAB5BCB" w:rsidR="004C1F36" w:rsidRDefault="004C1F36" w:rsidP="00F64188">
            <w:pPr>
              <w:pStyle w:val="TableBody"/>
              <w:jc w:val="center"/>
            </w:pPr>
            <w:r>
              <w:t>13</w:t>
            </w:r>
          </w:p>
        </w:tc>
        <w:tc>
          <w:tcPr>
            <w:tcW w:w="1275" w:type="dxa"/>
          </w:tcPr>
          <w:p w14:paraId="3F7EC242" w14:textId="36D5B009" w:rsidR="004C1F36" w:rsidRDefault="004C1F36" w:rsidP="00F64188">
            <w:pPr>
              <w:pStyle w:val="TableBody"/>
              <w:jc w:val="center"/>
            </w:pPr>
            <w:r>
              <w:t>9</w:t>
            </w:r>
          </w:p>
        </w:tc>
        <w:tc>
          <w:tcPr>
            <w:tcW w:w="1276" w:type="dxa"/>
          </w:tcPr>
          <w:p w14:paraId="7CEF2E4C" w14:textId="2AD362BC" w:rsidR="004C1F36" w:rsidRDefault="004C1F36" w:rsidP="00F64188">
            <w:pPr>
              <w:pStyle w:val="TableBody"/>
              <w:jc w:val="center"/>
            </w:pPr>
            <w:r>
              <w:t>0</w:t>
            </w:r>
          </w:p>
        </w:tc>
      </w:tr>
      <w:tr w:rsidR="004C1F36" w14:paraId="52C9519B" w14:textId="77777777" w:rsidTr="00F64188">
        <w:trPr>
          <w:cnfStyle w:val="000000010000" w:firstRow="0" w:lastRow="0" w:firstColumn="0" w:lastColumn="0" w:oddVBand="0" w:evenVBand="0" w:oddHBand="0" w:evenHBand="1" w:firstRowFirstColumn="0" w:firstRowLastColumn="0" w:lastRowFirstColumn="0" w:lastRowLastColumn="0"/>
        </w:trPr>
        <w:tc>
          <w:tcPr>
            <w:tcW w:w="1418" w:type="dxa"/>
          </w:tcPr>
          <w:p w14:paraId="274CFF15" w14:textId="4E1E5A49" w:rsidR="004C1F36" w:rsidRDefault="004C1F36" w:rsidP="00F64188">
            <w:pPr>
              <w:pStyle w:val="TableBody"/>
            </w:pPr>
            <w:r>
              <w:t>STS</w:t>
            </w:r>
          </w:p>
        </w:tc>
        <w:tc>
          <w:tcPr>
            <w:tcW w:w="1275" w:type="dxa"/>
          </w:tcPr>
          <w:p w14:paraId="4FE293DB" w14:textId="6F749840" w:rsidR="004C1F36" w:rsidRDefault="003027E6" w:rsidP="00F64188">
            <w:pPr>
              <w:pStyle w:val="TableBody"/>
              <w:jc w:val="center"/>
            </w:pPr>
            <w:r>
              <w:t>0</w:t>
            </w:r>
          </w:p>
        </w:tc>
        <w:tc>
          <w:tcPr>
            <w:tcW w:w="1275" w:type="dxa"/>
          </w:tcPr>
          <w:p w14:paraId="424F207C" w14:textId="6701B4DA" w:rsidR="004C1F36" w:rsidRDefault="003027E6" w:rsidP="00F64188">
            <w:pPr>
              <w:pStyle w:val="TableBody"/>
              <w:jc w:val="center"/>
            </w:pPr>
            <w:r>
              <w:t>0</w:t>
            </w:r>
          </w:p>
        </w:tc>
        <w:tc>
          <w:tcPr>
            <w:tcW w:w="1276" w:type="dxa"/>
          </w:tcPr>
          <w:p w14:paraId="709E0C69" w14:textId="4783F4B9" w:rsidR="004C1F36" w:rsidRDefault="003027E6" w:rsidP="00F64188">
            <w:pPr>
              <w:pStyle w:val="TableBody"/>
              <w:jc w:val="center"/>
            </w:pPr>
            <w:r>
              <w:t>0</w:t>
            </w:r>
          </w:p>
        </w:tc>
        <w:tc>
          <w:tcPr>
            <w:tcW w:w="1275" w:type="dxa"/>
          </w:tcPr>
          <w:p w14:paraId="7A4F1067" w14:textId="0A7F8E88" w:rsidR="004C1F36" w:rsidRDefault="004C1F36" w:rsidP="00F64188">
            <w:pPr>
              <w:pStyle w:val="TableBody"/>
              <w:jc w:val="center"/>
            </w:pPr>
            <w:r>
              <w:t>1</w:t>
            </w:r>
          </w:p>
        </w:tc>
        <w:tc>
          <w:tcPr>
            <w:tcW w:w="1275" w:type="dxa"/>
          </w:tcPr>
          <w:p w14:paraId="46352DCA" w14:textId="5A8BAEC7" w:rsidR="004C1F36" w:rsidRDefault="004C1F36" w:rsidP="00F64188">
            <w:pPr>
              <w:pStyle w:val="TableBody"/>
              <w:jc w:val="center"/>
            </w:pPr>
            <w:r>
              <w:t>0</w:t>
            </w:r>
          </w:p>
        </w:tc>
        <w:tc>
          <w:tcPr>
            <w:tcW w:w="1276" w:type="dxa"/>
          </w:tcPr>
          <w:p w14:paraId="012A674B" w14:textId="3BBCEB0D" w:rsidR="004C1F36" w:rsidRDefault="004C1F36" w:rsidP="00F64188">
            <w:pPr>
              <w:pStyle w:val="TableBody"/>
              <w:jc w:val="center"/>
            </w:pPr>
            <w:r>
              <w:t>0</w:t>
            </w:r>
          </w:p>
        </w:tc>
      </w:tr>
      <w:tr w:rsidR="004C1F36" w14:paraId="15C272CC" w14:textId="77777777" w:rsidTr="00F64188">
        <w:trPr>
          <w:cnfStyle w:val="000000100000" w:firstRow="0" w:lastRow="0" w:firstColumn="0" w:lastColumn="0" w:oddVBand="0" w:evenVBand="0" w:oddHBand="1" w:evenHBand="0" w:firstRowFirstColumn="0" w:firstRowLastColumn="0" w:lastRowFirstColumn="0" w:lastRowLastColumn="0"/>
        </w:trPr>
        <w:tc>
          <w:tcPr>
            <w:tcW w:w="1418" w:type="dxa"/>
          </w:tcPr>
          <w:p w14:paraId="64CF14A4" w14:textId="7E080038" w:rsidR="004C1F36" w:rsidRDefault="00835B94" w:rsidP="00F64188">
            <w:pPr>
              <w:pStyle w:val="TableBody"/>
            </w:pPr>
            <w:r>
              <w:t>SES1</w:t>
            </w:r>
          </w:p>
        </w:tc>
        <w:tc>
          <w:tcPr>
            <w:tcW w:w="1275" w:type="dxa"/>
          </w:tcPr>
          <w:p w14:paraId="7757C4E5" w14:textId="2C503BC5" w:rsidR="004C1F36" w:rsidRDefault="003027E6" w:rsidP="00F64188">
            <w:pPr>
              <w:pStyle w:val="TableBody"/>
              <w:jc w:val="center"/>
            </w:pPr>
            <w:r>
              <w:t>0</w:t>
            </w:r>
          </w:p>
        </w:tc>
        <w:tc>
          <w:tcPr>
            <w:tcW w:w="1275" w:type="dxa"/>
          </w:tcPr>
          <w:p w14:paraId="7D2985EA" w14:textId="1D11B0E3" w:rsidR="004C1F36" w:rsidRDefault="003027E6" w:rsidP="00F64188">
            <w:pPr>
              <w:pStyle w:val="TableBody"/>
              <w:jc w:val="center"/>
            </w:pPr>
            <w:r>
              <w:t>1</w:t>
            </w:r>
          </w:p>
        </w:tc>
        <w:tc>
          <w:tcPr>
            <w:tcW w:w="1276" w:type="dxa"/>
          </w:tcPr>
          <w:p w14:paraId="3D03649C" w14:textId="4ABBB068" w:rsidR="004C1F36" w:rsidRDefault="003027E6" w:rsidP="00F64188">
            <w:pPr>
              <w:pStyle w:val="TableBody"/>
              <w:jc w:val="center"/>
            </w:pPr>
            <w:r>
              <w:t>0</w:t>
            </w:r>
          </w:p>
        </w:tc>
        <w:tc>
          <w:tcPr>
            <w:tcW w:w="1275" w:type="dxa"/>
          </w:tcPr>
          <w:p w14:paraId="46377F3A" w14:textId="599214A2" w:rsidR="004C1F36" w:rsidRDefault="004C1F36" w:rsidP="00F64188">
            <w:pPr>
              <w:pStyle w:val="TableBody"/>
              <w:jc w:val="center"/>
            </w:pPr>
            <w:r>
              <w:t>0</w:t>
            </w:r>
          </w:p>
        </w:tc>
        <w:tc>
          <w:tcPr>
            <w:tcW w:w="1275" w:type="dxa"/>
          </w:tcPr>
          <w:p w14:paraId="5A18A3A5" w14:textId="542E6C8F" w:rsidR="004C1F36" w:rsidRDefault="004C1F36" w:rsidP="00F64188">
            <w:pPr>
              <w:pStyle w:val="TableBody"/>
              <w:jc w:val="center"/>
            </w:pPr>
            <w:r>
              <w:t>0</w:t>
            </w:r>
          </w:p>
        </w:tc>
        <w:tc>
          <w:tcPr>
            <w:tcW w:w="1276" w:type="dxa"/>
          </w:tcPr>
          <w:p w14:paraId="7E4AC708" w14:textId="14077E65" w:rsidR="004C1F36" w:rsidRDefault="004C1F36" w:rsidP="00F64188">
            <w:pPr>
              <w:pStyle w:val="TableBody"/>
              <w:jc w:val="center"/>
            </w:pPr>
            <w:r>
              <w:t>0</w:t>
            </w:r>
          </w:p>
        </w:tc>
      </w:tr>
      <w:tr w:rsidR="004C1F36" w14:paraId="0194FA58" w14:textId="77777777" w:rsidTr="00F64188">
        <w:trPr>
          <w:cnfStyle w:val="000000010000" w:firstRow="0" w:lastRow="0" w:firstColumn="0" w:lastColumn="0" w:oddVBand="0" w:evenVBand="0" w:oddHBand="0" w:evenHBand="1" w:firstRowFirstColumn="0" w:firstRowLastColumn="0" w:lastRowFirstColumn="0" w:lastRowLastColumn="0"/>
        </w:trPr>
        <w:tc>
          <w:tcPr>
            <w:tcW w:w="1418" w:type="dxa"/>
          </w:tcPr>
          <w:p w14:paraId="14B9E84E" w14:textId="13FD6167" w:rsidR="004C1F36" w:rsidRDefault="00835B94" w:rsidP="00F64188">
            <w:pPr>
              <w:pStyle w:val="TableBody"/>
            </w:pPr>
            <w:r>
              <w:t>SES2</w:t>
            </w:r>
          </w:p>
        </w:tc>
        <w:tc>
          <w:tcPr>
            <w:tcW w:w="1275" w:type="dxa"/>
          </w:tcPr>
          <w:p w14:paraId="3B11C07E" w14:textId="1D6B6B9C" w:rsidR="004C1F36" w:rsidRDefault="003027E6" w:rsidP="00F64188">
            <w:pPr>
              <w:pStyle w:val="TableBody"/>
              <w:jc w:val="center"/>
            </w:pPr>
            <w:r>
              <w:t>2</w:t>
            </w:r>
          </w:p>
        </w:tc>
        <w:tc>
          <w:tcPr>
            <w:tcW w:w="1275" w:type="dxa"/>
          </w:tcPr>
          <w:p w14:paraId="3312788B" w14:textId="3D0C13BE" w:rsidR="004C1F36" w:rsidRDefault="003027E6" w:rsidP="00F64188">
            <w:pPr>
              <w:pStyle w:val="TableBody"/>
              <w:jc w:val="center"/>
            </w:pPr>
            <w:r>
              <w:t>1</w:t>
            </w:r>
          </w:p>
        </w:tc>
        <w:tc>
          <w:tcPr>
            <w:tcW w:w="1276" w:type="dxa"/>
          </w:tcPr>
          <w:p w14:paraId="66A72D02" w14:textId="135E3239" w:rsidR="004C1F36" w:rsidRDefault="003027E6" w:rsidP="00F64188">
            <w:pPr>
              <w:pStyle w:val="TableBody"/>
              <w:jc w:val="center"/>
            </w:pPr>
            <w:r>
              <w:t>0</w:t>
            </w:r>
          </w:p>
        </w:tc>
        <w:tc>
          <w:tcPr>
            <w:tcW w:w="1275" w:type="dxa"/>
          </w:tcPr>
          <w:p w14:paraId="36768EA1" w14:textId="7E88B75D" w:rsidR="004C1F36" w:rsidRDefault="004C1F36" w:rsidP="00F64188">
            <w:pPr>
              <w:pStyle w:val="TableBody"/>
              <w:jc w:val="center"/>
            </w:pPr>
            <w:r>
              <w:t>2</w:t>
            </w:r>
          </w:p>
        </w:tc>
        <w:tc>
          <w:tcPr>
            <w:tcW w:w="1275" w:type="dxa"/>
          </w:tcPr>
          <w:p w14:paraId="7D4A755A" w14:textId="5DEF6059" w:rsidR="004C1F36" w:rsidRDefault="004C1F36" w:rsidP="00F64188">
            <w:pPr>
              <w:pStyle w:val="TableBody"/>
              <w:jc w:val="center"/>
            </w:pPr>
            <w:r>
              <w:t>1</w:t>
            </w:r>
          </w:p>
        </w:tc>
        <w:tc>
          <w:tcPr>
            <w:tcW w:w="1276" w:type="dxa"/>
          </w:tcPr>
          <w:p w14:paraId="2C84E6BF" w14:textId="43501005" w:rsidR="004C1F36" w:rsidRDefault="004C1F36" w:rsidP="00F64188">
            <w:pPr>
              <w:pStyle w:val="TableBody"/>
              <w:jc w:val="center"/>
            </w:pPr>
            <w:r>
              <w:t>0</w:t>
            </w:r>
          </w:p>
        </w:tc>
      </w:tr>
      <w:tr w:rsidR="004C1F36" w14:paraId="19731435" w14:textId="77777777" w:rsidTr="00F64188">
        <w:trPr>
          <w:cnfStyle w:val="000000100000" w:firstRow="0" w:lastRow="0" w:firstColumn="0" w:lastColumn="0" w:oddVBand="0" w:evenVBand="0" w:oddHBand="1" w:evenHBand="0" w:firstRowFirstColumn="0" w:firstRowLastColumn="0" w:lastRowFirstColumn="0" w:lastRowLastColumn="0"/>
        </w:trPr>
        <w:tc>
          <w:tcPr>
            <w:tcW w:w="1418" w:type="dxa"/>
          </w:tcPr>
          <w:p w14:paraId="1ABAD75D" w14:textId="7A8E6609" w:rsidR="004C1F36" w:rsidRDefault="00835B94" w:rsidP="00F64188">
            <w:pPr>
              <w:pStyle w:val="TableBody"/>
            </w:pPr>
            <w:r>
              <w:t>SES3</w:t>
            </w:r>
          </w:p>
        </w:tc>
        <w:tc>
          <w:tcPr>
            <w:tcW w:w="1275" w:type="dxa"/>
          </w:tcPr>
          <w:p w14:paraId="0CE4C1DC" w14:textId="1FB97227" w:rsidR="004C1F36" w:rsidRDefault="003027E6" w:rsidP="00F64188">
            <w:pPr>
              <w:pStyle w:val="TableBody"/>
              <w:jc w:val="center"/>
            </w:pPr>
            <w:r>
              <w:t>1</w:t>
            </w:r>
          </w:p>
        </w:tc>
        <w:tc>
          <w:tcPr>
            <w:tcW w:w="1275" w:type="dxa"/>
          </w:tcPr>
          <w:p w14:paraId="3EEDDBCE" w14:textId="285CF38C" w:rsidR="004C1F36" w:rsidRDefault="003027E6" w:rsidP="00F64188">
            <w:pPr>
              <w:pStyle w:val="TableBody"/>
              <w:jc w:val="center"/>
            </w:pPr>
            <w:r>
              <w:t>0</w:t>
            </w:r>
          </w:p>
        </w:tc>
        <w:tc>
          <w:tcPr>
            <w:tcW w:w="1276" w:type="dxa"/>
          </w:tcPr>
          <w:p w14:paraId="4616413B" w14:textId="10F8103D" w:rsidR="004C1F36" w:rsidRDefault="003027E6" w:rsidP="00F64188">
            <w:pPr>
              <w:pStyle w:val="TableBody"/>
              <w:jc w:val="center"/>
            </w:pPr>
            <w:r>
              <w:t>0</w:t>
            </w:r>
          </w:p>
        </w:tc>
        <w:tc>
          <w:tcPr>
            <w:tcW w:w="1275" w:type="dxa"/>
          </w:tcPr>
          <w:p w14:paraId="5ED154A4" w14:textId="718379EA" w:rsidR="004C1F36" w:rsidRDefault="004C1F36" w:rsidP="00F64188">
            <w:pPr>
              <w:pStyle w:val="TableBody"/>
              <w:jc w:val="center"/>
            </w:pPr>
            <w:r>
              <w:t>0</w:t>
            </w:r>
          </w:p>
        </w:tc>
        <w:tc>
          <w:tcPr>
            <w:tcW w:w="1275" w:type="dxa"/>
          </w:tcPr>
          <w:p w14:paraId="1FA8FA1C" w14:textId="5BE8E7A3" w:rsidR="004C1F36" w:rsidRDefault="004C1F36" w:rsidP="00F64188">
            <w:pPr>
              <w:pStyle w:val="TableBody"/>
              <w:jc w:val="center"/>
            </w:pPr>
            <w:r>
              <w:t>0</w:t>
            </w:r>
          </w:p>
        </w:tc>
        <w:tc>
          <w:tcPr>
            <w:tcW w:w="1276" w:type="dxa"/>
          </w:tcPr>
          <w:p w14:paraId="308FD88B" w14:textId="110B4C22" w:rsidR="004C1F36" w:rsidRDefault="004C1F36" w:rsidP="00F64188">
            <w:pPr>
              <w:pStyle w:val="TableBody"/>
              <w:jc w:val="center"/>
            </w:pPr>
            <w:r>
              <w:t>0</w:t>
            </w:r>
          </w:p>
        </w:tc>
      </w:tr>
    </w:tbl>
    <w:p w14:paraId="1515B122" w14:textId="36B1F089" w:rsidR="00CD3576" w:rsidRDefault="00CD3576" w:rsidP="00111A04">
      <w:pPr>
        <w:pStyle w:val="Heading30"/>
      </w:pPr>
    </w:p>
    <w:tbl>
      <w:tblPr>
        <w:tblStyle w:val="TableHorizontal"/>
        <w:tblW w:w="0" w:type="auto"/>
        <w:tblLook w:val="0420" w:firstRow="1" w:lastRow="0" w:firstColumn="0" w:lastColumn="0" w:noHBand="0" w:noVBand="1"/>
      </w:tblPr>
      <w:tblGrid>
        <w:gridCol w:w="3181"/>
        <w:gridCol w:w="1963"/>
        <w:gridCol w:w="1963"/>
        <w:gridCol w:w="1963"/>
      </w:tblGrid>
      <w:tr w:rsidR="002F044D" w14:paraId="4697A389" w14:textId="77777777" w:rsidTr="002F044D">
        <w:trPr>
          <w:cnfStyle w:val="100000000000" w:firstRow="1" w:lastRow="0" w:firstColumn="0" w:lastColumn="0" w:oddVBand="0" w:evenVBand="0" w:oddHBand="0" w:evenHBand="0" w:firstRowFirstColumn="0" w:firstRowLastColumn="0" w:lastRowFirstColumn="0" w:lastRowLastColumn="0"/>
        </w:trPr>
        <w:tc>
          <w:tcPr>
            <w:tcW w:w="9070" w:type="dxa"/>
            <w:gridSpan w:val="4"/>
            <w:tcBorders>
              <w:bottom w:val="nil"/>
            </w:tcBorders>
          </w:tcPr>
          <w:p w14:paraId="1A8DA24A" w14:textId="2E4DB7C0" w:rsidR="002F044D" w:rsidRPr="002F044D" w:rsidRDefault="002F044D" w:rsidP="002F044D">
            <w:pPr>
              <w:pStyle w:val="Heading30"/>
              <w:outlineLvl w:val="2"/>
              <w:rPr>
                <w:rFonts w:ascii="VIC" w:hAnsi="VIC"/>
              </w:rPr>
            </w:pPr>
            <w:r w:rsidRPr="002F044D">
              <w:rPr>
                <w:rFonts w:ascii="VIC" w:hAnsi="VIC"/>
              </w:rPr>
              <w:lastRenderedPageBreak/>
              <w:t>Annualised total salary as at 30 June</w:t>
            </w:r>
          </w:p>
        </w:tc>
      </w:tr>
      <w:tr w:rsidR="00F64188" w14:paraId="00C3D18B" w14:textId="77777777" w:rsidTr="002F044D">
        <w:trPr>
          <w:cnfStyle w:val="000000100000" w:firstRow="0" w:lastRow="0" w:firstColumn="0" w:lastColumn="0" w:oddVBand="0" w:evenVBand="0" w:oddHBand="1" w:evenHBand="0" w:firstRowFirstColumn="0" w:firstRowLastColumn="0" w:lastRowFirstColumn="0" w:lastRowLastColumn="0"/>
        </w:trPr>
        <w:tc>
          <w:tcPr>
            <w:tcW w:w="3181" w:type="dxa"/>
            <w:tcBorders>
              <w:bottom w:val="single" w:sz="12" w:space="0" w:color="00573F" w:themeColor="text2"/>
              <w:right w:val="nil"/>
            </w:tcBorders>
          </w:tcPr>
          <w:p w14:paraId="675019A7" w14:textId="0EA9E9A0" w:rsidR="00F64188" w:rsidRPr="00973F22" w:rsidRDefault="00F64188" w:rsidP="00F64188">
            <w:pPr>
              <w:pStyle w:val="TableHeader"/>
            </w:pPr>
            <w:r>
              <w:t>Income band (salary)</w:t>
            </w:r>
          </w:p>
        </w:tc>
        <w:tc>
          <w:tcPr>
            <w:tcW w:w="1963" w:type="dxa"/>
            <w:tcBorders>
              <w:left w:val="nil"/>
              <w:bottom w:val="single" w:sz="12" w:space="0" w:color="00573F" w:themeColor="text2"/>
              <w:right w:val="nil"/>
            </w:tcBorders>
          </w:tcPr>
          <w:p w14:paraId="06F50B17" w14:textId="2F177BBD" w:rsidR="00F64188" w:rsidRPr="00973F22" w:rsidRDefault="00F64188" w:rsidP="00F64188">
            <w:pPr>
              <w:pStyle w:val="TableHeader"/>
              <w:jc w:val="center"/>
            </w:pPr>
            <w:r>
              <w:t>Executives</w:t>
            </w:r>
          </w:p>
        </w:tc>
        <w:tc>
          <w:tcPr>
            <w:tcW w:w="1963" w:type="dxa"/>
            <w:tcBorders>
              <w:left w:val="nil"/>
              <w:bottom w:val="single" w:sz="12" w:space="0" w:color="00573F" w:themeColor="text2"/>
              <w:right w:val="nil"/>
            </w:tcBorders>
          </w:tcPr>
          <w:p w14:paraId="01B728A8" w14:textId="34091131" w:rsidR="00F64188" w:rsidRDefault="00F64188" w:rsidP="00F64188">
            <w:pPr>
              <w:pStyle w:val="TableHeader"/>
              <w:jc w:val="center"/>
            </w:pPr>
            <w:r>
              <w:t>Senior Technical Specialists</w:t>
            </w:r>
          </w:p>
        </w:tc>
        <w:tc>
          <w:tcPr>
            <w:tcW w:w="1963" w:type="dxa"/>
            <w:tcBorders>
              <w:left w:val="nil"/>
              <w:bottom w:val="single" w:sz="12" w:space="0" w:color="00573F" w:themeColor="text2"/>
            </w:tcBorders>
          </w:tcPr>
          <w:p w14:paraId="6A9F6A74" w14:textId="5348A6C2" w:rsidR="00F64188" w:rsidRPr="00973F22" w:rsidRDefault="00F64188" w:rsidP="00F64188">
            <w:pPr>
              <w:pStyle w:val="TableHeader"/>
              <w:jc w:val="center"/>
            </w:pPr>
            <w:r>
              <w:t>Other</w:t>
            </w:r>
          </w:p>
        </w:tc>
      </w:tr>
      <w:tr w:rsidR="00F64188" w14:paraId="3577C44B" w14:textId="77777777" w:rsidTr="002F044D">
        <w:trPr>
          <w:cnfStyle w:val="000000010000" w:firstRow="0" w:lastRow="0" w:firstColumn="0" w:lastColumn="0" w:oddVBand="0" w:evenVBand="0" w:oddHBand="0" w:evenHBand="1" w:firstRowFirstColumn="0" w:firstRowLastColumn="0" w:lastRowFirstColumn="0" w:lastRowLastColumn="0"/>
        </w:trPr>
        <w:tc>
          <w:tcPr>
            <w:tcW w:w="3181" w:type="dxa"/>
            <w:tcBorders>
              <w:top w:val="single" w:sz="12" w:space="0" w:color="00573F" w:themeColor="text2"/>
            </w:tcBorders>
          </w:tcPr>
          <w:p w14:paraId="734A6D1A" w14:textId="3D813E2F" w:rsidR="00F64188" w:rsidRPr="00973F22" w:rsidRDefault="00D006A8" w:rsidP="00F64188">
            <w:pPr>
              <w:pStyle w:val="TableBody"/>
            </w:pPr>
            <w:r>
              <w:t>$160,000 - $179,000</w:t>
            </w:r>
          </w:p>
        </w:tc>
        <w:tc>
          <w:tcPr>
            <w:tcW w:w="1963" w:type="dxa"/>
            <w:tcBorders>
              <w:top w:val="single" w:sz="12" w:space="0" w:color="00573F" w:themeColor="text2"/>
            </w:tcBorders>
          </w:tcPr>
          <w:p w14:paraId="094873B7" w14:textId="1793A77D" w:rsidR="00F64188" w:rsidRPr="00973F22" w:rsidRDefault="003027E6" w:rsidP="00F64188">
            <w:pPr>
              <w:pStyle w:val="TableBody"/>
              <w:jc w:val="center"/>
            </w:pPr>
            <w:r>
              <w:t>0</w:t>
            </w:r>
          </w:p>
        </w:tc>
        <w:tc>
          <w:tcPr>
            <w:tcW w:w="1963" w:type="dxa"/>
            <w:tcBorders>
              <w:top w:val="single" w:sz="12" w:space="0" w:color="00573F" w:themeColor="text2"/>
            </w:tcBorders>
          </w:tcPr>
          <w:p w14:paraId="3B8BD679" w14:textId="2508C370" w:rsidR="00F64188" w:rsidRDefault="003027E6" w:rsidP="00F64188">
            <w:pPr>
              <w:pStyle w:val="TableBody"/>
              <w:jc w:val="center"/>
            </w:pPr>
            <w:r>
              <w:t>0</w:t>
            </w:r>
          </w:p>
        </w:tc>
        <w:tc>
          <w:tcPr>
            <w:tcW w:w="1963" w:type="dxa"/>
            <w:tcBorders>
              <w:top w:val="single" w:sz="12" w:space="0" w:color="00573F" w:themeColor="text2"/>
            </w:tcBorders>
          </w:tcPr>
          <w:p w14:paraId="7EAFB320" w14:textId="2150B8A2" w:rsidR="00F64188" w:rsidRPr="00973F22" w:rsidRDefault="003027E6" w:rsidP="00F64188">
            <w:pPr>
              <w:pStyle w:val="TableBody"/>
              <w:jc w:val="center"/>
            </w:pPr>
            <w:r>
              <w:t>0</w:t>
            </w:r>
          </w:p>
        </w:tc>
      </w:tr>
      <w:tr w:rsidR="00F64188" w14:paraId="2557F6CB" w14:textId="77777777" w:rsidTr="00F64188">
        <w:trPr>
          <w:cnfStyle w:val="000000100000" w:firstRow="0" w:lastRow="0" w:firstColumn="0" w:lastColumn="0" w:oddVBand="0" w:evenVBand="0" w:oddHBand="1" w:evenHBand="0" w:firstRowFirstColumn="0" w:firstRowLastColumn="0" w:lastRowFirstColumn="0" w:lastRowLastColumn="0"/>
        </w:trPr>
        <w:tc>
          <w:tcPr>
            <w:tcW w:w="3181" w:type="dxa"/>
          </w:tcPr>
          <w:p w14:paraId="4EB239DA" w14:textId="4DFFC0EA" w:rsidR="00F64188" w:rsidRPr="00973F22" w:rsidRDefault="00D006A8" w:rsidP="00F64188">
            <w:pPr>
              <w:pStyle w:val="TableBody"/>
            </w:pPr>
            <w:r>
              <w:t>$220,000 - $239,000</w:t>
            </w:r>
          </w:p>
        </w:tc>
        <w:tc>
          <w:tcPr>
            <w:tcW w:w="1963" w:type="dxa"/>
          </w:tcPr>
          <w:p w14:paraId="26623A69" w14:textId="168D2A26" w:rsidR="00F64188" w:rsidRPr="00973F22" w:rsidRDefault="003027E6" w:rsidP="00F64188">
            <w:pPr>
              <w:pStyle w:val="TableBody"/>
              <w:jc w:val="center"/>
            </w:pPr>
            <w:r>
              <w:t>1</w:t>
            </w:r>
          </w:p>
        </w:tc>
        <w:tc>
          <w:tcPr>
            <w:tcW w:w="1963" w:type="dxa"/>
          </w:tcPr>
          <w:p w14:paraId="21679C4C" w14:textId="5C3E69CA" w:rsidR="00F64188" w:rsidRDefault="003027E6" w:rsidP="00F64188">
            <w:pPr>
              <w:pStyle w:val="TableBody"/>
              <w:jc w:val="center"/>
            </w:pPr>
            <w:r>
              <w:t>0</w:t>
            </w:r>
          </w:p>
        </w:tc>
        <w:tc>
          <w:tcPr>
            <w:tcW w:w="1963" w:type="dxa"/>
          </w:tcPr>
          <w:p w14:paraId="1EE3D465" w14:textId="30C7F5FF" w:rsidR="00F64188" w:rsidRPr="00973F22" w:rsidRDefault="003027E6" w:rsidP="00F64188">
            <w:pPr>
              <w:pStyle w:val="TableBody"/>
              <w:jc w:val="center"/>
            </w:pPr>
            <w:r>
              <w:t>0</w:t>
            </w:r>
          </w:p>
        </w:tc>
      </w:tr>
      <w:tr w:rsidR="00D006A8" w14:paraId="76403722" w14:textId="77777777" w:rsidTr="00F64188">
        <w:trPr>
          <w:cnfStyle w:val="000000010000" w:firstRow="0" w:lastRow="0" w:firstColumn="0" w:lastColumn="0" w:oddVBand="0" w:evenVBand="0" w:oddHBand="0" w:evenHBand="1" w:firstRowFirstColumn="0" w:firstRowLastColumn="0" w:lastRowFirstColumn="0" w:lastRowLastColumn="0"/>
        </w:trPr>
        <w:tc>
          <w:tcPr>
            <w:tcW w:w="3181" w:type="dxa"/>
          </w:tcPr>
          <w:p w14:paraId="1341977C" w14:textId="0C5C2EF9" w:rsidR="00D006A8" w:rsidRDefault="00D006A8" w:rsidP="00F64188">
            <w:pPr>
              <w:pStyle w:val="TableBody"/>
            </w:pPr>
            <w:r>
              <w:t>$240,000 - $259,000</w:t>
            </w:r>
          </w:p>
        </w:tc>
        <w:tc>
          <w:tcPr>
            <w:tcW w:w="1963" w:type="dxa"/>
          </w:tcPr>
          <w:p w14:paraId="565D2146" w14:textId="4096AF13" w:rsidR="00D006A8" w:rsidRPr="00973F22" w:rsidRDefault="003027E6" w:rsidP="00F64188">
            <w:pPr>
              <w:pStyle w:val="TableBody"/>
              <w:jc w:val="center"/>
            </w:pPr>
            <w:r>
              <w:t>2</w:t>
            </w:r>
          </w:p>
        </w:tc>
        <w:tc>
          <w:tcPr>
            <w:tcW w:w="1963" w:type="dxa"/>
          </w:tcPr>
          <w:p w14:paraId="4DD2613B" w14:textId="616D5CDF" w:rsidR="00D006A8" w:rsidRDefault="003027E6" w:rsidP="00F64188">
            <w:pPr>
              <w:pStyle w:val="TableBody"/>
              <w:jc w:val="center"/>
            </w:pPr>
            <w:r>
              <w:t>0</w:t>
            </w:r>
          </w:p>
        </w:tc>
        <w:tc>
          <w:tcPr>
            <w:tcW w:w="1963" w:type="dxa"/>
          </w:tcPr>
          <w:p w14:paraId="1AE8F65E" w14:textId="0234F4A2" w:rsidR="00D006A8" w:rsidRDefault="003027E6" w:rsidP="00F64188">
            <w:pPr>
              <w:pStyle w:val="TableBody"/>
              <w:jc w:val="center"/>
            </w:pPr>
            <w:r>
              <w:t>0</w:t>
            </w:r>
          </w:p>
        </w:tc>
      </w:tr>
      <w:tr w:rsidR="00D006A8" w14:paraId="58A2B122" w14:textId="77777777" w:rsidTr="00F64188">
        <w:trPr>
          <w:cnfStyle w:val="000000100000" w:firstRow="0" w:lastRow="0" w:firstColumn="0" w:lastColumn="0" w:oddVBand="0" w:evenVBand="0" w:oddHBand="1" w:evenHBand="0" w:firstRowFirstColumn="0" w:firstRowLastColumn="0" w:lastRowFirstColumn="0" w:lastRowLastColumn="0"/>
        </w:trPr>
        <w:tc>
          <w:tcPr>
            <w:tcW w:w="3181" w:type="dxa"/>
          </w:tcPr>
          <w:p w14:paraId="10968DF8" w14:textId="460EFEEA" w:rsidR="00D006A8" w:rsidRDefault="00D006A8" w:rsidP="00F64188">
            <w:pPr>
              <w:pStyle w:val="TableBody"/>
            </w:pPr>
            <w:r>
              <w:t>$300,000 - $319,000</w:t>
            </w:r>
          </w:p>
        </w:tc>
        <w:tc>
          <w:tcPr>
            <w:tcW w:w="1963" w:type="dxa"/>
          </w:tcPr>
          <w:p w14:paraId="7AD11E35" w14:textId="6FC73960" w:rsidR="00D006A8" w:rsidRPr="00973F22" w:rsidRDefault="003027E6" w:rsidP="00F64188">
            <w:pPr>
              <w:pStyle w:val="TableBody"/>
              <w:jc w:val="center"/>
            </w:pPr>
            <w:r>
              <w:t>1</w:t>
            </w:r>
          </w:p>
        </w:tc>
        <w:tc>
          <w:tcPr>
            <w:tcW w:w="1963" w:type="dxa"/>
          </w:tcPr>
          <w:p w14:paraId="4380E385" w14:textId="3B90C5D5" w:rsidR="00D006A8" w:rsidRDefault="003027E6" w:rsidP="00F64188">
            <w:pPr>
              <w:pStyle w:val="TableBody"/>
              <w:jc w:val="center"/>
            </w:pPr>
            <w:r>
              <w:t>0</w:t>
            </w:r>
          </w:p>
        </w:tc>
        <w:tc>
          <w:tcPr>
            <w:tcW w:w="1963" w:type="dxa"/>
          </w:tcPr>
          <w:p w14:paraId="42A5405B" w14:textId="449998C8" w:rsidR="00D006A8" w:rsidRDefault="003027E6" w:rsidP="00F64188">
            <w:pPr>
              <w:pStyle w:val="TableBody"/>
              <w:jc w:val="center"/>
            </w:pPr>
            <w:r>
              <w:t>0</w:t>
            </w:r>
          </w:p>
        </w:tc>
      </w:tr>
      <w:tr w:rsidR="003027E6" w14:paraId="340D0A75" w14:textId="77777777" w:rsidTr="00F64188">
        <w:trPr>
          <w:cnfStyle w:val="000000010000" w:firstRow="0" w:lastRow="0" w:firstColumn="0" w:lastColumn="0" w:oddVBand="0" w:evenVBand="0" w:oddHBand="0" w:evenHBand="1" w:firstRowFirstColumn="0" w:firstRowLastColumn="0" w:lastRowFirstColumn="0" w:lastRowLastColumn="0"/>
        </w:trPr>
        <w:tc>
          <w:tcPr>
            <w:tcW w:w="3181" w:type="dxa"/>
          </w:tcPr>
          <w:p w14:paraId="54ED158E" w14:textId="727A091E" w:rsidR="003027E6" w:rsidRDefault="003027E6" w:rsidP="00F64188">
            <w:pPr>
              <w:pStyle w:val="TableBody"/>
            </w:pPr>
            <w:r>
              <w:t>$360,000 - $379,000</w:t>
            </w:r>
          </w:p>
        </w:tc>
        <w:tc>
          <w:tcPr>
            <w:tcW w:w="1963" w:type="dxa"/>
          </w:tcPr>
          <w:p w14:paraId="2660C07B" w14:textId="4EBCAA06" w:rsidR="003027E6" w:rsidRDefault="003027E6" w:rsidP="00F64188">
            <w:pPr>
              <w:pStyle w:val="TableBody"/>
              <w:jc w:val="center"/>
            </w:pPr>
            <w:r>
              <w:t>1</w:t>
            </w:r>
          </w:p>
        </w:tc>
        <w:tc>
          <w:tcPr>
            <w:tcW w:w="1963" w:type="dxa"/>
          </w:tcPr>
          <w:p w14:paraId="68C4E4A1" w14:textId="3C0248A8" w:rsidR="003027E6" w:rsidRDefault="003027E6" w:rsidP="00F64188">
            <w:pPr>
              <w:pStyle w:val="TableBody"/>
              <w:jc w:val="center"/>
            </w:pPr>
            <w:r>
              <w:t>0</w:t>
            </w:r>
          </w:p>
        </w:tc>
        <w:tc>
          <w:tcPr>
            <w:tcW w:w="1963" w:type="dxa"/>
          </w:tcPr>
          <w:p w14:paraId="6483EC4C" w14:textId="538717C2" w:rsidR="003027E6" w:rsidRDefault="003027E6" w:rsidP="00F64188">
            <w:pPr>
              <w:pStyle w:val="TableBody"/>
              <w:jc w:val="center"/>
            </w:pPr>
            <w:r>
              <w:t>0</w:t>
            </w:r>
          </w:p>
        </w:tc>
      </w:tr>
      <w:tr w:rsidR="00D006A8" w14:paraId="18559A37" w14:textId="77777777" w:rsidTr="00F64188">
        <w:trPr>
          <w:cnfStyle w:val="000000100000" w:firstRow="0" w:lastRow="0" w:firstColumn="0" w:lastColumn="0" w:oddVBand="0" w:evenVBand="0" w:oddHBand="1" w:evenHBand="0" w:firstRowFirstColumn="0" w:firstRowLastColumn="0" w:lastRowFirstColumn="0" w:lastRowLastColumn="0"/>
        </w:trPr>
        <w:tc>
          <w:tcPr>
            <w:tcW w:w="3181" w:type="dxa"/>
          </w:tcPr>
          <w:p w14:paraId="525AB59F" w14:textId="63BE8B12" w:rsidR="00D006A8" w:rsidRDefault="00D006A8" w:rsidP="00F64188">
            <w:pPr>
              <w:pStyle w:val="TableBody"/>
            </w:pPr>
            <w:r>
              <w:t>Total</w:t>
            </w:r>
          </w:p>
        </w:tc>
        <w:tc>
          <w:tcPr>
            <w:tcW w:w="1963" w:type="dxa"/>
          </w:tcPr>
          <w:p w14:paraId="7CF68274" w14:textId="6E82A535" w:rsidR="00D006A8" w:rsidRPr="00973F22" w:rsidRDefault="003027E6" w:rsidP="00F64188">
            <w:pPr>
              <w:pStyle w:val="TableBody"/>
              <w:jc w:val="center"/>
            </w:pPr>
            <w:r>
              <w:t>5</w:t>
            </w:r>
          </w:p>
        </w:tc>
        <w:tc>
          <w:tcPr>
            <w:tcW w:w="1963" w:type="dxa"/>
          </w:tcPr>
          <w:p w14:paraId="17F79959" w14:textId="3EAA2B6D" w:rsidR="00D006A8" w:rsidRDefault="003027E6" w:rsidP="00F64188">
            <w:pPr>
              <w:pStyle w:val="TableBody"/>
              <w:jc w:val="center"/>
            </w:pPr>
            <w:r>
              <w:t>0</w:t>
            </w:r>
          </w:p>
        </w:tc>
        <w:tc>
          <w:tcPr>
            <w:tcW w:w="1963" w:type="dxa"/>
          </w:tcPr>
          <w:p w14:paraId="10C2B2E4" w14:textId="00A75BED" w:rsidR="00D006A8" w:rsidRDefault="003027E6" w:rsidP="00F64188">
            <w:pPr>
              <w:pStyle w:val="TableBody"/>
              <w:jc w:val="center"/>
            </w:pPr>
            <w:r>
              <w:t>0</w:t>
            </w:r>
          </w:p>
        </w:tc>
      </w:tr>
    </w:tbl>
    <w:p w14:paraId="16C8003B" w14:textId="63658984" w:rsidR="00111A04" w:rsidRDefault="00111A04" w:rsidP="00111A04">
      <w:pPr>
        <w:pStyle w:val="Heading30"/>
      </w:pPr>
    </w:p>
    <w:tbl>
      <w:tblPr>
        <w:tblStyle w:val="TableHorizontal"/>
        <w:tblW w:w="0" w:type="auto"/>
        <w:tblLook w:val="0420" w:firstRow="1" w:lastRow="0" w:firstColumn="0" w:lastColumn="0" w:noHBand="0" w:noVBand="1"/>
      </w:tblPr>
      <w:tblGrid>
        <w:gridCol w:w="3828"/>
        <w:gridCol w:w="2693"/>
        <w:gridCol w:w="2539"/>
      </w:tblGrid>
      <w:tr w:rsidR="002F044D" w14:paraId="789D0F40" w14:textId="77777777" w:rsidTr="002F044D">
        <w:trPr>
          <w:cnfStyle w:val="100000000000" w:firstRow="1" w:lastRow="0" w:firstColumn="0" w:lastColumn="0" w:oddVBand="0" w:evenVBand="0" w:oddHBand="0" w:evenHBand="0" w:firstRowFirstColumn="0" w:firstRowLastColumn="0" w:lastRowFirstColumn="0" w:lastRowLastColumn="0"/>
        </w:trPr>
        <w:tc>
          <w:tcPr>
            <w:tcW w:w="9060" w:type="dxa"/>
            <w:gridSpan w:val="3"/>
            <w:tcBorders>
              <w:bottom w:val="nil"/>
            </w:tcBorders>
          </w:tcPr>
          <w:p w14:paraId="7057EFF2" w14:textId="75EFF51F" w:rsidR="002F044D" w:rsidRPr="002F044D" w:rsidRDefault="002F044D" w:rsidP="002F044D">
            <w:pPr>
              <w:pStyle w:val="Heading30"/>
              <w:outlineLvl w:val="2"/>
              <w:rPr>
                <w:rFonts w:ascii="VIC" w:hAnsi="VIC"/>
              </w:rPr>
            </w:pPr>
            <w:r w:rsidRPr="002F044D">
              <w:rPr>
                <w:rFonts w:ascii="VIC" w:hAnsi="VIC"/>
              </w:rPr>
              <w:lastRenderedPageBreak/>
              <w:t>Occupational health and safety</w:t>
            </w:r>
          </w:p>
        </w:tc>
      </w:tr>
      <w:tr w:rsidR="00F27DC9" w14:paraId="401726A1" w14:textId="77777777" w:rsidTr="002F044D">
        <w:trPr>
          <w:cnfStyle w:val="000000100000" w:firstRow="0" w:lastRow="0" w:firstColumn="0" w:lastColumn="0" w:oddVBand="0" w:evenVBand="0" w:oddHBand="1" w:evenHBand="0" w:firstRowFirstColumn="0" w:firstRowLastColumn="0" w:lastRowFirstColumn="0" w:lastRowLastColumn="0"/>
        </w:trPr>
        <w:tc>
          <w:tcPr>
            <w:tcW w:w="3828" w:type="dxa"/>
            <w:tcBorders>
              <w:bottom w:val="single" w:sz="12" w:space="0" w:color="00573F" w:themeColor="text2"/>
              <w:right w:val="nil"/>
            </w:tcBorders>
          </w:tcPr>
          <w:p w14:paraId="2DD5EFDE" w14:textId="4A3B65E3" w:rsidR="00F27DC9" w:rsidRPr="00973F22" w:rsidRDefault="00F27DC9" w:rsidP="00F64188">
            <w:pPr>
              <w:pStyle w:val="TableHeader"/>
            </w:pPr>
            <w:r>
              <w:t>Item</w:t>
            </w:r>
          </w:p>
        </w:tc>
        <w:tc>
          <w:tcPr>
            <w:tcW w:w="2693" w:type="dxa"/>
            <w:tcBorders>
              <w:left w:val="nil"/>
              <w:bottom w:val="single" w:sz="12" w:space="0" w:color="00573F" w:themeColor="text2"/>
              <w:right w:val="nil"/>
            </w:tcBorders>
          </w:tcPr>
          <w:p w14:paraId="035FD7B7" w14:textId="54BF947B" w:rsidR="00F27DC9" w:rsidRPr="00973F22" w:rsidRDefault="00F27DC9" w:rsidP="00F27DC9">
            <w:pPr>
              <w:pStyle w:val="TableHeader"/>
              <w:jc w:val="center"/>
            </w:pPr>
            <w:r>
              <w:t>2020-21</w:t>
            </w:r>
          </w:p>
        </w:tc>
        <w:tc>
          <w:tcPr>
            <w:tcW w:w="2539" w:type="dxa"/>
            <w:tcBorders>
              <w:left w:val="nil"/>
              <w:bottom w:val="single" w:sz="12" w:space="0" w:color="00573F" w:themeColor="text2"/>
            </w:tcBorders>
          </w:tcPr>
          <w:p w14:paraId="0EE34693" w14:textId="2C288746" w:rsidR="00F27DC9" w:rsidRPr="00973F22" w:rsidRDefault="00F27DC9" w:rsidP="00F27DC9">
            <w:pPr>
              <w:pStyle w:val="TableHeader"/>
              <w:jc w:val="center"/>
            </w:pPr>
            <w:r>
              <w:t>2019-20</w:t>
            </w:r>
          </w:p>
        </w:tc>
      </w:tr>
      <w:tr w:rsidR="00F27DC9" w14:paraId="2275F852" w14:textId="77777777" w:rsidTr="002F044D">
        <w:trPr>
          <w:cnfStyle w:val="000000010000" w:firstRow="0" w:lastRow="0" w:firstColumn="0" w:lastColumn="0" w:oddVBand="0" w:evenVBand="0" w:oddHBand="0" w:evenHBand="1" w:firstRowFirstColumn="0" w:firstRowLastColumn="0" w:lastRowFirstColumn="0" w:lastRowLastColumn="0"/>
        </w:trPr>
        <w:tc>
          <w:tcPr>
            <w:tcW w:w="3828" w:type="dxa"/>
            <w:tcBorders>
              <w:top w:val="single" w:sz="12" w:space="0" w:color="00573F" w:themeColor="text2"/>
            </w:tcBorders>
          </w:tcPr>
          <w:p w14:paraId="5331D54A" w14:textId="57ADB913" w:rsidR="00F27DC9" w:rsidRPr="00973F22" w:rsidRDefault="00F27DC9" w:rsidP="00F64188">
            <w:pPr>
              <w:pStyle w:val="TableBody"/>
            </w:pPr>
            <w:r>
              <w:t>Ergonomic assessments</w:t>
            </w:r>
          </w:p>
        </w:tc>
        <w:tc>
          <w:tcPr>
            <w:tcW w:w="2693" w:type="dxa"/>
            <w:tcBorders>
              <w:top w:val="single" w:sz="12" w:space="0" w:color="00573F" w:themeColor="text2"/>
            </w:tcBorders>
          </w:tcPr>
          <w:p w14:paraId="39D059D1" w14:textId="74608465" w:rsidR="00F27DC9" w:rsidRPr="00973F22" w:rsidRDefault="00913C0C" w:rsidP="00F27DC9">
            <w:pPr>
              <w:pStyle w:val="TableBody"/>
              <w:jc w:val="center"/>
            </w:pPr>
            <w:r>
              <w:t>8</w:t>
            </w:r>
          </w:p>
        </w:tc>
        <w:tc>
          <w:tcPr>
            <w:tcW w:w="2539" w:type="dxa"/>
            <w:tcBorders>
              <w:top w:val="single" w:sz="12" w:space="0" w:color="00573F" w:themeColor="text2"/>
            </w:tcBorders>
          </w:tcPr>
          <w:p w14:paraId="091269EA" w14:textId="745196D6" w:rsidR="00F27DC9" w:rsidRPr="00973F22" w:rsidRDefault="00F27DC9" w:rsidP="00F27DC9">
            <w:pPr>
              <w:pStyle w:val="TableBody"/>
              <w:jc w:val="center"/>
            </w:pPr>
            <w:r>
              <w:t>5</w:t>
            </w:r>
          </w:p>
        </w:tc>
      </w:tr>
      <w:tr w:rsidR="00F27DC9" w14:paraId="616F63FE" w14:textId="77777777" w:rsidTr="00F27DC9">
        <w:trPr>
          <w:cnfStyle w:val="000000100000" w:firstRow="0" w:lastRow="0" w:firstColumn="0" w:lastColumn="0" w:oddVBand="0" w:evenVBand="0" w:oddHBand="1" w:evenHBand="0" w:firstRowFirstColumn="0" w:firstRowLastColumn="0" w:lastRowFirstColumn="0" w:lastRowLastColumn="0"/>
        </w:trPr>
        <w:tc>
          <w:tcPr>
            <w:tcW w:w="3828" w:type="dxa"/>
          </w:tcPr>
          <w:p w14:paraId="22C4321D" w14:textId="37CA325A" w:rsidR="00F27DC9" w:rsidRPr="00973F22" w:rsidRDefault="00F27DC9" w:rsidP="00F64188">
            <w:pPr>
              <w:pStyle w:val="TableBody"/>
            </w:pPr>
            <w:r>
              <w:t>Ergonomic aids recommended</w:t>
            </w:r>
          </w:p>
        </w:tc>
        <w:tc>
          <w:tcPr>
            <w:tcW w:w="2693" w:type="dxa"/>
          </w:tcPr>
          <w:p w14:paraId="5BC35195" w14:textId="3ABB4E76" w:rsidR="00F27DC9" w:rsidRPr="00973F22" w:rsidRDefault="00913C0C" w:rsidP="00F27DC9">
            <w:pPr>
              <w:pStyle w:val="TableBody"/>
              <w:jc w:val="center"/>
            </w:pPr>
            <w:r>
              <w:t>4</w:t>
            </w:r>
          </w:p>
        </w:tc>
        <w:tc>
          <w:tcPr>
            <w:tcW w:w="2539" w:type="dxa"/>
          </w:tcPr>
          <w:p w14:paraId="6F1DB32B" w14:textId="256FE240" w:rsidR="00F27DC9" w:rsidRPr="00973F22" w:rsidRDefault="00F27DC9" w:rsidP="00F27DC9">
            <w:pPr>
              <w:pStyle w:val="TableBody"/>
              <w:jc w:val="center"/>
            </w:pPr>
            <w:r>
              <w:t>1</w:t>
            </w:r>
          </w:p>
        </w:tc>
      </w:tr>
      <w:tr w:rsidR="00F27DC9" w14:paraId="22754795" w14:textId="77777777" w:rsidTr="00F27DC9">
        <w:trPr>
          <w:cnfStyle w:val="000000010000" w:firstRow="0" w:lastRow="0" w:firstColumn="0" w:lastColumn="0" w:oddVBand="0" w:evenVBand="0" w:oddHBand="0" w:evenHBand="1" w:firstRowFirstColumn="0" w:firstRowLastColumn="0" w:lastRowFirstColumn="0" w:lastRowLastColumn="0"/>
        </w:trPr>
        <w:tc>
          <w:tcPr>
            <w:tcW w:w="3828" w:type="dxa"/>
          </w:tcPr>
          <w:p w14:paraId="095BEC5B" w14:textId="6342961C" w:rsidR="00F27DC9" w:rsidRPr="00973F22" w:rsidRDefault="00F27DC9" w:rsidP="00F64188">
            <w:pPr>
              <w:pStyle w:val="TableBody"/>
            </w:pPr>
            <w:r>
              <w:t>Sit-stand desks recommended</w:t>
            </w:r>
          </w:p>
        </w:tc>
        <w:tc>
          <w:tcPr>
            <w:tcW w:w="2693" w:type="dxa"/>
          </w:tcPr>
          <w:p w14:paraId="268713CF" w14:textId="3E59F6B8" w:rsidR="00F27DC9" w:rsidRPr="00973F22" w:rsidRDefault="00913C0C" w:rsidP="00913C0C">
            <w:pPr>
              <w:pStyle w:val="TableBody"/>
              <w:jc w:val="center"/>
            </w:pPr>
            <w:r>
              <w:t>-</w:t>
            </w:r>
          </w:p>
        </w:tc>
        <w:tc>
          <w:tcPr>
            <w:tcW w:w="2539" w:type="dxa"/>
          </w:tcPr>
          <w:p w14:paraId="270FC13F" w14:textId="621D5522" w:rsidR="00F27DC9" w:rsidRPr="00973F22" w:rsidRDefault="00F27DC9" w:rsidP="00F27DC9">
            <w:pPr>
              <w:pStyle w:val="TableBody"/>
              <w:jc w:val="center"/>
            </w:pPr>
            <w:r>
              <w:t>0</w:t>
            </w:r>
          </w:p>
        </w:tc>
      </w:tr>
      <w:tr w:rsidR="00F27DC9" w14:paraId="79B1F6C2" w14:textId="77777777" w:rsidTr="00F27DC9">
        <w:trPr>
          <w:cnfStyle w:val="000000100000" w:firstRow="0" w:lastRow="0" w:firstColumn="0" w:lastColumn="0" w:oddVBand="0" w:evenVBand="0" w:oddHBand="1" w:evenHBand="0" w:firstRowFirstColumn="0" w:firstRowLastColumn="0" w:lastRowFirstColumn="0" w:lastRowLastColumn="0"/>
        </w:trPr>
        <w:tc>
          <w:tcPr>
            <w:tcW w:w="3828" w:type="dxa"/>
          </w:tcPr>
          <w:p w14:paraId="0890A748" w14:textId="3D715CB1" w:rsidR="00F27DC9" w:rsidRDefault="00F27DC9" w:rsidP="00F64188">
            <w:pPr>
              <w:pStyle w:val="TableBody"/>
            </w:pPr>
            <w:r>
              <w:t>Flu vaccinations</w:t>
            </w:r>
          </w:p>
        </w:tc>
        <w:tc>
          <w:tcPr>
            <w:tcW w:w="2693" w:type="dxa"/>
          </w:tcPr>
          <w:p w14:paraId="306E3320" w14:textId="7DC9A632" w:rsidR="00F27DC9" w:rsidRPr="00E6225F" w:rsidRDefault="003027E6" w:rsidP="00F27DC9">
            <w:pPr>
              <w:pStyle w:val="TableBody"/>
              <w:jc w:val="center"/>
            </w:pPr>
            <w:r>
              <w:t>43</w:t>
            </w:r>
          </w:p>
        </w:tc>
        <w:tc>
          <w:tcPr>
            <w:tcW w:w="2539" w:type="dxa"/>
          </w:tcPr>
          <w:p w14:paraId="0EAC0E6C" w14:textId="36760EAA" w:rsidR="00F27DC9" w:rsidRPr="00E6225F" w:rsidRDefault="00F27DC9" w:rsidP="00F27DC9">
            <w:pPr>
              <w:pStyle w:val="TableBody"/>
              <w:jc w:val="center"/>
            </w:pPr>
            <w:r>
              <w:t>37</w:t>
            </w:r>
          </w:p>
        </w:tc>
      </w:tr>
      <w:tr w:rsidR="00F27DC9" w14:paraId="27A0EA41" w14:textId="77777777" w:rsidTr="00F27DC9">
        <w:trPr>
          <w:cnfStyle w:val="000000010000" w:firstRow="0" w:lastRow="0" w:firstColumn="0" w:lastColumn="0" w:oddVBand="0" w:evenVBand="0" w:oddHBand="0" w:evenHBand="1" w:firstRowFirstColumn="0" w:firstRowLastColumn="0" w:lastRowFirstColumn="0" w:lastRowLastColumn="0"/>
        </w:trPr>
        <w:tc>
          <w:tcPr>
            <w:tcW w:w="3828" w:type="dxa"/>
          </w:tcPr>
          <w:p w14:paraId="0847F3BA" w14:textId="5201E52C" w:rsidR="00F27DC9" w:rsidRPr="00973F22" w:rsidRDefault="00F27DC9" w:rsidP="00F64188">
            <w:pPr>
              <w:pStyle w:val="TableBody"/>
            </w:pPr>
            <w:r>
              <w:t>Incidents reported</w:t>
            </w:r>
          </w:p>
        </w:tc>
        <w:tc>
          <w:tcPr>
            <w:tcW w:w="2693" w:type="dxa"/>
          </w:tcPr>
          <w:p w14:paraId="4B5DDCD1" w14:textId="77AC54B4" w:rsidR="00F27DC9" w:rsidRPr="00973F22" w:rsidRDefault="003027E6" w:rsidP="00F27DC9">
            <w:pPr>
              <w:pStyle w:val="TableBody"/>
              <w:jc w:val="center"/>
            </w:pPr>
            <w:r>
              <w:t>0</w:t>
            </w:r>
          </w:p>
        </w:tc>
        <w:tc>
          <w:tcPr>
            <w:tcW w:w="2539" w:type="dxa"/>
          </w:tcPr>
          <w:p w14:paraId="6AED2B3E" w14:textId="3EF5F292" w:rsidR="00F27DC9" w:rsidRPr="00973F22" w:rsidRDefault="00F27DC9" w:rsidP="00F27DC9">
            <w:pPr>
              <w:pStyle w:val="TableBody"/>
              <w:jc w:val="center"/>
            </w:pPr>
            <w:r>
              <w:t>1</w:t>
            </w:r>
          </w:p>
        </w:tc>
      </w:tr>
      <w:tr w:rsidR="00F27DC9" w14:paraId="71FB7989" w14:textId="77777777" w:rsidTr="00F27DC9">
        <w:trPr>
          <w:cnfStyle w:val="000000100000" w:firstRow="0" w:lastRow="0" w:firstColumn="0" w:lastColumn="0" w:oddVBand="0" w:evenVBand="0" w:oddHBand="1" w:evenHBand="0" w:firstRowFirstColumn="0" w:firstRowLastColumn="0" w:lastRowFirstColumn="0" w:lastRowLastColumn="0"/>
        </w:trPr>
        <w:tc>
          <w:tcPr>
            <w:tcW w:w="3828" w:type="dxa"/>
          </w:tcPr>
          <w:p w14:paraId="6347757C" w14:textId="3215B832" w:rsidR="00F27DC9" w:rsidRPr="00973F22" w:rsidRDefault="00F27DC9" w:rsidP="00F64188">
            <w:pPr>
              <w:pStyle w:val="TableBody"/>
            </w:pPr>
            <w:r>
              <w:t>Hazards reported</w:t>
            </w:r>
          </w:p>
        </w:tc>
        <w:tc>
          <w:tcPr>
            <w:tcW w:w="2693" w:type="dxa"/>
          </w:tcPr>
          <w:p w14:paraId="477306E4" w14:textId="3BF9C2A0" w:rsidR="00F27DC9" w:rsidRPr="00973F22" w:rsidRDefault="003027E6" w:rsidP="00F27DC9">
            <w:pPr>
              <w:pStyle w:val="TableBody"/>
              <w:jc w:val="center"/>
            </w:pPr>
            <w:r>
              <w:t>0</w:t>
            </w:r>
          </w:p>
        </w:tc>
        <w:tc>
          <w:tcPr>
            <w:tcW w:w="2539" w:type="dxa"/>
          </w:tcPr>
          <w:p w14:paraId="22DC2170" w14:textId="2C8C7BAD" w:rsidR="00F27DC9" w:rsidRPr="00973F22" w:rsidRDefault="00F27DC9" w:rsidP="00F27DC9">
            <w:pPr>
              <w:pStyle w:val="TableBody"/>
              <w:jc w:val="center"/>
            </w:pPr>
            <w:r>
              <w:t>0</w:t>
            </w:r>
          </w:p>
        </w:tc>
      </w:tr>
      <w:tr w:rsidR="001031BB" w14:paraId="0317FE7A" w14:textId="77777777" w:rsidTr="00F27DC9">
        <w:trPr>
          <w:cnfStyle w:val="000000010000" w:firstRow="0" w:lastRow="0" w:firstColumn="0" w:lastColumn="0" w:oddVBand="0" w:evenVBand="0" w:oddHBand="0" w:evenHBand="1" w:firstRowFirstColumn="0" w:firstRowLastColumn="0" w:lastRowFirstColumn="0" w:lastRowLastColumn="0"/>
        </w:trPr>
        <w:tc>
          <w:tcPr>
            <w:tcW w:w="3828" w:type="dxa"/>
          </w:tcPr>
          <w:p w14:paraId="3CD607E4" w14:textId="5D95596A" w:rsidR="001031BB" w:rsidRDefault="001031BB" w:rsidP="00F64188">
            <w:pPr>
              <w:pStyle w:val="TableBody"/>
            </w:pPr>
            <w:r>
              <w:t>Staff trained in OH&amp;S</w:t>
            </w:r>
          </w:p>
        </w:tc>
        <w:tc>
          <w:tcPr>
            <w:tcW w:w="2693" w:type="dxa"/>
          </w:tcPr>
          <w:p w14:paraId="79F987F2" w14:textId="293A82C4" w:rsidR="001031BB" w:rsidRDefault="003027E6" w:rsidP="00F27DC9">
            <w:pPr>
              <w:pStyle w:val="TableBody"/>
              <w:jc w:val="center"/>
            </w:pPr>
            <w:r>
              <w:t>0</w:t>
            </w:r>
          </w:p>
        </w:tc>
        <w:tc>
          <w:tcPr>
            <w:tcW w:w="2539" w:type="dxa"/>
          </w:tcPr>
          <w:p w14:paraId="74E1521C" w14:textId="09BC42A2" w:rsidR="001031BB" w:rsidRDefault="001031BB" w:rsidP="00F27DC9">
            <w:pPr>
              <w:pStyle w:val="TableBody"/>
              <w:jc w:val="center"/>
            </w:pPr>
            <w:r>
              <w:t>-</w:t>
            </w:r>
          </w:p>
        </w:tc>
      </w:tr>
      <w:tr w:rsidR="001031BB" w14:paraId="23BDDB9B" w14:textId="77777777" w:rsidTr="00F27DC9">
        <w:trPr>
          <w:cnfStyle w:val="000000100000" w:firstRow="0" w:lastRow="0" w:firstColumn="0" w:lastColumn="0" w:oddVBand="0" w:evenVBand="0" w:oddHBand="1" w:evenHBand="0" w:firstRowFirstColumn="0" w:firstRowLastColumn="0" w:lastRowFirstColumn="0" w:lastRowLastColumn="0"/>
        </w:trPr>
        <w:tc>
          <w:tcPr>
            <w:tcW w:w="3828" w:type="dxa"/>
          </w:tcPr>
          <w:p w14:paraId="49CA4FE7" w14:textId="10AF6151" w:rsidR="001031BB" w:rsidRDefault="001031BB" w:rsidP="00F64188">
            <w:pPr>
              <w:pStyle w:val="TableBody"/>
            </w:pPr>
            <w:r>
              <w:t>Claims made</w:t>
            </w:r>
          </w:p>
        </w:tc>
        <w:tc>
          <w:tcPr>
            <w:tcW w:w="2693" w:type="dxa"/>
          </w:tcPr>
          <w:p w14:paraId="71683F23" w14:textId="44B758F8" w:rsidR="001031BB" w:rsidRDefault="003027E6" w:rsidP="00F27DC9">
            <w:pPr>
              <w:pStyle w:val="TableBody"/>
              <w:jc w:val="center"/>
            </w:pPr>
            <w:r>
              <w:t>0</w:t>
            </w:r>
          </w:p>
        </w:tc>
        <w:tc>
          <w:tcPr>
            <w:tcW w:w="2539" w:type="dxa"/>
          </w:tcPr>
          <w:p w14:paraId="474B02F9" w14:textId="1654EB90" w:rsidR="001031BB" w:rsidRDefault="001031BB" w:rsidP="00F27DC9">
            <w:pPr>
              <w:pStyle w:val="TableBody"/>
              <w:jc w:val="center"/>
            </w:pPr>
            <w:r>
              <w:t>-</w:t>
            </w:r>
          </w:p>
        </w:tc>
      </w:tr>
    </w:tbl>
    <w:p w14:paraId="7BBA5B80" w14:textId="1D579DFF" w:rsidR="0040140D" w:rsidRDefault="0040140D" w:rsidP="0040140D">
      <w:pPr>
        <w:pStyle w:val="Heading20"/>
      </w:pPr>
      <w:r>
        <w:t>Workforce inclusion policy</w:t>
      </w:r>
    </w:p>
    <w:p w14:paraId="37D0B84E" w14:textId="4170AE60" w:rsidR="00764D31" w:rsidRDefault="00D006A8" w:rsidP="00764D31">
      <w:pPr>
        <w:pStyle w:val="Body"/>
      </w:pPr>
      <w:r w:rsidRPr="00D006A8">
        <w:t>The Commission adopts the comparable policy of the Department of Premier and Cabinet. It is the</w:t>
      </w:r>
      <w:r w:rsidR="00764D31">
        <w:t xml:space="preserve"> </w:t>
      </w:r>
      <w:r w:rsidRPr="00D006A8">
        <w:t>equal opportunity and diversity policy and procedure</w:t>
      </w:r>
      <w:r w:rsidR="00764D31">
        <w:t xml:space="preserve">. We offer an inclusive working environment where equal opportunity and diversity are valued, and our workforce reflects the communities we serve consistent with the Gender Equality Act 2020. </w:t>
      </w:r>
    </w:p>
    <w:p w14:paraId="5D3B56EF" w14:textId="796B1AAC" w:rsidR="00764D31" w:rsidRDefault="00764D31" w:rsidP="00764D31">
      <w:pPr>
        <w:pStyle w:val="Body"/>
      </w:pPr>
      <w:r>
        <w:t>The Commission values staff with non-binary gender identities at all levels. We acknowledge that due to historic and current barriers to disclosure of non-binary gender identities, staff may choose not to disclose this information. As a result, targets or quotas are not currently a useful way to promote opportunities for gender diverse staff at all levels.</w:t>
      </w:r>
    </w:p>
    <w:p w14:paraId="3D0CE925" w14:textId="77777777" w:rsidR="00815E8B" w:rsidRDefault="00815E8B">
      <w:pPr>
        <w:spacing w:after="0" w:line="240" w:lineRule="auto"/>
        <w:rPr>
          <w:rFonts w:ascii="VIC SemiBold" w:hAnsi="VIC SemiBold" w:cstheme="majorBidi"/>
          <w:color w:val="53565A"/>
          <w:sz w:val="30"/>
          <w:szCs w:val="32"/>
        </w:rPr>
      </w:pPr>
      <w:r>
        <w:br w:type="page"/>
      </w:r>
    </w:p>
    <w:p w14:paraId="7367EF37" w14:textId="66FE18DE" w:rsidR="0040140D" w:rsidRDefault="0040140D" w:rsidP="0040140D">
      <w:pPr>
        <w:pStyle w:val="Heading20"/>
      </w:pPr>
      <w:r>
        <w:lastRenderedPageBreak/>
        <w:t>Executive officer data</w:t>
      </w:r>
    </w:p>
    <w:p w14:paraId="2E20C15A" w14:textId="0D4B8C1F" w:rsidR="00D006A8" w:rsidRDefault="00D006A8" w:rsidP="002F044D">
      <w:pPr>
        <w:pStyle w:val="Body"/>
      </w:pPr>
      <w:r w:rsidRPr="00D006A8">
        <w:t>All the Commission’s executives receive a total remuneration more than $100,000. All are contract-appointed, ensuring no executive is appointed as ongoing or for special projects. The Executive Officer data is based on the 30 June payroll FTE report for the period 20</w:t>
      </w:r>
      <w:r>
        <w:t>20</w:t>
      </w:r>
      <w:r w:rsidRPr="00D006A8">
        <w:t xml:space="preserve"> and 202</w:t>
      </w:r>
      <w:r>
        <w:t>1</w:t>
      </w:r>
      <w:r w:rsidRPr="00D006A8">
        <w:t>. It does not include statutory appointments.</w:t>
      </w:r>
    </w:p>
    <w:tbl>
      <w:tblPr>
        <w:tblStyle w:val="TableHorizontal"/>
        <w:tblW w:w="0" w:type="auto"/>
        <w:tblLayout w:type="fixed"/>
        <w:tblLook w:val="0420" w:firstRow="1" w:lastRow="0" w:firstColumn="0" w:lastColumn="0" w:noHBand="0" w:noVBand="1"/>
      </w:tblPr>
      <w:tblGrid>
        <w:gridCol w:w="1418"/>
        <w:gridCol w:w="1275"/>
        <w:gridCol w:w="1275"/>
        <w:gridCol w:w="1277"/>
        <w:gridCol w:w="1275"/>
        <w:gridCol w:w="1275"/>
        <w:gridCol w:w="1276"/>
      </w:tblGrid>
      <w:tr w:rsidR="002F044D" w14:paraId="64548FE5" w14:textId="77777777" w:rsidTr="00AE6F40">
        <w:trPr>
          <w:cnfStyle w:val="100000000000" w:firstRow="1" w:lastRow="0" w:firstColumn="0" w:lastColumn="0" w:oddVBand="0" w:evenVBand="0" w:oddHBand="0" w:evenHBand="0" w:firstRowFirstColumn="0" w:firstRowLastColumn="0" w:lastRowFirstColumn="0" w:lastRowLastColumn="0"/>
        </w:trPr>
        <w:tc>
          <w:tcPr>
            <w:tcW w:w="9070" w:type="dxa"/>
            <w:gridSpan w:val="7"/>
            <w:tcBorders>
              <w:bottom w:val="nil"/>
            </w:tcBorders>
          </w:tcPr>
          <w:p w14:paraId="2F3A22C4" w14:textId="5CD0D512" w:rsidR="002F044D" w:rsidRPr="002F044D" w:rsidRDefault="002F044D" w:rsidP="002F044D">
            <w:pPr>
              <w:pStyle w:val="Heading30"/>
              <w:outlineLvl w:val="2"/>
              <w:rPr>
                <w:rFonts w:ascii="VIC" w:hAnsi="VIC"/>
              </w:rPr>
            </w:pPr>
            <w:r w:rsidRPr="002F044D">
              <w:rPr>
                <w:rFonts w:ascii="VIC" w:hAnsi="VIC"/>
              </w:rPr>
              <w:t>Executives as at 30 June</w:t>
            </w:r>
          </w:p>
        </w:tc>
      </w:tr>
      <w:tr w:rsidR="00D006A8" w14:paraId="0694FCBB" w14:textId="77777777" w:rsidTr="00AE6F40">
        <w:trPr>
          <w:cnfStyle w:val="000000100000" w:firstRow="0" w:lastRow="0" w:firstColumn="0" w:lastColumn="0" w:oddVBand="0" w:evenVBand="0" w:oddHBand="1" w:evenHBand="0" w:firstRowFirstColumn="0" w:firstRowLastColumn="0" w:lastRowFirstColumn="0" w:lastRowLastColumn="0"/>
        </w:trPr>
        <w:tc>
          <w:tcPr>
            <w:tcW w:w="1418" w:type="dxa"/>
            <w:tcBorders>
              <w:bottom w:val="single" w:sz="12" w:space="0" w:color="00573F" w:themeColor="text2"/>
              <w:right w:val="nil"/>
            </w:tcBorders>
          </w:tcPr>
          <w:p w14:paraId="6D22BF20" w14:textId="77777777" w:rsidR="00D006A8" w:rsidRDefault="00D006A8" w:rsidP="001C4240">
            <w:pPr>
              <w:pStyle w:val="TableHeader"/>
            </w:pPr>
          </w:p>
        </w:tc>
        <w:tc>
          <w:tcPr>
            <w:tcW w:w="3827" w:type="dxa"/>
            <w:gridSpan w:val="3"/>
            <w:tcBorders>
              <w:left w:val="nil"/>
              <w:right w:val="nil"/>
            </w:tcBorders>
          </w:tcPr>
          <w:p w14:paraId="690B1247" w14:textId="77777777" w:rsidR="00D006A8" w:rsidRDefault="00D006A8" w:rsidP="001C4240">
            <w:pPr>
              <w:pStyle w:val="TableHeader"/>
              <w:jc w:val="center"/>
            </w:pPr>
            <w:r>
              <w:t>2021</w:t>
            </w:r>
          </w:p>
        </w:tc>
        <w:tc>
          <w:tcPr>
            <w:tcW w:w="3825" w:type="dxa"/>
            <w:gridSpan w:val="3"/>
            <w:tcBorders>
              <w:left w:val="nil"/>
            </w:tcBorders>
          </w:tcPr>
          <w:p w14:paraId="68C91E1C" w14:textId="77777777" w:rsidR="00D006A8" w:rsidRDefault="00D006A8" w:rsidP="001C4240">
            <w:pPr>
              <w:pStyle w:val="TableHeader"/>
              <w:jc w:val="center"/>
            </w:pPr>
            <w:r>
              <w:t>2020</w:t>
            </w:r>
          </w:p>
        </w:tc>
      </w:tr>
      <w:tr w:rsidR="00D006A8" w14:paraId="59D8DD66" w14:textId="77777777" w:rsidTr="00AE6F40">
        <w:trPr>
          <w:cnfStyle w:val="000000010000" w:firstRow="0" w:lastRow="0" w:firstColumn="0" w:lastColumn="0" w:oddVBand="0" w:evenVBand="0" w:oddHBand="0" w:evenHBand="1" w:firstRowFirstColumn="0" w:firstRowLastColumn="0" w:lastRowFirstColumn="0" w:lastRowLastColumn="0"/>
        </w:trPr>
        <w:tc>
          <w:tcPr>
            <w:tcW w:w="1418" w:type="dxa"/>
            <w:tcBorders>
              <w:top w:val="single" w:sz="12" w:space="0" w:color="00573F" w:themeColor="text2"/>
            </w:tcBorders>
          </w:tcPr>
          <w:p w14:paraId="1CB03C45" w14:textId="77777777" w:rsidR="00D006A8" w:rsidRPr="00973F22" w:rsidRDefault="00D006A8" w:rsidP="001C4240">
            <w:pPr>
              <w:pStyle w:val="TableHeader"/>
            </w:pPr>
            <w:r>
              <w:t>Grade</w:t>
            </w:r>
          </w:p>
        </w:tc>
        <w:tc>
          <w:tcPr>
            <w:tcW w:w="1275" w:type="dxa"/>
            <w:tcBorders>
              <w:top w:val="single" w:sz="12" w:space="0" w:color="00573F" w:themeColor="text2"/>
            </w:tcBorders>
          </w:tcPr>
          <w:p w14:paraId="3004EE98" w14:textId="77777777" w:rsidR="00D006A8" w:rsidRPr="00973F22" w:rsidRDefault="00D006A8" w:rsidP="001C4240">
            <w:pPr>
              <w:pStyle w:val="TableHeader"/>
              <w:jc w:val="center"/>
            </w:pPr>
            <w:r>
              <w:t>Female</w:t>
            </w:r>
          </w:p>
        </w:tc>
        <w:tc>
          <w:tcPr>
            <w:tcW w:w="1275" w:type="dxa"/>
            <w:tcBorders>
              <w:top w:val="single" w:sz="12" w:space="0" w:color="00573F" w:themeColor="text2"/>
            </w:tcBorders>
          </w:tcPr>
          <w:p w14:paraId="48421AA7" w14:textId="77777777" w:rsidR="00D006A8" w:rsidRDefault="00D006A8" w:rsidP="001C4240">
            <w:pPr>
              <w:pStyle w:val="TableHeader"/>
              <w:jc w:val="center"/>
            </w:pPr>
            <w:r>
              <w:t>Male</w:t>
            </w:r>
          </w:p>
        </w:tc>
        <w:tc>
          <w:tcPr>
            <w:tcW w:w="1276" w:type="dxa"/>
            <w:tcBorders>
              <w:top w:val="single" w:sz="12" w:space="0" w:color="00573F" w:themeColor="text2"/>
            </w:tcBorders>
          </w:tcPr>
          <w:p w14:paraId="2B0565EA" w14:textId="77777777" w:rsidR="00D006A8" w:rsidRDefault="00D006A8" w:rsidP="001C4240">
            <w:pPr>
              <w:pStyle w:val="TableHeader"/>
              <w:jc w:val="center"/>
            </w:pPr>
            <w:r>
              <w:t>Self-described</w:t>
            </w:r>
          </w:p>
        </w:tc>
        <w:tc>
          <w:tcPr>
            <w:tcW w:w="1275" w:type="dxa"/>
            <w:tcBorders>
              <w:top w:val="single" w:sz="12" w:space="0" w:color="00573F" w:themeColor="text2"/>
            </w:tcBorders>
          </w:tcPr>
          <w:p w14:paraId="09239568" w14:textId="77777777" w:rsidR="00D006A8" w:rsidRDefault="00D006A8" w:rsidP="001C4240">
            <w:pPr>
              <w:pStyle w:val="TableHeader"/>
              <w:jc w:val="center"/>
            </w:pPr>
            <w:r>
              <w:t>Female</w:t>
            </w:r>
          </w:p>
        </w:tc>
        <w:tc>
          <w:tcPr>
            <w:tcW w:w="1275" w:type="dxa"/>
            <w:tcBorders>
              <w:top w:val="single" w:sz="12" w:space="0" w:color="00573F" w:themeColor="text2"/>
            </w:tcBorders>
          </w:tcPr>
          <w:p w14:paraId="352770A0" w14:textId="77777777" w:rsidR="00D006A8" w:rsidRDefault="00D006A8" w:rsidP="001C4240">
            <w:pPr>
              <w:pStyle w:val="TableHeader"/>
              <w:jc w:val="center"/>
            </w:pPr>
            <w:r>
              <w:t>Male</w:t>
            </w:r>
          </w:p>
        </w:tc>
        <w:tc>
          <w:tcPr>
            <w:tcW w:w="1276" w:type="dxa"/>
            <w:tcBorders>
              <w:top w:val="single" w:sz="12" w:space="0" w:color="00573F" w:themeColor="text2"/>
            </w:tcBorders>
          </w:tcPr>
          <w:p w14:paraId="45188CA8" w14:textId="77777777" w:rsidR="00D006A8" w:rsidRPr="00973F22" w:rsidRDefault="00D006A8" w:rsidP="001C4240">
            <w:pPr>
              <w:pStyle w:val="TableHeader"/>
              <w:jc w:val="center"/>
            </w:pPr>
            <w:r>
              <w:t>Self-described</w:t>
            </w:r>
          </w:p>
        </w:tc>
      </w:tr>
      <w:tr w:rsidR="00D006A8" w14:paraId="5CE7136D" w14:textId="77777777" w:rsidTr="001C4240">
        <w:trPr>
          <w:cnfStyle w:val="000000100000" w:firstRow="0" w:lastRow="0" w:firstColumn="0" w:lastColumn="0" w:oddVBand="0" w:evenVBand="0" w:oddHBand="1" w:evenHBand="0" w:firstRowFirstColumn="0" w:firstRowLastColumn="0" w:lastRowFirstColumn="0" w:lastRowLastColumn="0"/>
        </w:trPr>
        <w:tc>
          <w:tcPr>
            <w:tcW w:w="1418" w:type="dxa"/>
          </w:tcPr>
          <w:p w14:paraId="6FB2801F" w14:textId="43ED5B42" w:rsidR="00D006A8" w:rsidRPr="00973F22" w:rsidRDefault="00835B94" w:rsidP="001C4240">
            <w:pPr>
              <w:pStyle w:val="TableBody"/>
            </w:pPr>
            <w:r>
              <w:t>SES1</w:t>
            </w:r>
          </w:p>
        </w:tc>
        <w:tc>
          <w:tcPr>
            <w:tcW w:w="1275" w:type="dxa"/>
          </w:tcPr>
          <w:p w14:paraId="2DEA1EF2" w14:textId="48DCEBAC" w:rsidR="00D006A8" w:rsidRPr="00973F22" w:rsidRDefault="003027E6" w:rsidP="001C4240">
            <w:pPr>
              <w:pStyle w:val="TableBody"/>
              <w:jc w:val="center"/>
            </w:pPr>
            <w:r>
              <w:t>0</w:t>
            </w:r>
          </w:p>
        </w:tc>
        <w:tc>
          <w:tcPr>
            <w:tcW w:w="1275" w:type="dxa"/>
          </w:tcPr>
          <w:p w14:paraId="09B20328" w14:textId="759DE344" w:rsidR="00D006A8" w:rsidRDefault="003027E6" w:rsidP="001C4240">
            <w:pPr>
              <w:pStyle w:val="TableBody"/>
              <w:jc w:val="center"/>
            </w:pPr>
            <w:r>
              <w:t>1</w:t>
            </w:r>
          </w:p>
        </w:tc>
        <w:tc>
          <w:tcPr>
            <w:tcW w:w="1276" w:type="dxa"/>
          </w:tcPr>
          <w:p w14:paraId="0D2FD5D3" w14:textId="452496BF" w:rsidR="00D006A8" w:rsidRDefault="003027E6" w:rsidP="001C4240">
            <w:pPr>
              <w:pStyle w:val="TableBody"/>
              <w:jc w:val="center"/>
            </w:pPr>
            <w:r>
              <w:t>0</w:t>
            </w:r>
          </w:p>
        </w:tc>
        <w:tc>
          <w:tcPr>
            <w:tcW w:w="1275" w:type="dxa"/>
          </w:tcPr>
          <w:p w14:paraId="7F2AAD48" w14:textId="77777777" w:rsidR="00D006A8" w:rsidRDefault="00D006A8" w:rsidP="001C4240">
            <w:pPr>
              <w:pStyle w:val="TableBody"/>
              <w:jc w:val="center"/>
            </w:pPr>
            <w:r>
              <w:t>0</w:t>
            </w:r>
          </w:p>
        </w:tc>
        <w:tc>
          <w:tcPr>
            <w:tcW w:w="1275" w:type="dxa"/>
          </w:tcPr>
          <w:p w14:paraId="234694C0" w14:textId="41824AD4" w:rsidR="00D006A8" w:rsidRDefault="00D006A8" w:rsidP="001C4240">
            <w:pPr>
              <w:pStyle w:val="TableBody"/>
              <w:jc w:val="center"/>
            </w:pPr>
            <w:r>
              <w:t>0</w:t>
            </w:r>
          </w:p>
        </w:tc>
        <w:tc>
          <w:tcPr>
            <w:tcW w:w="1276" w:type="dxa"/>
          </w:tcPr>
          <w:p w14:paraId="65C54B4F" w14:textId="77777777" w:rsidR="00D006A8" w:rsidRPr="00973F22" w:rsidRDefault="00D006A8" w:rsidP="001C4240">
            <w:pPr>
              <w:pStyle w:val="TableBody"/>
              <w:jc w:val="center"/>
            </w:pPr>
            <w:r>
              <w:t>0</w:t>
            </w:r>
          </w:p>
        </w:tc>
      </w:tr>
      <w:tr w:rsidR="00D006A8" w14:paraId="36763D44" w14:textId="77777777" w:rsidTr="001C4240">
        <w:trPr>
          <w:cnfStyle w:val="000000010000" w:firstRow="0" w:lastRow="0" w:firstColumn="0" w:lastColumn="0" w:oddVBand="0" w:evenVBand="0" w:oddHBand="0" w:evenHBand="1" w:firstRowFirstColumn="0" w:firstRowLastColumn="0" w:lastRowFirstColumn="0" w:lastRowLastColumn="0"/>
        </w:trPr>
        <w:tc>
          <w:tcPr>
            <w:tcW w:w="1418" w:type="dxa"/>
          </w:tcPr>
          <w:p w14:paraId="27E134DC" w14:textId="03D2D3B7" w:rsidR="00D006A8" w:rsidRPr="00973F22" w:rsidRDefault="00835B94" w:rsidP="001C4240">
            <w:pPr>
              <w:pStyle w:val="TableBody"/>
            </w:pPr>
            <w:r>
              <w:t>SES2</w:t>
            </w:r>
          </w:p>
        </w:tc>
        <w:tc>
          <w:tcPr>
            <w:tcW w:w="1275" w:type="dxa"/>
          </w:tcPr>
          <w:p w14:paraId="05B5A3DB" w14:textId="27B7FEB8" w:rsidR="00D006A8" w:rsidRPr="00973F22" w:rsidRDefault="003027E6" w:rsidP="001C4240">
            <w:pPr>
              <w:pStyle w:val="TableBody"/>
              <w:jc w:val="center"/>
            </w:pPr>
            <w:r>
              <w:t>2</w:t>
            </w:r>
          </w:p>
        </w:tc>
        <w:tc>
          <w:tcPr>
            <w:tcW w:w="1275" w:type="dxa"/>
          </w:tcPr>
          <w:p w14:paraId="245BCA6C" w14:textId="58B3B0CF" w:rsidR="00D006A8" w:rsidRDefault="003027E6" w:rsidP="001C4240">
            <w:pPr>
              <w:pStyle w:val="TableBody"/>
              <w:jc w:val="center"/>
            </w:pPr>
            <w:r>
              <w:t>1</w:t>
            </w:r>
          </w:p>
        </w:tc>
        <w:tc>
          <w:tcPr>
            <w:tcW w:w="1276" w:type="dxa"/>
          </w:tcPr>
          <w:p w14:paraId="70715E1C" w14:textId="0092D87C" w:rsidR="00D006A8" w:rsidRDefault="003027E6" w:rsidP="001C4240">
            <w:pPr>
              <w:pStyle w:val="TableBody"/>
              <w:jc w:val="center"/>
            </w:pPr>
            <w:r>
              <w:t>0</w:t>
            </w:r>
          </w:p>
        </w:tc>
        <w:tc>
          <w:tcPr>
            <w:tcW w:w="1275" w:type="dxa"/>
          </w:tcPr>
          <w:p w14:paraId="48343FF3" w14:textId="6CFF232C" w:rsidR="00D006A8" w:rsidRDefault="00D006A8" w:rsidP="001C4240">
            <w:pPr>
              <w:pStyle w:val="TableBody"/>
              <w:jc w:val="center"/>
            </w:pPr>
            <w:r>
              <w:t>2</w:t>
            </w:r>
          </w:p>
        </w:tc>
        <w:tc>
          <w:tcPr>
            <w:tcW w:w="1275" w:type="dxa"/>
          </w:tcPr>
          <w:p w14:paraId="178616C9" w14:textId="77777777" w:rsidR="00D006A8" w:rsidRDefault="00D006A8" w:rsidP="001C4240">
            <w:pPr>
              <w:pStyle w:val="TableBody"/>
              <w:jc w:val="center"/>
            </w:pPr>
            <w:r>
              <w:t>1</w:t>
            </w:r>
          </w:p>
        </w:tc>
        <w:tc>
          <w:tcPr>
            <w:tcW w:w="1276" w:type="dxa"/>
          </w:tcPr>
          <w:p w14:paraId="0E24D7C4" w14:textId="77777777" w:rsidR="00D006A8" w:rsidRPr="00973F22" w:rsidRDefault="00D006A8" w:rsidP="001C4240">
            <w:pPr>
              <w:pStyle w:val="TableBody"/>
              <w:jc w:val="center"/>
            </w:pPr>
            <w:r>
              <w:t>0</w:t>
            </w:r>
          </w:p>
        </w:tc>
      </w:tr>
      <w:tr w:rsidR="00D006A8" w14:paraId="72E81F13" w14:textId="77777777" w:rsidTr="001C4240">
        <w:trPr>
          <w:cnfStyle w:val="000000100000" w:firstRow="0" w:lastRow="0" w:firstColumn="0" w:lastColumn="0" w:oddVBand="0" w:evenVBand="0" w:oddHBand="1" w:evenHBand="0" w:firstRowFirstColumn="0" w:firstRowLastColumn="0" w:lastRowFirstColumn="0" w:lastRowLastColumn="0"/>
        </w:trPr>
        <w:tc>
          <w:tcPr>
            <w:tcW w:w="1418" w:type="dxa"/>
          </w:tcPr>
          <w:p w14:paraId="711922FB" w14:textId="4A10B3B3" w:rsidR="00D006A8" w:rsidRDefault="00835B94" w:rsidP="001C4240">
            <w:pPr>
              <w:pStyle w:val="TableBody"/>
            </w:pPr>
            <w:r>
              <w:t>SES3</w:t>
            </w:r>
          </w:p>
        </w:tc>
        <w:tc>
          <w:tcPr>
            <w:tcW w:w="1275" w:type="dxa"/>
          </w:tcPr>
          <w:p w14:paraId="6C5FE9BF" w14:textId="1C87B403" w:rsidR="00D006A8" w:rsidRDefault="003027E6" w:rsidP="001C4240">
            <w:pPr>
              <w:pStyle w:val="TableBody"/>
              <w:jc w:val="center"/>
            </w:pPr>
            <w:r>
              <w:t>1</w:t>
            </w:r>
          </w:p>
        </w:tc>
        <w:tc>
          <w:tcPr>
            <w:tcW w:w="1275" w:type="dxa"/>
          </w:tcPr>
          <w:p w14:paraId="36973A40" w14:textId="1D119BF4" w:rsidR="00D006A8" w:rsidRDefault="003027E6" w:rsidP="001C4240">
            <w:pPr>
              <w:pStyle w:val="TableBody"/>
              <w:jc w:val="center"/>
            </w:pPr>
            <w:r>
              <w:t>0</w:t>
            </w:r>
          </w:p>
        </w:tc>
        <w:tc>
          <w:tcPr>
            <w:tcW w:w="1276" w:type="dxa"/>
          </w:tcPr>
          <w:p w14:paraId="62A27873" w14:textId="47989BD8" w:rsidR="00D006A8" w:rsidRDefault="003027E6" w:rsidP="001C4240">
            <w:pPr>
              <w:pStyle w:val="TableBody"/>
              <w:jc w:val="center"/>
            </w:pPr>
            <w:r>
              <w:t>0</w:t>
            </w:r>
          </w:p>
        </w:tc>
        <w:tc>
          <w:tcPr>
            <w:tcW w:w="1275" w:type="dxa"/>
          </w:tcPr>
          <w:p w14:paraId="0DF3AD65" w14:textId="652B75F1" w:rsidR="00D006A8" w:rsidRDefault="00D006A8" w:rsidP="001C4240">
            <w:pPr>
              <w:pStyle w:val="TableBody"/>
              <w:jc w:val="center"/>
            </w:pPr>
            <w:r>
              <w:t>0</w:t>
            </w:r>
          </w:p>
        </w:tc>
        <w:tc>
          <w:tcPr>
            <w:tcW w:w="1275" w:type="dxa"/>
          </w:tcPr>
          <w:p w14:paraId="584FB875" w14:textId="13E959A5" w:rsidR="00D006A8" w:rsidRDefault="00D006A8" w:rsidP="001C4240">
            <w:pPr>
              <w:pStyle w:val="TableBody"/>
              <w:jc w:val="center"/>
            </w:pPr>
            <w:r>
              <w:t>0</w:t>
            </w:r>
          </w:p>
        </w:tc>
        <w:tc>
          <w:tcPr>
            <w:tcW w:w="1276" w:type="dxa"/>
          </w:tcPr>
          <w:p w14:paraId="05644643" w14:textId="56A12B1A" w:rsidR="00D006A8" w:rsidRDefault="00D006A8" w:rsidP="001C4240">
            <w:pPr>
              <w:pStyle w:val="TableBody"/>
              <w:jc w:val="center"/>
            </w:pPr>
            <w:r>
              <w:t>0</w:t>
            </w:r>
          </w:p>
        </w:tc>
      </w:tr>
    </w:tbl>
    <w:p w14:paraId="1D5F53E8" w14:textId="77777777" w:rsidR="00D006A8" w:rsidRPr="00D006A8" w:rsidRDefault="00D006A8" w:rsidP="00D006A8">
      <w:pPr>
        <w:pStyle w:val="Body"/>
      </w:pPr>
    </w:p>
    <w:p w14:paraId="26BE58B9" w14:textId="1396FBC2" w:rsidR="000132C3" w:rsidRPr="00622554" w:rsidRDefault="000132C3" w:rsidP="000132C3">
      <w:pPr>
        <w:pStyle w:val="Separator"/>
      </w:pPr>
      <w:r w:rsidRPr="00622554">
        <w:t>S</w:t>
      </w:r>
      <w:r>
        <w:t>ection 4</w:t>
      </w:r>
    </w:p>
    <w:p w14:paraId="36F0916B" w14:textId="4AFA405D" w:rsidR="0040140D" w:rsidRDefault="000132C3" w:rsidP="0040140D">
      <w:pPr>
        <w:pStyle w:val="Heading10"/>
      </w:pPr>
      <w:bookmarkStart w:id="22" w:name="_Other_disclosures"/>
      <w:bookmarkStart w:id="23" w:name="_Toc73541443"/>
      <w:bookmarkStart w:id="24" w:name="_Toc73541681"/>
      <w:bookmarkStart w:id="25" w:name="_Toc73542060"/>
      <w:bookmarkEnd w:id="22"/>
      <w:r>
        <w:t>O</w:t>
      </w:r>
      <w:r w:rsidR="0040140D">
        <w:t>ther disclosures</w:t>
      </w:r>
      <w:bookmarkEnd w:id="23"/>
      <w:bookmarkEnd w:id="24"/>
      <w:bookmarkEnd w:id="25"/>
    </w:p>
    <w:p w14:paraId="27D110F1" w14:textId="42D9D76A" w:rsidR="0040140D" w:rsidRDefault="0040140D" w:rsidP="0040140D">
      <w:pPr>
        <w:pStyle w:val="Heading20"/>
      </w:pPr>
      <w:r>
        <w:t>Local jobs first</w:t>
      </w:r>
    </w:p>
    <w:p w14:paraId="4A30D5D2" w14:textId="5C57C294" w:rsidR="00582249" w:rsidRDefault="00C275A0" w:rsidP="00582249">
      <w:pPr>
        <w:pStyle w:val="Body"/>
      </w:pPr>
      <w:r>
        <w:t xml:space="preserve">Nil reports. </w:t>
      </w:r>
      <w:r w:rsidR="00582249">
        <w:t>The Commission did not commence or complete any Local Jobs First projects in 2020-21.</w:t>
      </w:r>
    </w:p>
    <w:p w14:paraId="5F97B653" w14:textId="77777777" w:rsidR="000E6EBE" w:rsidRPr="000E6EBE" w:rsidRDefault="000E6EBE" w:rsidP="000E6EBE">
      <w:pPr>
        <w:pStyle w:val="Body"/>
      </w:pPr>
      <w:r w:rsidRPr="000E6EBE">
        <w:t xml:space="preserve">The </w:t>
      </w:r>
      <w:r w:rsidRPr="008F439D">
        <w:t>Local Jobs First Act 2003</w:t>
      </w:r>
      <w:r w:rsidRPr="000E6EBE">
        <w:t xml:space="preserve"> introduced in August 2018 brings together the Victorian Industry Participation Policy (VIPP) and Major Project Skills Guarantee (MPSG) policy which were previously administered separately.  </w:t>
      </w:r>
    </w:p>
    <w:p w14:paraId="5A3A84FD" w14:textId="77777777" w:rsidR="000E6EBE" w:rsidRPr="000E6EBE" w:rsidRDefault="000E6EBE" w:rsidP="000E6EBE">
      <w:pPr>
        <w:pStyle w:val="Body"/>
      </w:pPr>
      <w:r w:rsidRPr="000E6EBE">
        <w:t xml:space="preserve">Departments and public sector bodies are required to apply the Local Jobs First policy in all projects valued at $3 million or more in Metropolitan Melbourne or for statewide projects, or $1 million or more for projects in regional Victoria. </w:t>
      </w:r>
    </w:p>
    <w:p w14:paraId="120CBAE6" w14:textId="77777777" w:rsidR="000E6EBE" w:rsidRPr="000E6EBE" w:rsidRDefault="000E6EBE" w:rsidP="000E6EBE">
      <w:pPr>
        <w:pStyle w:val="Body"/>
      </w:pPr>
      <w:r w:rsidRPr="000E6EBE">
        <w:t xml:space="preserve">MPSG applies to all construction projects valued at $20 million or more. </w:t>
      </w:r>
    </w:p>
    <w:p w14:paraId="2DD0935D" w14:textId="0D6ACCFE" w:rsidR="000E6EBE" w:rsidRPr="000E6EBE" w:rsidRDefault="000E6EBE" w:rsidP="000E6EBE">
      <w:pPr>
        <w:pStyle w:val="Body"/>
      </w:pPr>
      <w:r w:rsidRPr="000E6EBE">
        <w:lastRenderedPageBreak/>
        <w:t>The MPSG guidelines and VIPP guidelines will continue to apply to MPSG-applicable and VIPP applicable projects respectively where contracts have been entered prior to 15 August 2018.</w:t>
      </w:r>
    </w:p>
    <w:p w14:paraId="7C12BE2F" w14:textId="7616FE3E" w:rsidR="00582249" w:rsidRDefault="00582249" w:rsidP="0040140D">
      <w:pPr>
        <w:pStyle w:val="Heading20"/>
      </w:pPr>
      <w:r>
        <w:t>Government advertising expenditure</w:t>
      </w:r>
    </w:p>
    <w:p w14:paraId="6B248363" w14:textId="0A714997" w:rsidR="00582249" w:rsidRDefault="00582249" w:rsidP="00582249">
      <w:pPr>
        <w:pStyle w:val="Body"/>
      </w:pPr>
      <w:r>
        <w:t>Nil reports.</w:t>
      </w:r>
      <w:r w:rsidR="00C275A0">
        <w:t xml:space="preserve"> The Commission did not</w:t>
      </w:r>
      <w:r w:rsidR="000E6EBE">
        <w:t xml:space="preserve"> have </w:t>
      </w:r>
      <w:r w:rsidR="00C275A0">
        <w:t>any advertising campaigns with a total media spend of $100,000 or greater (</w:t>
      </w:r>
      <w:r w:rsidR="005A65A0">
        <w:t>excluding</w:t>
      </w:r>
      <w:r w:rsidR="00C275A0">
        <w:t xml:space="preserve"> GST) in 2020-21.</w:t>
      </w:r>
    </w:p>
    <w:p w14:paraId="6C63B8F2" w14:textId="203244EA" w:rsidR="001719CE" w:rsidRDefault="001719CE" w:rsidP="00E22D03">
      <w:pPr>
        <w:pStyle w:val="Heading20"/>
      </w:pPr>
      <w:r>
        <w:t>Consultancy expenditure</w:t>
      </w:r>
    </w:p>
    <w:p w14:paraId="438A788F" w14:textId="358E2724" w:rsidR="005D4714" w:rsidRDefault="005D4714" w:rsidP="005D4714">
      <w:pPr>
        <w:pStyle w:val="Heading30"/>
      </w:pPr>
      <w:r>
        <w:t>Details of consultancies valued at $10,000 or greater</w:t>
      </w:r>
    </w:p>
    <w:p w14:paraId="298054CA" w14:textId="0847F9A9" w:rsidR="005D4714" w:rsidRDefault="005D4714" w:rsidP="005D4714">
      <w:pPr>
        <w:pStyle w:val="Body"/>
      </w:pPr>
      <w:r>
        <w:t>In 2020</w:t>
      </w:r>
      <w:r>
        <w:noBreakHyphen/>
        <w:t xml:space="preserve">21, there were </w:t>
      </w:r>
      <w:r w:rsidR="00973588">
        <w:t>6</w:t>
      </w:r>
      <w:r>
        <w:t xml:space="preserve"> consultancies where the total fees payable to the consultants were $10,000 or greater. The total expenditure incurred during 2020</w:t>
      </w:r>
      <w:r>
        <w:noBreakHyphen/>
        <w:t xml:space="preserve">21 in relation to these consultancies is </w:t>
      </w:r>
      <w:r w:rsidR="00870234">
        <w:t>$229,365</w:t>
      </w:r>
      <w:r>
        <w:t xml:space="preserve"> (excluding GST). Details of individual consultancies are outlined </w:t>
      </w:r>
      <w:r w:rsidR="005A65A0">
        <w:t>in the table below.</w:t>
      </w:r>
    </w:p>
    <w:tbl>
      <w:tblPr>
        <w:tblStyle w:val="TableHorizontal"/>
        <w:tblW w:w="9071" w:type="dxa"/>
        <w:tblLayout w:type="fixed"/>
        <w:tblLook w:val="0420" w:firstRow="1" w:lastRow="0" w:firstColumn="0" w:lastColumn="0" w:noHBand="0" w:noVBand="1"/>
      </w:tblPr>
      <w:tblGrid>
        <w:gridCol w:w="1418"/>
        <w:gridCol w:w="2126"/>
        <w:gridCol w:w="1105"/>
        <w:gridCol w:w="1105"/>
        <w:gridCol w:w="1106"/>
        <w:gridCol w:w="1105"/>
        <w:gridCol w:w="1106"/>
      </w:tblGrid>
      <w:tr w:rsidR="00A77832" w14:paraId="0ED1C338" w14:textId="77777777" w:rsidTr="00D07A3D">
        <w:trPr>
          <w:cnfStyle w:val="100000000000" w:firstRow="1" w:lastRow="0" w:firstColumn="0" w:lastColumn="0" w:oddVBand="0" w:evenVBand="0" w:oddHBand="0" w:evenHBand="0" w:firstRowFirstColumn="0" w:firstRowLastColumn="0" w:lastRowFirstColumn="0" w:lastRowLastColumn="0"/>
        </w:trPr>
        <w:tc>
          <w:tcPr>
            <w:tcW w:w="1418" w:type="dxa"/>
          </w:tcPr>
          <w:p w14:paraId="5E384241" w14:textId="77777777" w:rsidR="00A77832" w:rsidRDefault="00A77832" w:rsidP="00B66321">
            <w:pPr>
              <w:pStyle w:val="TableHeader"/>
            </w:pPr>
          </w:p>
        </w:tc>
        <w:tc>
          <w:tcPr>
            <w:tcW w:w="2126" w:type="dxa"/>
          </w:tcPr>
          <w:p w14:paraId="2F5294AD" w14:textId="77777777" w:rsidR="00A77832" w:rsidRDefault="00A77832" w:rsidP="00B66321">
            <w:pPr>
              <w:pStyle w:val="TableHeader"/>
              <w:jc w:val="center"/>
            </w:pPr>
          </w:p>
        </w:tc>
        <w:tc>
          <w:tcPr>
            <w:tcW w:w="1105" w:type="dxa"/>
          </w:tcPr>
          <w:p w14:paraId="0E1E7B41" w14:textId="77777777" w:rsidR="00A77832" w:rsidRDefault="00A77832" w:rsidP="00D07A3D">
            <w:pPr>
              <w:pStyle w:val="TableHeader"/>
              <w:jc w:val="center"/>
            </w:pPr>
          </w:p>
        </w:tc>
        <w:tc>
          <w:tcPr>
            <w:tcW w:w="1105" w:type="dxa"/>
          </w:tcPr>
          <w:p w14:paraId="426B2E40" w14:textId="77777777" w:rsidR="00A77832" w:rsidRDefault="00A77832" w:rsidP="00B66321">
            <w:pPr>
              <w:pStyle w:val="TableHeader"/>
              <w:jc w:val="center"/>
            </w:pPr>
          </w:p>
        </w:tc>
        <w:tc>
          <w:tcPr>
            <w:tcW w:w="1106" w:type="dxa"/>
          </w:tcPr>
          <w:p w14:paraId="24DA2B96" w14:textId="77777777" w:rsidR="00A77832" w:rsidRDefault="00A77832" w:rsidP="00B66321">
            <w:pPr>
              <w:pStyle w:val="TableHeader"/>
              <w:jc w:val="center"/>
            </w:pPr>
          </w:p>
        </w:tc>
        <w:tc>
          <w:tcPr>
            <w:tcW w:w="1105" w:type="dxa"/>
          </w:tcPr>
          <w:p w14:paraId="60C6E744" w14:textId="77777777" w:rsidR="00A77832" w:rsidRDefault="00A77832" w:rsidP="00B66321">
            <w:pPr>
              <w:pStyle w:val="TableHeader"/>
              <w:jc w:val="center"/>
            </w:pPr>
          </w:p>
        </w:tc>
        <w:tc>
          <w:tcPr>
            <w:tcW w:w="1106" w:type="dxa"/>
          </w:tcPr>
          <w:p w14:paraId="49A30A5F" w14:textId="77777777" w:rsidR="00A77832" w:rsidRDefault="00A77832" w:rsidP="00B66321">
            <w:pPr>
              <w:pStyle w:val="TableHeader"/>
              <w:jc w:val="center"/>
            </w:pPr>
          </w:p>
        </w:tc>
      </w:tr>
      <w:tr w:rsidR="00D07A3D" w14:paraId="4881BF28" w14:textId="77777777" w:rsidTr="00D07A3D">
        <w:trPr>
          <w:cnfStyle w:val="000000100000" w:firstRow="0" w:lastRow="0" w:firstColumn="0" w:lastColumn="0" w:oddVBand="0" w:evenVBand="0" w:oddHBand="1" w:evenHBand="0" w:firstRowFirstColumn="0" w:firstRowLastColumn="0" w:lastRowFirstColumn="0" w:lastRowLastColumn="0"/>
        </w:trPr>
        <w:tc>
          <w:tcPr>
            <w:tcW w:w="1418" w:type="dxa"/>
            <w:tcBorders>
              <w:top w:val="nil"/>
            </w:tcBorders>
          </w:tcPr>
          <w:p w14:paraId="07AC76B8" w14:textId="7B0DA7FF" w:rsidR="005901A9" w:rsidRPr="00973F22" w:rsidRDefault="005901A9" w:rsidP="00B66321">
            <w:pPr>
              <w:pStyle w:val="TableHeader"/>
            </w:pPr>
            <w:r>
              <w:t>Consultant</w:t>
            </w:r>
          </w:p>
        </w:tc>
        <w:tc>
          <w:tcPr>
            <w:tcW w:w="2126" w:type="dxa"/>
            <w:tcBorders>
              <w:top w:val="nil"/>
            </w:tcBorders>
          </w:tcPr>
          <w:p w14:paraId="7E5312EF" w14:textId="40A7C2D5" w:rsidR="005901A9" w:rsidRPr="00973F22" w:rsidRDefault="005901A9" w:rsidP="00B66321">
            <w:pPr>
              <w:pStyle w:val="TableHeader"/>
              <w:jc w:val="center"/>
            </w:pPr>
            <w:r>
              <w:t>Purpose</w:t>
            </w:r>
          </w:p>
        </w:tc>
        <w:tc>
          <w:tcPr>
            <w:tcW w:w="1105" w:type="dxa"/>
            <w:tcBorders>
              <w:top w:val="nil"/>
            </w:tcBorders>
          </w:tcPr>
          <w:p w14:paraId="540A4D77" w14:textId="2135E660" w:rsidR="005901A9" w:rsidRDefault="005901A9" w:rsidP="00D07A3D">
            <w:pPr>
              <w:pStyle w:val="TableHeader"/>
              <w:jc w:val="center"/>
            </w:pPr>
            <w:r>
              <w:t xml:space="preserve">Start </w:t>
            </w:r>
            <w:r w:rsidR="00D07A3D">
              <w:br/>
            </w:r>
            <w:r>
              <w:t>date</w:t>
            </w:r>
          </w:p>
        </w:tc>
        <w:tc>
          <w:tcPr>
            <w:tcW w:w="1105" w:type="dxa"/>
            <w:tcBorders>
              <w:top w:val="nil"/>
            </w:tcBorders>
          </w:tcPr>
          <w:p w14:paraId="2A4AA4C6" w14:textId="2BD3B566" w:rsidR="005901A9" w:rsidRDefault="005901A9" w:rsidP="00B66321">
            <w:pPr>
              <w:pStyle w:val="TableHeader"/>
              <w:jc w:val="center"/>
            </w:pPr>
            <w:r>
              <w:t xml:space="preserve">End </w:t>
            </w:r>
            <w:r w:rsidR="00D07A3D">
              <w:br/>
            </w:r>
            <w:r>
              <w:t>date</w:t>
            </w:r>
          </w:p>
        </w:tc>
        <w:tc>
          <w:tcPr>
            <w:tcW w:w="1106" w:type="dxa"/>
            <w:tcBorders>
              <w:top w:val="nil"/>
            </w:tcBorders>
          </w:tcPr>
          <w:p w14:paraId="0CA011E8" w14:textId="6273229E" w:rsidR="005901A9" w:rsidRDefault="005901A9" w:rsidP="00B66321">
            <w:pPr>
              <w:pStyle w:val="TableHeader"/>
              <w:jc w:val="center"/>
            </w:pPr>
            <w:r>
              <w:t>Total approved project fee (excl. GST)</w:t>
            </w:r>
          </w:p>
        </w:tc>
        <w:tc>
          <w:tcPr>
            <w:tcW w:w="1105" w:type="dxa"/>
            <w:tcBorders>
              <w:top w:val="nil"/>
            </w:tcBorders>
          </w:tcPr>
          <w:p w14:paraId="73DB99D1" w14:textId="54B91F9E" w:rsidR="005901A9" w:rsidRDefault="005901A9" w:rsidP="00B66321">
            <w:pPr>
              <w:pStyle w:val="TableHeader"/>
              <w:jc w:val="center"/>
            </w:pPr>
            <w:r>
              <w:t>Expenditure 2020-21 (excl. GST)</w:t>
            </w:r>
          </w:p>
        </w:tc>
        <w:tc>
          <w:tcPr>
            <w:tcW w:w="1106" w:type="dxa"/>
            <w:tcBorders>
              <w:top w:val="nil"/>
            </w:tcBorders>
          </w:tcPr>
          <w:p w14:paraId="4AA8CB08" w14:textId="1D1BD47E" w:rsidR="005901A9" w:rsidRPr="00973F22" w:rsidRDefault="005901A9" w:rsidP="00B66321">
            <w:pPr>
              <w:pStyle w:val="TableHeader"/>
              <w:jc w:val="center"/>
            </w:pPr>
            <w:r>
              <w:t>Future Expenditure (excl. GST)</w:t>
            </w:r>
          </w:p>
        </w:tc>
      </w:tr>
      <w:tr w:rsidR="00D07A3D" w14:paraId="61921571" w14:textId="77777777" w:rsidTr="00D07A3D">
        <w:trPr>
          <w:cnfStyle w:val="000000010000" w:firstRow="0" w:lastRow="0" w:firstColumn="0" w:lastColumn="0" w:oddVBand="0" w:evenVBand="0" w:oddHBand="0" w:evenHBand="1" w:firstRowFirstColumn="0" w:firstRowLastColumn="0" w:lastRowFirstColumn="0" w:lastRowLastColumn="0"/>
        </w:trPr>
        <w:tc>
          <w:tcPr>
            <w:tcW w:w="1418" w:type="dxa"/>
          </w:tcPr>
          <w:p w14:paraId="348F45C9" w14:textId="1EC14990" w:rsidR="005901A9" w:rsidRPr="00973F22" w:rsidRDefault="005901A9" w:rsidP="00B66321">
            <w:pPr>
              <w:pStyle w:val="TableBody"/>
            </w:pPr>
            <w:r>
              <w:t>LAG Consulting Pty Ltd</w:t>
            </w:r>
          </w:p>
        </w:tc>
        <w:tc>
          <w:tcPr>
            <w:tcW w:w="2126" w:type="dxa"/>
          </w:tcPr>
          <w:p w14:paraId="77750B34" w14:textId="53D578B9" w:rsidR="005901A9" w:rsidRPr="00973F22" w:rsidRDefault="00D07A3D" w:rsidP="00B66321">
            <w:pPr>
              <w:pStyle w:val="TableBody"/>
              <w:jc w:val="center"/>
            </w:pPr>
            <w:r>
              <w:t>Lead reviewer for an integrity review</w:t>
            </w:r>
          </w:p>
        </w:tc>
        <w:tc>
          <w:tcPr>
            <w:tcW w:w="1105" w:type="dxa"/>
          </w:tcPr>
          <w:p w14:paraId="603BCC44" w14:textId="7460C77F" w:rsidR="005901A9" w:rsidRDefault="00D07A3D" w:rsidP="00B66321">
            <w:pPr>
              <w:pStyle w:val="TableBody"/>
              <w:jc w:val="center"/>
            </w:pPr>
            <w:r>
              <w:t>2/04/20</w:t>
            </w:r>
          </w:p>
        </w:tc>
        <w:tc>
          <w:tcPr>
            <w:tcW w:w="1105" w:type="dxa"/>
          </w:tcPr>
          <w:p w14:paraId="711828A3" w14:textId="7B5AA740" w:rsidR="005901A9" w:rsidRDefault="00D07A3D" w:rsidP="00B66321">
            <w:pPr>
              <w:pStyle w:val="TableBody"/>
              <w:jc w:val="center"/>
            </w:pPr>
            <w:r>
              <w:t>31/7/20</w:t>
            </w:r>
          </w:p>
        </w:tc>
        <w:tc>
          <w:tcPr>
            <w:tcW w:w="1106" w:type="dxa"/>
          </w:tcPr>
          <w:p w14:paraId="46DBF08C" w14:textId="2F1794AB" w:rsidR="005901A9" w:rsidRDefault="00D07A3D" w:rsidP="00B66321">
            <w:pPr>
              <w:pStyle w:val="TableBody"/>
              <w:jc w:val="center"/>
            </w:pPr>
            <w:r>
              <w:t>$22,000</w:t>
            </w:r>
          </w:p>
        </w:tc>
        <w:tc>
          <w:tcPr>
            <w:tcW w:w="1105" w:type="dxa"/>
          </w:tcPr>
          <w:p w14:paraId="7EA80418" w14:textId="2AB69041" w:rsidR="005901A9" w:rsidRDefault="00D07A3D" w:rsidP="00B66321">
            <w:pPr>
              <w:pStyle w:val="TableBody"/>
              <w:jc w:val="center"/>
            </w:pPr>
            <w:r>
              <w:t>$10,000</w:t>
            </w:r>
          </w:p>
        </w:tc>
        <w:tc>
          <w:tcPr>
            <w:tcW w:w="1106" w:type="dxa"/>
          </w:tcPr>
          <w:p w14:paraId="0EB219BD" w14:textId="2B930CD2" w:rsidR="005901A9" w:rsidRPr="00973F22" w:rsidRDefault="00D07A3D" w:rsidP="00B66321">
            <w:pPr>
              <w:pStyle w:val="TableBody"/>
              <w:jc w:val="center"/>
            </w:pPr>
            <w:r>
              <w:t>$0</w:t>
            </w:r>
          </w:p>
        </w:tc>
      </w:tr>
      <w:tr w:rsidR="00D07A3D" w14:paraId="7B0613D2" w14:textId="77777777" w:rsidTr="00D07A3D">
        <w:trPr>
          <w:cnfStyle w:val="000000100000" w:firstRow="0" w:lastRow="0" w:firstColumn="0" w:lastColumn="0" w:oddVBand="0" w:evenVBand="0" w:oddHBand="1" w:evenHBand="0" w:firstRowFirstColumn="0" w:firstRowLastColumn="0" w:lastRowFirstColumn="0" w:lastRowLastColumn="0"/>
        </w:trPr>
        <w:tc>
          <w:tcPr>
            <w:tcW w:w="1418" w:type="dxa"/>
          </w:tcPr>
          <w:p w14:paraId="3C4D6937" w14:textId="71AAE04D" w:rsidR="005901A9" w:rsidRPr="00973F22" w:rsidRDefault="005901A9" w:rsidP="00B66321">
            <w:pPr>
              <w:pStyle w:val="TableBody"/>
            </w:pPr>
            <w:r>
              <w:t>Paper Giant Pty Ltd</w:t>
            </w:r>
          </w:p>
        </w:tc>
        <w:tc>
          <w:tcPr>
            <w:tcW w:w="2126" w:type="dxa"/>
          </w:tcPr>
          <w:p w14:paraId="00CA42AB" w14:textId="638DDAC0" w:rsidR="005901A9" w:rsidRPr="00973F22" w:rsidRDefault="00D07A3D" w:rsidP="00B66321">
            <w:pPr>
              <w:pStyle w:val="TableBody"/>
              <w:jc w:val="center"/>
            </w:pPr>
            <w:r>
              <w:t xml:space="preserve">Conduct user research to inform JSE </w:t>
            </w:r>
            <w:r w:rsidR="00973588">
              <w:t>d</w:t>
            </w:r>
            <w:r>
              <w:t xml:space="preserve">igital </w:t>
            </w:r>
            <w:r w:rsidR="00973588">
              <w:t>project</w:t>
            </w:r>
          </w:p>
        </w:tc>
        <w:tc>
          <w:tcPr>
            <w:tcW w:w="1105" w:type="dxa"/>
          </w:tcPr>
          <w:p w14:paraId="6A6C4BDF" w14:textId="57941D9D" w:rsidR="005901A9" w:rsidRDefault="005901A9" w:rsidP="00B66321">
            <w:pPr>
              <w:pStyle w:val="TableBody"/>
              <w:jc w:val="center"/>
            </w:pPr>
            <w:r>
              <w:t>1</w:t>
            </w:r>
            <w:r w:rsidR="00D07A3D">
              <w:t>7/5/20</w:t>
            </w:r>
          </w:p>
        </w:tc>
        <w:tc>
          <w:tcPr>
            <w:tcW w:w="1105" w:type="dxa"/>
          </w:tcPr>
          <w:p w14:paraId="57A79B3A" w14:textId="275406F9" w:rsidR="005901A9" w:rsidRDefault="00D07A3D" w:rsidP="00B66321">
            <w:pPr>
              <w:pStyle w:val="TableBody"/>
              <w:jc w:val="center"/>
            </w:pPr>
            <w:r>
              <w:t>30/6/21</w:t>
            </w:r>
          </w:p>
        </w:tc>
        <w:tc>
          <w:tcPr>
            <w:tcW w:w="1106" w:type="dxa"/>
          </w:tcPr>
          <w:p w14:paraId="53FAF6FB" w14:textId="4D2C9BF2" w:rsidR="005901A9" w:rsidRDefault="00D07A3D" w:rsidP="00B66321">
            <w:pPr>
              <w:pStyle w:val="TableBody"/>
              <w:jc w:val="center"/>
            </w:pPr>
            <w:r>
              <w:t>$22,160</w:t>
            </w:r>
          </w:p>
        </w:tc>
        <w:tc>
          <w:tcPr>
            <w:tcW w:w="1105" w:type="dxa"/>
          </w:tcPr>
          <w:p w14:paraId="5DE1DF23" w14:textId="38708F9D" w:rsidR="005901A9" w:rsidRDefault="00D07A3D" w:rsidP="00B66321">
            <w:pPr>
              <w:pStyle w:val="TableBody"/>
              <w:jc w:val="center"/>
            </w:pPr>
            <w:r>
              <w:t>$22,160</w:t>
            </w:r>
          </w:p>
        </w:tc>
        <w:tc>
          <w:tcPr>
            <w:tcW w:w="1106" w:type="dxa"/>
          </w:tcPr>
          <w:p w14:paraId="3D3A2765" w14:textId="57E1215B" w:rsidR="005901A9" w:rsidRPr="00973F22" w:rsidRDefault="00D07A3D" w:rsidP="00B66321">
            <w:pPr>
              <w:pStyle w:val="TableBody"/>
              <w:jc w:val="center"/>
            </w:pPr>
            <w:r>
              <w:t>$0</w:t>
            </w:r>
          </w:p>
        </w:tc>
      </w:tr>
      <w:tr w:rsidR="00D07A3D" w14:paraId="28310C48" w14:textId="77777777" w:rsidTr="00D07A3D">
        <w:trPr>
          <w:cnfStyle w:val="000000010000" w:firstRow="0" w:lastRow="0" w:firstColumn="0" w:lastColumn="0" w:oddVBand="0" w:evenVBand="0" w:oddHBand="0" w:evenHBand="1" w:firstRowFirstColumn="0" w:firstRowLastColumn="0" w:lastRowFirstColumn="0" w:lastRowLastColumn="0"/>
        </w:trPr>
        <w:tc>
          <w:tcPr>
            <w:tcW w:w="1418" w:type="dxa"/>
          </w:tcPr>
          <w:p w14:paraId="33336018" w14:textId="354FE9A5" w:rsidR="005901A9" w:rsidRDefault="005901A9" w:rsidP="00B66321">
            <w:pPr>
              <w:pStyle w:val="TableBody"/>
            </w:pPr>
            <w:r>
              <w:t>PWC’s Indigenous Consulting Pty Ltd</w:t>
            </w:r>
          </w:p>
        </w:tc>
        <w:tc>
          <w:tcPr>
            <w:tcW w:w="2126" w:type="dxa"/>
          </w:tcPr>
          <w:p w14:paraId="54FA357C" w14:textId="738DDB0E" w:rsidR="005901A9" w:rsidRDefault="00D07A3D" w:rsidP="00B66321">
            <w:pPr>
              <w:pStyle w:val="TableBody"/>
              <w:jc w:val="center"/>
            </w:pPr>
            <w:r>
              <w:t>Review the Barring Djinang evaluation framework</w:t>
            </w:r>
          </w:p>
        </w:tc>
        <w:tc>
          <w:tcPr>
            <w:tcW w:w="1105" w:type="dxa"/>
          </w:tcPr>
          <w:p w14:paraId="1DE2BBCD" w14:textId="54F7641D" w:rsidR="005901A9" w:rsidRDefault="00D07A3D" w:rsidP="00B66321">
            <w:pPr>
              <w:pStyle w:val="TableBody"/>
              <w:jc w:val="center"/>
            </w:pPr>
            <w:r>
              <w:t>10/2/21</w:t>
            </w:r>
          </w:p>
        </w:tc>
        <w:tc>
          <w:tcPr>
            <w:tcW w:w="1105" w:type="dxa"/>
          </w:tcPr>
          <w:p w14:paraId="1E4B7494" w14:textId="3ECA7980" w:rsidR="005901A9" w:rsidRDefault="00D07A3D" w:rsidP="00B66321">
            <w:pPr>
              <w:pStyle w:val="TableBody"/>
              <w:jc w:val="center"/>
            </w:pPr>
            <w:r>
              <w:t>30/6/21</w:t>
            </w:r>
          </w:p>
        </w:tc>
        <w:tc>
          <w:tcPr>
            <w:tcW w:w="1106" w:type="dxa"/>
          </w:tcPr>
          <w:p w14:paraId="4FC401B8" w14:textId="5ADF7BE8" w:rsidR="005901A9" w:rsidRDefault="00D07A3D" w:rsidP="00B66321">
            <w:pPr>
              <w:pStyle w:val="TableBody"/>
              <w:jc w:val="center"/>
            </w:pPr>
            <w:r>
              <w:t>$60,250</w:t>
            </w:r>
          </w:p>
        </w:tc>
        <w:tc>
          <w:tcPr>
            <w:tcW w:w="1105" w:type="dxa"/>
          </w:tcPr>
          <w:p w14:paraId="2D82D346" w14:textId="2F68FC6B" w:rsidR="005901A9" w:rsidRDefault="00D07A3D" w:rsidP="00B66321">
            <w:pPr>
              <w:pStyle w:val="TableBody"/>
              <w:jc w:val="center"/>
            </w:pPr>
            <w:r>
              <w:t>$59,045</w:t>
            </w:r>
          </w:p>
        </w:tc>
        <w:tc>
          <w:tcPr>
            <w:tcW w:w="1106" w:type="dxa"/>
          </w:tcPr>
          <w:p w14:paraId="0EEFFFB2" w14:textId="662D3859" w:rsidR="005901A9" w:rsidRDefault="00D07A3D" w:rsidP="00B66321">
            <w:pPr>
              <w:pStyle w:val="TableBody"/>
              <w:jc w:val="center"/>
            </w:pPr>
            <w:r>
              <w:t>$0</w:t>
            </w:r>
          </w:p>
        </w:tc>
      </w:tr>
      <w:tr w:rsidR="00D07A3D" w14:paraId="67B3E44E" w14:textId="77777777" w:rsidTr="00D07A3D">
        <w:trPr>
          <w:cnfStyle w:val="000000100000" w:firstRow="0" w:lastRow="0" w:firstColumn="0" w:lastColumn="0" w:oddVBand="0" w:evenVBand="0" w:oddHBand="1" w:evenHBand="0" w:firstRowFirstColumn="0" w:firstRowLastColumn="0" w:lastRowFirstColumn="0" w:lastRowLastColumn="0"/>
        </w:trPr>
        <w:tc>
          <w:tcPr>
            <w:tcW w:w="1418" w:type="dxa"/>
          </w:tcPr>
          <w:p w14:paraId="7CB0FDF8" w14:textId="7580C3EA" w:rsidR="005901A9" w:rsidRDefault="005901A9" w:rsidP="00B66321">
            <w:pPr>
              <w:pStyle w:val="TableBody"/>
            </w:pPr>
            <w:r>
              <w:t>Greg Wilson Advisory Pty Ltd</w:t>
            </w:r>
          </w:p>
        </w:tc>
        <w:tc>
          <w:tcPr>
            <w:tcW w:w="2126" w:type="dxa"/>
          </w:tcPr>
          <w:p w14:paraId="2D0C0ECD" w14:textId="0F073DB2" w:rsidR="005901A9" w:rsidRDefault="00D07A3D" w:rsidP="00B66321">
            <w:pPr>
              <w:pStyle w:val="TableBody"/>
              <w:jc w:val="center"/>
            </w:pPr>
            <w:r>
              <w:t>Lead reviewer for the Commission’s capability review of V/Line</w:t>
            </w:r>
          </w:p>
        </w:tc>
        <w:tc>
          <w:tcPr>
            <w:tcW w:w="1105" w:type="dxa"/>
          </w:tcPr>
          <w:p w14:paraId="42A0A41E" w14:textId="332CFED2" w:rsidR="005901A9" w:rsidRDefault="00D07A3D" w:rsidP="00B66321">
            <w:pPr>
              <w:pStyle w:val="TableBody"/>
              <w:jc w:val="center"/>
            </w:pPr>
            <w:r>
              <w:t>1/2/21</w:t>
            </w:r>
          </w:p>
        </w:tc>
        <w:tc>
          <w:tcPr>
            <w:tcW w:w="1105" w:type="dxa"/>
          </w:tcPr>
          <w:p w14:paraId="27C4DDFA" w14:textId="321513A5" w:rsidR="005901A9" w:rsidRDefault="00D07A3D" w:rsidP="00B66321">
            <w:pPr>
              <w:pStyle w:val="TableBody"/>
              <w:jc w:val="center"/>
            </w:pPr>
            <w:r>
              <w:t>31/8/21</w:t>
            </w:r>
          </w:p>
        </w:tc>
        <w:tc>
          <w:tcPr>
            <w:tcW w:w="1106" w:type="dxa"/>
          </w:tcPr>
          <w:p w14:paraId="468499CF" w14:textId="6BC18F04" w:rsidR="005901A9" w:rsidRDefault="00D07A3D" w:rsidP="00B66321">
            <w:pPr>
              <w:pStyle w:val="TableBody"/>
              <w:jc w:val="center"/>
            </w:pPr>
            <w:r>
              <w:t>$19,250</w:t>
            </w:r>
          </w:p>
        </w:tc>
        <w:tc>
          <w:tcPr>
            <w:tcW w:w="1105" w:type="dxa"/>
          </w:tcPr>
          <w:p w14:paraId="680D79CE" w14:textId="1014CD5E" w:rsidR="005901A9" w:rsidRDefault="00D07A3D" w:rsidP="00B66321">
            <w:pPr>
              <w:pStyle w:val="TableBody"/>
              <w:jc w:val="center"/>
            </w:pPr>
            <w:r>
              <w:t>$11,200</w:t>
            </w:r>
          </w:p>
        </w:tc>
        <w:tc>
          <w:tcPr>
            <w:tcW w:w="1106" w:type="dxa"/>
          </w:tcPr>
          <w:p w14:paraId="6806CB58" w14:textId="1821E9D9" w:rsidR="005901A9" w:rsidRDefault="00D07A3D" w:rsidP="00B66321">
            <w:pPr>
              <w:pStyle w:val="TableBody"/>
              <w:jc w:val="center"/>
            </w:pPr>
            <w:r>
              <w:t>$8,050</w:t>
            </w:r>
          </w:p>
        </w:tc>
      </w:tr>
      <w:tr w:rsidR="00D07A3D" w14:paraId="2C4FFDC8" w14:textId="77777777" w:rsidTr="00D07A3D">
        <w:trPr>
          <w:cnfStyle w:val="000000010000" w:firstRow="0" w:lastRow="0" w:firstColumn="0" w:lastColumn="0" w:oddVBand="0" w:evenVBand="0" w:oddHBand="0" w:evenHBand="1" w:firstRowFirstColumn="0" w:firstRowLastColumn="0" w:lastRowFirstColumn="0" w:lastRowLastColumn="0"/>
        </w:trPr>
        <w:tc>
          <w:tcPr>
            <w:tcW w:w="1418" w:type="dxa"/>
          </w:tcPr>
          <w:p w14:paraId="7B4A6F68" w14:textId="030E0DC0" w:rsidR="005901A9" w:rsidRDefault="005901A9" w:rsidP="00B66321">
            <w:pPr>
              <w:pStyle w:val="TableBody"/>
            </w:pPr>
            <w:r>
              <w:t>The University of Melbourne</w:t>
            </w:r>
          </w:p>
        </w:tc>
        <w:tc>
          <w:tcPr>
            <w:tcW w:w="2126" w:type="dxa"/>
          </w:tcPr>
          <w:p w14:paraId="71A0D846" w14:textId="6E865451" w:rsidR="005901A9" w:rsidRDefault="00973588" w:rsidP="00B66321">
            <w:pPr>
              <w:pStyle w:val="TableBody"/>
              <w:jc w:val="center"/>
            </w:pPr>
            <w:r>
              <w:t>Disability workforce data project</w:t>
            </w:r>
          </w:p>
        </w:tc>
        <w:tc>
          <w:tcPr>
            <w:tcW w:w="1105" w:type="dxa"/>
          </w:tcPr>
          <w:p w14:paraId="4295DA0F" w14:textId="175E04D5" w:rsidR="005901A9" w:rsidRDefault="00973588" w:rsidP="00B66321">
            <w:pPr>
              <w:pStyle w:val="TableBody"/>
              <w:jc w:val="center"/>
            </w:pPr>
            <w:r>
              <w:t>10/8/20</w:t>
            </w:r>
          </w:p>
        </w:tc>
        <w:tc>
          <w:tcPr>
            <w:tcW w:w="1105" w:type="dxa"/>
          </w:tcPr>
          <w:p w14:paraId="09DB4932" w14:textId="12A47F9B" w:rsidR="005901A9" w:rsidRDefault="00973588" w:rsidP="00B66321">
            <w:pPr>
              <w:pStyle w:val="TableBody"/>
              <w:jc w:val="center"/>
            </w:pPr>
            <w:r>
              <w:t>30/4/21</w:t>
            </w:r>
          </w:p>
        </w:tc>
        <w:tc>
          <w:tcPr>
            <w:tcW w:w="1106" w:type="dxa"/>
          </w:tcPr>
          <w:p w14:paraId="3C93AB2D" w14:textId="72BF4963" w:rsidR="005901A9" w:rsidRDefault="00973588" w:rsidP="00B66321">
            <w:pPr>
              <w:pStyle w:val="TableBody"/>
              <w:jc w:val="center"/>
            </w:pPr>
            <w:r>
              <w:t>$105,480</w:t>
            </w:r>
          </w:p>
        </w:tc>
        <w:tc>
          <w:tcPr>
            <w:tcW w:w="1105" w:type="dxa"/>
          </w:tcPr>
          <w:p w14:paraId="081AB70A" w14:textId="03F6CA7A" w:rsidR="005901A9" w:rsidRDefault="00973588" w:rsidP="00B66321">
            <w:pPr>
              <w:pStyle w:val="TableBody"/>
              <w:jc w:val="center"/>
            </w:pPr>
            <w:r>
              <w:t>$105,480</w:t>
            </w:r>
          </w:p>
        </w:tc>
        <w:tc>
          <w:tcPr>
            <w:tcW w:w="1106" w:type="dxa"/>
          </w:tcPr>
          <w:p w14:paraId="03ECBE5F" w14:textId="6162FC9B" w:rsidR="005901A9" w:rsidRDefault="00973588" w:rsidP="00B66321">
            <w:pPr>
              <w:pStyle w:val="TableBody"/>
              <w:jc w:val="center"/>
            </w:pPr>
            <w:r>
              <w:t>$0</w:t>
            </w:r>
          </w:p>
        </w:tc>
      </w:tr>
      <w:tr w:rsidR="00D07A3D" w14:paraId="51972B62" w14:textId="77777777" w:rsidTr="00D07A3D">
        <w:trPr>
          <w:cnfStyle w:val="000000100000" w:firstRow="0" w:lastRow="0" w:firstColumn="0" w:lastColumn="0" w:oddVBand="0" w:evenVBand="0" w:oddHBand="1" w:evenHBand="0" w:firstRowFirstColumn="0" w:firstRowLastColumn="0" w:lastRowFirstColumn="0" w:lastRowLastColumn="0"/>
        </w:trPr>
        <w:tc>
          <w:tcPr>
            <w:tcW w:w="1418" w:type="dxa"/>
          </w:tcPr>
          <w:p w14:paraId="13C7AF23" w14:textId="78F213C2" w:rsidR="005901A9" w:rsidRDefault="005901A9" w:rsidP="00B66321">
            <w:pPr>
              <w:pStyle w:val="TableBody"/>
            </w:pPr>
            <w:r>
              <w:t>SenateSHJ</w:t>
            </w:r>
          </w:p>
        </w:tc>
        <w:tc>
          <w:tcPr>
            <w:tcW w:w="2126" w:type="dxa"/>
          </w:tcPr>
          <w:p w14:paraId="6E967E25" w14:textId="5E124651" w:rsidR="005901A9" w:rsidRDefault="00973588" w:rsidP="00B66321">
            <w:pPr>
              <w:pStyle w:val="TableBody"/>
              <w:jc w:val="center"/>
            </w:pPr>
            <w:r>
              <w:t>Advice and recommendations on structure of the Commission</w:t>
            </w:r>
          </w:p>
        </w:tc>
        <w:tc>
          <w:tcPr>
            <w:tcW w:w="1105" w:type="dxa"/>
          </w:tcPr>
          <w:p w14:paraId="1E7246A2" w14:textId="0FBE7712" w:rsidR="005901A9" w:rsidRDefault="00973588" w:rsidP="00B66321">
            <w:pPr>
              <w:pStyle w:val="TableBody"/>
              <w:jc w:val="center"/>
            </w:pPr>
            <w:r>
              <w:t>1/2/21</w:t>
            </w:r>
          </w:p>
        </w:tc>
        <w:tc>
          <w:tcPr>
            <w:tcW w:w="1105" w:type="dxa"/>
          </w:tcPr>
          <w:p w14:paraId="210C6BA0" w14:textId="73BDA7D4" w:rsidR="005901A9" w:rsidRDefault="00973588" w:rsidP="00B66321">
            <w:pPr>
              <w:pStyle w:val="TableBody"/>
              <w:jc w:val="center"/>
            </w:pPr>
            <w:r>
              <w:t>28/2/21</w:t>
            </w:r>
          </w:p>
        </w:tc>
        <w:tc>
          <w:tcPr>
            <w:tcW w:w="1106" w:type="dxa"/>
          </w:tcPr>
          <w:p w14:paraId="7489AA7F" w14:textId="78CE37E4" w:rsidR="005901A9" w:rsidRDefault="00973588" w:rsidP="00B66321">
            <w:pPr>
              <w:pStyle w:val="TableBody"/>
              <w:jc w:val="center"/>
            </w:pPr>
            <w:r>
              <w:t>$21,480</w:t>
            </w:r>
          </w:p>
        </w:tc>
        <w:tc>
          <w:tcPr>
            <w:tcW w:w="1105" w:type="dxa"/>
          </w:tcPr>
          <w:p w14:paraId="605EAE04" w14:textId="20DB1438" w:rsidR="005901A9" w:rsidRDefault="00973588" w:rsidP="00B66321">
            <w:pPr>
              <w:pStyle w:val="TableBody"/>
              <w:jc w:val="center"/>
            </w:pPr>
            <w:r>
              <w:t>$21,480</w:t>
            </w:r>
          </w:p>
        </w:tc>
        <w:tc>
          <w:tcPr>
            <w:tcW w:w="1106" w:type="dxa"/>
          </w:tcPr>
          <w:p w14:paraId="2B46AE3D" w14:textId="4B1A52C1" w:rsidR="005901A9" w:rsidRDefault="00973588" w:rsidP="00B66321">
            <w:pPr>
              <w:pStyle w:val="TableBody"/>
              <w:jc w:val="center"/>
            </w:pPr>
            <w:r>
              <w:t>$0</w:t>
            </w:r>
          </w:p>
        </w:tc>
      </w:tr>
    </w:tbl>
    <w:p w14:paraId="0F0D6705" w14:textId="77777777" w:rsidR="005901A9" w:rsidRDefault="005901A9" w:rsidP="005D4714">
      <w:pPr>
        <w:pStyle w:val="Body"/>
      </w:pPr>
    </w:p>
    <w:p w14:paraId="0609DE01" w14:textId="77777777" w:rsidR="00F8706A" w:rsidRDefault="00F8706A">
      <w:pPr>
        <w:spacing w:after="0" w:line="240" w:lineRule="auto"/>
        <w:rPr>
          <w:rFonts w:cstheme="majorBidi"/>
          <w:color w:val="53565A"/>
          <w:sz w:val="28"/>
          <w:szCs w:val="28"/>
        </w:rPr>
      </w:pPr>
      <w:r>
        <w:br w:type="page"/>
      </w:r>
    </w:p>
    <w:p w14:paraId="410B0625" w14:textId="69BCAB70" w:rsidR="001719CE" w:rsidRDefault="001719CE" w:rsidP="001719CE">
      <w:pPr>
        <w:pStyle w:val="Heading30"/>
      </w:pPr>
      <w:r>
        <w:lastRenderedPageBreak/>
        <w:t>Details of consultancies under $10,000</w:t>
      </w:r>
    </w:p>
    <w:p w14:paraId="68021C7D" w14:textId="191B16C3" w:rsidR="005A65A0" w:rsidRPr="005A65A0" w:rsidRDefault="005A65A0" w:rsidP="005A65A0">
      <w:pPr>
        <w:pStyle w:val="Body"/>
      </w:pPr>
      <w:r w:rsidRPr="005A65A0">
        <w:rPr>
          <w:rStyle w:val="normaltextrun"/>
        </w:rPr>
        <w:t>In 2020-21, there were</w:t>
      </w:r>
      <w:r w:rsidRPr="005A65A0">
        <w:rPr>
          <w:rStyle w:val="normaltextrun"/>
          <w:rFonts w:ascii="Cambria" w:hAnsi="Cambria" w:cs="Cambria"/>
        </w:rPr>
        <w:t> </w:t>
      </w:r>
      <w:r w:rsidRPr="005A65A0">
        <w:rPr>
          <w:rStyle w:val="normaltextrun"/>
        </w:rPr>
        <w:t>no</w:t>
      </w:r>
      <w:r w:rsidRPr="005A65A0">
        <w:rPr>
          <w:rStyle w:val="normaltextrun"/>
          <w:rFonts w:ascii="Cambria" w:hAnsi="Cambria" w:cs="Cambria"/>
        </w:rPr>
        <w:t> </w:t>
      </w:r>
      <w:r w:rsidRPr="005A65A0">
        <w:rPr>
          <w:rStyle w:val="normaltextrun"/>
        </w:rPr>
        <w:t>consultancies engaged during the year, where the total fees payable to the individual consultancies was less than $10,000. The total expenditure incurred during 2020-21</w:t>
      </w:r>
      <w:r w:rsidRPr="005A65A0">
        <w:rPr>
          <w:rStyle w:val="normaltextrun"/>
          <w:rFonts w:ascii="Cambria" w:hAnsi="Cambria" w:cs="Cambria"/>
        </w:rPr>
        <w:t> </w:t>
      </w:r>
      <w:r w:rsidRPr="005A65A0">
        <w:rPr>
          <w:rStyle w:val="normaltextrun"/>
        </w:rPr>
        <w:t>in relation to these consultancies was</w:t>
      </w:r>
      <w:r w:rsidRPr="005A65A0">
        <w:rPr>
          <w:rStyle w:val="normaltextrun"/>
          <w:rFonts w:ascii="Cambria" w:hAnsi="Cambria" w:cs="Cambria"/>
        </w:rPr>
        <w:t> </w:t>
      </w:r>
      <w:r w:rsidRPr="005A65A0">
        <w:rPr>
          <w:rStyle w:val="normaltextrun"/>
        </w:rPr>
        <w:t>$0</w:t>
      </w:r>
      <w:r w:rsidRPr="005A65A0">
        <w:rPr>
          <w:rStyle w:val="normaltextrun"/>
          <w:rFonts w:ascii="Cambria" w:hAnsi="Cambria" w:cs="Cambria"/>
        </w:rPr>
        <w:t> </w:t>
      </w:r>
      <w:r w:rsidRPr="005A65A0">
        <w:rPr>
          <w:rStyle w:val="normaltextrun"/>
        </w:rPr>
        <w:t>(excluding. GST)</w:t>
      </w:r>
      <w:r w:rsidRPr="005A65A0">
        <w:rPr>
          <w:rStyle w:val="eop"/>
          <w:rFonts w:ascii="Cambria" w:hAnsi="Cambria" w:cs="Cambria"/>
        </w:rPr>
        <w:t> </w:t>
      </w:r>
    </w:p>
    <w:p w14:paraId="201FACE6" w14:textId="725CA7FC" w:rsidR="001719CE" w:rsidRDefault="001719CE" w:rsidP="001719CE">
      <w:pPr>
        <w:pStyle w:val="Heading20"/>
      </w:pPr>
      <w:r>
        <w:t>Information and communication technology expenditure</w:t>
      </w:r>
    </w:p>
    <w:p w14:paraId="20202B63" w14:textId="04CF5197" w:rsidR="002646ED" w:rsidRDefault="002646ED" w:rsidP="001719CE">
      <w:pPr>
        <w:pStyle w:val="Body"/>
      </w:pPr>
      <w:r>
        <w:t xml:space="preserve">For the 2020-21 reporting period, the Commission had a total Information and Communication Technology (ICT) expenditure of </w:t>
      </w:r>
      <w:r w:rsidR="00870234">
        <w:t>$2,443,216.</w:t>
      </w:r>
    </w:p>
    <w:tbl>
      <w:tblPr>
        <w:tblStyle w:val="TableHorizontal"/>
        <w:tblW w:w="0" w:type="auto"/>
        <w:tblLook w:val="0420" w:firstRow="1" w:lastRow="0" w:firstColumn="0" w:lastColumn="0" w:noHBand="0" w:noVBand="1"/>
      </w:tblPr>
      <w:tblGrid>
        <w:gridCol w:w="1814"/>
        <w:gridCol w:w="1814"/>
        <w:gridCol w:w="1814"/>
        <w:gridCol w:w="1814"/>
        <w:gridCol w:w="1814"/>
      </w:tblGrid>
      <w:tr w:rsidR="002646ED" w14:paraId="08D7B872" w14:textId="77777777" w:rsidTr="00B66321">
        <w:trPr>
          <w:cnfStyle w:val="100000000000" w:firstRow="1" w:lastRow="0" w:firstColumn="0" w:lastColumn="0" w:oddVBand="0" w:evenVBand="0" w:oddHBand="0" w:evenHBand="0" w:firstRowFirstColumn="0" w:firstRowLastColumn="0" w:lastRowFirstColumn="0" w:lastRowLastColumn="0"/>
        </w:trPr>
        <w:tc>
          <w:tcPr>
            <w:tcW w:w="1814" w:type="dxa"/>
          </w:tcPr>
          <w:p w14:paraId="74A847F9" w14:textId="77777777" w:rsidR="002646ED" w:rsidRPr="00973F22" w:rsidRDefault="002646ED" w:rsidP="00B66321">
            <w:pPr>
              <w:pStyle w:val="TableHeader"/>
            </w:pPr>
          </w:p>
        </w:tc>
        <w:tc>
          <w:tcPr>
            <w:tcW w:w="1814" w:type="dxa"/>
          </w:tcPr>
          <w:p w14:paraId="76DE0CF8" w14:textId="2CD87E0A" w:rsidR="002646ED" w:rsidRDefault="002646ED" w:rsidP="00B66321">
            <w:pPr>
              <w:pStyle w:val="TableHeader"/>
              <w:jc w:val="center"/>
            </w:pPr>
            <w:r>
              <w:t>All operational ICT expenditure</w:t>
            </w:r>
          </w:p>
        </w:tc>
        <w:tc>
          <w:tcPr>
            <w:tcW w:w="5442" w:type="dxa"/>
            <w:gridSpan w:val="3"/>
          </w:tcPr>
          <w:p w14:paraId="4E46AFEB" w14:textId="7FC0D475" w:rsidR="002646ED" w:rsidRDefault="002646ED" w:rsidP="00B66321">
            <w:pPr>
              <w:pStyle w:val="TableHeader"/>
              <w:jc w:val="center"/>
            </w:pPr>
            <w:r>
              <w:t>ICT expenditure related to projects to</w:t>
            </w:r>
            <w:r>
              <w:br/>
              <w:t xml:space="preserve"> create or enhance ICT capabilities</w:t>
            </w:r>
          </w:p>
        </w:tc>
      </w:tr>
      <w:tr w:rsidR="005A65A0" w14:paraId="24365A48" w14:textId="75BA50AA" w:rsidTr="00A77832">
        <w:trPr>
          <w:cnfStyle w:val="000000100000" w:firstRow="0" w:lastRow="0" w:firstColumn="0" w:lastColumn="0" w:oddVBand="0" w:evenVBand="0" w:oddHBand="1" w:evenHBand="0" w:firstRowFirstColumn="0" w:firstRowLastColumn="0" w:lastRowFirstColumn="0" w:lastRowLastColumn="0"/>
        </w:trPr>
        <w:tc>
          <w:tcPr>
            <w:tcW w:w="1814" w:type="dxa"/>
            <w:tcBorders>
              <w:top w:val="single" w:sz="12" w:space="0" w:color="00573F" w:themeColor="text2"/>
              <w:bottom w:val="nil"/>
              <w:right w:val="single" w:sz="4" w:space="0" w:color="auto"/>
            </w:tcBorders>
          </w:tcPr>
          <w:p w14:paraId="37EA4006" w14:textId="3F9B1842" w:rsidR="005A65A0" w:rsidRPr="00973F22" w:rsidRDefault="005A65A0" w:rsidP="00B66321">
            <w:pPr>
              <w:pStyle w:val="TableHeader"/>
            </w:pPr>
          </w:p>
        </w:tc>
        <w:tc>
          <w:tcPr>
            <w:tcW w:w="1814" w:type="dxa"/>
            <w:tcBorders>
              <w:top w:val="single" w:sz="12" w:space="0" w:color="00573F" w:themeColor="text2"/>
              <w:left w:val="single" w:sz="4" w:space="0" w:color="auto"/>
              <w:bottom w:val="nil"/>
              <w:right w:val="single" w:sz="4" w:space="0" w:color="auto"/>
            </w:tcBorders>
          </w:tcPr>
          <w:p w14:paraId="30A6F35B" w14:textId="2D4D730B" w:rsidR="005A65A0" w:rsidRPr="00973F22" w:rsidRDefault="005A65A0" w:rsidP="00B66321">
            <w:pPr>
              <w:pStyle w:val="TableHeader"/>
              <w:jc w:val="center"/>
            </w:pPr>
            <w:r w:rsidRPr="00A77832">
              <w:t>Business as Usual</w:t>
            </w:r>
            <w:r w:rsidR="00A77832">
              <w:t xml:space="preserve"> (BAU)</w:t>
            </w:r>
            <w:r w:rsidRPr="00A77832">
              <w:t xml:space="preserve"> ICT expenditure (</w:t>
            </w:r>
            <w:r w:rsidR="00A77832">
              <w:t>T</w:t>
            </w:r>
            <w:r w:rsidRPr="00A77832">
              <w:t>otal)</w:t>
            </w:r>
          </w:p>
        </w:tc>
        <w:tc>
          <w:tcPr>
            <w:tcW w:w="1814" w:type="dxa"/>
            <w:tcBorders>
              <w:top w:val="single" w:sz="12" w:space="0" w:color="00573F" w:themeColor="text2"/>
              <w:left w:val="single" w:sz="4" w:space="0" w:color="auto"/>
              <w:bottom w:val="nil"/>
            </w:tcBorders>
          </w:tcPr>
          <w:p w14:paraId="0FD2C759" w14:textId="369006A2" w:rsidR="005A65A0" w:rsidRPr="00973F22" w:rsidRDefault="00A77832" w:rsidP="002646ED">
            <w:pPr>
              <w:pStyle w:val="TableHeader"/>
              <w:jc w:val="center"/>
            </w:pPr>
            <w:r w:rsidRPr="00A77832">
              <w:t>Non-Business</w:t>
            </w:r>
            <w:r w:rsidR="005A65A0" w:rsidRPr="00A77832">
              <w:t xml:space="preserve"> as Usual </w:t>
            </w:r>
            <w:r>
              <w:t xml:space="preserve">(non BAU) </w:t>
            </w:r>
            <w:r w:rsidR="002646ED">
              <w:br/>
            </w:r>
            <w:r w:rsidR="005A65A0" w:rsidRPr="00A77832">
              <w:t>(</w:t>
            </w:r>
            <w:r>
              <w:t>T</w:t>
            </w:r>
            <w:r w:rsidR="005A65A0" w:rsidRPr="00A77832">
              <w:t>otal = operational expenditure and capital expenditure)</w:t>
            </w:r>
          </w:p>
        </w:tc>
        <w:tc>
          <w:tcPr>
            <w:tcW w:w="1814" w:type="dxa"/>
            <w:tcBorders>
              <w:top w:val="single" w:sz="12" w:space="0" w:color="00573F" w:themeColor="text2"/>
              <w:left w:val="nil"/>
              <w:bottom w:val="nil"/>
            </w:tcBorders>
          </w:tcPr>
          <w:p w14:paraId="48FBFC28" w14:textId="0813FEA3" w:rsidR="005A65A0" w:rsidRDefault="005A65A0" w:rsidP="00B66321">
            <w:pPr>
              <w:pStyle w:val="TableHeader"/>
              <w:jc w:val="center"/>
            </w:pPr>
            <w:r>
              <w:t>Operational expenditure</w:t>
            </w:r>
          </w:p>
        </w:tc>
        <w:tc>
          <w:tcPr>
            <w:tcW w:w="1814" w:type="dxa"/>
            <w:tcBorders>
              <w:top w:val="single" w:sz="12" w:space="0" w:color="00573F" w:themeColor="text2"/>
              <w:left w:val="nil"/>
              <w:bottom w:val="nil"/>
            </w:tcBorders>
          </w:tcPr>
          <w:p w14:paraId="07B57C07" w14:textId="6A0594E4" w:rsidR="005A65A0" w:rsidRDefault="005A65A0" w:rsidP="00B66321">
            <w:pPr>
              <w:pStyle w:val="TableHeader"/>
              <w:jc w:val="center"/>
            </w:pPr>
            <w:r>
              <w:t>Capital expenditure</w:t>
            </w:r>
          </w:p>
        </w:tc>
      </w:tr>
      <w:tr w:rsidR="005A65A0" w14:paraId="5A0C3EA1" w14:textId="5863CC2B" w:rsidTr="00A77832">
        <w:trPr>
          <w:cnfStyle w:val="000000010000" w:firstRow="0" w:lastRow="0" w:firstColumn="0" w:lastColumn="0" w:oddVBand="0" w:evenVBand="0" w:oddHBand="0" w:evenHBand="1" w:firstRowFirstColumn="0" w:firstRowLastColumn="0" w:lastRowFirstColumn="0" w:lastRowLastColumn="0"/>
        </w:trPr>
        <w:tc>
          <w:tcPr>
            <w:tcW w:w="1814" w:type="dxa"/>
            <w:tcBorders>
              <w:top w:val="nil"/>
            </w:tcBorders>
          </w:tcPr>
          <w:p w14:paraId="5432316E" w14:textId="368CB411" w:rsidR="005A65A0" w:rsidRPr="00973F22" w:rsidRDefault="005A65A0" w:rsidP="00B66321">
            <w:pPr>
              <w:pStyle w:val="TableBody"/>
            </w:pPr>
            <w:r>
              <w:t xml:space="preserve">Appropriation </w:t>
            </w:r>
            <w:r>
              <w:br/>
              <w:t>account</w:t>
            </w:r>
          </w:p>
        </w:tc>
        <w:tc>
          <w:tcPr>
            <w:tcW w:w="1814" w:type="dxa"/>
            <w:tcBorders>
              <w:top w:val="nil"/>
            </w:tcBorders>
          </w:tcPr>
          <w:p w14:paraId="249F286C" w14:textId="176FC8F2" w:rsidR="005A65A0" w:rsidRPr="00973F22" w:rsidRDefault="005A65A0" w:rsidP="00B66321">
            <w:pPr>
              <w:pStyle w:val="TableBody"/>
              <w:jc w:val="center"/>
            </w:pPr>
            <w:r>
              <w:t>$756,695</w:t>
            </w:r>
          </w:p>
        </w:tc>
        <w:tc>
          <w:tcPr>
            <w:tcW w:w="1814" w:type="dxa"/>
            <w:tcBorders>
              <w:top w:val="nil"/>
            </w:tcBorders>
          </w:tcPr>
          <w:p w14:paraId="08DE7A73" w14:textId="3D5913D6" w:rsidR="005A65A0" w:rsidRPr="00973F22" w:rsidRDefault="005A65A0" w:rsidP="00B66321">
            <w:pPr>
              <w:pStyle w:val="TableBody"/>
              <w:jc w:val="center"/>
            </w:pPr>
            <w:r>
              <w:t>$258,772</w:t>
            </w:r>
          </w:p>
        </w:tc>
        <w:tc>
          <w:tcPr>
            <w:tcW w:w="1814" w:type="dxa"/>
            <w:tcBorders>
              <w:top w:val="nil"/>
            </w:tcBorders>
          </w:tcPr>
          <w:p w14:paraId="1A83442F" w14:textId="1D5AC8B1" w:rsidR="005A65A0" w:rsidRDefault="005A65A0" w:rsidP="00B66321">
            <w:pPr>
              <w:pStyle w:val="TableBody"/>
              <w:jc w:val="center"/>
            </w:pPr>
            <w:r>
              <w:t>-</w:t>
            </w:r>
          </w:p>
        </w:tc>
        <w:tc>
          <w:tcPr>
            <w:tcW w:w="1814" w:type="dxa"/>
            <w:tcBorders>
              <w:top w:val="nil"/>
            </w:tcBorders>
          </w:tcPr>
          <w:p w14:paraId="079C6D3C" w14:textId="36BD6ED2" w:rsidR="005A65A0" w:rsidRDefault="005A65A0" w:rsidP="00B66321">
            <w:pPr>
              <w:pStyle w:val="TableBody"/>
              <w:jc w:val="center"/>
            </w:pPr>
            <w:r>
              <w:t>$258,772</w:t>
            </w:r>
          </w:p>
        </w:tc>
      </w:tr>
      <w:tr w:rsidR="005A65A0" w14:paraId="0B3949EE" w14:textId="17174195" w:rsidTr="005A65A0">
        <w:trPr>
          <w:cnfStyle w:val="000000100000" w:firstRow="0" w:lastRow="0" w:firstColumn="0" w:lastColumn="0" w:oddVBand="0" w:evenVBand="0" w:oddHBand="1" w:evenHBand="0" w:firstRowFirstColumn="0" w:firstRowLastColumn="0" w:lastRowFirstColumn="0" w:lastRowLastColumn="0"/>
        </w:trPr>
        <w:tc>
          <w:tcPr>
            <w:tcW w:w="1814" w:type="dxa"/>
          </w:tcPr>
          <w:p w14:paraId="22CB90D0" w14:textId="26E40CA3" w:rsidR="005A65A0" w:rsidRPr="00973F22" w:rsidRDefault="005A65A0" w:rsidP="00B66321">
            <w:pPr>
              <w:pStyle w:val="TableBody"/>
            </w:pPr>
            <w:r>
              <w:t>Trust account</w:t>
            </w:r>
          </w:p>
        </w:tc>
        <w:tc>
          <w:tcPr>
            <w:tcW w:w="1814" w:type="dxa"/>
          </w:tcPr>
          <w:p w14:paraId="767F4BBC" w14:textId="0A3D1990" w:rsidR="005A65A0" w:rsidRPr="00973F22" w:rsidRDefault="005A65A0" w:rsidP="00B66321">
            <w:pPr>
              <w:pStyle w:val="TableBody"/>
              <w:jc w:val="center"/>
            </w:pPr>
            <w:r>
              <w:t>$961,385</w:t>
            </w:r>
          </w:p>
        </w:tc>
        <w:tc>
          <w:tcPr>
            <w:tcW w:w="1814" w:type="dxa"/>
          </w:tcPr>
          <w:p w14:paraId="0C8952C7" w14:textId="206C34D1" w:rsidR="005A65A0" w:rsidRPr="00973F22" w:rsidRDefault="005A65A0" w:rsidP="00B66321">
            <w:pPr>
              <w:pStyle w:val="TableBody"/>
              <w:jc w:val="center"/>
            </w:pPr>
            <w:r>
              <w:t>$466,364</w:t>
            </w:r>
          </w:p>
        </w:tc>
        <w:tc>
          <w:tcPr>
            <w:tcW w:w="1814" w:type="dxa"/>
          </w:tcPr>
          <w:p w14:paraId="5628187F" w14:textId="7232F23E" w:rsidR="005A65A0" w:rsidRDefault="005A65A0" w:rsidP="00B66321">
            <w:pPr>
              <w:pStyle w:val="TableBody"/>
              <w:jc w:val="center"/>
            </w:pPr>
            <w:r>
              <w:t>-</w:t>
            </w:r>
          </w:p>
        </w:tc>
        <w:tc>
          <w:tcPr>
            <w:tcW w:w="1814" w:type="dxa"/>
          </w:tcPr>
          <w:p w14:paraId="723BC01A" w14:textId="0D9F6259" w:rsidR="005A65A0" w:rsidRDefault="005A65A0" w:rsidP="00B66321">
            <w:pPr>
              <w:pStyle w:val="TableBody"/>
              <w:jc w:val="center"/>
            </w:pPr>
            <w:r>
              <w:t>$466,364</w:t>
            </w:r>
          </w:p>
        </w:tc>
      </w:tr>
    </w:tbl>
    <w:p w14:paraId="63006005" w14:textId="77777777" w:rsidR="002646ED" w:rsidRDefault="002646ED" w:rsidP="001719CE">
      <w:pPr>
        <w:pStyle w:val="Body"/>
      </w:pPr>
    </w:p>
    <w:p w14:paraId="5A063679" w14:textId="77777777" w:rsidR="003C496F" w:rsidRDefault="002646ED" w:rsidP="001719CE">
      <w:pPr>
        <w:pStyle w:val="Body"/>
      </w:pPr>
      <w:r>
        <w:t xml:space="preserve">ICT expenditure refers to the Commission’s costs in providing business enabling ICT services within the current reporting period. It comprises Business as Usual (BAU) ICT expenditure and Non-Business as Usual (Non-BAU) ICT expenditure. </w:t>
      </w:r>
    </w:p>
    <w:p w14:paraId="1310905E" w14:textId="1D1216ED" w:rsidR="005A65A0" w:rsidRDefault="002646ED" w:rsidP="001719CE">
      <w:pPr>
        <w:pStyle w:val="Body"/>
      </w:pPr>
      <w:r>
        <w:t>Non-BAU ICT expenditure relates to extending or enhancing the Commission’s current ICT capabilities. BAU ICT expenditure is all remaining ICT expenditure that primarily relates to ongoing activities to operate and maintain the current ICT capability.</w:t>
      </w:r>
    </w:p>
    <w:p w14:paraId="7E9C5952" w14:textId="77777777" w:rsidR="00F8706A" w:rsidRDefault="00F8706A">
      <w:pPr>
        <w:spacing w:after="0" w:line="240" w:lineRule="auto"/>
        <w:rPr>
          <w:rFonts w:ascii="VIC SemiBold" w:hAnsi="VIC SemiBold" w:cstheme="majorBidi"/>
          <w:color w:val="53565A"/>
          <w:sz w:val="30"/>
          <w:szCs w:val="32"/>
        </w:rPr>
      </w:pPr>
      <w:r>
        <w:br w:type="page"/>
      </w:r>
    </w:p>
    <w:p w14:paraId="42ABD043" w14:textId="43967892" w:rsidR="001719CE" w:rsidRDefault="001719CE" w:rsidP="001719CE">
      <w:pPr>
        <w:pStyle w:val="Heading20"/>
      </w:pPr>
      <w:r>
        <w:lastRenderedPageBreak/>
        <w:t>Disclosure of major contracts</w:t>
      </w:r>
    </w:p>
    <w:p w14:paraId="33BBE5A6" w14:textId="68C1F7E1" w:rsidR="001719CE" w:rsidRDefault="00A77832" w:rsidP="001719CE">
      <w:pPr>
        <w:pStyle w:val="Body"/>
      </w:pPr>
      <w:r>
        <w:t>The Commission did not enter into any contracts greater than $10 million in value during the 2020-21 financial year.</w:t>
      </w:r>
    </w:p>
    <w:p w14:paraId="22956BCB" w14:textId="77777777" w:rsidR="00322E0E" w:rsidRDefault="00322E0E" w:rsidP="00322E0E">
      <w:pPr>
        <w:pStyle w:val="Heading20"/>
      </w:pPr>
      <w:r>
        <w:t>Freedom of information</w:t>
      </w:r>
    </w:p>
    <w:p w14:paraId="5954FDEC" w14:textId="7DCAB7E9" w:rsidR="00322E0E" w:rsidRPr="00281F8C" w:rsidRDefault="00322E0E" w:rsidP="00322E0E">
      <w:pPr>
        <w:pStyle w:val="Body"/>
      </w:pPr>
      <w:r w:rsidRPr="00281F8C">
        <w:t xml:space="preserve">The </w:t>
      </w:r>
      <w:r>
        <w:t>Commission</w:t>
      </w:r>
      <w:r w:rsidRPr="00281F8C">
        <w:t xml:space="preserve"> is subject to the </w:t>
      </w:r>
      <w:r w:rsidRPr="008F439D">
        <w:t xml:space="preserve">Freedom </w:t>
      </w:r>
      <w:r w:rsidR="001146FC">
        <w:t>of</w:t>
      </w:r>
      <w:r w:rsidRPr="008F439D">
        <w:t xml:space="preserve"> Information Act 1982</w:t>
      </w:r>
      <w:r w:rsidRPr="00281F8C">
        <w:t>. The Act allows the public a right of access to</w:t>
      </w:r>
      <w:r>
        <w:t xml:space="preserve"> </w:t>
      </w:r>
      <w:r w:rsidRPr="00281F8C">
        <w:t xml:space="preserve">documents held by the </w:t>
      </w:r>
      <w:r>
        <w:t>Commission</w:t>
      </w:r>
      <w:r w:rsidRPr="00281F8C">
        <w:t>. The purpose of the Act is to extend as far as possible the right of the community</w:t>
      </w:r>
      <w:r>
        <w:t xml:space="preserve"> </w:t>
      </w:r>
      <w:r w:rsidRPr="00281F8C">
        <w:t>to access information held by government departments, local councils, ministers and other bodies subject to the Act.</w:t>
      </w:r>
      <w:r>
        <w:t xml:space="preserve"> </w:t>
      </w:r>
      <w:r w:rsidRPr="00281F8C">
        <w:t>The Act allows a department to refuse access, either fully or partially, to certain documents or information.</w:t>
      </w:r>
    </w:p>
    <w:p w14:paraId="2C9E22E6" w14:textId="77777777" w:rsidR="00322E0E" w:rsidRPr="00281F8C" w:rsidRDefault="00322E0E" w:rsidP="00322E0E">
      <w:pPr>
        <w:pStyle w:val="Body"/>
      </w:pPr>
      <w:r w:rsidRPr="00281F8C">
        <w:t>Examples of documents that may not be accessed include:</w:t>
      </w:r>
    </w:p>
    <w:p w14:paraId="49AD9511" w14:textId="77777777" w:rsidR="00322E0E" w:rsidRPr="00281F8C" w:rsidRDefault="00322E0E" w:rsidP="00322E0E">
      <w:pPr>
        <w:pStyle w:val="Bullet1"/>
      </w:pPr>
      <w:r w:rsidRPr="00281F8C">
        <w:t>cabinet documents</w:t>
      </w:r>
    </w:p>
    <w:p w14:paraId="233C79E8" w14:textId="77777777" w:rsidR="00322E0E" w:rsidRPr="00281F8C" w:rsidRDefault="00322E0E" w:rsidP="00322E0E">
      <w:pPr>
        <w:pStyle w:val="Bullet1"/>
      </w:pPr>
      <w:r w:rsidRPr="00281F8C">
        <w:t>some internal working documents</w:t>
      </w:r>
    </w:p>
    <w:p w14:paraId="621D6CC1" w14:textId="77777777" w:rsidR="00322E0E" w:rsidRPr="00281F8C" w:rsidRDefault="00322E0E" w:rsidP="00322E0E">
      <w:pPr>
        <w:pStyle w:val="Bullet1"/>
      </w:pPr>
      <w:r w:rsidRPr="00281F8C">
        <w:t>law enforcement documents</w:t>
      </w:r>
    </w:p>
    <w:p w14:paraId="1DE22027" w14:textId="77777777" w:rsidR="00322E0E" w:rsidRPr="00281F8C" w:rsidRDefault="00322E0E" w:rsidP="00322E0E">
      <w:pPr>
        <w:pStyle w:val="Bullet1"/>
      </w:pPr>
      <w:r w:rsidRPr="00281F8C">
        <w:t>documents covered by legal professional privilege, such as legal advice</w:t>
      </w:r>
    </w:p>
    <w:p w14:paraId="06F82B33" w14:textId="77777777" w:rsidR="00322E0E" w:rsidRPr="00281F8C" w:rsidRDefault="00322E0E" w:rsidP="00322E0E">
      <w:pPr>
        <w:pStyle w:val="Bullet1"/>
      </w:pPr>
      <w:r w:rsidRPr="00281F8C">
        <w:t>personal information about other people.</w:t>
      </w:r>
    </w:p>
    <w:p w14:paraId="1D3C1AFB" w14:textId="77777777" w:rsidR="003C496F" w:rsidRDefault="00322E0E" w:rsidP="00322E0E">
      <w:pPr>
        <w:pStyle w:val="Body"/>
      </w:pPr>
      <w:r w:rsidRPr="00281F8C">
        <w:t>From 1 September 2017, the Act has been amended to reduce the Freedom of Information (FOI) processing</w:t>
      </w:r>
      <w:r>
        <w:t xml:space="preserve"> </w:t>
      </w:r>
      <w:r w:rsidRPr="00281F8C">
        <w:t>time for requests received from 45 to 30 days. In some cases, this time may be extended.</w:t>
      </w:r>
      <w:r>
        <w:t xml:space="preserve"> </w:t>
      </w:r>
    </w:p>
    <w:p w14:paraId="799DEB63" w14:textId="3B649886" w:rsidR="00322E0E" w:rsidRDefault="00322E0E" w:rsidP="00322E0E">
      <w:pPr>
        <w:pStyle w:val="Body"/>
      </w:pPr>
      <w:r w:rsidRPr="00281F8C">
        <w:t xml:space="preserve">If an applicant is not satisfied by a decision made by the </w:t>
      </w:r>
      <w:r>
        <w:t>Commission</w:t>
      </w:r>
      <w:r w:rsidRPr="00281F8C">
        <w:t>, under section 49A of the Act, they have</w:t>
      </w:r>
      <w:r>
        <w:t xml:space="preserve"> </w:t>
      </w:r>
      <w:r w:rsidRPr="00281F8C">
        <w:t>the right to seek a review by the Office of the Victorian Information Commissioner (OVIC) within 28 days</w:t>
      </w:r>
      <w:r>
        <w:t xml:space="preserve"> </w:t>
      </w:r>
      <w:r w:rsidRPr="00281F8C">
        <w:t>of receiving a decision letter.</w:t>
      </w:r>
    </w:p>
    <w:p w14:paraId="0420570B" w14:textId="77777777" w:rsidR="00121EF6" w:rsidRPr="00B74E10" w:rsidRDefault="00121EF6" w:rsidP="00121EF6">
      <w:pPr>
        <w:pStyle w:val="Heading30"/>
        <w:rPr>
          <w:rStyle w:val="Strong"/>
          <w:rFonts w:ascii="VIC" w:hAnsi="VIC"/>
        </w:rPr>
      </w:pPr>
      <w:r w:rsidRPr="00B74E10">
        <w:rPr>
          <w:rStyle w:val="Strong"/>
          <w:rFonts w:ascii="VIC" w:hAnsi="VIC"/>
        </w:rPr>
        <w:t>Making a request</w:t>
      </w:r>
    </w:p>
    <w:p w14:paraId="7C541CAE" w14:textId="4391CCEB" w:rsidR="00322E0E" w:rsidRPr="00121EF6" w:rsidRDefault="00322E0E" w:rsidP="00121EF6">
      <w:pPr>
        <w:spacing w:after="0" w:line="240" w:lineRule="auto"/>
      </w:pPr>
      <w:r w:rsidRPr="00C275A0">
        <w:t xml:space="preserve">FOI requests can be lodged online at www.foi.vic.gov.au. An application fee of $29.60 applies. Access charges may also be payable if the document pool is large and the search for material time consuming. Access to documents can also be obtained through a written request to the </w:t>
      </w:r>
      <w:r w:rsidR="001146FC">
        <w:t>Commission</w:t>
      </w:r>
      <w:r w:rsidRPr="00C275A0">
        <w:t>, as detailed in s17 of the Freedom of Information Act 1982.</w:t>
      </w:r>
    </w:p>
    <w:p w14:paraId="41DD2710" w14:textId="77777777" w:rsidR="00322E0E" w:rsidRPr="00C275A0" w:rsidRDefault="00322E0E" w:rsidP="00322E0E">
      <w:pPr>
        <w:pStyle w:val="Body"/>
      </w:pPr>
      <w:r w:rsidRPr="00C275A0">
        <w:lastRenderedPageBreak/>
        <w:t>When making an FOI request, applicants should ensure requests are in writing and clearly identify what types of material and documents are being sought. Requests for documents in the possession of the Commission should be addressed to:</w:t>
      </w:r>
    </w:p>
    <w:p w14:paraId="5C30615C" w14:textId="77777777" w:rsidR="00322E0E" w:rsidRPr="00C275A0" w:rsidRDefault="00322E0E" w:rsidP="00322E0E">
      <w:pPr>
        <w:pStyle w:val="Body"/>
        <w:rPr>
          <w:rStyle w:val="Strong"/>
          <w:rFonts w:ascii="VIC" w:hAnsi="VIC"/>
        </w:rPr>
      </w:pPr>
      <w:r w:rsidRPr="00C275A0">
        <w:t>Freedom of Information</w:t>
      </w:r>
      <w:r w:rsidRPr="00C275A0">
        <w:br/>
        <w:t>Victorian Public Sector Commission</w:t>
      </w:r>
      <w:r w:rsidRPr="00C275A0">
        <w:br/>
        <w:t>3 Treasury Place</w:t>
      </w:r>
      <w:r w:rsidRPr="00C275A0">
        <w:br/>
        <w:t>East Melbourne VIC 3002</w:t>
      </w:r>
    </w:p>
    <w:p w14:paraId="4713EA60" w14:textId="77777777" w:rsidR="00322E0E" w:rsidRPr="00B74E10" w:rsidRDefault="00322E0E" w:rsidP="00B74E10">
      <w:pPr>
        <w:pStyle w:val="Heading30"/>
        <w:rPr>
          <w:rStyle w:val="Strong"/>
          <w:rFonts w:ascii="VIC" w:hAnsi="VIC"/>
        </w:rPr>
      </w:pPr>
      <w:r w:rsidRPr="00B74E10">
        <w:rPr>
          <w:rStyle w:val="Strong"/>
          <w:rFonts w:ascii="VIC" w:hAnsi="VIC"/>
        </w:rPr>
        <w:t>FOI statistics and timing</w:t>
      </w:r>
    </w:p>
    <w:p w14:paraId="62134A8D" w14:textId="77777777" w:rsidR="00322E0E" w:rsidRPr="00C275A0" w:rsidRDefault="00322E0E" w:rsidP="00322E0E">
      <w:pPr>
        <w:pStyle w:val="Body"/>
        <w:rPr>
          <w:rStyle w:val="Strong"/>
          <w:rFonts w:ascii="VIC" w:hAnsi="VIC"/>
        </w:rPr>
      </w:pPr>
      <w:r w:rsidRPr="00C275A0">
        <w:t>During 20</w:t>
      </w:r>
      <w:r>
        <w:t>20</w:t>
      </w:r>
      <w:r w:rsidRPr="00C275A0">
        <w:t>–2</w:t>
      </w:r>
      <w:r>
        <w:t>1</w:t>
      </w:r>
      <w:r w:rsidRPr="00C275A0">
        <w:t xml:space="preserve">, the Commission received </w:t>
      </w:r>
      <w:r>
        <w:t>4</w:t>
      </w:r>
      <w:r w:rsidRPr="00C275A0">
        <w:t xml:space="preserve"> applications</w:t>
      </w:r>
      <w:r>
        <w:t xml:space="preserve">. </w:t>
      </w:r>
      <w:r w:rsidRPr="00C275A0">
        <w:t xml:space="preserve">The Commission made </w:t>
      </w:r>
      <w:r>
        <w:t>4</w:t>
      </w:r>
      <w:r w:rsidRPr="00C275A0">
        <w:t xml:space="preserve"> FOI decisions during the 12 months ended 30 June 202</w:t>
      </w:r>
      <w:r>
        <w:t>1</w:t>
      </w:r>
      <w:r w:rsidRPr="00C275A0">
        <w:t>. The average time taken to finalise requests in 20</w:t>
      </w:r>
      <w:r>
        <w:t>20</w:t>
      </w:r>
      <w:r w:rsidRPr="00C275A0">
        <w:t>-2</w:t>
      </w:r>
      <w:r>
        <w:t>1</w:t>
      </w:r>
      <w:r w:rsidRPr="00C275A0">
        <w:t xml:space="preserve"> was </w:t>
      </w:r>
      <w:r>
        <w:t>30</w:t>
      </w:r>
      <w:r w:rsidRPr="00C275A0">
        <w:t xml:space="preserve"> days. </w:t>
      </w:r>
      <w:r>
        <w:t>No</w:t>
      </w:r>
      <w:r w:rsidRPr="00C275A0">
        <w:t xml:space="preserve"> requests were subject to a complaint</w:t>
      </w:r>
      <w:r>
        <w:t xml:space="preserve"> or </w:t>
      </w:r>
      <w:r w:rsidRPr="00C275A0">
        <w:t>internal review by the OVIC.</w:t>
      </w:r>
    </w:p>
    <w:p w14:paraId="191FEFB9" w14:textId="77777777" w:rsidR="00322E0E" w:rsidRPr="00B74E10" w:rsidRDefault="00322E0E" w:rsidP="00B74E10">
      <w:pPr>
        <w:pStyle w:val="Heading30"/>
        <w:rPr>
          <w:rStyle w:val="Strong"/>
          <w:rFonts w:ascii="VIC" w:hAnsi="VIC"/>
        </w:rPr>
      </w:pPr>
      <w:r w:rsidRPr="00B74E10">
        <w:rPr>
          <w:rStyle w:val="Strong"/>
          <w:rFonts w:ascii="VIC" w:hAnsi="VIC"/>
        </w:rPr>
        <w:t>Further information</w:t>
      </w:r>
    </w:p>
    <w:p w14:paraId="744F55A4" w14:textId="1EBE7A7A" w:rsidR="00322E0E" w:rsidRDefault="00322E0E" w:rsidP="001719CE">
      <w:pPr>
        <w:pStyle w:val="Body"/>
      </w:pPr>
      <w:r w:rsidRPr="00C275A0">
        <w:t>Further information regarding the operation and scope of FOI can be obtained from the Act, regulations made under the Act and foi.vic.gov.au.</w:t>
      </w:r>
    </w:p>
    <w:p w14:paraId="57FDE067" w14:textId="77777777" w:rsidR="00322E0E" w:rsidRDefault="00322E0E" w:rsidP="00322E0E">
      <w:pPr>
        <w:pStyle w:val="Heading20"/>
      </w:pPr>
      <w:r>
        <w:t>Compliance with the Building Act 1993</w:t>
      </w:r>
    </w:p>
    <w:p w14:paraId="73E04EA1" w14:textId="4FF27135" w:rsidR="009F3FBC" w:rsidRPr="00F8706A" w:rsidRDefault="00322E0E" w:rsidP="00F8706A">
      <w:pPr>
        <w:pStyle w:val="Body"/>
      </w:pPr>
      <w:r w:rsidRPr="00C275A0">
        <w:t xml:space="preserve">The Commission does not own or control any government buildings and consequently is exempt from notifying its compliance with the building and maintenance provisions of the </w:t>
      </w:r>
      <w:r w:rsidRPr="008F439D">
        <w:t>Building Act 1993</w:t>
      </w:r>
      <w:r w:rsidRPr="00C275A0">
        <w:t xml:space="preserve"> (for publicly owned buildings controlled by the Commission).</w:t>
      </w:r>
    </w:p>
    <w:p w14:paraId="4BE25AE8" w14:textId="169BD8FE" w:rsidR="00322E0E" w:rsidRDefault="00322E0E" w:rsidP="00322E0E">
      <w:pPr>
        <w:pStyle w:val="Heading20"/>
      </w:pPr>
      <w:r>
        <w:t>Competitive neutrality policy</w:t>
      </w:r>
    </w:p>
    <w:p w14:paraId="45C657EA" w14:textId="77777777" w:rsidR="00322E0E" w:rsidRDefault="00322E0E" w:rsidP="00322E0E">
      <w:pPr>
        <w:pStyle w:val="Body"/>
      </w:pPr>
      <w:r w:rsidRPr="000E6EBE">
        <w:t xml:space="preserve">Competitive neutrality requires government businesses to ensure where services compete, or potentially compete with the private sector, any advantage arising solely from their government ownership be removed if it is not in the public interest. </w:t>
      </w:r>
    </w:p>
    <w:p w14:paraId="6527797B" w14:textId="77777777" w:rsidR="00322E0E" w:rsidRDefault="00322E0E" w:rsidP="00322E0E">
      <w:pPr>
        <w:pStyle w:val="Body"/>
      </w:pPr>
      <w:r w:rsidRPr="000E6EBE">
        <w:t xml:space="preserve">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w:t>
      </w:r>
    </w:p>
    <w:p w14:paraId="366C5CD8" w14:textId="77777777" w:rsidR="00322E0E" w:rsidRDefault="00322E0E" w:rsidP="00322E0E">
      <w:pPr>
        <w:pStyle w:val="Body"/>
      </w:pPr>
      <w:r w:rsidRPr="000E6EBE">
        <w:t xml:space="preserve">This policy does not override other policy objectives of government and focuses on efficiency in the provision of service. </w:t>
      </w:r>
      <w:r>
        <w:rPr>
          <w:lang w:eastAsia="en-AU"/>
        </w:rPr>
        <w:t xml:space="preserve">As a portfolio agency, the Commission’s information on compliance is included in the </w:t>
      </w:r>
      <w:r w:rsidRPr="00281F8C">
        <w:t>Department of Premier and Cabinet’s Annual Report</w:t>
      </w:r>
      <w:r>
        <w:t>.</w:t>
      </w:r>
    </w:p>
    <w:p w14:paraId="79423135" w14:textId="57731111" w:rsidR="00322E0E" w:rsidRPr="000E6EBE" w:rsidRDefault="00322E0E" w:rsidP="00322E0E">
      <w:pPr>
        <w:pStyle w:val="Heading20"/>
      </w:pPr>
      <w:r>
        <w:lastRenderedPageBreak/>
        <w:t>Compliance with the</w:t>
      </w:r>
      <w:r w:rsidRPr="000E6EBE">
        <w:t xml:space="preserve"> Public Interest Disclosures Act 2012</w:t>
      </w:r>
    </w:p>
    <w:p w14:paraId="7B66C5DF" w14:textId="77777777" w:rsidR="00322E0E" w:rsidRPr="000E6EBE" w:rsidRDefault="00322E0E" w:rsidP="00322E0E">
      <w:pPr>
        <w:pStyle w:val="Body"/>
      </w:pPr>
      <w:r w:rsidRPr="000E6EBE">
        <w:t xml:space="preserve">The </w:t>
      </w:r>
      <w:r w:rsidRPr="008F439D">
        <w:t>Public Interest Disclosures Act 2012</w:t>
      </w:r>
      <w:r w:rsidRPr="000E6EBE">
        <w:t xml:space="preserve"> encourages and assists people in making disclosures of improper conduct by public officers and public bodies. The Act provides protection to prepare people who make disclosures in accordance with the Act and establishes a system for the matters to be disclosed, investigated and rectifying action to be taken. </w:t>
      </w:r>
    </w:p>
    <w:p w14:paraId="30C1F386" w14:textId="77777777" w:rsidR="00322E0E" w:rsidRPr="000E6EBE" w:rsidRDefault="00322E0E" w:rsidP="00322E0E">
      <w:pPr>
        <w:pStyle w:val="Body"/>
      </w:pPr>
      <w:r w:rsidRPr="000E6EBE">
        <w:t>The Commission does not tolerate improper conduct of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substantial mismanagement of public resources, or conduct involving a substantial risk to public health and safety or the environment.</w:t>
      </w:r>
    </w:p>
    <w:p w14:paraId="2111CA33" w14:textId="77777777" w:rsidR="00F8706A" w:rsidRDefault="00322E0E" w:rsidP="00F8706A">
      <w:pPr>
        <w:pStyle w:val="Body"/>
        <w:rPr>
          <w:rStyle w:val="Strong"/>
          <w:rFonts w:ascii="VIC" w:hAnsi="VIC"/>
        </w:rPr>
      </w:pPr>
      <w:r w:rsidRPr="000E6EBE">
        <w:t>The Commission will take all reasonable steps to protect people who make such disclosures from any detrimental action in reprisal for making the disclosure to the extent it is legally possible.</w:t>
      </w:r>
    </w:p>
    <w:p w14:paraId="4286C0BF" w14:textId="77777777" w:rsidR="00F8706A" w:rsidRPr="00322E0E" w:rsidRDefault="00F8706A" w:rsidP="00F8706A">
      <w:pPr>
        <w:pStyle w:val="Heading30"/>
        <w:rPr>
          <w:rStyle w:val="Strong"/>
          <w:rFonts w:ascii="VIC" w:hAnsi="VIC"/>
        </w:rPr>
      </w:pPr>
      <w:r w:rsidRPr="00322E0E">
        <w:rPr>
          <w:rStyle w:val="Strong"/>
          <w:rFonts w:ascii="VIC" w:hAnsi="VIC"/>
        </w:rPr>
        <w:t>Reporting procedures</w:t>
      </w:r>
    </w:p>
    <w:p w14:paraId="3C09330B" w14:textId="77777777" w:rsidR="00322E0E" w:rsidRPr="000E6EBE" w:rsidRDefault="00322E0E" w:rsidP="00322E0E">
      <w:pPr>
        <w:pStyle w:val="Body"/>
      </w:pPr>
      <w:r w:rsidRPr="000E6EBE">
        <w:t>Disclosures of improper conduct or detrimental action by the department or any of its employees and/or officers may be made to the Commission’s Public Interest Disclosures Coordinator or alternatively, disclosures may be made directly to the Independent Broad-based Anti-corruption Commission (IBAC):</w:t>
      </w:r>
    </w:p>
    <w:p w14:paraId="47F81200" w14:textId="77777777" w:rsidR="00322E0E" w:rsidRPr="000E6EBE" w:rsidRDefault="00322E0E" w:rsidP="00322E0E">
      <w:pPr>
        <w:pStyle w:val="Body"/>
        <w:rPr>
          <w:rStyle w:val="Strong"/>
          <w:rFonts w:ascii="VIC" w:hAnsi="VIC"/>
        </w:rPr>
      </w:pPr>
      <w:r w:rsidRPr="000E6EBE">
        <w:t>Level 1, North Tower</w:t>
      </w:r>
      <w:r w:rsidRPr="000E6EBE">
        <w:br/>
        <w:t>459 Collins Street</w:t>
      </w:r>
      <w:r w:rsidRPr="000E6EBE">
        <w:br/>
        <w:t>Melbourne VIC 3000</w:t>
      </w:r>
      <w:r w:rsidRPr="000E6EBE">
        <w:br/>
        <w:t>Phone: 1300 735 135</w:t>
      </w:r>
      <w:r w:rsidRPr="000E6EBE">
        <w:br/>
      </w:r>
      <w:hyperlink r:id="rId34" w:history="1">
        <w:r w:rsidRPr="000E6EBE">
          <w:rPr>
            <w:rStyle w:val="Hyperlink"/>
            <w:color w:val="auto"/>
            <w:u w:val="none"/>
          </w:rPr>
          <w:t>ibac.vic.gov.au</w:t>
        </w:r>
      </w:hyperlink>
    </w:p>
    <w:p w14:paraId="12D75E26" w14:textId="77777777" w:rsidR="00322E0E" w:rsidRPr="00322E0E" w:rsidRDefault="00322E0E" w:rsidP="00322E0E">
      <w:pPr>
        <w:pStyle w:val="Heading30"/>
        <w:rPr>
          <w:rStyle w:val="Strong"/>
          <w:rFonts w:ascii="VIC" w:hAnsi="VIC"/>
        </w:rPr>
      </w:pPr>
      <w:r w:rsidRPr="00322E0E">
        <w:rPr>
          <w:rStyle w:val="Strong"/>
          <w:rFonts w:ascii="VIC" w:hAnsi="VIC"/>
        </w:rPr>
        <w:t>Further information</w:t>
      </w:r>
    </w:p>
    <w:p w14:paraId="6B438A9B" w14:textId="77777777" w:rsidR="00322E0E" w:rsidRPr="000E6EBE" w:rsidRDefault="00322E0E" w:rsidP="00322E0E">
      <w:pPr>
        <w:pStyle w:val="Body"/>
      </w:pPr>
      <w:r w:rsidRPr="000E6EBE">
        <w:t>The Public Interest Disclosures Policy and Procedures, which outline the procedure for reporting disclosures of improper conduct or detrimental action by the Commission or any of its employees and officers, are available at vpsc.vic.gov.au.</w:t>
      </w:r>
    </w:p>
    <w:p w14:paraId="19293BFF" w14:textId="1C2DEA16" w:rsidR="00322E0E" w:rsidRPr="00322E0E" w:rsidRDefault="00322E0E" w:rsidP="00322E0E">
      <w:pPr>
        <w:pStyle w:val="Heading30"/>
        <w:rPr>
          <w:rStyle w:val="Strong"/>
          <w:rFonts w:ascii="VIC" w:hAnsi="VIC"/>
        </w:rPr>
      </w:pPr>
      <w:r w:rsidRPr="00322E0E">
        <w:rPr>
          <w:rStyle w:val="Strong"/>
          <w:rFonts w:ascii="VIC" w:hAnsi="VIC"/>
        </w:rPr>
        <w:t xml:space="preserve">Disclosures under the </w:t>
      </w:r>
      <w:r w:rsidR="0038177B" w:rsidRPr="00322E0E">
        <w:rPr>
          <w:rStyle w:val="Strong"/>
          <w:rFonts w:ascii="VIC" w:hAnsi="VIC"/>
        </w:rPr>
        <w:t>P</w:t>
      </w:r>
      <w:r w:rsidR="0038177B">
        <w:rPr>
          <w:rStyle w:val="Strong"/>
          <w:rFonts w:ascii="VIC" w:hAnsi="VIC"/>
        </w:rPr>
        <w:t>ublic Interest</w:t>
      </w:r>
      <w:r w:rsidR="0038177B" w:rsidRPr="00322E0E">
        <w:rPr>
          <w:rStyle w:val="Strong"/>
          <w:rFonts w:ascii="VIC" w:hAnsi="VIC"/>
        </w:rPr>
        <w:t xml:space="preserve"> </w:t>
      </w:r>
      <w:r w:rsidRPr="00322E0E">
        <w:rPr>
          <w:rStyle w:val="Strong"/>
          <w:rFonts w:ascii="VIC" w:hAnsi="VIC"/>
        </w:rPr>
        <w:t>Disclosure</w:t>
      </w:r>
      <w:r w:rsidR="0038177B">
        <w:rPr>
          <w:rStyle w:val="Strong"/>
          <w:rFonts w:ascii="VIC" w:hAnsi="VIC"/>
        </w:rPr>
        <w:t>s</w:t>
      </w:r>
      <w:r w:rsidRPr="00322E0E">
        <w:rPr>
          <w:rStyle w:val="Strong"/>
          <w:rFonts w:ascii="VIC" w:hAnsi="VIC"/>
        </w:rPr>
        <w:t xml:space="preserve"> Act 2012</w:t>
      </w:r>
    </w:p>
    <w:p w14:paraId="5DEF5776" w14:textId="77777777" w:rsidR="00322E0E" w:rsidRPr="000E6EBE" w:rsidRDefault="00322E0E" w:rsidP="00322E0E">
      <w:pPr>
        <w:pStyle w:val="Body"/>
        <w:rPr>
          <w:rStyle w:val="Strong"/>
          <w:rFonts w:ascii="VIC" w:hAnsi="VIC"/>
        </w:rPr>
      </w:pPr>
      <w:r w:rsidRPr="000E6EBE">
        <w:rPr>
          <w:rStyle w:val="Strong"/>
          <w:rFonts w:ascii="VIC" w:hAnsi="VIC"/>
        </w:rPr>
        <w:t>The table below indicates the number of disclosures made by an individual to the Commission and notified to IBAC.</w:t>
      </w:r>
    </w:p>
    <w:tbl>
      <w:tblPr>
        <w:tblStyle w:val="TableHorizontal"/>
        <w:tblW w:w="0" w:type="auto"/>
        <w:tblLook w:val="0420" w:firstRow="1" w:lastRow="0" w:firstColumn="0" w:lastColumn="0" w:noHBand="0" w:noVBand="1"/>
      </w:tblPr>
      <w:tblGrid>
        <w:gridCol w:w="3181"/>
        <w:gridCol w:w="1963"/>
        <w:gridCol w:w="1963"/>
        <w:gridCol w:w="1963"/>
      </w:tblGrid>
      <w:tr w:rsidR="00322E0E" w14:paraId="4F4F00E9" w14:textId="77777777" w:rsidTr="0072397F">
        <w:trPr>
          <w:cnfStyle w:val="100000000000" w:firstRow="1" w:lastRow="0" w:firstColumn="0" w:lastColumn="0" w:oddVBand="0" w:evenVBand="0" w:oddHBand="0" w:evenHBand="0" w:firstRowFirstColumn="0" w:firstRowLastColumn="0" w:lastRowFirstColumn="0" w:lastRowLastColumn="0"/>
        </w:trPr>
        <w:tc>
          <w:tcPr>
            <w:tcW w:w="3181" w:type="dxa"/>
          </w:tcPr>
          <w:p w14:paraId="41FB420D" w14:textId="77777777" w:rsidR="00322E0E" w:rsidRPr="00973F22" w:rsidRDefault="00322E0E" w:rsidP="0072397F">
            <w:pPr>
              <w:pStyle w:val="TableHeader"/>
            </w:pPr>
          </w:p>
        </w:tc>
        <w:tc>
          <w:tcPr>
            <w:tcW w:w="1963" w:type="dxa"/>
          </w:tcPr>
          <w:p w14:paraId="5F21D40C" w14:textId="77777777" w:rsidR="00322E0E" w:rsidRPr="00973F22" w:rsidRDefault="00322E0E" w:rsidP="0072397F">
            <w:pPr>
              <w:pStyle w:val="TableHeader"/>
              <w:jc w:val="center"/>
            </w:pPr>
            <w:r>
              <w:t>2020-21</w:t>
            </w:r>
          </w:p>
        </w:tc>
        <w:tc>
          <w:tcPr>
            <w:tcW w:w="1963" w:type="dxa"/>
          </w:tcPr>
          <w:p w14:paraId="2FD0BCB5" w14:textId="77777777" w:rsidR="00322E0E" w:rsidRDefault="00322E0E" w:rsidP="0072397F">
            <w:pPr>
              <w:pStyle w:val="TableHeader"/>
              <w:jc w:val="center"/>
            </w:pPr>
            <w:r>
              <w:t>2019-20</w:t>
            </w:r>
          </w:p>
        </w:tc>
        <w:tc>
          <w:tcPr>
            <w:tcW w:w="1963" w:type="dxa"/>
          </w:tcPr>
          <w:p w14:paraId="75E43841" w14:textId="77777777" w:rsidR="00322E0E" w:rsidRPr="00973F22" w:rsidRDefault="00322E0E" w:rsidP="0072397F">
            <w:pPr>
              <w:pStyle w:val="TableHeader"/>
              <w:jc w:val="center"/>
            </w:pPr>
            <w:r>
              <w:t>2018-19</w:t>
            </w:r>
          </w:p>
        </w:tc>
      </w:tr>
      <w:tr w:rsidR="00322E0E" w14:paraId="5B33B898" w14:textId="77777777" w:rsidTr="0072397F">
        <w:trPr>
          <w:cnfStyle w:val="000000100000" w:firstRow="0" w:lastRow="0" w:firstColumn="0" w:lastColumn="0" w:oddVBand="0" w:evenVBand="0" w:oddHBand="1" w:evenHBand="0" w:firstRowFirstColumn="0" w:firstRowLastColumn="0" w:lastRowFirstColumn="0" w:lastRowLastColumn="0"/>
        </w:trPr>
        <w:tc>
          <w:tcPr>
            <w:tcW w:w="3181" w:type="dxa"/>
          </w:tcPr>
          <w:p w14:paraId="24E2C8AE" w14:textId="77777777" w:rsidR="00322E0E" w:rsidRPr="00973F22" w:rsidRDefault="00322E0E" w:rsidP="0072397F">
            <w:pPr>
              <w:pStyle w:val="TableBody"/>
            </w:pPr>
            <w:r>
              <w:t>Assessable disclosures</w:t>
            </w:r>
          </w:p>
        </w:tc>
        <w:tc>
          <w:tcPr>
            <w:tcW w:w="1963" w:type="dxa"/>
          </w:tcPr>
          <w:p w14:paraId="2B39937A" w14:textId="77777777" w:rsidR="00322E0E" w:rsidRPr="00973F22" w:rsidRDefault="00322E0E" w:rsidP="0072397F">
            <w:pPr>
              <w:pStyle w:val="TableBody"/>
              <w:jc w:val="center"/>
            </w:pPr>
            <w:r>
              <w:t>1</w:t>
            </w:r>
          </w:p>
        </w:tc>
        <w:tc>
          <w:tcPr>
            <w:tcW w:w="1963" w:type="dxa"/>
          </w:tcPr>
          <w:p w14:paraId="5ADB881C" w14:textId="77777777" w:rsidR="00322E0E" w:rsidRDefault="00322E0E" w:rsidP="0072397F">
            <w:pPr>
              <w:pStyle w:val="TableBody"/>
              <w:jc w:val="center"/>
            </w:pPr>
            <w:r>
              <w:t>1</w:t>
            </w:r>
          </w:p>
        </w:tc>
        <w:tc>
          <w:tcPr>
            <w:tcW w:w="1963" w:type="dxa"/>
          </w:tcPr>
          <w:p w14:paraId="33017D61" w14:textId="77777777" w:rsidR="00322E0E" w:rsidRPr="00973F22" w:rsidRDefault="00322E0E" w:rsidP="0072397F">
            <w:pPr>
              <w:pStyle w:val="TableBody"/>
              <w:jc w:val="center"/>
            </w:pPr>
            <w:r>
              <w:t>0</w:t>
            </w:r>
          </w:p>
        </w:tc>
      </w:tr>
    </w:tbl>
    <w:p w14:paraId="56930101" w14:textId="77777777" w:rsidR="00322E0E" w:rsidRPr="00322E0E" w:rsidRDefault="00322E0E" w:rsidP="00322E0E">
      <w:pPr>
        <w:pStyle w:val="Heading20"/>
        <w:rPr>
          <w:rStyle w:val="Strong"/>
          <w:rFonts w:ascii="VIC SemiBold" w:hAnsi="VIC SemiBold"/>
        </w:rPr>
      </w:pPr>
      <w:r w:rsidRPr="00322E0E">
        <w:rPr>
          <w:rStyle w:val="Strong"/>
          <w:rFonts w:ascii="VIC SemiBold" w:hAnsi="VIC SemiBold"/>
        </w:rPr>
        <w:t>Compliance with the Carers Recognition Act 2012</w:t>
      </w:r>
    </w:p>
    <w:p w14:paraId="609A6345" w14:textId="77777777" w:rsidR="00322E0E" w:rsidRDefault="00322E0E" w:rsidP="00322E0E">
      <w:pPr>
        <w:pStyle w:val="Body"/>
      </w:pPr>
      <w:r w:rsidRPr="00ED35CA">
        <w:t>The Commission has taken all practical measures to comply with its obligations under the Act. This includes considering the carer relationship principles set out in the Act when setting policies and providing services</w:t>
      </w:r>
      <w:r>
        <w:t>. F</w:t>
      </w:r>
      <w:r w:rsidRPr="00ED35CA">
        <w:t>or example, reviewing our employment policies such as flexible working arrangements and leave provisions to ensure these comply with the statement of principles in the Act.</w:t>
      </w:r>
    </w:p>
    <w:p w14:paraId="781CB2AB" w14:textId="77777777" w:rsidR="00F8706A" w:rsidRPr="00322E0E" w:rsidRDefault="00F8706A" w:rsidP="00F8706A">
      <w:pPr>
        <w:pStyle w:val="Heading20"/>
        <w:rPr>
          <w:rStyle w:val="Strong"/>
          <w:rFonts w:ascii="VIC SemiBold" w:hAnsi="VIC SemiBold"/>
        </w:rPr>
      </w:pPr>
      <w:r w:rsidRPr="00322E0E">
        <w:rPr>
          <w:rStyle w:val="Strong"/>
          <w:rFonts w:ascii="VIC SemiBold" w:hAnsi="VIC SemiBold"/>
        </w:rPr>
        <w:t>Compliance with the Disability Act 2006</w:t>
      </w:r>
    </w:p>
    <w:p w14:paraId="17EA9FD9" w14:textId="77777777" w:rsidR="00322E0E" w:rsidRDefault="00322E0E" w:rsidP="00322E0E">
      <w:pPr>
        <w:pStyle w:val="Body"/>
      </w:pPr>
      <w:r>
        <w:t xml:space="preserve">The Disability Act 2006 reaffirms and strengthens the rights of people with a disability and recognises that this requires support across the government sector and within the community.  </w:t>
      </w:r>
    </w:p>
    <w:p w14:paraId="1F030E0B" w14:textId="77777777" w:rsidR="00322E0E" w:rsidRDefault="00322E0E" w:rsidP="00322E0E">
      <w:pPr>
        <w:pStyle w:val="Body"/>
      </w:pPr>
      <w:r>
        <w:t xml:space="preserve">The Commission has complied with its obligations under the Disability Act to prepare a </w:t>
      </w:r>
      <w:hyperlink r:id="rId35" w:history="1">
        <w:r w:rsidRPr="009940F9">
          <w:rPr>
            <w:rStyle w:val="Hyperlink"/>
          </w:rPr>
          <w:t>Disability Action Plan</w:t>
        </w:r>
      </w:hyperlink>
      <w:r>
        <w:t xml:space="preserve"> for the purpose of: reducing barriers to access goods, services and facilities, reducing barriers to people with disability obtaining and maintaining employment, promoting inclusion and participation in community and achieving tangible changes in attitudes and practices that discriminate against people with disability.</w:t>
      </w:r>
    </w:p>
    <w:p w14:paraId="533E770A" w14:textId="77777777" w:rsidR="00322E0E" w:rsidRPr="00322E0E" w:rsidRDefault="00322E0E" w:rsidP="00322E0E">
      <w:pPr>
        <w:pStyle w:val="Heading30"/>
        <w:rPr>
          <w:rStyle w:val="Strong"/>
          <w:rFonts w:ascii="VIC" w:hAnsi="VIC"/>
        </w:rPr>
      </w:pPr>
      <w:r w:rsidRPr="00322E0E">
        <w:rPr>
          <w:rStyle w:val="Strong"/>
          <w:rFonts w:ascii="VIC" w:hAnsi="VIC"/>
        </w:rPr>
        <w:t>Reducing barriers to accessing goods, services and facilities</w:t>
      </w:r>
    </w:p>
    <w:p w14:paraId="1E699992" w14:textId="77777777" w:rsidR="00322E0E" w:rsidRDefault="00322E0E" w:rsidP="00322E0E">
      <w:pPr>
        <w:pStyle w:val="Bullet1"/>
        <w:rPr>
          <w:rStyle w:val="Strong"/>
          <w:rFonts w:ascii="VIC" w:hAnsi="VIC"/>
        </w:rPr>
      </w:pPr>
      <w:r>
        <w:rPr>
          <w:rStyle w:val="Strong"/>
          <w:rFonts w:ascii="VIC" w:hAnsi="VIC"/>
        </w:rPr>
        <w:t>We designed and published content that meets AA accessibility standards</w:t>
      </w:r>
    </w:p>
    <w:p w14:paraId="54352ED5" w14:textId="77777777" w:rsidR="00322E0E" w:rsidRDefault="00322E0E" w:rsidP="00322E0E">
      <w:pPr>
        <w:pStyle w:val="Bullet1"/>
        <w:rPr>
          <w:rStyle w:val="Strong"/>
          <w:rFonts w:ascii="VIC" w:hAnsi="VIC"/>
        </w:rPr>
      </w:pPr>
      <w:r>
        <w:rPr>
          <w:rStyle w:val="Strong"/>
          <w:rFonts w:ascii="VIC" w:hAnsi="VIC"/>
        </w:rPr>
        <w:t>We built accessibility into our office document templates</w:t>
      </w:r>
    </w:p>
    <w:p w14:paraId="17529572" w14:textId="77777777" w:rsidR="00322E0E" w:rsidRPr="00322E0E" w:rsidRDefault="00322E0E" w:rsidP="00322E0E">
      <w:pPr>
        <w:pStyle w:val="Heading30"/>
        <w:rPr>
          <w:rStyle w:val="Strong"/>
          <w:rFonts w:ascii="VIC" w:hAnsi="VIC"/>
        </w:rPr>
      </w:pPr>
      <w:r w:rsidRPr="00322E0E">
        <w:rPr>
          <w:rStyle w:val="Strong"/>
          <w:rFonts w:ascii="VIC" w:hAnsi="VIC"/>
        </w:rPr>
        <w:t>Reducing barriers to people with disability obtaining and maintaining employment</w:t>
      </w:r>
    </w:p>
    <w:p w14:paraId="563BF7C0" w14:textId="77777777" w:rsidR="00322E0E" w:rsidRPr="009940F9" w:rsidRDefault="00322E0E" w:rsidP="00322E0E">
      <w:pPr>
        <w:pStyle w:val="Bullet1"/>
        <w:rPr>
          <w:rStyle w:val="Strong"/>
          <w:rFonts w:ascii="VIC" w:hAnsi="VIC"/>
        </w:rPr>
      </w:pPr>
      <w:r>
        <w:rPr>
          <w:rStyle w:val="Strong"/>
          <w:rFonts w:ascii="VIC" w:hAnsi="VIC"/>
        </w:rPr>
        <w:t>We revised position descriptions to support flexible work</w:t>
      </w:r>
    </w:p>
    <w:p w14:paraId="6C8B0AA9" w14:textId="77777777" w:rsidR="00322E0E" w:rsidRDefault="00322E0E" w:rsidP="00322E0E">
      <w:pPr>
        <w:pStyle w:val="Bullet1"/>
      </w:pPr>
      <w:r>
        <w:t>We provided disability confidence training to employees and managers</w:t>
      </w:r>
    </w:p>
    <w:p w14:paraId="2D24E291" w14:textId="77777777" w:rsidR="00322E0E" w:rsidRDefault="00322E0E" w:rsidP="00322E0E">
      <w:pPr>
        <w:pStyle w:val="Bullet1"/>
      </w:pPr>
      <w:r>
        <w:t>Our Deputy Commissioner presented at the annual Meet the Secretaries event for the Enablers Network</w:t>
      </w:r>
    </w:p>
    <w:p w14:paraId="7B14A12D" w14:textId="77777777" w:rsidR="00322E0E" w:rsidRDefault="00322E0E" w:rsidP="00322E0E">
      <w:pPr>
        <w:pStyle w:val="Bullet1"/>
      </w:pPr>
      <w:r>
        <w:lastRenderedPageBreak/>
        <w:t>We added accessibility and mental health support as standing agenda items in management meetings</w:t>
      </w:r>
    </w:p>
    <w:p w14:paraId="617826A5" w14:textId="77777777" w:rsidR="00322E0E" w:rsidRPr="0046749C" w:rsidRDefault="00322E0E" w:rsidP="00322E0E">
      <w:pPr>
        <w:pStyle w:val="Bullet1"/>
        <w:rPr>
          <w:rStyle w:val="Strong"/>
          <w:rFonts w:ascii="VIC" w:hAnsi="VIC"/>
        </w:rPr>
      </w:pPr>
      <w:r>
        <w:t>We published a mental health and wellbeing toolkit including 5 tools designed to help managers and teams support people with disability</w:t>
      </w:r>
    </w:p>
    <w:p w14:paraId="596F65FA" w14:textId="77777777" w:rsidR="00322E0E" w:rsidRPr="00322E0E" w:rsidRDefault="00322E0E" w:rsidP="00322E0E">
      <w:pPr>
        <w:pStyle w:val="Heading30"/>
        <w:rPr>
          <w:rStyle w:val="Strong"/>
          <w:rFonts w:ascii="VIC" w:hAnsi="VIC"/>
        </w:rPr>
      </w:pPr>
      <w:r w:rsidRPr="00322E0E">
        <w:rPr>
          <w:rStyle w:val="Strong"/>
          <w:rFonts w:ascii="VIC" w:hAnsi="VIC"/>
        </w:rPr>
        <w:t>Promoting inclusion and participation in the community</w:t>
      </w:r>
    </w:p>
    <w:p w14:paraId="21A80017" w14:textId="77777777" w:rsidR="00322E0E" w:rsidRDefault="00322E0E" w:rsidP="00322E0E">
      <w:pPr>
        <w:pStyle w:val="Bullet1"/>
      </w:pPr>
      <w:r>
        <w:t>We continued our membership with the Australian Network on Disability</w:t>
      </w:r>
    </w:p>
    <w:p w14:paraId="451824C8" w14:textId="77777777" w:rsidR="00322E0E" w:rsidRDefault="00322E0E" w:rsidP="00322E0E">
      <w:pPr>
        <w:pStyle w:val="Bullet1"/>
      </w:pPr>
      <w:r>
        <w:t>We collaborated with the Enablers Network to deliver 3 events for International Day of People with Disability</w:t>
      </w:r>
    </w:p>
    <w:p w14:paraId="4A47EFDC" w14:textId="77777777" w:rsidR="00322E0E" w:rsidRDefault="00322E0E" w:rsidP="00322E0E">
      <w:pPr>
        <w:pStyle w:val="Bullet1"/>
      </w:pPr>
      <w:r>
        <w:t>We promoted intersectionality, transgender day of visibility and World Autism Day in our organisation</w:t>
      </w:r>
    </w:p>
    <w:p w14:paraId="44C9B7A5" w14:textId="77777777" w:rsidR="00322E0E" w:rsidRPr="00322E0E" w:rsidRDefault="00322E0E" w:rsidP="00322E0E">
      <w:pPr>
        <w:pStyle w:val="Heading30"/>
        <w:rPr>
          <w:rStyle w:val="Strong"/>
          <w:rFonts w:ascii="VIC" w:hAnsi="VIC"/>
        </w:rPr>
      </w:pPr>
      <w:r w:rsidRPr="00322E0E">
        <w:rPr>
          <w:rStyle w:val="Strong"/>
          <w:rFonts w:ascii="VIC" w:hAnsi="VIC"/>
        </w:rPr>
        <w:t>Achieving tangible changes in attitudes and practices that discriminate against people with disability</w:t>
      </w:r>
    </w:p>
    <w:p w14:paraId="0996FDED" w14:textId="77777777" w:rsidR="00322E0E" w:rsidRDefault="00322E0E" w:rsidP="00322E0E">
      <w:pPr>
        <w:pStyle w:val="Bullet1"/>
      </w:pPr>
      <w:r>
        <w:t>We implemented the VPS mental health and wellbeing charter in our organisation</w:t>
      </w:r>
    </w:p>
    <w:p w14:paraId="00981D6E" w14:textId="77777777" w:rsidR="00322E0E" w:rsidRDefault="00322E0E" w:rsidP="00322E0E">
      <w:pPr>
        <w:pStyle w:val="Bullet1"/>
      </w:pPr>
      <w:r>
        <w:t>We added disability awareness information to our orientation program</w:t>
      </w:r>
    </w:p>
    <w:p w14:paraId="68BA0796" w14:textId="77777777" w:rsidR="003C496F" w:rsidRDefault="00322E0E" w:rsidP="00322E0E">
      <w:pPr>
        <w:pStyle w:val="Bullet1"/>
      </w:pPr>
      <w:r>
        <w:t>We designed our learning and development program to focus on inclusion</w:t>
      </w:r>
    </w:p>
    <w:p w14:paraId="0C6D4BB4" w14:textId="37D45B29" w:rsidR="00322E0E" w:rsidRDefault="00322E0E" w:rsidP="00322E0E">
      <w:pPr>
        <w:pStyle w:val="Bullet1"/>
      </w:pPr>
      <w:r>
        <w:t>We offered training in human rights, workplace equality, our professional obligations and respectful behaviours</w:t>
      </w:r>
    </w:p>
    <w:p w14:paraId="2B0E579B" w14:textId="4888B6B1" w:rsidR="0040140D" w:rsidRDefault="0040140D" w:rsidP="0040140D">
      <w:pPr>
        <w:pStyle w:val="Heading20"/>
      </w:pPr>
      <w:r>
        <w:t>Office-based environmental impacts</w:t>
      </w:r>
    </w:p>
    <w:p w14:paraId="3FD56F28" w14:textId="06C2F5F0" w:rsidR="000377CC" w:rsidRPr="000377CC" w:rsidRDefault="000377CC" w:rsidP="000377CC">
      <w:pPr>
        <w:pStyle w:val="Body"/>
      </w:pPr>
      <w:r w:rsidRPr="000377CC">
        <w:t>The environmental report has been prepared in accordance with the Financial Reporting Directions (FRD) issued by the Minister for Finance. Ofﬁce-based environmental impact data is based on information provided by JLL.</w:t>
      </w:r>
      <w:r w:rsidRPr="000377CC">
        <w:rPr>
          <w:rFonts w:ascii="Cambria" w:hAnsi="Cambria" w:cs="Cambria"/>
        </w:rPr>
        <w:t> </w:t>
      </w:r>
    </w:p>
    <w:tbl>
      <w:tblPr>
        <w:tblStyle w:val="TableHorizontal"/>
        <w:tblW w:w="9071" w:type="dxa"/>
        <w:tblLook w:val="0420" w:firstRow="1" w:lastRow="0" w:firstColumn="0" w:lastColumn="0" w:noHBand="0" w:noVBand="1"/>
      </w:tblPr>
      <w:tblGrid>
        <w:gridCol w:w="1364"/>
        <w:gridCol w:w="1266"/>
        <w:gridCol w:w="1262"/>
        <w:gridCol w:w="1406"/>
        <w:gridCol w:w="686"/>
        <w:gridCol w:w="562"/>
        <w:gridCol w:w="982"/>
        <w:gridCol w:w="280"/>
        <w:gridCol w:w="1251"/>
        <w:gridCol w:w="12"/>
      </w:tblGrid>
      <w:tr w:rsidR="00CF4952" w14:paraId="0620A809" w14:textId="77777777" w:rsidTr="00121EF6">
        <w:trPr>
          <w:gridAfter w:val="1"/>
          <w:cnfStyle w:val="100000000000" w:firstRow="1" w:lastRow="0" w:firstColumn="0" w:lastColumn="0" w:oddVBand="0" w:evenVBand="0" w:oddHBand="0" w:evenHBand="0" w:firstRowFirstColumn="0" w:firstRowLastColumn="0" w:lastRowFirstColumn="0" w:lastRowLastColumn="0"/>
          <w:wAfter w:w="12" w:type="dxa"/>
          <w:trHeight w:val="794"/>
        </w:trPr>
        <w:tc>
          <w:tcPr>
            <w:tcW w:w="9059" w:type="dxa"/>
            <w:gridSpan w:val="9"/>
            <w:tcBorders>
              <w:bottom w:val="nil"/>
            </w:tcBorders>
          </w:tcPr>
          <w:p w14:paraId="5200DCBA" w14:textId="0D28FA31" w:rsidR="00CF4952" w:rsidRPr="002F044D" w:rsidRDefault="00B747D4" w:rsidP="00F51995">
            <w:pPr>
              <w:pStyle w:val="Heading30"/>
              <w:outlineLvl w:val="2"/>
              <w:rPr>
                <w:rFonts w:ascii="VIC" w:hAnsi="VIC"/>
              </w:rPr>
            </w:pPr>
            <w:r>
              <w:rPr>
                <w:rFonts w:ascii="VIC" w:hAnsi="VIC"/>
              </w:rPr>
              <w:lastRenderedPageBreak/>
              <w:t>Energy, paper and water</w:t>
            </w:r>
          </w:p>
        </w:tc>
      </w:tr>
      <w:tr w:rsidR="00CF4952" w14:paraId="65260A55" w14:textId="77777777" w:rsidTr="006D43DE">
        <w:trPr>
          <w:gridAfter w:val="1"/>
          <w:cnfStyle w:val="000000100000" w:firstRow="0" w:lastRow="0" w:firstColumn="0" w:lastColumn="0" w:oddVBand="0" w:evenVBand="0" w:oddHBand="1" w:evenHBand="0" w:firstRowFirstColumn="0" w:firstRowLastColumn="0" w:lastRowFirstColumn="0" w:lastRowLastColumn="0"/>
          <w:wAfter w:w="12" w:type="dxa"/>
        </w:trPr>
        <w:tc>
          <w:tcPr>
            <w:tcW w:w="5984" w:type="dxa"/>
            <w:gridSpan w:val="5"/>
            <w:tcBorders>
              <w:bottom w:val="single" w:sz="12" w:space="0" w:color="00573F" w:themeColor="text2"/>
              <w:right w:val="nil"/>
            </w:tcBorders>
          </w:tcPr>
          <w:p w14:paraId="2DDB1A4B" w14:textId="63319367" w:rsidR="00CF4952" w:rsidRPr="00973F22" w:rsidRDefault="00CF4952" w:rsidP="00F51995">
            <w:pPr>
              <w:pStyle w:val="TableHeader"/>
            </w:pPr>
          </w:p>
        </w:tc>
        <w:tc>
          <w:tcPr>
            <w:tcW w:w="1544" w:type="dxa"/>
            <w:gridSpan w:val="2"/>
            <w:tcBorders>
              <w:left w:val="nil"/>
              <w:bottom w:val="single" w:sz="12" w:space="0" w:color="00573F" w:themeColor="text2"/>
              <w:right w:val="nil"/>
            </w:tcBorders>
          </w:tcPr>
          <w:p w14:paraId="498C6B7D" w14:textId="77777777" w:rsidR="00CF4952" w:rsidRPr="00973F22" w:rsidRDefault="00CF4952" w:rsidP="00F51995">
            <w:pPr>
              <w:pStyle w:val="TableHeader"/>
              <w:jc w:val="center"/>
            </w:pPr>
            <w:r>
              <w:t>2020-21</w:t>
            </w:r>
          </w:p>
        </w:tc>
        <w:tc>
          <w:tcPr>
            <w:tcW w:w="1531" w:type="dxa"/>
            <w:gridSpan w:val="2"/>
            <w:tcBorders>
              <w:left w:val="nil"/>
              <w:bottom w:val="single" w:sz="12" w:space="0" w:color="00573F" w:themeColor="text2"/>
            </w:tcBorders>
          </w:tcPr>
          <w:p w14:paraId="2B0475C0" w14:textId="77777777" w:rsidR="00CF4952" w:rsidRPr="00973F22" w:rsidRDefault="00CF4952" w:rsidP="00F51995">
            <w:pPr>
              <w:pStyle w:val="TableHeader"/>
              <w:jc w:val="center"/>
            </w:pPr>
            <w:r>
              <w:t>2019-20</w:t>
            </w:r>
          </w:p>
        </w:tc>
      </w:tr>
      <w:tr w:rsidR="00CF4952" w14:paraId="6157CE62" w14:textId="77777777" w:rsidTr="006D43DE">
        <w:trPr>
          <w:gridAfter w:val="1"/>
          <w:cnfStyle w:val="000000010000" w:firstRow="0" w:lastRow="0" w:firstColumn="0" w:lastColumn="0" w:oddVBand="0" w:evenVBand="0" w:oddHBand="0" w:evenHBand="1" w:firstRowFirstColumn="0" w:firstRowLastColumn="0" w:lastRowFirstColumn="0" w:lastRowLastColumn="0"/>
          <w:wAfter w:w="12" w:type="dxa"/>
        </w:trPr>
        <w:tc>
          <w:tcPr>
            <w:tcW w:w="5984" w:type="dxa"/>
            <w:gridSpan w:val="5"/>
            <w:tcBorders>
              <w:top w:val="single" w:sz="12" w:space="0" w:color="00573F" w:themeColor="text2"/>
            </w:tcBorders>
          </w:tcPr>
          <w:p w14:paraId="7F6758EF" w14:textId="6BAD14E7" w:rsidR="00CF4952" w:rsidRPr="00973F22" w:rsidRDefault="00CF4952" w:rsidP="00CF4952">
            <w:pPr>
              <w:pStyle w:val="TableHeader"/>
            </w:pPr>
            <w:r>
              <w:t>Energy</w:t>
            </w:r>
          </w:p>
        </w:tc>
        <w:tc>
          <w:tcPr>
            <w:tcW w:w="1544" w:type="dxa"/>
            <w:gridSpan w:val="2"/>
            <w:tcBorders>
              <w:top w:val="single" w:sz="12" w:space="0" w:color="00573F" w:themeColor="text2"/>
            </w:tcBorders>
          </w:tcPr>
          <w:p w14:paraId="3ACBC4E8" w14:textId="077F5DE1" w:rsidR="00CF4952" w:rsidRPr="00973F22" w:rsidRDefault="00CF4952" w:rsidP="00F51995">
            <w:pPr>
              <w:pStyle w:val="TableBody"/>
              <w:jc w:val="center"/>
            </w:pPr>
          </w:p>
        </w:tc>
        <w:tc>
          <w:tcPr>
            <w:tcW w:w="1531" w:type="dxa"/>
            <w:gridSpan w:val="2"/>
            <w:tcBorders>
              <w:top w:val="single" w:sz="12" w:space="0" w:color="00573F" w:themeColor="text2"/>
            </w:tcBorders>
          </w:tcPr>
          <w:p w14:paraId="364DCA54" w14:textId="3C412767" w:rsidR="00CF4952" w:rsidRPr="00973F22" w:rsidRDefault="00CF4952" w:rsidP="00F51995">
            <w:pPr>
              <w:pStyle w:val="TableBody"/>
              <w:jc w:val="center"/>
            </w:pPr>
          </w:p>
        </w:tc>
      </w:tr>
      <w:tr w:rsidR="00CF4952" w14:paraId="103D1D0D" w14:textId="77777777" w:rsidTr="006D43DE">
        <w:trPr>
          <w:gridAfter w:val="1"/>
          <w:cnfStyle w:val="000000100000" w:firstRow="0" w:lastRow="0" w:firstColumn="0" w:lastColumn="0" w:oddVBand="0" w:evenVBand="0" w:oddHBand="1" w:evenHBand="0" w:firstRowFirstColumn="0" w:firstRowLastColumn="0" w:lastRowFirstColumn="0" w:lastRowLastColumn="0"/>
          <w:wAfter w:w="12" w:type="dxa"/>
        </w:trPr>
        <w:tc>
          <w:tcPr>
            <w:tcW w:w="5984" w:type="dxa"/>
            <w:gridSpan w:val="5"/>
          </w:tcPr>
          <w:p w14:paraId="00956597" w14:textId="1B6E36BE" w:rsidR="00CF4952" w:rsidRPr="00973F22" w:rsidRDefault="00CF4952" w:rsidP="00F51995">
            <w:pPr>
              <w:pStyle w:val="TableBody"/>
            </w:pPr>
            <w:r>
              <w:t>Total electricity usage (gigajoules)</w:t>
            </w:r>
          </w:p>
        </w:tc>
        <w:tc>
          <w:tcPr>
            <w:tcW w:w="1544" w:type="dxa"/>
            <w:gridSpan w:val="2"/>
          </w:tcPr>
          <w:p w14:paraId="7E66F91D" w14:textId="6A823480" w:rsidR="00CF4952" w:rsidRPr="00973F22" w:rsidRDefault="006D7569" w:rsidP="00F51995">
            <w:pPr>
              <w:pStyle w:val="TableBody"/>
              <w:jc w:val="center"/>
            </w:pPr>
            <w:r>
              <w:t>381</w:t>
            </w:r>
          </w:p>
        </w:tc>
        <w:tc>
          <w:tcPr>
            <w:tcW w:w="1531" w:type="dxa"/>
            <w:gridSpan w:val="2"/>
          </w:tcPr>
          <w:p w14:paraId="4F6FD4A2" w14:textId="612C8395" w:rsidR="00CF4952" w:rsidRPr="00973F22" w:rsidRDefault="006D7569" w:rsidP="00F51995">
            <w:pPr>
              <w:pStyle w:val="TableBody"/>
              <w:jc w:val="center"/>
            </w:pPr>
            <w:r>
              <w:t>428</w:t>
            </w:r>
          </w:p>
        </w:tc>
      </w:tr>
      <w:tr w:rsidR="00CF4952" w14:paraId="5E8CAA90" w14:textId="77777777" w:rsidTr="006D43DE">
        <w:trPr>
          <w:gridAfter w:val="1"/>
          <w:cnfStyle w:val="000000010000" w:firstRow="0" w:lastRow="0" w:firstColumn="0" w:lastColumn="0" w:oddVBand="0" w:evenVBand="0" w:oddHBand="0" w:evenHBand="1" w:firstRowFirstColumn="0" w:firstRowLastColumn="0" w:lastRowFirstColumn="0" w:lastRowLastColumn="0"/>
          <w:wAfter w:w="12" w:type="dxa"/>
        </w:trPr>
        <w:tc>
          <w:tcPr>
            <w:tcW w:w="5984" w:type="dxa"/>
            <w:gridSpan w:val="5"/>
          </w:tcPr>
          <w:p w14:paraId="1390392B" w14:textId="65D745F6" w:rsidR="00CF4952" w:rsidRPr="00973F22" w:rsidRDefault="00CF4952" w:rsidP="00F51995">
            <w:pPr>
              <w:pStyle w:val="TableBody"/>
            </w:pPr>
            <w:r>
              <w:t>Total green electricity (gigajoules)</w:t>
            </w:r>
          </w:p>
        </w:tc>
        <w:tc>
          <w:tcPr>
            <w:tcW w:w="1544" w:type="dxa"/>
            <w:gridSpan w:val="2"/>
          </w:tcPr>
          <w:p w14:paraId="1EEDD800" w14:textId="1A4D7659" w:rsidR="00CF4952" w:rsidRPr="00973F22" w:rsidRDefault="006D7569" w:rsidP="00F51995">
            <w:pPr>
              <w:pStyle w:val="TableBody"/>
              <w:jc w:val="center"/>
            </w:pPr>
            <w:r>
              <w:t>0</w:t>
            </w:r>
          </w:p>
        </w:tc>
        <w:tc>
          <w:tcPr>
            <w:tcW w:w="1531" w:type="dxa"/>
            <w:gridSpan w:val="2"/>
          </w:tcPr>
          <w:p w14:paraId="25844660" w14:textId="3395EE79" w:rsidR="00CF4952" w:rsidRPr="00973F22" w:rsidRDefault="006D7569" w:rsidP="00F51995">
            <w:pPr>
              <w:pStyle w:val="TableBody"/>
              <w:jc w:val="center"/>
            </w:pPr>
            <w:r>
              <w:t>0</w:t>
            </w:r>
          </w:p>
        </w:tc>
      </w:tr>
      <w:tr w:rsidR="00CF4952" w14:paraId="36F9A05D" w14:textId="77777777" w:rsidTr="006D43DE">
        <w:trPr>
          <w:gridAfter w:val="1"/>
          <w:cnfStyle w:val="000000100000" w:firstRow="0" w:lastRow="0" w:firstColumn="0" w:lastColumn="0" w:oddVBand="0" w:evenVBand="0" w:oddHBand="1" w:evenHBand="0" w:firstRowFirstColumn="0" w:firstRowLastColumn="0" w:lastRowFirstColumn="0" w:lastRowLastColumn="0"/>
          <w:wAfter w:w="12" w:type="dxa"/>
        </w:trPr>
        <w:tc>
          <w:tcPr>
            <w:tcW w:w="5984" w:type="dxa"/>
            <w:gridSpan w:val="5"/>
          </w:tcPr>
          <w:p w14:paraId="55784069" w14:textId="313494B7" w:rsidR="00CF4952" w:rsidRDefault="00486A6A" w:rsidP="00F51995">
            <w:pPr>
              <w:pStyle w:val="TableBody"/>
            </w:pPr>
            <w:r>
              <w:t>Total gas usage (gigajoules)</w:t>
            </w:r>
          </w:p>
        </w:tc>
        <w:tc>
          <w:tcPr>
            <w:tcW w:w="1544" w:type="dxa"/>
            <w:gridSpan w:val="2"/>
          </w:tcPr>
          <w:p w14:paraId="014BDDC8" w14:textId="2E265588" w:rsidR="00CF4952" w:rsidRPr="00E6225F" w:rsidRDefault="006D7569" w:rsidP="00F51995">
            <w:pPr>
              <w:pStyle w:val="TableBody"/>
              <w:jc w:val="center"/>
            </w:pPr>
            <w:r>
              <w:t>151</w:t>
            </w:r>
          </w:p>
        </w:tc>
        <w:tc>
          <w:tcPr>
            <w:tcW w:w="1531" w:type="dxa"/>
            <w:gridSpan w:val="2"/>
          </w:tcPr>
          <w:p w14:paraId="5687E8C5" w14:textId="04DF9C56" w:rsidR="00CF4952" w:rsidRPr="00E6225F" w:rsidRDefault="006D7569" w:rsidP="00F51995">
            <w:pPr>
              <w:pStyle w:val="TableBody"/>
              <w:jc w:val="center"/>
            </w:pPr>
            <w:r>
              <w:t>170</w:t>
            </w:r>
          </w:p>
        </w:tc>
      </w:tr>
      <w:tr w:rsidR="00CF4952" w14:paraId="5F0DACF1" w14:textId="77777777" w:rsidTr="006D43DE">
        <w:trPr>
          <w:gridAfter w:val="1"/>
          <w:cnfStyle w:val="000000010000" w:firstRow="0" w:lastRow="0" w:firstColumn="0" w:lastColumn="0" w:oddVBand="0" w:evenVBand="0" w:oddHBand="0" w:evenHBand="1" w:firstRowFirstColumn="0" w:firstRowLastColumn="0" w:lastRowFirstColumn="0" w:lastRowLastColumn="0"/>
          <w:wAfter w:w="12" w:type="dxa"/>
        </w:trPr>
        <w:tc>
          <w:tcPr>
            <w:tcW w:w="5984" w:type="dxa"/>
            <w:gridSpan w:val="5"/>
          </w:tcPr>
          <w:p w14:paraId="2189EA13" w14:textId="03309C52" w:rsidR="00CF4952" w:rsidRPr="00973F22" w:rsidRDefault="00CF4952" w:rsidP="00F51995">
            <w:pPr>
              <w:pStyle w:val="TableBody"/>
            </w:pPr>
            <w:r>
              <w:t>Percentage of electricity purchased as green power (%)</w:t>
            </w:r>
          </w:p>
        </w:tc>
        <w:tc>
          <w:tcPr>
            <w:tcW w:w="1544" w:type="dxa"/>
            <w:gridSpan w:val="2"/>
          </w:tcPr>
          <w:p w14:paraId="42E5B005" w14:textId="0E5B542C" w:rsidR="00CF4952" w:rsidRPr="00973F22" w:rsidRDefault="006D7569" w:rsidP="00F51995">
            <w:pPr>
              <w:pStyle w:val="TableBody"/>
              <w:jc w:val="center"/>
            </w:pPr>
            <w:r>
              <w:t>0</w:t>
            </w:r>
          </w:p>
        </w:tc>
        <w:tc>
          <w:tcPr>
            <w:tcW w:w="1531" w:type="dxa"/>
            <w:gridSpan w:val="2"/>
          </w:tcPr>
          <w:p w14:paraId="009E96D9" w14:textId="2F40596B" w:rsidR="00CF4952" w:rsidRPr="00973F22" w:rsidRDefault="006D7569" w:rsidP="00F51995">
            <w:pPr>
              <w:pStyle w:val="TableBody"/>
              <w:jc w:val="center"/>
            </w:pPr>
            <w:r>
              <w:t>0</w:t>
            </w:r>
          </w:p>
        </w:tc>
      </w:tr>
      <w:tr w:rsidR="00CF4952" w14:paraId="43CC0E57" w14:textId="77777777" w:rsidTr="006D43DE">
        <w:trPr>
          <w:gridAfter w:val="1"/>
          <w:cnfStyle w:val="000000100000" w:firstRow="0" w:lastRow="0" w:firstColumn="0" w:lastColumn="0" w:oddVBand="0" w:evenVBand="0" w:oddHBand="1" w:evenHBand="0" w:firstRowFirstColumn="0" w:firstRowLastColumn="0" w:lastRowFirstColumn="0" w:lastRowLastColumn="0"/>
          <w:wAfter w:w="12" w:type="dxa"/>
        </w:trPr>
        <w:tc>
          <w:tcPr>
            <w:tcW w:w="5984" w:type="dxa"/>
            <w:gridSpan w:val="5"/>
          </w:tcPr>
          <w:p w14:paraId="2AB0768A" w14:textId="03DE08A1" w:rsidR="00CF4952" w:rsidRPr="00973F22" w:rsidRDefault="00CF4952" w:rsidP="00F51995">
            <w:pPr>
              <w:pStyle w:val="TableBody"/>
            </w:pPr>
            <w:r>
              <w:t>Units of energy used per full time employee (megajoules per FTE)</w:t>
            </w:r>
            <w:r w:rsidR="00B747D4" w:rsidRPr="00B747D4">
              <w:rPr>
                <w:vertAlign w:val="superscript"/>
              </w:rPr>
              <w:t>1</w:t>
            </w:r>
          </w:p>
        </w:tc>
        <w:tc>
          <w:tcPr>
            <w:tcW w:w="1544" w:type="dxa"/>
            <w:gridSpan w:val="2"/>
          </w:tcPr>
          <w:p w14:paraId="4EC05B08" w14:textId="351CC9F8" w:rsidR="00CF4952" w:rsidRPr="00973F22" w:rsidRDefault="006D7569" w:rsidP="00F51995">
            <w:pPr>
              <w:pStyle w:val="TableBody"/>
              <w:jc w:val="center"/>
            </w:pPr>
            <w:r>
              <w:t>4960</w:t>
            </w:r>
          </w:p>
        </w:tc>
        <w:tc>
          <w:tcPr>
            <w:tcW w:w="1531" w:type="dxa"/>
            <w:gridSpan w:val="2"/>
          </w:tcPr>
          <w:p w14:paraId="44712603" w14:textId="2F7FDB7F" w:rsidR="00CF4952" w:rsidRPr="00973F22" w:rsidRDefault="006D7569" w:rsidP="00F51995">
            <w:pPr>
              <w:pStyle w:val="TableBody"/>
              <w:jc w:val="center"/>
            </w:pPr>
            <w:r>
              <w:t>6100</w:t>
            </w:r>
          </w:p>
        </w:tc>
      </w:tr>
      <w:tr w:rsidR="006D7569" w14:paraId="7FE8FE25" w14:textId="77777777" w:rsidTr="006D43DE">
        <w:trPr>
          <w:gridAfter w:val="1"/>
          <w:cnfStyle w:val="000000010000" w:firstRow="0" w:lastRow="0" w:firstColumn="0" w:lastColumn="0" w:oddVBand="0" w:evenVBand="0" w:oddHBand="0" w:evenHBand="1" w:firstRowFirstColumn="0" w:firstRowLastColumn="0" w:lastRowFirstColumn="0" w:lastRowLastColumn="0"/>
          <w:wAfter w:w="12" w:type="dxa"/>
        </w:trPr>
        <w:tc>
          <w:tcPr>
            <w:tcW w:w="5984" w:type="dxa"/>
            <w:gridSpan w:val="5"/>
          </w:tcPr>
          <w:p w14:paraId="1E1DFDFA" w14:textId="340A6B26" w:rsidR="006D7569" w:rsidRDefault="006D7569" w:rsidP="00F51995">
            <w:pPr>
              <w:pStyle w:val="TableBody"/>
            </w:pPr>
            <w:r>
              <w:t>Units of energy used per unit office area (megajoules per m2)</w:t>
            </w:r>
          </w:p>
        </w:tc>
        <w:tc>
          <w:tcPr>
            <w:tcW w:w="1544" w:type="dxa"/>
            <w:gridSpan w:val="2"/>
          </w:tcPr>
          <w:p w14:paraId="7FA52FC4" w14:textId="082312CF" w:rsidR="006D7569" w:rsidRDefault="006D7569" w:rsidP="00F51995">
            <w:pPr>
              <w:pStyle w:val="TableBody"/>
              <w:jc w:val="center"/>
            </w:pPr>
            <w:r>
              <w:t>260.91</w:t>
            </w:r>
          </w:p>
        </w:tc>
        <w:tc>
          <w:tcPr>
            <w:tcW w:w="1531" w:type="dxa"/>
            <w:gridSpan w:val="2"/>
          </w:tcPr>
          <w:p w14:paraId="7F266B22" w14:textId="13666C2B" w:rsidR="006D7569" w:rsidRDefault="006D7569" w:rsidP="00F51995">
            <w:pPr>
              <w:pStyle w:val="TableBody"/>
              <w:jc w:val="center"/>
            </w:pPr>
            <w:r>
              <w:t>439.92</w:t>
            </w:r>
          </w:p>
        </w:tc>
      </w:tr>
      <w:tr w:rsidR="00CF4952" w14:paraId="63FEB702" w14:textId="77777777" w:rsidTr="006D43DE">
        <w:trPr>
          <w:gridAfter w:val="1"/>
          <w:cnfStyle w:val="000000100000" w:firstRow="0" w:lastRow="0" w:firstColumn="0" w:lastColumn="0" w:oddVBand="0" w:evenVBand="0" w:oddHBand="1" w:evenHBand="0" w:firstRowFirstColumn="0" w:firstRowLastColumn="0" w:lastRowFirstColumn="0" w:lastRowLastColumn="0"/>
          <w:wAfter w:w="12" w:type="dxa"/>
        </w:trPr>
        <w:tc>
          <w:tcPr>
            <w:tcW w:w="5984" w:type="dxa"/>
            <w:gridSpan w:val="5"/>
          </w:tcPr>
          <w:p w14:paraId="064F03DD" w14:textId="2C3E93CE" w:rsidR="00CF4952" w:rsidRDefault="00CF4952" w:rsidP="00CF4952">
            <w:pPr>
              <w:pStyle w:val="TableHeader"/>
            </w:pPr>
            <w:r>
              <w:t>Paper</w:t>
            </w:r>
          </w:p>
        </w:tc>
        <w:tc>
          <w:tcPr>
            <w:tcW w:w="1544" w:type="dxa"/>
            <w:gridSpan w:val="2"/>
          </w:tcPr>
          <w:p w14:paraId="2053EA1D" w14:textId="7053849E" w:rsidR="00CF4952" w:rsidRDefault="00CF4952" w:rsidP="00F51995">
            <w:pPr>
              <w:pStyle w:val="TableBody"/>
              <w:jc w:val="center"/>
            </w:pPr>
          </w:p>
        </w:tc>
        <w:tc>
          <w:tcPr>
            <w:tcW w:w="1531" w:type="dxa"/>
            <w:gridSpan w:val="2"/>
          </w:tcPr>
          <w:p w14:paraId="4E49102F" w14:textId="4F1393F7" w:rsidR="00CF4952" w:rsidRDefault="00CF4952" w:rsidP="00F51995">
            <w:pPr>
              <w:pStyle w:val="TableBody"/>
              <w:jc w:val="center"/>
            </w:pPr>
          </w:p>
        </w:tc>
      </w:tr>
      <w:tr w:rsidR="00CF4952" w14:paraId="79E7B611" w14:textId="77777777" w:rsidTr="006D43DE">
        <w:trPr>
          <w:gridAfter w:val="1"/>
          <w:cnfStyle w:val="000000010000" w:firstRow="0" w:lastRow="0" w:firstColumn="0" w:lastColumn="0" w:oddVBand="0" w:evenVBand="0" w:oddHBand="0" w:evenHBand="1" w:firstRowFirstColumn="0" w:firstRowLastColumn="0" w:lastRowFirstColumn="0" w:lastRowLastColumn="0"/>
          <w:wAfter w:w="12" w:type="dxa"/>
        </w:trPr>
        <w:tc>
          <w:tcPr>
            <w:tcW w:w="5984" w:type="dxa"/>
            <w:gridSpan w:val="5"/>
          </w:tcPr>
          <w:p w14:paraId="3DBFC30F" w14:textId="05E5BA28" w:rsidR="00CF4952" w:rsidRDefault="00CF4952" w:rsidP="00F51995">
            <w:pPr>
              <w:pStyle w:val="TableBody"/>
            </w:pPr>
            <w:r>
              <w:t>Total units of paper used (A4 reams equivalent)</w:t>
            </w:r>
          </w:p>
        </w:tc>
        <w:tc>
          <w:tcPr>
            <w:tcW w:w="1544" w:type="dxa"/>
            <w:gridSpan w:val="2"/>
          </w:tcPr>
          <w:p w14:paraId="00AAEF8B" w14:textId="37C31899" w:rsidR="00CF4952" w:rsidRDefault="006D43DE" w:rsidP="00F51995">
            <w:pPr>
              <w:pStyle w:val="TableBody"/>
              <w:jc w:val="center"/>
            </w:pPr>
            <w:r>
              <w:t>12</w:t>
            </w:r>
          </w:p>
        </w:tc>
        <w:tc>
          <w:tcPr>
            <w:tcW w:w="1531" w:type="dxa"/>
            <w:gridSpan w:val="2"/>
          </w:tcPr>
          <w:p w14:paraId="38B459D9" w14:textId="7A5AC52F" w:rsidR="00CF4952" w:rsidRDefault="006D43DE" w:rsidP="00F51995">
            <w:pPr>
              <w:pStyle w:val="TableBody"/>
              <w:jc w:val="center"/>
            </w:pPr>
            <w:r>
              <w:t>340</w:t>
            </w:r>
          </w:p>
        </w:tc>
      </w:tr>
      <w:tr w:rsidR="00CF4952" w14:paraId="3903BECC" w14:textId="77777777" w:rsidTr="006D43DE">
        <w:trPr>
          <w:gridAfter w:val="1"/>
          <w:cnfStyle w:val="000000100000" w:firstRow="0" w:lastRow="0" w:firstColumn="0" w:lastColumn="0" w:oddVBand="0" w:evenVBand="0" w:oddHBand="1" w:evenHBand="0" w:firstRowFirstColumn="0" w:firstRowLastColumn="0" w:lastRowFirstColumn="0" w:lastRowLastColumn="0"/>
          <w:wAfter w:w="12" w:type="dxa"/>
        </w:trPr>
        <w:tc>
          <w:tcPr>
            <w:tcW w:w="5984" w:type="dxa"/>
            <w:gridSpan w:val="5"/>
          </w:tcPr>
          <w:p w14:paraId="1C8400D7" w14:textId="7BA05B33" w:rsidR="00CF4952" w:rsidRDefault="00CF4952" w:rsidP="00F51995">
            <w:pPr>
              <w:pStyle w:val="TableBody"/>
            </w:pPr>
            <w:r>
              <w:t>Reams of paper used per FTE</w:t>
            </w:r>
          </w:p>
        </w:tc>
        <w:tc>
          <w:tcPr>
            <w:tcW w:w="1544" w:type="dxa"/>
            <w:gridSpan w:val="2"/>
          </w:tcPr>
          <w:p w14:paraId="0F2104FC" w14:textId="06A47CD2" w:rsidR="00CF4952" w:rsidRDefault="006D43DE" w:rsidP="00F51995">
            <w:pPr>
              <w:pStyle w:val="TableBody"/>
              <w:jc w:val="center"/>
            </w:pPr>
            <w:r>
              <w:t>0.11</w:t>
            </w:r>
          </w:p>
        </w:tc>
        <w:tc>
          <w:tcPr>
            <w:tcW w:w="1531" w:type="dxa"/>
            <w:gridSpan w:val="2"/>
          </w:tcPr>
          <w:p w14:paraId="00C8F8F7" w14:textId="72735C37" w:rsidR="00CF4952" w:rsidRDefault="006D43DE" w:rsidP="00F51995">
            <w:pPr>
              <w:pStyle w:val="TableBody"/>
              <w:jc w:val="center"/>
            </w:pPr>
            <w:r>
              <w:t>3.99</w:t>
            </w:r>
          </w:p>
        </w:tc>
      </w:tr>
      <w:tr w:rsidR="00CF4952" w14:paraId="5A669647" w14:textId="77777777" w:rsidTr="006D43DE">
        <w:trPr>
          <w:gridAfter w:val="1"/>
          <w:cnfStyle w:val="000000010000" w:firstRow="0" w:lastRow="0" w:firstColumn="0" w:lastColumn="0" w:oddVBand="0" w:evenVBand="0" w:oddHBand="0" w:evenHBand="1" w:firstRowFirstColumn="0" w:firstRowLastColumn="0" w:lastRowFirstColumn="0" w:lastRowLastColumn="0"/>
          <w:wAfter w:w="12" w:type="dxa"/>
        </w:trPr>
        <w:tc>
          <w:tcPr>
            <w:tcW w:w="5984" w:type="dxa"/>
            <w:gridSpan w:val="5"/>
          </w:tcPr>
          <w:p w14:paraId="6A6BD76D" w14:textId="12517BE3" w:rsidR="00CF4952" w:rsidRDefault="00CF4952" w:rsidP="00F51995">
            <w:pPr>
              <w:pStyle w:val="TableBody"/>
            </w:pPr>
            <w:r>
              <w:t>Percentage of recycled content paper purchased (%)</w:t>
            </w:r>
          </w:p>
        </w:tc>
        <w:tc>
          <w:tcPr>
            <w:tcW w:w="1544" w:type="dxa"/>
            <w:gridSpan w:val="2"/>
          </w:tcPr>
          <w:p w14:paraId="46346795" w14:textId="5CCACBDD" w:rsidR="00CF4952" w:rsidRDefault="006D43DE" w:rsidP="00F51995">
            <w:pPr>
              <w:pStyle w:val="TableBody"/>
              <w:jc w:val="center"/>
            </w:pPr>
            <w:r>
              <w:t>100</w:t>
            </w:r>
          </w:p>
        </w:tc>
        <w:tc>
          <w:tcPr>
            <w:tcW w:w="1531" w:type="dxa"/>
            <w:gridSpan w:val="2"/>
          </w:tcPr>
          <w:p w14:paraId="6376AA0D" w14:textId="211B25CB" w:rsidR="00CF4952" w:rsidRDefault="006D43DE" w:rsidP="00F51995">
            <w:pPr>
              <w:pStyle w:val="TableBody"/>
              <w:jc w:val="center"/>
            </w:pPr>
            <w:r>
              <w:t>100</w:t>
            </w:r>
          </w:p>
        </w:tc>
      </w:tr>
      <w:tr w:rsidR="00CF4952" w14:paraId="75A9C23E" w14:textId="77777777" w:rsidTr="006D43DE">
        <w:trPr>
          <w:gridAfter w:val="1"/>
          <w:cnfStyle w:val="000000100000" w:firstRow="0" w:lastRow="0" w:firstColumn="0" w:lastColumn="0" w:oddVBand="0" w:evenVBand="0" w:oddHBand="1" w:evenHBand="0" w:firstRowFirstColumn="0" w:firstRowLastColumn="0" w:lastRowFirstColumn="0" w:lastRowLastColumn="0"/>
          <w:wAfter w:w="12" w:type="dxa"/>
        </w:trPr>
        <w:tc>
          <w:tcPr>
            <w:tcW w:w="5984" w:type="dxa"/>
            <w:gridSpan w:val="5"/>
          </w:tcPr>
          <w:p w14:paraId="76214944" w14:textId="1E0A591E" w:rsidR="00CF4952" w:rsidRDefault="00CF4952" w:rsidP="00CF4952">
            <w:pPr>
              <w:pStyle w:val="TableHeader"/>
            </w:pPr>
            <w:r>
              <w:t>Water</w:t>
            </w:r>
          </w:p>
        </w:tc>
        <w:tc>
          <w:tcPr>
            <w:tcW w:w="1544" w:type="dxa"/>
            <w:gridSpan w:val="2"/>
          </w:tcPr>
          <w:p w14:paraId="76049BAD" w14:textId="77777777" w:rsidR="00CF4952" w:rsidRDefault="00CF4952" w:rsidP="00F51995">
            <w:pPr>
              <w:pStyle w:val="TableBody"/>
              <w:jc w:val="center"/>
            </w:pPr>
          </w:p>
        </w:tc>
        <w:tc>
          <w:tcPr>
            <w:tcW w:w="1531" w:type="dxa"/>
            <w:gridSpan w:val="2"/>
          </w:tcPr>
          <w:p w14:paraId="29D5444B" w14:textId="77777777" w:rsidR="00CF4952" w:rsidRDefault="00CF4952" w:rsidP="00F51995">
            <w:pPr>
              <w:pStyle w:val="TableBody"/>
              <w:jc w:val="center"/>
            </w:pPr>
          </w:p>
        </w:tc>
      </w:tr>
      <w:tr w:rsidR="00CF4952" w14:paraId="375067C0" w14:textId="77777777" w:rsidTr="006D43DE">
        <w:trPr>
          <w:gridAfter w:val="1"/>
          <w:cnfStyle w:val="000000010000" w:firstRow="0" w:lastRow="0" w:firstColumn="0" w:lastColumn="0" w:oddVBand="0" w:evenVBand="0" w:oddHBand="0" w:evenHBand="1" w:firstRowFirstColumn="0" w:firstRowLastColumn="0" w:lastRowFirstColumn="0" w:lastRowLastColumn="0"/>
          <w:wAfter w:w="12" w:type="dxa"/>
        </w:trPr>
        <w:tc>
          <w:tcPr>
            <w:tcW w:w="5984" w:type="dxa"/>
            <w:gridSpan w:val="5"/>
          </w:tcPr>
          <w:p w14:paraId="6B43C42E" w14:textId="7C821153" w:rsidR="00CF4952" w:rsidRDefault="00CF4952" w:rsidP="00F51995">
            <w:pPr>
              <w:pStyle w:val="TableBody"/>
            </w:pPr>
            <w:r>
              <w:t>Total units of metered water consumed (kilolitres)</w:t>
            </w:r>
          </w:p>
        </w:tc>
        <w:tc>
          <w:tcPr>
            <w:tcW w:w="1544" w:type="dxa"/>
            <w:gridSpan w:val="2"/>
          </w:tcPr>
          <w:p w14:paraId="21C9FB2B" w14:textId="6B402580" w:rsidR="00CF4952" w:rsidRDefault="006D43DE" w:rsidP="00F51995">
            <w:pPr>
              <w:pStyle w:val="TableBody"/>
              <w:jc w:val="center"/>
            </w:pPr>
            <w:r>
              <w:t>150</w:t>
            </w:r>
          </w:p>
        </w:tc>
        <w:tc>
          <w:tcPr>
            <w:tcW w:w="1531" w:type="dxa"/>
            <w:gridSpan w:val="2"/>
          </w:tcPr>
          <w:p w14:paraId="5CB56E2C" w14:textId="47D7DA52" w:rsidR="00CF4952" w:rsidRDefault="006D43DE" w:rsidP="00F51995">
            <w:pPr>
              <w:pStyle w:val="TableBody"/>
              <w:jc w:val="center"/>
            </w:pPr>
            <w:r>
              <w:t>286</w:t>
            </w:r>
          </w:p>
        </w:tc>
      </w:tr>
      <w:tr w:rsidR="00CF4952" w14:paraId="1D0321CB" w14:textId="77777777" w:rsidTr="006D43DE">
        <w:trPr>
          <w:gridAfter w:val="1"/>
          <w:cnfStyle w:val="000000100000" w:firstRow="0" w:lastRow="0" w:firstColumn="0" w:lastColumn="0" w:oddVBand="0" w:evenVBand="0" w:oddHBand="1" w:evenHBand="0" w:firstRowFirstColumn="0" w:firstRowLastColumn="0" w:lastRowFirstColumn="0" w:lastRowLastColumn="0"/>
          <w:wAfter w:w="12" w:type="dxa"/>
        </w:trPr>
        <w:tc>
          <w:tcPr>
            <w:tcW w:w="5984" w:type="dxa"/>
            <w:gridSpan w:val="5"/>
          </w:tcPr>
          <w:p w14:paraId="47FE1F97" w14:textId="5EE132FA" w:rsidR="00CF4952" w:rsidRDefault="00B747D4" w:rsidP="00F51995">
            <w:pPr>
              <w:pStyle w:val="TableBody"/>
            </w:pPr>
            <w:r>
              <w:t>Units of metered water consumed per FTE (kilolitres/FTE)</w:t>
            </w:r>
          </w:p>
        </w:tc>
        <w:tc>
          <w:tcPr>
            <w:tcW w:w="1544" w:type="dxa"/>
            <w:gridSpan w:val="2"/>
          </w:tcPr>
          <w:p w14:paraId="7B0EC46F" w14:textId="52934A81" w:rsidR="00CF4952" w:rsidRDefault="006D43DE" w:rsidP="00F51995">
            <w:pPr>
              <w:pStyle w:val="TableBody"/>
              <w:jc w:val="center"/>
            </w:pPr>
            <w:r>
              <w:t>1.4</w:t>
            </w:r>
          </w:p>
        </w:tc>
        <w:tc>
          <w:tcPr>
            <w:tcW w:w="1531" w:type="dxa"/>
            <w:gridSpan w:val="2"/>
          </w:tcPr>
          <w:p w14:paraId="0092DBB3" w14:textId="779E1C50" w:rsidR="00CF4952" w:rsidRDefault="006D43DE" w:rsidP="00F51995">
            <w:pPr>
              <w:pStyle w:val="TableBody"/>
              <w:jc w:val="center"/>
            </w:pPr>
            <w:r>
              <w:t>3</w:t>
            </w:r>
          </w:p>
        </w:tc>
      </w:tr>
      <w:tr w:rsidR="00CF4952" w14:paraId="17B11587" w14:textId="77777777" w:rsidTr="006D43DE">
        <w:trPr>
          <w:gridAfter w:val="1"/>
          <w:cnfStyle w:val="000000010000" w:firstRow="0" w:lastRow="0" w:firstColumn="0" w:lastColumn="0" w:oddVBand="0" w:evenVBand="0" w:oddHBand="0" w:evenHBand="1" w:firstRowFirstColumn="0" w:firstRowLastColumn="0" w:lastRowFirstColumn="0" w:lastRowLastColumn="0"/>
          <w:wAfter w:w="12" w:type="dxa"/>
        </w:trPr>
        <w:tc>
          <w:tcPr>
            <w:tcW w:w="5984" w:type="dxa"/>
            <w:gridSpan w:val="5"/>
          </w:tcPr>
          <w:p w14:paraId="74623ABE" w14:textId="57624607" w:rsidR="00CF4952" w:rsidRDefault="00B747D4" w:rsidP="00F51995">
            <w:pPr>
              <w:pStyle w:val="TableBody"/>
            </w:pPr>
            <w:r>
              <w:lastRenderedPageBreak/>
              <w:t>Units of measured water consumed in offices per unit of office area (kilolitres/m2)</w:t>
            </w:r>
          </w:p>
        </w:tc>
        <w:tc>
          <w:tcPr>
            <w:tcW w:w="1544" w:type="dxa"/>
            <w:gridSpan w:val="2"/>
          </w:tcPr>
          <w:p w14:paraId="77748D35" w14:textId="23412DBD" w:rsidR="00CF4952" w:rsidRDefault="006D43DE" w:rsidP="00F51995">
            <w:pPr>
              <w:pStyle w:val="TableBody"/>
              <w:jc w:val="center"/>
            </w:pPr>
            <w:r>
              <w:t>0.07</w:t>
            </w:r>
          </w:p>
        </w:tc>
        <w:tc>
          <w:tcPr>
            <w:tcW w:w="1531" w:type="dxa"/>
            <w:gridSpan w:val="2"/>
          </w:tcPr>
          <w:p w14:paraId="4D5A2E5A" w14:textId="5C730872" w:rsidR="00B747D4" w:rsidRDefault="006D43DE" w:rsidP="006D43DE">
            <w:pPr>
              <w:pStyle w:val="TableBody"/>
              <w:jc w:val="center"/>
            </w:pPr>
            <w:r>
              <w:t>0.21</w:t>
            </w:r>
          </w:p>
        </w:tc>
      </w:tr>
      <w:tr w:rsidR="00B747D4" w14:paraId="43FAFC35" w14:textId="77777777" w:rsidTr="0095500A">
        <w:trPr>
          <w:cnfStyle w:val="000000100000" w:firstRow="0" w:lastRow="0" w:firstColumn="0" w:lastColumn="0" w:oddVBand="0" w:evenVBand="0" w:oddHBand="1" w:evenHBand="0" w:firstRowFirstColumn="0" w:firstRowLastColumn="0" w:lastRowFirstColumn="0" w:lastRowLastColumn="0"/>
          <w:trHeight w:val="872"/>
        </w:trPr>
        <w:tc>
          <w:tcPr>
            <w:tcW w:w="9071" w:type="dxa"/>
            <w:gridSpan w:val="10"/>
            <w:tcBorders>
              <w:bottom w:val="nil"/>
            </w:tcBorders>
          </w:tcPr>
          <w:p w14:paraId="50A0CD90" w14:textId="684FEE53" w:rsidR="006D43DE" w:rsidRPr="002F044D" w:rsidRDefault="00B747D4" w:rsidP="00F51995">
            <w:pPr>
              <w:pStyle w:val="Heading30"/>
              <w:outlineLvl w:val="2"/>
            </w:pPr>
            <w:r>
              <w:t>Waste</w:t>
            </w:r>
          </w:p>
        </w:tc>
      </w:tr>
      <w:tr w:rsidR="00FD4B00" w14:paraId="57FB2CCB" w14:textId="77777777" w:rsidTr="006D43DE">
        <w:trPr>
          <w:cnfStyle w:val="000000010000" w:firstRow="0" w:lastRow="0" w:firstColumn="0" w:lastColumn="0" w:oddVBand="0" w:evenVBand="0" w:oddHBand="0" w:evenHBand="1" w:firstRowFirstColumn="0" w:firstRowLastColumn="0" w:lastRowFirstColumn="0" w:lastRowLastColumn="0"/>
        </w:trPr>
        <w:tc>
          <w:tcPr>
            <w:tcW w:w="1364" w:type="dxa"/>
            <w:tcBorders>
              <w:top w:val="single" w:sz="12" w:space="0" w:color="00573F" w:themeColor="text2"/>
            </w:tcBorders>
          </w:tcPr>
          <w:p w14:paraId="0A2608D3" w14:textId="2B7978DE" w:rsidR="00FD4B00" w:rsidRPr="00973F22" w:rsidRDefault="00FD4B00" w:rsidP="00F51995">
            <w:pPr>
              <w:pStyle w:val="TableHeader"/>
            </w:pPr>
          </w:p>
        </w:tc>
        <w:tc>
          <w:tcPr>
            <w:tcW w:w="3934" w:type="dxa"/>
            <w:gridSpan w:val="3"/>
            <w:tcBorders>
              <w:top w:val="single" w:sz="12" w:space="0" w:color="00573F" w:themeColor="text2"/>
            </w:tcBorders>
          </w:tcPr>
          <w:p w14:paraId="23ACB32F" w14:textId="57DE5FBC" w:rsidR="00FD4B00" w:rsidRDefault="00FD4B00" w:rsidP="00F51995">
            <w:pPr>
              <w:pStyle w:val="TableHeader"/>
              <w:jc w:val="center"/>
            </w:pPr>
            <w:r>
              <w:t>Units office waste disposed by destination (kg per year)</w:t>
            </w:r>
          </w:p>
        </w:tc>
        <w:tc>
          <w:tcPr>
            <w:tcW w:w="3773" w:type="dxa"/>
            <w:gridSpan w:val="6"/>
            <w:tcBorders>
              <w:top w:val="single" w:sz="12" w:space="0" w:color="00573F" w:themeColor="text2"/>
            </w:tcBorders>
          </w:tcPr>
          <w:p w14:paraId="44C51674" w14:textId="090B9EA5" w:rsidR="00FD4B00" w:rsidRPr="00973F22" w:rsidRDefault="00FD4B00" w:rsidP="00F51995">
            <w:pPr>
              <w:pStyle w:val="TableHeader"/>
              <w:jc w:val="center"/>
            </w:pPr>
            <w:r>
              <w:t>Units office waste disposed by destination (kg per year)</w:t>
            </w:r>
          </w:p>
        </w:tc>
      </w:tr>
      <w:tr w:rsidR="00FD4B00" w14:paraId="095B06DE" w14:textId="77777777" w:rsidTr="006D43DE">
        <w:trPr>
          <w:cnfStyle w:val="000000100000" w:firstRow="0" w:lastRow="0" w:firstColumn="0" w:lastColumn="0" w:oddVBand="0" w:evenVBand="0" w:oddHBand="1" w:evenHBand="0" w:firstRowFirstColumn="0" w:firstRowLastColumn="0" w:lastRowFirstColumn="0" w:lastRowLastColumn="0"/>
        </w:trPr>
        <w:tc>
          <w:tcPr>
            <w:tcW w:w="1364" w:type="dxa"/>
          </w:tcPr>
          <w:p w14:paraId="59F23A9E" w14:textId="79C9D129" w:rsidR="00B747D4" w:rsidRPr="00973F22" w:rsidRDefault="00B747D4" w:rsidP="00F51995">
            <w:pPr>
              <w:pStyle w:val="TableBody"/>
            </w:pPr>
          </w:p>
        </w:tc>
        <w:tc>
          <w:tcPr>
            <w:tcW w:w="1266" w:type="dxa"/>
          </w:tcPr>
          <w:p w14:paraId="3CBF9531" w14:textId="65BA7A22" w:rsidR="00B747D4" w:rsidRPr="00973F22" w:rsidRDefault="00FD4B00" w:rsidP="00F51995">
            <w:pPr>
              <w:pStyle w:val="TableBody"/>
              <w:jc w:val="center"/>
            </w:pPr>
            <w:r>
              <w:t>Landfill</w:t>
            </w:r>
          </w:p>
        </w:tc>
        <w:tc>
          <w:tcPr>
            <w:tcW w:w="1262" w:type="dxa"/>
          </w:tcPr>
          <w:p w14:paraId="1CCB51D1" w14:textId="1CDAB7E4" w:rsidR="00B747D4" w:rsidRDefault="00FD4B00" w:rsidP="00F51995">
            <w:pPr>
              <w:pStyle w:val="TableBody"/>
              <w:jc w:val="center"/>
            </w:pPr>
            <w:r>
              <w:t>Co-mingled recycling</w:t>
            </w:r>
          </w:p>
        </w:tc>
        <w:tc>
          <w:tcPr>
            <w:tcW w:w="1406" w:type="dxa"/>
          </w:tcPr>
          <w:p w14:paraId="3F0E90AC" w14:textId="5675B083" w:rsidR="00B747D4" w:rsidRDefault="00FD4B00" w:rsidP="00F51995">
            <w:pPr>
              <w:pStyle w:val="TableBody"/>
              <w:jc w:val="center"/>
            </w:pPr>
            <w:r>
              <w:t>Organics</w:t>
            </w:r>
          </w:p>
        </w:tc>
        <w:tc>
          <w:tcPr>
            <w:tcW w:w="1248" w:type="dxa"/>
            <w:gridSpan w:val="2"/>
          </w:tcPr>
          <w:p w14:paraId="2CD0F6D8" w14:textId="0F035456" w:rsidR="00B747D4" w:rsidRDefault="00FD4B00" w:rsidP="00F51995">
            <w:pPr>
              <w:pStyle w:val="TableBody"/>
              <w:jc w:val="center"/>
            </w:pPr>
            <w:r>
              <w:t>Landfill</w:t>
            </w:r>
          </w:p>
        </w:tc>
        <w:tc>
          <w:tcPr>
            <w:tcW w:w="1262" w:type="dxa"/>
            <w:gridSpan w:val="2"/>
          </w:tcPr>
          <w:p w14:paraId="679A8692" w14:textId="79B6EDDE" w:rsidR="00B747D4" w:rsidRDefault="00FD4B00" w:rsidP="00F51995">
            <w:pPr>
              <w:pStyle w:val="TableBody"/>
              <w:jc w:val="center"/>
            </w:pPr>
            <w:r>
              <w:t>Co-mingled recycling</w:t>
            </w:r>
          </w:p>
        </w:tc>
        <w:tc>
          <w:tcPr>
            <w:tcW w:w="1263" w:type="dxa"/>
            <w:gridSpan w:val="2"/>
          </w:tcPr>
          <w:p w14:paraId="2E298188" w14:textId="24B5FD12" w:rsidR="00B747D4" w:rsidRPr="00973F22" w:rsidRDefault="00FD4B00" w:rsidP="00F51995">
            <w:pPr>
              <w:pStyle w:val="TableBody"/>
              <w:jc w:val="center"/>
            </w:pPr>
            <w:r>
              <w:t>Organics</w:t>
            </w:r>
          </w:p>
        </w:tc>
      </w:tr>
      <w:tr w:rsidR="00FD4B00" w14:paraId="040DBEBC" w14:textId="77777777" w:rsidTr="006D43DE">
        <w:trPr>
          <w:cnfStyle w:val="000000010000" w:firstRow="0" w:lastRow="0" w:firstColumn="0" w:lastColumn="0" w:oddVBand="0" w:evenVBand="0" w:oddHBand="0" w:evenHBand="1" w:firstRowFirstColumn="0" w:firstRowLastColumn="0" w:lastRowFirstColumn="0" w:lastRowLastColumn="0"/>
        </w:trPr>
        <w:tc>
          <w:tcPr>
            <w:tcW w:w="1364" w:type="dxa"/>
          </w:tcPr>
          <w:p w14:paraId="04231891" w14:textId="5D76E694" w:rsidR="00B747D4" w:rsidRPr="00973F22" w:rsidRDefault="00B747D4" w:rsidP="00F51995">
            <w:pPr>
              <w:pStyle w:val="TableBody"/>
            </w:pPr>
            <w:r>
              <w:t>2020-21</w:t>
            </w:r>
            <w:r w:rsidR="00506AA5" w:rsidRPr="00506AA5">
              <w:rPr>
                <w:vertAlign w:val="superscript"/>
              </w:rPr>
              <w:t>2</w:t>
            </w:r>
          </w:p>
        </w:tc>
        <w:tc>
          <w:tcPr>
            <w:tcW w:w="1266" w:type="dxa"/>
          </w:tcPr>
          <w:p w14:paraId="517222B4" w14:textId="51065347" w:rsidR="00B747D4" w:rsidRPr="00973F22" w:rsidRDefault="00FD4B00" w:rsidP="00F51995">
            <w:pPr>
              <w:pStyle w:val="TableBody"/>
              <w:jc w:val="center"/>
            </w:pPr>
            <w:r>
              <w:t>N/A</w:t>
            </w:r>
          </w:p>
        </w:tc>
        <w:tc>
          <w:tcPr>
            <w:tcW w:w="1262" w:type="dxa"/>
          </w:tcPr>
          <w:p w14:paraId="22AA3DCA" w14:textId="670559BB" w:rsidR="00B747D4" w:rsidRDefault="00FD4B00" w:rsidP="00F51995">
            <w:pPr>
              <w:pStyle w:val="TableBody"/>
              <w:jc w:val="center"/>
            </w:pPr>
            <w:r>
              <w:t>N/A</w:t>
            </w:r>
          </w:p>
        </w:tc>
        <w:tc>
          <w:tcPr>
            <w:tcW w:w="1406" w:type="dxa"/>
          </w:tcPr>
          <w:p w14:paraId="78114585" w14:textId="4A9158CB" w:rsidR="00B747D4" w:rsidRDefault="00FD4B00" w:rsidP="00F51995">
            <w:pPr>
              <w:pStyle w:val="TableBody"/>
              <w:jc w:val="center"/>
            </w:pPr>
            <w:r>
              <w:t>N/A</w:t>
            </w:r>
          </w:p>
        </w:tc>
        <w:tc>
          <w:tcPr>
            <w:tcW w:w="1248" w:type="dxa"/>
            <w:gridSpan w:val="2"/>
          </w:tcPr>
          <w:p w14:paraId="49A50909" w14:textId="6B03D492" w:rsidR="00B747D4" w:rsidRDefault="00FD4B00" w:rsidP="00F51995">
            <w:pPr>
              <w:pStyle w:val="TableBody"/>
              <w:jc w:val="center"/>
            </w:pPr>
            <w:r>
              <w:t>N/A</w:t>
            </w:r>
          </w:p>
        </w:tc>
        <w:tc>
          <w:tcPr>
            <w:tcW w:w="1262" w:type="dxa"/>
            <w:gridSpan w:val="2"/>
          </w:tcPr>
          <w:p w14:paraId="5B5872B6" w14:textId="293492B4" w:rsidR="00B747D4" w:rsidRDefault="00FD4B00" w:rsidP="00F51995">
            <w:pPr>
              <w:pStyle w:val="TableBody"/>
              <w:jc w:val="center"/>
            </w:pPr>
            <w:r>
              <w:t>N/A</w:t>
            </w:r>
          </w:p>
        </w:tc>
        <w:tc>
          <w:tcPr>
            <w:tcW w:w="1263" w:type="dxa"/>
            <w:gridSpan w:val="2"/>
          </w:tcPr>
          <w:p w14:paraId="6B35A527" w14:textId="781B672F" w:rsidR="00B747D4" w:rsidRPr="00973F22" w:rsidRDefault="00FD4B00" w:rsidP="00F51995">
            <w:pPr>
              <w:pStyle w:val="TableBody"/>
              <w:jc w:val="center"/>
            </w:pPr>
            <w:r>
              <w:t>N/A</w:t>
            </w:r>
          </w:p>
        </w:tc>
      </w:tr>
      <w:tr w:rsidR="00FD4B00" w14:paraId="672DC6CD" w14:textId="77777777" w:rsidTr="006D43DE">
        <w:trPr>
          <w:cnfStyle w:val="000000100000" w:firstRow="0" w:lastRow="0" w:firstColumn="0" w:lastColumn="0" w:oddVBand="0" w:evenVBand="0" w:oddHBand="1" w:evenHBand="0" w:firstRowFirstColumn="0" w:firstRowLastColumn="0" w:lastRowFirstColumn="0" w:lastRowLastColumn="0"/>
        </w:trPr>
        <w:tc>
          <w:tcPr>
            <w:tcW w:w="1364" w:type="dxa"/>
          </w:tcPr>
          <w:p w14:paraId="1E5AE5A0" w14:textId="37B7B2EA" w:rsidR="00B747D4" w:rsidRDefault="00B747D4" w:rsidP="00F51995">
            <w:pPr>
              <w:pStyle w:val="TableBody"/>
            </w:pPr>
            <w:r>
              <w:t>2019-20</w:t>
            </w:r>
          </w:p>
        </w:tc>
        <w:tc>
          <w:tcPr>
            <w:tcW w:w="1266" w:type="dxa"/>
          </w:tcPr>
          <w:p w14:paraId="2027EEDD" w14:textId="7B7FAE70" w:rsidR="00B747D4" w:rsidRDefault="006D43DE" w:rsidP="00F51995">
            <w:pPr>
              <w:pStyle w:val="TableBody"/>
              <w:jc w:val="center"/>
            </w:pPr>
            <w:r>
              <w:t>N/A</w:t>
            </w:r>
          </w:p>
        </w:tc>
        <w:tc>
          <w:tcPr>
            <w:tcW w:w="1262" w:type="dxa"/>
          </w:tcPr>
          <w:p w14:paraId="37034F8E" w14:textId="6AF0BED2" w:rsidR="00B747D4" w:rsidRDefault="006D43DE" w:rsidP="00F51995">
            <w:pPr>
              <w:pStyle w:val="TableBody"/>
              <w:jc w:val="center"/>
            </w:pPr>
            <w:r>
              <w:t>N/A</w:t>
            </w:r>
          </w:p>
        </w:tc>
        <w:tc>
          <w:tcPr>
            <w:tcW w:w="1406" w:type="dxa"/>
          </w:tcPr>
          <w:p w14:paraId="150FC811" w14:textId="08FA9444" w:rsidR="00B747D4" w:rsidRDefault="006D43DE" w:rsidP="00F51995">
            <w:pPr>
              <w:pStyle w:val="TableBody"/>
              <w:jc w:val="center"/>
            </w:pPr>
            <w:r>
              <w:t>N/A</w:t>
            </w:r>
          </w:p>
        </w:tc>
        <w:tc>
          <w:tcPr>
            <w:tcW w:w="1248" w:type="dxa"/>
            <w:gridSpan w:val="2"/>
          </w:tcPr>
          <w:p w14:paraId="197AE09C" w14:textId="371A9E3A" w:rsidR="00B747D4" w:rsidRDefault="006D43DE" w:rsidP="00F51995">
            <w:pPr>
              <w:pStyle w:val="TableBody"/>
              <w:jc w:val="center"/>
            </w:pPr>
            <w:r>
              <w:t>N/A</w:t>
            </w:r>
          </w:p>
        </w:tc>
        <w:tc>
          <w:tcPr>
            <w:tcW w:w="1262" w:type="dxa"/>
            <w:gridSpan w:val="2"/>
          </w:tcPr>
          <w:p w14:paraId="1A078F80" w14:textId="6E61AAF7" w:rsidR="00B747D4" w:rsidRDefault="006D43DE" w:rsidP="00F51995">
            <w:pPr>
              <w:pStyle w:val="TableBody"/>
              <w:jc w:val="center"/>
            </w:pPr>
            <w:r>
              <w:t>N/A</w:t>
            </w:r>
          </w:p>
        </w:tc>
        <w:tc>
          <w:tcPr>
            <w:tcW w:w="1263" w:type="dxa"/>
            <w:gridSpan w:val="2"/>
          </w:tcPr>
          <w:p w14:paraId="2F18D846" w14:textId="00D0B819" w:rsidR="00B747D4" w:rsidRDefault="006D43DE" w:rsidP="00F51995">
            <w:pPr>
              <w:pStyle w:val="TableBody"/>
              <w:jc w:val="center"/>
            </w:pPr>
            <w:r>
              <w:t>N/A</w:t>
            </w:r>
          </w:p>
        </w:tc>
      </w:tr>
      <w:tr w:rsidR="006D43DE" w:rsidRPr="00973F22" w14:paraId="0753590F" w14:textId="77777777" w:rsidTr="006D43DE">
        <w:trPr>
          <w:cnfStyle w:val="000000010000" w:firstRow="0" w:lastRow="0" w:firstColumn="0" w:lastColumn="0" w:oddVBand="0" w:evenVBand="0" w:oddHBand="0" w:evenHBand="1" w:firstRowFirstColumn="0" w:firstRowLastColumn="0" w:lastRowFirstColumn="0" w:lastRowLastColumn="0"/>
        </w:trPr>
        <w:tc>
          <w:tcPr>
            <w:tcW w:w="1364" w:type="dxa"/>
            <w:tcBorders>
              <w:top w:val="single" w:sz="12" w:space="0" w:color="00573F" w:themeColor="text2"/>
            </w:tcBorders>
          </w:tcPr>
          <w:p w14:paraId="76A6C747" w14:textId="77777777" w:rsidR="006D43DE" w:rsidRPr="00973F22" w:rsidRDefault="006D43DE" w:rsidP="00F51995">
            <w:pPr>
              <w:pStyle w:val="TableHeader"/>
            </w:pPr>
          </w:p>
        </w:tc>
        <w:tc>
          <w:tcPr>
            <w:tcW w:w="1266" w:type="dxa"/>
            <w:tcBorders>
              <w:top w:val="single" w:sz="12" w:space="0" w:color="00573F" w:themeColor="text2"/>
            </w:tcBorders>
          </w:tcPr>
          <w:p w14:paraId="547875A7" w14:textId="5035A2E1" w:rsidR="006D43DE" w:rsidRDefault="006D43DE" w:rsidP="00F51995">
            <w:pPr>
              <w:pStyle w:val="TableHeader"/>
              <w:jc w:val="center"/>
            </w:pPr>
            <w:r>
              <w:t>Recycling rate (% of total waste by rate)</w:t>
            </w:r>
          </w:p>
        </w:tc>
        <w:tc>
          <w:tcPr>
            <w:tcW w:w="1262" w:type="dxa"/>
            <w:tcBorders>
              <w:top w:val="single" w:sz="12" w:space="0" w:color="00573F" w:themeColor="text2"/>
            </w:tcBorders>
          </w:tcPr>
          <w:p w14:paraId="2C46584B" w14:textId="5C4E3FF1" w:rsidR="006D43DE" w:rsidRDefault="006D43DE" w:rsidP="00F51995">
            <w:pPr>
              <w:pStyle w:val="TableHeader"/>
              <w:jc w:val="center"/>
            </w:pPr>
            <w:r>
              <w:t>Organics rate (% of total waste by rate)</w:t>
            </w:r>
          </w:p>
        </w:tc>
        <w:tc>
          <w:tcPr>
            <w:tcW w:w="5179" w:type="dxa"/>
            <w:gridSpan w:val="7"/>
            <w:tcBorders>
              <w:top w:val="single" w:sz="12" w:space="0" w:color="00573F" w:themeColor="text2"/>
            </w:tcBorders>
          </w:tcPr>
          <w:p w14:paraId="389355E7" w14:textId="4C4B6572" w:rsidR="006D43DE" w:rsidRPr="00973F22" w:rsidRDefault="006D43DE" w:rsidP="00F51995">
            <w:pPr>
              <w:pStyle w:val="TableHeader"/>
              <w:jc w:val="center"/>
            </w:pPr>
            <w:r>
              <w:t>Greenhouse gas emissions associated with waste disposal (tonnes CO2-e)</w:t>
            </w:r>
          </w:p>
        </w:tc>
      </w:tr>
      <w:tr w:rsidR="00FD4B00" w:rsidRPr="00973F22" w14:paraId="173EDDA0" w14:textId="77777777" w:rsidTr="006D43DE">
        <w:trPr>
          <w:cnfStyle w:val="000000100000" w:firstRow="0" w:lastRow="0" w:firstColumn="0" w:lastColumn="0" w:oddVBand="0" w:evenVBand="0" w:oddHBand="1" w:evenHBand="0" w:firstRowFirstColumn="0" w:firstRowLastColumn="0" w:lastRowFirstColumn="0" w:lastRowLastColumn="0"/>
        </w:trPr>
        <w:tc>
          <w:tcPr>
            <w:tcW w:w="1364" w:type="dxa"/>
          </w:tcPr>
          <w:p w14:paraId="238C5BA2" w14:textId="77777777" w:rsidR="00FD4B00" w:rsidRPr="00973F22" w:rsidRDefault="00FD4B00" w:rsidP="00F51995">
            <w:pPr>
              <w:pStyle w:val="TableBody"/>
            </w:pPr>
          </w:p>
        </w:tc>
        <w:tc>
          <w:tcPr>
            <w:tcW w:w="1266" w:type="dxa"/>
          </w:tcPr>
          <w:p w14:paraId="5AA41EC1" w14:textId="5272EC70" w:rsidR="00FD4B00" w:rsidRPr="00973F22" w:rsidRDefault="006D43DE" w:rsidP="00F51995">
            <w:pPr>
              <w:pStyle w:val="TableBody"/>
              <w:jc w:val="center"/>
            </w:pPr>
            <w:r>
              <w:t>%</w:t>
            </w:r>
          </w:p>
        </w:tc>
        <w:tc>
          <w:tcPr>
            <w:tcW w:w="1262" w:type="dxa"/>
          </w:tcPr>
          <w:p w14:paraId="653CC833" w14:textId="07000956" w:rsidR="00FD4B00" w:rsidRDefault="006D43DE" w:rsidP="00F51995">
            <w:pPr>
              <w:pStyle w:val="TableBody"/>
              <w:jc w:val="center"/>
            </w:pPr>
            <w:r>
              <w:t>%</w:t>
            </w:r>
          </w:p>
        </w:tc>
        <w:tc>
          <w:tcPr>
            <w:tcW w:w="1406" w:type="dxa"/>
          </w:tcPr>
          <w:p w14:paraId="67D9308E" w14:textId="57570113" w:rsidR="00FD4B00" w:rsidRDefault="006D43DE" w:rsidP="00F51995">
            <w:pPr>
              <w:pStyle w:val="TableBody"/>
              <w:jc w:val="center"/>
            </w:pPr>
            <w:r>
              <w:t>Landfill</w:t>
            </w:r>
          </w:p>
        </w:tc>
        <w:tc>
          <w:tcPr>
            <w:tcW w:w="1248" w:type="dxa"/>
            <w:gridSpan w:val="2"/>
          </w:tcPr>
          <w:p w14:paraId="1228A43C" w14:textId="68EC124D" w:rsidR="00FD4B00" w:rsidRDefault="006D43DE" w:rsidP="00F51995">
            <w:pPr>
              <w:pStyle w:val="TableBody"/>
              <w:jc w:val="center"/>
            </w:pPr>
            <w:r>
              <w:t>Co-mingled recycling</w:t>
            </w:r>
          </w:p>
        </w:tc>
        <w:tc>
          <w:tcPr>
            <w:tcW w:w="2525" w:type="dxa"/>
            <w:gridSpan w:val="4"/>
          </w:tcPr>
          <w:p w14:paraId="4B690703" w14:textId="22D31818" w:rsidR="00FD4B00" w:rsidRPr="00973F22" w:rsidRDefault="006D43DE" w:rsidP="00F51995">
            <w:pPr>
              <w:pStyle w:val="TableBody"/>
              <w:jc w:val="center"/>
            </w:pPr>
            <w:r>
              <w:t>Organics</w:t>
            </w:r>
          </w:p>
        </w:tc>
      </w:tr>
      <w:tr w:rsidR="00FD4B00" w:rsidRPr="00973F22" w14:paraId="355FE9F1" w14:textId="77777777" w:rsidTr="006D43DE">
        <w:trPr>
          <w:cnfStyle w:val="000000010000" w:firstRow="0" w:lastRow="0" w:firstColumn="0" w:lastColumn="0" w:oddVBand="0" w:evenVBand="0" w:oddHBand="0" w:evenHBand="1" w:firstRowFirstColumn="0" w:firstRowLastColumn="0" w:lastRowFirstColumn="0" w:lastRowLastColumn="0"/>
        </w:trPr>
        <w:tc>
          <w:tcPr>
            <w:tcW w:w="1364" w:type="dxa"/>
          </w:tcPr>
          <w:p w14:paraId="61C90D4D" w14:textId="3578A258" w:rsidR="00FD4B00" w:rsidRPr="00973F22" w:rsidRDefault="00FD4B00" w:rsidP="00F51995">
            <w:pPr>
              <w:pStyle w:val="TableBody"/>
            </w:pPr>
            <w:r>
              <w:t>2020-21</w:t>
            </w:r>
            <w:r w:rsidR="00506AA5" w:rsidRPr="00506AA5">
              <w:rPr>
                <w:vertAlign w:val="superscript"/>
              </w:rPr>
              <w:t>2</w:t>
            </w:r>
          </w:p>
        </w:tc>
        <w:tc>
          <w:tcPr>
            <w:tcW w:w="1266" w:type="dxa"/>
          </w:tcPr>
          <w:p w14:paraId="79103C6E" w14:textId="77777777" w:rsidR="00FD4B00" w:rsidRPr="00973F22" w:rsidRDefault="00FD4B00" w:rsidP="00F51995">
            <w:pPr>
              <w:pStyle w:val="TableBody"/>
              <w:jc w:val="center"/>
            </w:pPr>
            <w:r>
              <w:t>N/A</w:t>
            </w:r>
          </w:p>
        </w:tc>
        <w:tc>
          <w:tcPr>
            <w:tcW w:w="1262" w:type="dxa"/>
          </w:tcPr>
          <w:p w14:paraId="7EEB32A8" w14:textId="77777777" w:rsidR="00FD4B00" w:rsidRDefault="00FD4B00" w:rsidP="00F51995">
            <w:pPr>
              <w:pStyle w:val="TableBody"/>
              <w:jc w:val="center"/>
            </w:pPr>
            <w:r>
              <w:t>N/A</w:t>
            </w:r>
          </w:p>
        </w:tc>
        <w:tc>
          <w:tcPr>
            <w:tcW w:w="1406" w:type="dxa"/>
          </w:tcPr>
          <w:p w14:paraId="20034A0C" w14:textId="77777777" w:rsidR="00FD4B00" w:rsidRDefault="00FD4B00" w:rsidP="00F51995">
            <w:pPr>
              <w:pStyle w:val="TableBody"/>
              <w:jc w:val="center"/>
            </w:pPr>
            <w:r>
              <w:t>N/A</w:t>
            </w:r>
          </w:p>
        </w:tc>
        <w:tc>
          <w:tcPr>
            <w:tcW w:w="1248" w:type="dxa"/>
            <w:gridSpan w:val="2"/>
          </w:tcPr>
          <w:p w14:paraId="393C814E" w14:textId="77777777" w:rsidR="00FD4B00" w:rsidRDefault="00FD4B00" w:rsidP="00F51995">
            <w:pPr>
              <w:pStyle w:val="TableBody"/>
              <w:jc w:val="center"/>
            </w:pPr>
            <w:r>
              <w:t>N/A</w:t>
            </w:r>
          </w:p>
        </w:tc>
        <w:tc>
          <w:tcPr>
            <w:tcW w:w="2525" w:type="dxa"/>
            <w:gridSpan w:val="4"/>
          </w:tcPr>
          <w:p w14:paraId="72A815F9" w14:textId="414377DA" w:rsidR="00FD4B00" w:rsidRPr="00973F22" w:rsidRDefault="00FD4B00" w:rsidP="00F51995">
            <w:pPr>
              <w:pStyle w:val="TableBody"/>
              <w:jc w:val="center"/>
            </w:pPr>
            <w:r>
              <w:t>N/A</w:t>
            </w:r>
          </w:p>
        </w:tc>
      </w:tr>
      <w:tr w:rsidR="00FD4B00" w14:paraId="20A8E289" w14:textId="77777777" w:rsidTr="006D43DE">
        <w:trPr>
          <w:cnfStyle w:val="000000100000" w:firstRow="0" w:lastRow="0" w:firstColumn="0" w:lastColumn="0" w:oddVBand="0" w:evenVBand="0" w:oddHBand="1" w:evenHBand="0" w:firstRowFirstColumn="0" w:firstRowLastColumn="0" w:lastRowFirstColumn="0" w:lastRowLastColumn="0"/>
        </w:trPr>
        <w:tc>
          <w:tcPr>
            <w:tcW w:w="1364" w:type="dxa"/>
          </w:tcPr>
          <w:p w14:paraId="3B9E9F63" w14:textId="77777777" w:rsidR="00FD4B00" w:rsidRDefault="00FD4B00" w:rsidP="00F51995">
            <w:pPr>
              <w:pStyle w:val="TableBody"/>
            </w:pPr>
            <w:r>
              <w:t>2019-20</w:t>
            </w:r>
          </w:p>
        </w:tc>
        <w:tc>
          <w:tcPr>
            <w:tcW w:w="1266" w:type="dxa"/>
          </w:tcPr>
          <w:p w14:paraId="4F5574D4" w14:textId="7FE3A080" w:rsidR="00FD4B00" w:rsidRDefault="00FD4B00" w:rsidP="00F51995">
            <w:pPr>
              <w:pStyle w:val="TableBody"/>
              <w:jc w:val="center"/>
            </w:pPr>
            <w:r>
              <w:t>N/A</w:t>
            </w:r>
          </w:p>
        </w:tc>
        <w:tc>
          <w:tcPr>
            <w:tcW w:w="1262" w:type="dxa"/>
          </w:tcPr>
          <w:p w14:paraId="1C6FB705" w14:textId="12011286" w:rsidR="00FD4B00" w:rsidRDefault="00FD4B00" w:rsidP="00F51995">
            <w:pPr>
              <w:pStyle w:val="TableBody"/>
              <w:jc w:val="center"/>
            </w:pPr>
            <w:r>
              <w:t>N/A</w:t>
            </w:r>
          </w:p>
        </w:tc>
        <w:tc>
          <w:tcPr>
            <w:tcW w:w="1406" w:type="dxa"/>
          </w:tcPr>
          <w:p w14:paraId="04CCF1AB" w14:textId="319E19BE" w:rsidR="00FD4B00" w:rsidRDefault="00FD4B00" w:rsidP="00F51995">
            <w:pPr>
              <w:pStyle w:val="TableBody"/>
              <w:jc w:val="center"/>
            </w:pPr>
            <w:r>
              <w:t>N/A</w:t>
            </w:r>
          </w:p>
        </w:tc>
        <w:tc>
          <w:tcPr>
            <w:tcW w:w="1248" w:type="dxa"/>
            <w:gridSpan w:val="2"/>
          </w:tcPr>
          <w:p w14:paraId="455FDF19" w14:textId="7018B946" w:rsidR="00FD4B00" w:rsidRDefault="00FD4B00" w:rsidP="00F51995">
            <w:pPr>
              <w:pStyle w:val="TableBody"/>
              <w:jc w:val="center"/>
            </w:pPr>
            <w:r>
              <w:t>N/A</w:t>
            </w:r>
          </w:p>
        </w:tc>
        <w:tc>
          <w:tcPr>
            <w:tcW w:w="2525" w:type="dxa"/>
            <w:gridSpan w:val="4"/>
          </w:tcPr>
          <w:p w14:paraId="08939431" w14:textId="35EEBB6C" w:rsidR="00FD4B00" w:rsidRDefault="00FD4B00" w:rsidP="00F51995">
            <w:pPr>
              <w:pStyle w:val="TableBody"/>
              <w:jc w:val="center"/>
            </w:pPr>
            <w:r>
              <w:t>N/A</w:t>
            </w:r>
          </w:p>
        </w:tc>
      </w:tr>
    </w:tbl>
    <w:p w14:paraId="7A4CCA90" w14:textId="77777777" w:rsidR="00FD4B00" w:rsidRDefault="00FD4B00" w:rsidP="0040140D">
      <w:pPr>
        <w:pStyle w:val="Heading20"/>
      </w:pPr>
    </w:p>
    <w:tbl>
      <w:tblPr>
        <w:tblStyle w:val="TableHorizontal"/>
        <w:tblW w:w="5000" w:type="pct"/>
        <w:tblLayout w:type="fixed"/>
        <w:tblLook w:val="0420" w:firstRow="1" w:lastRow="0" w:firstColumn="0" w:lastColumn="0" w:noHBand="0" w:noVBand="1"/>
      </w:tblPr>
      <w:tblGrid>
        <w:gridCol w:w="1039"/>
        <w:gridCol w:w="1039"/>
        <w:gridCol w:w="1040"/>
        <w:gridCol w:w="1040"/>
        <w:gridCol w:w="1038"/>
        <w:gridCol w:w="977"/>
        <w:gridCol w:w="65"/>
        <w:gridCol w:w="1040"/>
        <w:gridCol w:w="486"/>
        <w:gridCol w:w="554"/>
        <w:gridCol w:w="1025"/>
        <w:gridCol w:w="11"/>
      </w:tblGrid>
      <w:tr w:rsidR="00B83B3C" w14:paraId="3890722B" w14:textId="55B1E400" w:rsidTr="000377CC">
        <w:trPr>
          <w:cnfStyle w:val="100000000000" w:firstRow="1" w:lastRow="0" w:firstColumn="0" w:lastColumn="0" w:oddVBand="0" w:evenVBand="0" w:oddHBand="0" w:evenHBand="0" w:firstRowFirstColumn="0" w:firstRowLastColumn="0" w:lastRowFirstColumn="0" w:lastRowLastColumn="0"/>
        </w:trPr>
        <w:tc>
          <w:tcPr>
            <w:tcW w:w="1665" w:type="pct"/>
            <w:gridSpan w:val="3"/>
            <w:tcBorders>
              <w:bottom w:val="nil"/>
            </w:tcBorders>
          </w:tcPr>
          <w:p w14:paraId="59B60FFE" w14:textId="0C0E2559" w:rsidR="00B83B3C" w:rsidRPr="002F044D" w:rsidRDefault="00B83B3C" w:rsidP="00F51995">
            <w:pPr>
              <w:pStyle w:val="Heading30"/>
              <w:outlineLvl w:val="2"/>
              <w:rPr>
                <w:rFonts w:ascii="VIC" w:hAnsi="VIC"/>
              </w:rPr>
            </w:pPr>
            <w:r>
              <w:rPr>
                <w:rFonts w:ascii="VIC" w:hAnsi="VIC"/>
              </w:rPr>
              <w:lastRenderedPageBreak/>
              <w:t>Transport</w:t>
            </w:r>
          </w:p>
        </w:tc>
        <w:tc>
          <w:tcPr>
            <w:tcW w:w="1668" w:type="pct"/>
            <w:gridSpan w:val="4"/>
            <w:tcBorders>
              <w:bottom w:val="nil"/>
            </w:tcBorders>
          </w:tcPr>
          <w:p w14:paraId="75C26438" w14:textId="77777777" w:rsidR="00B83B3C" w:rsidRDefault="00B83B3C" w:rsidP="00F51995">
            <w:pPr>
              <w:pStyle w:val="Heading30"/>
              <w:outlineLvl w:val="2"/>
            </w:pPr>
          </w:p>
        </w:tc>
        <w:tc>
          <w:tcPr>
            <w:tcW w:w="1666" w:type="pct"/>
            <w:gridSpan w:val="5"/>
            <w:tcBorders>
              <w:bottom w:val="nil"/>
            </w:tcBorders>
          </w:tcPr>
          <w:p w14:paraId="2484C84A" w14:textId="77777777" w:rsidR="00B83B3C" w:rsidRDefault="00B83B3C" w:rsidP="00F51995">
            <w:pPr>
              <w:pStyle w:val="Heading30"/>
              <w:outlineLvl w:val="2"/>
            </w:pPr>
          </w:p>
        </w:tc>
      </w:tr>
      <w:tr w:rsidR="008B5E51" w14:paraId="2535E561" w14:textId="1D043061" w:rsidTr="000377CC">
        <w:trPr>
          <w:cnfStyle w:val="000000100000" w:firstRow="0" w:lastRow="0" w:firstColumn="0" w:lastColumn="0" w:oddVBand="0" w:evenVBand="0" w:oddHBand="1" w:evenHBand="0" w:firstRowFirstColumn="0" w:firstRowLastColumn="0" w:lastRowFirstColumn="0" w:lastRowLastColumn="0"/>
          <w:trHeight w:val="1134"/>
        </w:trPr>
        <w:tc>
          <w:tcPr>
            <w:tcW w:w="555" w:type="pct"/>
            <w:tcBorders>
              <w:top w:val="single" w:sz="12" w:space="0" w:color="00573F" w:themeColor="text2"/>
            </w:tcBorders>
          </w:tcPr>
          <w:p w14:paraId="5E58E590" w14:textId="1B27421A" w:rsidR="008B5E51" w:rsidRPr="00973F22" w:rsidRDefault="008B5E51" w:rsidP="00F51995">
            <w:pPr>
              <w:pStyle w:val="TableHeader"/>
            </w:pPr>
          </w:p>
        </w:tc>
        <w:tc>
          <w:tcPr>
            <w:tcW w:w="555" w:type="pct"/>
            <w:tcBorders>
              <w:top w:val="single" w:sz="12" w:space="0" w:color="00573F" w:themeColor="text2"/>
            </w:tcBorders>
          </w:tcPr>
          <w:p w14:paraId="136B9B7C" w14:textId="2748C2B4" w:rsidR="008B5E51" w:rsidRPr="008B5E51" w:rsidRDefault="008B5E51" w:rsidP="008B5E51">
            <w:pPr>
              <w:pStyle w:val="TableHeader"/>
              <w:jc w:val="center"/>
              <w:rPr>
                <w:sz w:val="20"/>
                <w:szCs w:val="20"/>
              </w:rPr>
            </w:pPr>
            <w:r w:rsidRPr="008B5E51">
              <w:rPr>
                <w:sz w:val="20"/>
                <w:szCs w:val="20"/>
              </w:rPr>
              <w:t>Total energy consumed by vehicles (MJ)</w:t>
            </w:r>
          </w:p>
        </w:tc>
        <w:tc>
          <w:tcPr>
            <w:tcW w:w="556" w:type="pct"/>
            <w:tcBorders>
              <w:top w:val="single" w:sz="12" w:space="0" w:color="00573F" w:themeColor="text2"/>
            </w:tcBorders>
          </w:tcPr>
          <w:p w14:paraId="2238932E" w14:textId="0848DEBA" w:rsidR="008B5E51" w:rsidRPr="008B5E51" w:rsidRDefault="008B5E51" w:rsidP="008B5E51">
            <w:pPr>
              <w:pStyle w:val="TableHeader"/>
              <w:jc w:val="center"/>
              <w:rPr>
                <w:sz w:val="20"/>
                <w:szCs w:val="20"/>
              </w:rPr>
            </w:pPr>
            <w:r w:rsidRPr="008B5E51">
              <w:rPr>
                <w:sz w:val="20"/>
                <w:szCs w:val="20"/>
              </w:rPr>
              <w:t>Total vehicle table associated with entity operations (km)</w:t>
            </w:r>
          </w:p>
        </w:tc>
        <w:tc>
          <w:tcPr>
            <w:tcW w:w="556" w:type="pct"/>
            <w:tcBorders>
              <w:top w:val="single" w:sz="12" w:space="0" w:color="00573F" w:themeColor="text2"/>
            </w:tcBorders>
          </w:tcPr>
          <w:p w14:paraId="6F7308DA" w14:textId="243FA823" w:rsidR="008B5E51" w:rsidRPr="008B5E51" w:rsidRDefault="008B5E51" w:rsidP="008B5E51">
            <w:pPr>
              <w:pStyle w:val="TableHeader"/>
              <w:jc w:val="center"/>
              <w:rPr>
                <w:sz w:val="20"/>
                <w:szCs w:val="20"/>
              </w:rPr>
            </w:pPr>
            <w:r w:rsidRPr="008B5E51">
              <w:rPr>
                <w:sz w:val="20"/>
                <w:szCs w:val="20"/>
              </w:rPr>
              <w:t>Total greenhouse gas emissions from vehicle fleet (tonnes of CO2 equivalent)</w:t>
            </w:r>
          </w:p>
        </w:tc>
        <w:tc>
          <w:tcPr>
            <w:tcW w:w="555" w:type="pct"/>
            <w:tcBorders>
              <w:top w:val="single" w:sz="12" w:space="0" w:color="00573F" w:themeColor="text2"/>
            </w:tcBorders>
          </w:tcPr>
          <w:p w14:paraId="2B27756E" w14:textId="5E337540" w:rsidR="008B5E51" w:rsidRPr="008B5E51" w:rsidRDefault="008B5E51" w:rsidP="008B5E51">
            <w:pPr>
              <w:pStyle w:val="TableHeader"/>
              <w:jc w:val="center"/>
              <w:rPr>
                <w:sz w:val="20"/>
                <w:szCs w:val="20"/>
              </w:rPr>
            </w:pPr>
            <w:r w:rsidRPr="008B5E51">
              <w:rPr>
                <w:sz w:val="20"/>
                <w:szCs w:val="20"/>
              </w:rPr>
              <w:t>Greenhouse gas emissions from vehicle fleet 1000km travelled (tonnes of CO2 equivalent)</w:t>
            </w:r>
          </w:p>
        </w:tc>
        <w:tc>
          <w:tcPr>
            <w:tcW w:w="557" w:type="pct"/>
            <w:gridSpan w:val="2"/>
            <w:tcBorders>
              <w:top w:val="single" w:sz="12" w:space="0" w:color="00573F" w:themeColor="text2"/>
            </w:tcBorders>
          </w:tcPr>
          <w:p w14:paraId="23D0B589" w14:textId="358C8E47" w:rsidR="008B5E51" w:rsidRPr="008B5E51" w:rsidRDefault="008B5E51" w:rsidP="008B5E51">
            <w:pPr>
              <w:pStyle w:val="TableHeader"/>
              <w:jc w:val="center"/>
              <w:rPr>
                <w:sz w:val="20"/>
                <w:szCs w:val="20"/>
              </w:rPr>
            </w:pPr>
            <w:r w:rsidRPr="008B5E51">
              <w:rPr>
                <w:sz w:val="20"/>
                <w:szCs w:val="20"/>
              </w:rPr>
              <w:t>Total distance travelled by aeroplane</w:t>
            </w:r>
          </w:p>
        </w:tc>
        <w:tc>
          <w:tcPr>
            <w:tcW w:w="1666" w:type="pct"/>
            <w:gridSpan w:val="5"/>
            <w:tcBorders>
              <w:top w:val="single" w:sz="12" w:space="0" w:color="00573F" w:themeColor="text2"/>
            </w:tcBorders>
          </w:tcPr>
          <w:p w14:paraId="44C0B58E" w14:textId="035174E0" w:rsidR="008B5E51" w:rsidRPr="008B5E51" w:rsidRDefault="008B5E51" w:rsidP="008B5E51">
            <w:pPr>
              <w:pStyle w:val="TableHeader"/>
              <w:jc w:val="center"/>
              <w:rPr>
                <w:sz w:val="20"/>
                <w:szCs w:val="20"/>
              </w:rPr>
            </w:pPr>
            <w:r w:rsidRPr="008B5E51">
              <w:rPr>
                <w:sz w:val="20"/>
                <w:szCs w:val="20"/>
              </w:rPr>
              <w:t>Percentage of employees regularly (75% attendance days) using public transport, cycling, walking, carpooling to and from work or working from home by locality type</w:t>
            </w:r>
            <w:r w:rsidR="00506AA5" w:rsidRPr="00506AA5">
              <w:rPr>
                <w:sz w:val="20"/>
                <w:szCs w:val="20"/>
                <w:vertAlign w:val="superscript"/>
              </w:rPr>
              <w:t>3</w:t>
            </w:r>
          </w:p>
        </w:tc>
      </w:tr>
      <w:tr w:rsidR="00B83B3C" w14:paraId="60D99D31" w14:textId="3001EAE5" w:rsidTr="000377CC">
        <w:trPr>
          <w:cnfStyle w:val="000000010000" w:firstRow="0" w:lastRow="0" w:firstColumn="0" w:lastColumn="0" w:oddVBand="0" w:evenVBand="0" w:oddHBand="0" w:evenHBand="1" w:firstRowFirstColumn="0" w:firstRowLastColumn="0" w:lastRowFirstColumn="0" w:lastRowLastColumn="0"/>
        </w:trPr>
        <w:tc>
          <w:tcPr>
            <w:tcW w:w="555" w:type="pct"/>
          </w:tcPr>
          <w:p w14:paraId="1FAD7B94" w14:textId="3B44BB11" w:rsidR="00B83B3C" w:rsidRPr="00973F22" w:rsidRDefault="00B83B3C" w:rsidP="00F51995">
            <w:pPr>
              <w:pStyle w:val="TableBody"/>
            </w:pPr>
          </w:p>
        </w:tc>
        <w:tc>
          <w:tcPr>
            <w:tcW w:w="555" w:type="pct"/>
          </w:tcPr>
          <w:p w14:paraId="5D6A9F3A" w14:textId="56C945E1" w:rsidR="00B83B3C" w:rsidRPr="008B5E51" w:rsidRDefault="00B83B3C" w:rsidP="00F51995">
            <w:pPr>
              <w:pStyle w:val="TableBody"/>
              <w:jc w:val="center"/>
              <w:rPr>
                <w:sz w:val="20"/>
                <w:szCs w:val="20"/>
              </w:rPr>
            </w:pPr>
          </w:p>
        </w:tc>
        <w:tc>
          <w:tcPr>
            <w:tcW w:w="556" w:type="pct"/>
          </w:tcPr>
          <w:p w14:paraId="5E6B5254" w14:textId="028AA641" w:rsidR="00B83B3C" w:rsidRPr="008B5E51" w:rsidRDefault="00B83B3C" w:rsidP="00F51995">
            <w:pPr>
              <w:pStyle w:val="TableBody"/>
              <w:jc w:val="center"/>
              <w:rPr>
                <w:sz w:val="20"/>
                <w:szCs w:val="20"/>
              </w:rPr>
            </w:pPr>
          </w:p>
        </w:tc>
        <w:tc>
          <w:tcPr>
            <w:tcW w:w="556" w:type="pct"/>
          </w:tcPr>
          <w:p w14:paraId="56424DAF" w14:textId="1C18B31A" w:rsidR="00B83B3C" w:rsidRPr="008B5E51" w:rsidRDefault="00B83B3C" w:rsidP="00F51995">
            <w:pPr>
              <w:pStyle w:val="TableBody"/>
              <w:jc w:val="center"/>
              <w:rPr>
                <w:sz w:val="20"/>
                <w:szCs w:val="20"/>
              </w:rPr>
            </w:pPr>
          </w:p>
        </w:tc>
        <w:tc>
          <w:tcPr>
            <w:tcW w:w="555" w:type="pct"/>
          </w:tcPr>
          <w:p w14:paraId="48AB255D" w14:textId="7A9BBBB8" w:rsidR="00B83B3C" w:rsidRPr="008B5E51" w:rsidRDefault="00B83B3C" w:rsidP="00F51995">
            <w:pPr>
              <w:pStyle w:val="TableBody"/>
              <w:jc w:val="center"/>
              <w:rPr>
                <w:sz w:val="20"/>
                <w:szCs w:val="20"/>
              </w:rPr>
            </w:pPr>
          </w:p>
        </w:tc>
        <w:tc>
          <w:tcPr>
            <w:tcW w:w="557" w:type="pct"/>
            <w:gridSpan w:val="2"/>
          </w:tcPr>
          <w:p w14:paraId="68C5451D" w14:textId="437D796E" w:rsidR="00B83B3C" w:rsidRPr="008B5E51" w:rsidRDefault="00B83B3C" w:rsidP="00F51995">
            <w:pPr>
              <w:pStyle w:val="TableBody"/>
              <w:jc w:val="center"/>
              <w:rPr>
                <w:sz w:val="20"/>
                <w:szCs w:val="20"/>
              </w:rPr>
            </w:pPr>
          </w:p>
        </w:tc>
        <w:tc>
          <w:tcPr>
            <w:tcW w:w="556" w:type="pct"/>
          </w:tcPr>
          <w:p w14:paraId="72F94BB0" w14:textId="4411DE77" w:rsidR="00B83B3C" w:rsidRPr="008B5E51" w:rsidRDefault="008B5E51" w:rsidP="008B5E51">
            <w:pPr>
              <w:pStyle w:val="TableHeader"/>
              <w:jc w:val="center"/>
              <w:rPr>
                <w:sz w:val="20"/>
                <w:szCs w:val="20"/>
              </w:rPr>
            </w:pPr>
            <w:r w:rsidRPr="008B5E51">
              <w:rPr>
                <w:sz w:val="20"/>
                <w:szCs w:val="20"/>
              </w:rPr>
              <w:t>CBD</w:t>
            </w:r>
          </w:p>
        </w:tc>
        <w:tc>
          <w:tcPr>
            <w:tcW w:w="556" w:type="pct"/>
            <w:gridSpan w:val="2"/>
          </w:tcPr>
          <w:p w14:paraId="7938DC99" w14:textId="352FF76E" w:rsidR="00B83B3C" w:rsidRPr="008B5E51" w:rsidRDefault="008B5E51" w:rsidP="008B5E51">
            <w:pPr>
              <w:pStyle w:val="TableHeader"/>
              <w:jc w:val="center"/>
              <w:rPr>
                <w:sz w:val="20"/>
                <w:szCs w:val="20"/>
              </w:rPr>
            </w:pPr>
            <w:r w:rsidRPr="008B5E51">
              <w:rPr>
                <w:sz w:val="20"/>
                <w:szCs w:val="20"/>
              </w:rPr>
              <w:t>Metro</w:t>
            </w:r>
          </w:p>
        </w:tc>
        <w:tc>
          <w:tcPr>
            <w:tcW w:w="554" w:type="pct"/>
            <w:gridSpan w:val="2"/>
          </w:tcPr>
          <w:p w14:paraId="549D12A8" w14:textId="1CBA96C2" w:rsidR="00B83B3C" w:rsidRPr="008B5E51" w:rsidRDefault="008B5E51" w:rsidP="008B5E51">
            <w:pPr>
              <w:pStyle w:val="TableHeader"/>
              <w:jc w:val="center"/>
              <w:rPr>
                <w:sz w:val="20"/>
                <w:szCs w:val="20"/>
              </w:rPr>
            </w:pPr>
            <w:r w:rsidRPr="008B5E51">
              <w:rPr>
                <w:sz w:val="20"/>
                <w:szCs w:val="20"/>
              </w:rPr>
              <w:t>Regional</w:t>
            </w:r>
          </w:p>
        </w:tc>
      </w:tr>
      <w:tr w:rsidR="00B83B3C" w14:paraId="6498FA22" w14:textId="28E18B1A" w:rsidTr="000377CC">
        <w:trPr>
          <w:cnfStyle w:val="000000100000" w:firstRow="0" w:lastRow="0" w:firstColumn="0" w:lastColumn="0" w:oddVBand="0" w:evenVBand="0" w:oddHBand="1" w:evenHBand="0" w:firstRowFirstColumn="0" w:firstRowLastColumn="0" w:lastRowFirstColumn="0" w:lastRowLastColumn="0"/>
        </w:trPr>
        <w:tc>
          <w:tcPr>
            <w:tcW w:w="555" w:type="pct"/>
          </w:tcPr>
          <w:p w14:paraId="17703D31" w14:textId="097150D4" w:rsidR="00B83B3C" w:rsidRPr="00973F22" w:rsidRDefault="00B83B3C" w:rsidP="00F51995">
            <w:pPr>
              <w:pStyle w:val="TableBody"/>
            </w:pPr>
            <w:r>
              <w:t>2020-21</w:t>
            </w:r>
          </w:p>
        </w:tc>
        <w:tc>
          <w:tcPr>
            <w:tcW w:w="555" w:type="pct"/>
          </w:tcPr>
          <w:p w14:paraId="47E832DA" w14:textId="12A829A8" w:rsidR="00B83B3C" w:rsidRPr="00973F22" w:rsidRDefault="00B83B3C" w:rsidP="00F51995">
            <w:pPr>
              <w:pStyle w:val="TableBody"/>
              <w:jc w:val="center"/>
            </w:pPr>
            <w:r>
              <w:t>42.8</w:t>
            </w:r>
          </w:p>
        </w:tc>
        <w:tc>
          <w:tcPr>
            <w:tcW w:w="556" w:type="pct"/>
          </w:tcPr>
          <w:p w14:paraId="31F3BBEC" w14:textId="33F1EDA5" w:rsidR="00B83B3C" w:rsidRDefault="00B83B3C" w:rsidP="00F51995">
            <w:pPr>
              <w:pStyle w:val="TableBody"/>
              <w:jc w:val="center"/>
            </w:pPr>
            <w:r>
              <w:t>25</w:t>
            </w:r>
          </w:p>
        </w:tc>
        <w:tc>
          <w:tcPr>
            <w:tcW w:w="556" w:type="pct"/>
          </w:tcPr>
          <w:p w14:paraId="6E7D27B2" w14:textId="43390A35" w:rsidR="00B83B3C" w:rsidRDefault="00B83B3C" w:rsidP="00F51995">
            <w:pPr>
              <w:pStyle w:val="TableBody"/>
              <w:jc w:val="center"/>
            </w:pPr>
            <w:r>
              <w:t>0</w:t>
            </w:r>
          </w:p>
        </w:tc>
        <w:tc>
          <w:tcPr>
            <w:tcW w:w="555" w:type="pct"/>
          </w:tcPr>
          <w:p w14:paraId="5268C522" w14:textId="6321756C" w:rsidR="00B83B3C" w:rsidRDefault="00B83B3C" w:rsidP="00F51995">
            <w:pPr>
              <w:pStyle w:val="TableBody"/>
              <w:jc w:val="center"/>
            </w:pPr>
            <w:r>
              <w:t>0</w:t>
            </w:r>
          </w:p>
        </w:tc>
        <w:tc>
          <w:tcPr>
            <w:tcW w:w="557" w:type="pct"/>
            <w:gridSpan w:val="2"/>
          </w:tcPr>
          <w:p w14:paraId="185F91BB" w14:textId="410BB205" w:rsidR="00B83B3C" w:rsidRDefault="00B83B3C" w:rsidP="00F51995">
            <w:pPr>
              <w:pStyle w:val="TableBody"/>
              <w:jc w:val="center"/>
            </w:pPr>
            <w:r>
              <w:t>5,394</w:t>
            </w:r>
          </w:p>
        </w:tc>
        <w:tc>
          <w:tcPr>
            <w:tcW w:w="556" w:type="pct"/>
          </w:tcPr>
          <w:p w14:paraId="25666763" w14:textId="06D114BE" w:rsidR="00B83B3C" w:rsidRPr="00973F22" w:rsidRDefault="00B83B3C" w:rsidP="00F51995">
            <w:pPr>
              <w:pStyle w:val="TableBody"/>
              <w:jc w:val="center"/>
            </w:pPr>
            <w:r>
              <w:t>100</w:t>
            </w:r>
          </w:p>
        </w:tc>
        <w:tc>
          <w:tcPr>
            <w:tcW w:w="556" w:type="pct"/>
            <w:gridSpan w:val="2"/>
          </w:tcPr>
          <w:p w14:paraId="154C35C7" w14:textId="39753A0F" w:rsidR="00B83B3C" w:rsidRDefault="00B83B3C" w:rsidP="00F51995">
            <w:pPr>
              <w:pStyle w:val="TableBody"/>
              <w:jc w:val="center"/>
            </w:pPr>
            <w:r>
              <w:t>81</w:t>
            </w:r>
          </w:p>
        </w:tc>
        <w:tc>
          <w:tcPr>
            <w:tcW w:w="554" w:type="pct"/>
            <w:gridSpan w:val="2"/>
          </w:tcPr>
          <w:p w14:paraId="6FA236A4" w14:textId="0D88834D" w:rsidR="00B83B3C" w:rsidRDefault="00B83B3C" w:rsidP="00F51995">
            <w:pPr>
              <w:pStyle w:val="TableBody"/>
              <w:jc w:val="center"/>
            </w:pPr>
            <w:r>
              <w:t>100</w:t>
            </w:r>
          </w:p>
        </w:tc>
      </w:tr>
      <w:tr w:rsidR="00B83B3C" w14:paraId="26591021" w14:textId="3D171562" w:rsidTr="000377CC">
        <w:trPr>
          <w:cnfStyle w:val="000000010000" w:firstRow="0" w:lastRow="0" w:firstColumn="0" w:lastColumn="0" w:oddVBand="0" w:evenVBand="0" w:oddHBand="0" w:evenHBand="1" w:firstRowFirstColumn="0" w:firstRowLastColumn="0" w:lastRowFirstColumn="0" w:lastRowLastColumn="0"/>
        </w:trPr>
        <w:tc>
          <w:tcPr>
            <w:tcW w:w="555" w:type="pct"/>
          </w:tcPr>
          <w:p w14:paraId="5BC0DAE4" w14:textId="1947B391" w:rsidR="00B83B3C" w:rsidRDefault="00B83B3C" w:rsidP="00F51995">
            <w:pPr>
              <w:pStyle w:val="TableBody"/>
            </w:pPr>
            <w:r>
              <w:t>2019-20</w:t>
            </w:r>
          </w:p>
        </w:tc>
        <w:tc>
          <w:tcPr>
            <w:tcW w:w="555" w:type="pct"/>
          </w:tcPr>
          <w:p w14:paraId="109A564A" w14:textId="42B3D879" w:rsidR="00B83B3C" w:rsidRDefault="00B83B3C" w:rsidP="00F51995">
            <w:pPr>
              <w:pStyle w:val="TableBody"/>
              <w:jc w:val="center"/>
            </w:pPr>
            <w:r>
              <w:t>11,828</w:t>
            </w:r>
          </w:p>
        </w:tc>
        <w:tc>
          <w:tcPr>
            <w:tcW w:w="556" w:type="pct"/>
          </w:tcPr>
          <w:p w14:paraId="0BED1939" w14:textId="2A16422E" w:rsidR="00B83B3C" w:rsidRDefault="00B83B3C" w:rsidP="00F51995">
            <w:pPr>
              <w:pStyle w:val="TableBody"/>
              <w:jc w:val="center"/>
            </w:pPr>
            <w:r>
              <w:t>490</w:t>
            </w:r>
          </w:p>
        </w:tc>
        <w:tc>
          <w:tcPr>
            <w:tcW w:w="556" w:type="pct"/>
          </w:tcPr>
          <w:p w14:paraId="21ED45FF" w14:textId="297F2200" w:rsidR="00B83B3C" w:rsidRDefault="00B83B3C" w:rsidP="00F51995">
            <w:pPr>
              <w:pStyle w:val="TableBody"/>
              <w:jc w:val="center"/>
            </w:pPr>
            <w:r>
              <w:t>0.81</w:t>
            </w:r>
          </w:p>
        </w:tc>
        <w:tc>
          <w:tcPr>
            <w:tcW w:w="555" w:type="pct"/>
          </w:tcPr>
          <w:p w14:paraId="26A31A82" w14:textId="455A84E6" w:rsidR="00B83B3C" w:rsidRDefault="00B83B3C" w:rsidP="00F51995">
            <w:pPr>
              <w:pStyle w:val="TableBody"/>
              <w:jc w:val="center"/>
            </w:pPr>
            <w:r>
              <w:t>0.1417</w:t>
            </w:r>
          </w:p>
        </w:tc>
        <w:tc>
          <w:tcPr>
            <w:tcW w:w="557" w:type="pct"/>
            <w:gridSpan w:val="2"/>
          </w:tcPr>
          <w:p w14:paraId="5A3CC305" w14:textId="4E98074D" w:rsidR="00B83B3C" w:rsidRDefault="00B83B3C" w:rsidP="00F51995">
            <w:pPr>
              <w:pStyle w:val="TableBody"/>
              <w:jc w:val="center"/>
            </w:pPr>
            <w:r>
              <w:t>21,156</w:t>
            </w:r>
          </w:p>
        </w:tc>
        <w:tc>
          <w:tcPr>
            <w:tcW w:w="556" w:type="pct"/>
          </w:tcPr>
          <w:p w14:paraId="68126FD4" w14:textId="1DC78D5A" w:rsidR="00B83B3C" w:rsidRDefault="00B83B3C" w:rsidP="00F51995">
            <w:pPr>
              <w:pStyle w:val="TableBody"/>
              <w:jc w:val="center"/>
            </w:pPr>
            <w:r>
              <w:t>100</w:t>
            </w:r>
          </w:p>
        </w:tc>
        <w:tc>
          <w:tcPr>
            <w:tcW w:w="556" w:type="pct"/>
            <w:gridSpan w:val="2"/>
          </w:tcPr>
          <w:p w14:paraId="52D24866" w14:textId="40C51467" w:rsidR="00B83B3C" w:rsidRDefault="00B83B3C" w:rsidP="00F51995">
            <w:pPr>
              <w:pStyle w:val="TableBody"/>
              <w:jc w:val="center"/>
            </w:pPr>
            <w:r>
              <w:t>83</w:t>
            </w:r>
          </w:p>
        </w:tc>
        <w:tc>
          <w:tcPr>
            <w:tcW w:w="554" w:type="pct"/>
            <w:gridSpan w:val="2"/>
          </w:tcPr>
          <w:p w14:paraId="399C2858" w14:textId="3A6BA787" w:rsidR="00B83B3C" w:rsidRDefault="00B83B3C" w:rsidP="00F51995">
            <w:pPr>
              <w:pStyle w:val="TableBody"/>
              <w:jc w:val="center"/>
            </w:pPr>
            <w:r>
              <w:t>100</w:t>
            </w:r>
          </w:p>
        </w:tc>
      </w:tr>
      <w:tr w:rsidR="000377CC" w:rsidRPr="002F044D" w14:paraId="58FC63DC" w14:textId="77777777" w:rsidTr="000377CC">
        <w:trPr>
          <w:gridAfter w:val="1"/>
          <w:cnfStyle w:val="000000100000" w:firstRow="0" w:lastRow="0" w:firstColumn="0" w:lastColumn="0" w:oddVBand="0" w:evenVBand="0" w:oddHBand="1" w:evenHBand="0" w:firstRowFirstColumn="0" w:firstRowLastColumn="0" w:lastRowFirstColumn="0" w:lastRowLastColumn="0"/>
          <w:wAfter w:w="6" w:type="pct"/>
        </w:trPr>
        <w:tc>
          <w:tcPr>
            <w:tcW w:w="4994" w:type="pct"/>
            <w:gridSpan w:val="11"/>
            <w:tcBorders>
              <w:bottom w:val="nil"/>
            </w:tcBorders>
          </w:tcPr>
          <w:p w14:paraId="50AEB256" w14:textId="11D37746" w:rsidR="000377CC" w:rsidRPr="002F044D" w:rsidRDefault="000377CC" w:rsidP="00F51995">
            <w:pPr>
              <w:pStyle w:val="Heading30"/>
              <w:outlineLvl w:val="2"/>
            </w:pPr>
            <w:r>
              <w:t>Greenhouse gas emissions</w:t>
            </w:r>
          </w:p>
        </w:tc>
      </w:tr>
      <w:tr w:rsidR="000377CC" w:rsidRPr="00973F22" w14:paraId="1BF9BCFA" w14:textId="77777777" w:rsidTr="000377CC">
        <w:trPr>
          <w:gridAfter w:val="1"/>
          <w:cnfStyle w:val="000000010000" w:firstRow="0" w:lastRow="0" w:firstColumn="0" w:lastColumn="0" w:oddVBand="0" w:evenVBand="0" w:oddHBand="0" w:evenHBand="1" w:firstRowFirstColumn="0" w:firstRowLastColumn="0" w:lastRowFirstColumn="0" w:lastRowLastColumn="0"/>
          <w:wAfter w:w="6" w:type="pct"/>
        </w:trPr>
        <w:tc>
          <w:tcPr>
            <w:tcW w:w="3299" w:type="pct"/>
            <w:gridSpan w:val="6"/>
            <w:tcBorders>
              <w:bottom w:val="single" w:sz="12" w:space="0" w:color="00573F" w:themeColor="text2"/>
              <w:right w:val="nil"/>
            </w:tcBorders>
            <w:shd w:val="clear" w:color="auto" w:fill="auto"/>
          </w:tcPr>
          <w:p w14:paraId="658FC7DC" w14:textId="77777777" w:rsidR="000377CC" w:rsidRPr="00973F22" w:rsidRDefault="000377CC" w:rsidP="00F51995">
            <w:pPr>
              <w:pStyle w:val="TableHeader"/>
            </w:pPr>
          </w:p>
        </w:tc>
        <w:tc>
          <w:tcPr>
            <w:tcW w:w="851" w:type="pct"/>
            <w:gridSpan w:val="3"/>
            <w:tcBorders>
              <w:left w:val="nil"/>
              <w:bottom w:val="single" w:sz="12" w:space="0" w:color="00573F" w:themeColor="text2"/>
              <w:right w:val="nil"/>
            </w:tcBorders>
            <w:shd w:val="clear" w:color="auto" w:fill="auto"/>
          </w:tcPr>
          <w:p w14:paraId="57F33410" w14:textId="77777777" w:rsidR="000377CC" w:rsidRPr="00973F22" w:rsidRDefault="000377CC" w:rsidP="00F51995">
            <w:pPr>
              <w:pStyle w:val="TableHeader"/>
              <w:jc w:val="center"/>
            </w:pPr>
            <w:r>
              <w:t>2020-21</w:t>
            </w:r>
          </w:p>
        </w:tc>
        <w:tc>
          <w:tcPr>
            <w:tcW w:w="844" w:type="pct"/>
            <w:gridSpan w:val="2"/>
            <w:tcBorders>
              <w:left w:val="nil"/>
              <w:bottom w:val="single" w:sz="12" w:space="0" w:color="00573F" w:themeColor="text2"/>
            </w:tcBorders>
            <w:shd w:val="clear" w:color="auto" w:fill="auto"/>
          </w:tcPr>
          <w:p w14:paraId="28212E4B" w14:textId="77777777" w:rsidR="000377CC" w:rsidRPr="00973F22" w:rsidRDefault="000377CC" w:rsidP="00F51995">
            <w:pPr>
              <w:pStyle w:val="TableHeader"/>
              <w:jc w:val="center"/>
            </w:pPr>
            <w:r>
              <w:t>2019-20</w:t>
            </w:r>
          </w:p>
        </w:tc>
      </w:tr>
      <w:tr w:rsidR="000377CC" w:rsidRPr="00973F22" w14:paraId="2573B754" w14:textId="77777777" w:rsidTr="000377CC">
        <w:trPr>
          <w:gridAfter w:val="1"/>
          <w:cnfStyle w:val="000000100000" w:firstRow="0" w:lastRow="0" w:firstColumn="0" w:lastColumn="0" w:oddVBand="0" w:evenVBand="0" w:oddHBand="1" w:evenHBand="0" w:firstRowFirstColumn="0" w:firstRowLastColumn="0" w:lastRowFirstColumn="0" w:lastRowLastColumn="0"/>
          <w:wAfter w:w="6" w:type="pct"/>
        </w:trPr>
        <w:tc>
          <w:tcPr>
            <w:tcW w:w="3299" w:type="pct"/>
            <w:gridSpan w:val="6"/>
            <w:tcBorders>
              <w:top w:val="single" w:sz="12" w:space="0" w:color="00573F" w:themeColor="text2"/>
            </w:tcBorders>
          </w:tcPr>
          <w:p w14:paraId="56D39278" w14:textId="66B5DF13" w:rsidR="000377CC" w:rsidRPr="00973F22" w:rsidRDefault="000377CC" w:rsidP="000377CC">
            <w:pPr>
              <w:pStyle w:val="TableBody"/>
            </w:pPr>
            <w:r w:rsidRPr="004F79F9">
              <w:t xml:space="preserve">Total greenhouse gas emissions from energy </w:t>
            </w:r>
            <w:r w:rsidRPr="004F79F9">
              <w:rPr>
                <w:rFonts w:ascii="Cambria" w:hAnsi="Cambria" w:cs="Cambria"/>
              </w:rPr>
              <w:t> </w:t>
            </w:r>
            <w:r w:rsidRPr="004F79F9">
              <w:br/>
            </w:r>
            <w:r w:rsidR="00506AA5">
              <w:t xml:space="preserve">(includes </w:t>
            </w:r>
            <w:r w:rsidR="00C34319">
              <w:t>office-based</w:t>
            </w:r>
            <w:r w:rsidR="00506AA5">
              <w:t xml:space="preserve"> data only, </w:t>
            </w:r>
            <w:r w:rsidRPr="004F79F9">
              <w:t>scope 1 and 2)</w:t>
            </w:r>
            <w:r w:rsidRPr="004F79F9">
              <w:rPr>
                <w:rFonts w:ascii="Cambria" w:hAnsi="Cambria" w:cs="Cambria"/>
              </w:rPr>
              <w:t> </w:t>
            </w:r>
          </w:p>
        </w:tc>
        <w:tc>
          <w:tcPr>
            <w:tcW w:w="851" w:type="pct"/>
            <w:gridSpan w:val="3"/>
            <w:tcBorders>
              <w:top w:val="single" w:sz="12" w:space="0" w:color="00573F" w:themeColor="text2"/>
            </w:tcBorders>
          </w:tcPr>
          <w:p w14:paraId="0DA6E2A8" w14:textId="7AA51995" w:rsidR="000377CC" w:rsidRPr="00973F22" w:rsidRDefault="000377CC" w:rsidP="000377CC">
            <w:pPr>
              <w:pStyle w:val="TableBody"/>
              <w:jc w:val="center"/>
            </w:pPr>
            <w:r>
              <w:t>100.4</w:t>
            </w:r>
          </w:p>
        </w:tc>
        <w:tc>
          <w:tcPr>
            <w:tcW w:w="844" w:type="pct"/>
            <w:gridSpan w:val="2"/>
            <w:tcBorders>
              <w:top w:val="single" w:sz="12" w:space="0" w:color="00573F" w:themeColor="text2"/>
            </w:tcBorders>
          </w:tcPr>
          <w:p w14:paraId="5652116F" w14:textId="7618060F" w:rsidR="000377CC" w:rsidRPr="00973F22" w:rsidRDefault="000377CC" w:rsidP="000377CC">
            <w:pPr>
              <w:pStyle w:val="TableBody"/>
              <w:jc w:val="center"/>
            </w:pPr>
            <w:r w:rsidRPr="004F79F9">
              <w:t>132.32</w:t>
            </w:r>
          </w:p>
        </w:tc>
      </w:tr>
      <w:tr w:rsidR="000377CC" w:rsidRPr="00973F22" w14:paraId="4BD050BA" w14:textId="77777777" w:rsidTr="000377CC">
        <w:trPr>
          <w:gridAfter w:val="1"/>
          <w:cnfStyle w:val="000000010000" w:firstRow="0" w:lastRow="0" w:firstColumn="0" w:lastColumn="0" w:oddVBand="0" w:evenVBand="0" w:oddHBand="0" w:evenHBand="1" w:firstRowFirstColumn="0" w:firstRowLastColumn="0" w:lastRowFirstColumn="0" w:lastRowLastColumn="0"/>
          <w:wAfter w:w="6" w:type="pct"/>
        </w:trPr>
        <w:tc>
          <w:tcPr>
            <w:tcW w:w="3299" w:type="pct"/>
            <w:gridSpan w:val="6"/>
          </w:tcPr>
          <w:p w14:paraId="634CC97C" w14:textId="7DE6D8CB" w:rsidR="000377CC" w:rsidRPr="00973F22" w:rsidRDefault="000377CC" w:rsidP="000377CC">
            <w:pPr>
              <w:pStyle w:val="TableBody"/>
            </w:pPr>
            <w:r w:rsidRPr="004F79F9">
              <w:t>Total greenhouse gas emissions from vehicle use</w:t>
            </w:r>
            <w:r w:rsidRPr="004F79F9">
              <w:rPr>
                <w:rFonts w:ascii="Cambria" w:hAnsi="Cambria" w:cs="Cambria"/>
              </w:rPr>
              <w:t> </w:t>
            </w:r>
          </w:p>
        </w:tc>
        <w:tc>
          <w:tcPr>
            <w:tcW w:w="851" w:type="pct"/>
            <w:gridSpan w:val="3"/>
          </w:tcPr>
          <w:p w14:paraId="13DA8E30" w14:textId="12AD64AA" w:rsidR="000377CC" w:rsidRPr="00973F22" w:rsidRDefault="000377CC" w:rsidP="000377CC">
            <w:pPr>
              <w:pStyle w:val="TableBody"/>
              <w:jc w:val="center"/>
            </w:pPr>
            <w:r w:rsidRPr="00091299">
              <w:t>0</w:t>
            </w:r>
          </w:p>
        </w:tc>
        <w:tc>
          <w:tcPr>
            <w:tcW w:w="844" w:type="pct"/>
            <w:gridSpan w:val="2"/>
          </w:tcPr>
          <w:p w14:paraId="428D8FBE" w14:textId="20FB80F0" w:rsidR="000377CC" w:rsidRPr="00973F22" w:rsidRDefault="000377CC" w:rsidP="000377CC">
            <w:pPr>
              <w:pStyle w:val="TableBody"/>
              <w:jc w:val="center"/>
            </w:pPr>
            <w:r>
              <w:t>0</w:t>
            </w:r>
            <w:r w:rsidRPr="004F79F9">
              <w:t>.81</w:t>
            </w:r>
          </w:p>
        </w:tc>
      </w:tr>
      <w:tr w:rsidR="000377CC" w:rsidRPr="00973F22" w14:paraId="74B33FA0" w14:textId="77777777" w:rsidTr="000377CC">
        <w:trPr>
          <w:gridAfter w:val="1"/>
          <w:cnfStyle w:val="000000100000" w:firstRow="0" w:lastRow="0" w:firstColumn="0" w:lastColumn="0" w:oddVBand="0" w:evenVBand="0" w:oddHBand="1" w:evenHBand="0" w:firstRowFirstColumn="0" w:firstRowLastColumn="0" w:lastRowFirstColumn="0" w:lastRowLastColumn="0"/>
          <w:wAfter w:w="6" w:type="pct"/>
        </w:trPr>
        <w:tc>
          <w:tcPr>
            <w:tcW w:w="3299" w:type="pct"/>
            <w:gridSpan w:val="6"/>
          </w:tcPr>
          <w:p w14:paraId="11B5CE35" w14:textId="353C1A61" w:rsidR="000377CC" w:rsidRPr="00973F22" w:rsidRDefault="000377CC" w:rsidP="000377CC">
            <w:pPr>
              <w:pStyle w:val="TableBody"/>
            </w:pPr>
            <w:r w:rsidRPr="004F79F9">
              <w:t>Total greenhouse gas emissions from air travel</w:t>
            </w:r>
            <w:r w:rsidRPr="004F79F9">
              <w:rPr>
                <w:rFonts w:ascii="Cambria" w:hAnsi="Cambria" w:cs="Cambria"/>
              </w:rPr>
              <w:t> </w:t>
            </w:r>
          </w:p>
        </w:tc>
        <w:tc>
          <w:tcPr>
            <w:tcW w:w="851" w:type="pct"/>
            <w:gridSpan w:val="3"/>
          </w:tcPr>
          <w:p w14:paraId="06B48A8B" w14:textId="6B8E2CFC" w:rsidR="000377CC" w:rsidRPr="00973F22" w:rsidRDefault="000377CC" w:rsidP="000377CC">
            <w:pPr>
              <w:pStyle w:val="TableBody"/>
              <w:jc w:val="center"/>
            </w:pPr>
            <w:r w:rsidRPr="0037750C">
              <w:t>0.</w:t>
            </w:r>
            <w:r>
              <w:t>87</w:t>
            </w:r>
          </w:p>
        </w:tc>
        <w:tc>
          <w:tcPr>
            <w:tcW w:w="844" w:type="pct"/>
            <w:gridSpan w:val="2"/>
          </w:tcPr>
          <w:p w14:paraId="5733AE51" w14:textId="4860A96C" w:rsidR="000377CC" w:rsidRPr="00973F22" w:rsidRDefault="000377CC" w:rsidP="000377CC">
            <w:pPr>
              <w:pStyle w:val="TableBody"/>
              <w:jc w:val="center"/>
            </w:pPr>
            <w:r w:rsidRPr="004F79F9">
              <w:t>3.35</w:t>
            </w:r>
          </w:p>
        </w:tc>
      </w:tr>
      <w:tr w:rsidR="000377CC" w:rsidRPr="00E6225F" w14:paraId="1EB2BEFE" w14:textId="77777777" w:rsidTr="000377CC">
        <w:trPr>
          <w:gridAfter w:val="1"/>
          <w:cnfStyle w:val="000000010000" w:firstRow="0" w:lastRow="0" w:firstColumn="0" w:lastColumn="0" w:oddVBand="0" w:evenVBand="0" w:oddHBand="0" w:evenHBand="1" w:firstRowFirstColumn="0" w:firstRowLastColumn="0" w:lastRowFirstColumn="0" w:lastRowLastColumn="0"/>
          <w:wAfter w:w="6" w:type="pct"/>
        </w:trPr>
        <w:tc>
          <w:tcPr>
            <w:tcW w:w="3299" w:type="pct"/>
            <w:gridSpan w:val="6"/>
          </w:tcPr>
          <w:p w14:paraId="1B9CD40A" w14:textId="3B5DBA7C" w:rsidR="000377CC" w:rsidRDefault="000377CC" w:rsidP="000377CC">
            <w:pPr>
              <w:pStyle w:val="TableBody"/>
            </w:pPr>
            <w:r w:rsidRPr="004F79F9">
              <w:t>Total greenhouse gas emissions from waste</w:t>
            </w:r>
            <w:r>
              <w:rPr>
                <w:sz w:val="14"/>
                <w:szCs w:val="14"/>
                <w:lang w:val="en-US" w:eastAsia="en-AU"/>
              </w:rPr>
              <w:t>2</w:t>
            </w:r>
            <w:r>
              <w:t xml:space="preserve"> </w:t>
            </w:r>
          </w:p>
        </w:tc>
        <w:tc>
          <w:tcPr>
            <w:tcW w:w="851" w:type="pct"/>
            <w:gridSpan w:val="3"/>
          </w:tcPr>
          <w:p w14:paraId="6A7F414C" w14:textId="3F506109" w:rsidR="000377CC" w:rsidRPr="00E6225F" w:rsidRDefault="000377CC" w:rsidP="000377CC">
            <w:pPr>
              <w:pStyle w:val="TableBody"/>
              <w:jc w:val="center"/>
            </w:pPr>
            <w:r w:rsidRPr="0037750C">
              <w:t>N/A</w:t>
            </w:r>
          </w:p>
        </w:tc>
        <w:tc>
          <w:tcPr>
            <w:tcW w:w="844" w:type="pct"/>
            <w:gridSpan w:val="2"/>
          </w:tcPr>
          <w:p w14:paraId="2EF8ED42" w14:textId="09A77715" w:rsidR="000377CC" w:rsidRPr="00E6225F" w:rsidRDefault="000377CC" w:rsidP="000377CC">
            <w:pPr>
              <w:pStyle w:val="TableBody"/>
              <w:jc w:val="center"/>
            </w:pPr>
            <w:r w:rsidRPr="004F79F9">
              <w:t>N/A</w:t>
            </w:r>
          </w:p>
        </w:tc>
      </w:tr>
      <w:tr w:rsidR="000377CC" w:rsidRPr="00973F22" w14:paraId="43983EFC" w14:textId="77777777" w:rsidTr="000377CC">
        <w:trPr>
          <w:gridAfter w:val="1"/>
          <w:cnfStyle w:val="000000100000" w:firstRow="0" w:lastRow="0" w:firstColumn="0" w:lastColumn="0" w:oddVBand="0" w:evenVBand="0" w:oddHBand="1" w:evenHBand="0" w:firstRowFirstColumn="0" w:firstRowLastColumn="0" w:lastRowFirstColumn="0" w:lastRowLastColumn="0"/>
          <w:wAfter w:w="6" w:type="pct"/>
        </w:trPr>
        <w:tc>
          <w:tcPr>
            <w:tcW w:w="3299" w:type="pct"/>
            <w:gridSpan w:val="6"/>
          </w:tcPr>
          <w:p w14:paraId="4A55CAB9" w14:textId="6E559E11" w:rsidR="000377CC" w:rsidRPr="00973F22" w:rsidRDefault="000377CC" w:rsidP="000377CC">
            <w:pPr>
              <w:pStyle w:val="TableBody"/>
            </w:pPr>
            <w:r w:rsidRPr="004F79F9">
              <w:t>Total greenhouse gas emissions offsets purchased</w:t>
            </w:r>
            <w:r w:rsidRPr="004F79F9">
              <w:rPr>
                <w:rFonts w:ascii="Cambria" w:hAnsi="Cambria" w:cs="Cambria"/>
              </w:rPr>
              <w:t> </w:t>
            </w:r>
          </w:p>
        </w:tc>
        <w:tc>
          <w:tcPr>
            <w:tcW w:w="851" w:type="pct"/>
            <w:gridSpan w:val="3"/>
          </w:tcPr>
          <w:p w14:paraId="584EFABD" w14:textId="6FF8D6FE" w:rsidR="000377CC" w:rsidRPr="00973F22" w:rsidRDefault="000377CC" w:rsidP="00506AA5">
            <w:pPr>
              <w:pStyle w:val="TableBody"/>
              <w:jc w:val="center"/>
            </w:pPr>
            <w:r w:rsidRPr="0037750C">
              <w:t>0</w:t>
            </w:r>
          </w:p>
        </w:tc>
        <w:tc>
          <w:tcPr>
            <w:tcW w:w="844" w:type="pct"/>
            <w:gridSpan w:val="2"/>
          </w:tcPr>
          <w:p w14:paraId="68F61533" w14:textId="385CC3FD" w:rsidR="000377CC" w:rsidRPr="00973F22" w:rsidRDefault="000377CC" w:rsidP="00506AA5">
            <w:pPr>
              <w:pStyle w:val="TableBody"/>
              <w:jc w:val="center"/>
            </w:pPr>
            <w:r w:rsidRPr="004F79F9">
              <w:t>0</w:t>
            </w:r>
          </w:p>
        </w:tc>
      </w:tr>
      <w:tr w:rsidR="0095500A" w:rsidRPr="00973F22" w14:paraId="7DA591E0" w14:textId="77777777" w:rsidTr="0095500A">
        <w:trPr>
          <w:gridAfter w:val="1"/>
          <w:cnfStyle w:val="000000010000" w:firstRow="0" w:lastRow="0" w:firstColumn="0" w:lastColumn="0" w:oddVBand="0" w:evenVBand="0" w:oddHBand="0" w:evenHBand="1" w:firstRowFirstColumn="0" w:firstRowLastColumn="0" w:lastRowFirstColumn="0" w:lastRowLastColumn="0"/>
          <w:wAfter w:w="6" w:type="pct"/>
        </w:trPr>
        <w:tc>
          <w:tcPr>
            <w:tcW w:w="4994" w:type="pct"/>
            <w:gridSpan w:val="11"/>
            <w:shd w:val="clear" w:color="auto" w:fill="auto"/>
          </w:tcPr>
          <w:p w14:paraId="25212686" w14:textId="77777777" w:rsidR="0095500A" w:rsidRDefault="0095500A" w:rsidP="0095500A">
            <w:pPr>
              <w:pStyle w:val="TableBody"/>
              <w:rPr>
                <w:sz w:val="18"/>
                <w:szCs w:val="18"/>
              </w:rPr>
            </w:pPr>
            <w:r w:rsidRPr="0050118D">
              <w:rPr>
                <w:b/>
                <w:bCs/>
                <w:sz w:val="18"/>
                <w:szCs w:val="18"/>
              </w:rPr>
              <w:lastRenderedPageBreak/>
              <w:t xml:space="preserve">Notes: </w:t>
            </w:r>
          </w:p>
          <w:p w14:paraId="03CFAB4A" w14:textId="126873E1" w:rsidR="0095500A" w:rsidRPr="00A1480B" w:rsidRDefault="0095500A" w:rsidP="00F8706A">
            <w:pPr>
              <w:pStyle w:val="TableBody"/>
              <w:numPr>
                <w:ilvl w:val="0"/>
                <w:numId w:val="13"/>
              </w:numPr>
              <w:rPr>
                <w:sz w:val="18"/>
                <w:szCs w:val="18"/>
              </w:rPr>
            </w:pPr>
            <w:r>
              <w:rPr>
                <w:sz w:val="18"/>
                <w:szCs w:val="18"/>
              </w:rPr>
              <w:t>Based on 88.63 FTE at 30 June 2020 and 107.25 FTE at 30 June 2021.</w:t>
            </w:r>
          </w:p>
          <w:p w14:paraId="53C9C669" w14:textId="484C7B76" w:rsidR="0095500A" w:rsidRDefault="0095500A" w:rsidP="00F8706A">
            <w:pPr>
              <w:pStyle w:val="TableBody"/>
              <w:numPr>
                <w:ilvl w:val="0"/>
                <w:numId w:val="13"/>
              </w:numPr>
              <w:rPr>
                <w:sz w:val="18"/>
                <w:szCs w:val="18"/>
              </w:rPr>
            </w:pPr>
            <w:r>
              <w:rPr>
                <w:sz w:val="18"/>
                <w:szCs w:val="18"/>
              </w:rPr>
              <w:t xml:space="preserve">Waste, greenhouse gas emissions associated with waste </w:t>
            </w:r>
            <w:r w:rsidR="00506AA5">
              <w:rPr>
                <w:sz w:val="18"/>
                <w:szCs w:val="18"/>
              </w:rPr>
              <w:t>disposal</w:t>
            </w:r>
            <w:r>
              <w:rPr>
                <w:sz w:val="18"/>
                <w:szCs w:val="18"/>
              </w:rPr>
              <w:t xml:space="preserve"> and greenhouse gas emissions from waste could not be reported for 2020-21 due to COVID-19.</w:t>
            </w:r>
          </w:p>
          <w:p w14:paraId="7DD8B506" w14:textId="244D15FC" w:rsidR="0095500A" w:rsidRPr="0095500A" w:rsidRDefault="0095500A" w:rsidP="00F8706A">
            <w:pPr>
              <w:pStyle w:val="TableBody"/>
              <w:numPr>
                <w:ilvl w:val="0"/>
                <w:numId w:val="13"/>
              </w:numPr>
              <w:rPr>
                <w:sz w:val="18"/>
                <w:szCs w:val="18"/>
              </w:rPr>
            </w:pPr>
            <w:r>
              <w:rPr>
                <w:sz w:val="18"/>
                <w:szCs w:val="18"/>
              </w:rPr>
              <w:t>The Commission conducted an internal survey to ascertain the proportion of employees using each transport mode.</w:t>
            </w:r>
          </w:p>
        </w:tc>
      </w:tr>
    </w:tbl>
    <w:p w14:paraId="0B84DE70" w14:textId="3A899D7B" w:rsidR="008F439D" w:rsidRPr="00322E0E" w:rsidRDefault="008F439D" w:rsidP="00CE6560">
      <w:pPr>
        <w:pStyle w:val="Heading20"/>
        <w:rPr>
          <w:rStyle w:val="Strong"/>
          <w:rFonts w:ascii="VIC SemiBold" w:hAnsi="VIC SemiBold"/>
        </w:rPr>
      </w:pPr>
      <w:r w:rsidRPr="00322E0E">
        <w:rPr>
          <w:rStyle w:val="Strong"/>
          <w:rFonts w:ascii="VIC SemiBold" w:hAnsi="VIC SemiBold"/>
        </w:rPr>
        <w:t>Additional information available on request</w:t>
      </w:r>
    </w:p>
    <w:p w14:paraId="03562251" w14:textId="01DCE6DF" w:rsidR="008F439D" w:rsidRPr="008F439D" w:rsidRDefault="008F439D" w:rsidP="008F439D">
      <w:pPr>
        <w:pStyle w:val="Body"/>
      </w:pPr>
      <w:r w:rsidRPr="008F439D">
        <w:t xml:space="preserve">In compliance with the requirements of the Standing Directions 2018 under the Financial Management Act 1994, details in respect to the terms listed below have now been retained by the </w:t>
      </w:r>
      <w:r w:rsidR="001C4240">
        <w:t>Commission</w:t>
      </w:r>
      <w:r w:rsidRPr="008F439D">
        <w:t xml:space="preserve"> and are available on request, subject to the provisions of the Freedom of Information Act 1982.</w:t>
      </w:r>
    </w:p>
    <w:p w14:paraId="1A6F36AC" w14:textId="77777777" w:rsidR="008F439D" w:rsidRPr="008F439D" w:rsidRDefault="008F439D" w:rsidP="008F439D">
      <w:pPr>
        <w:pStyle w:val="Bullet1"/>
      </w:pPr>
      <w:r w:rsidRPr="008F439D">
        <w:t>A statement that declarations of pecuniary interest have been duly completed by all relevant officers.</w:t>
      </w:r>
    </w:p>
    <w:p w14:paraId="379135A2" w14:textId="77777777" w:rsidR="008F439D" w:rsidRPr="008F439D" w:rsidRDefault="008F439D" w:rsidP="008F439D">
      <w:pPr>
        <w:pStyle w:val="Bullet1"/>
      </w:pPr>
      <w:r w:rsidRPr="008F439D">
        <w:t>Details of shares held by a senior officer as nominee or held beneficially in a statutory authority or subsidiary.</w:t>
      </w:r>
    </w:p>
    <w:p w14:paraId="58C356D3" w14:textId="77777777" w:rsidR="008F439D" w:rsidRPr="008F439D" w:rsidRDefault="008F439D" w:rsidP="008F439D">
      <w:pPr>
        <w:pStyle w:val="Bullet1"/>
      </w:pPr>
      <w:r w:rsidRPr="008F439D">
        <w:t>Details of publications produced by the entity, about the entity, and the places where publications can be obtained.</w:t>
      </w:r>
    </w:p>
    <w:p w14:paraId="58E6C7B9" w14:textId="77777777" w:rsidR="008F439D" w:rsidRPr="008F439D" w:rsidRDefault="008F439D" w:rsidP="008F439D">
      <w:pPr>
        <w:pStyle w:val="Bullet1"/>
      </w:pPr>
      <w:r w:rsidRPr="008F439D">
        <w:t>Details of changes in prices, fees, charges, rates and levies charged by the entity.</w:t>
      </w:r>
    </w:p>
    <w:p w14:paraId="2888F3B4" w14:textId="77777777" w:rsidR="008F439D" w:rsidRPr="008F439D" w:rsidRDefault="008F439D" w:rsidP="008F439D">
      <w:pPr>
        <w:pStyle w:val="Bullet1"/>
      </w:pPr>
      <w:r w:rsidRPr="008F439D">
        <w:t>Details of any major external reviews carried out by the entity.</w:t>
      </w:r>
    </w:p>
    <w:p w14:paraId="28F9FEA8" w14:textId="77777777" w:rsidR="008F439D" w:rsidRPr="008F439D" w:rsidRDefault="008F439D" w:rsidP="008F439D">
      <w:pPr>
        <w:pStyle w:val="Bullet1"/>
      </w:pPr>
      <w:r w:rsidRPr="008F439D">
        <w:t>Details of any major research and development activities undertaken by the entity.</w:t>
      </w:r>
    </w:p>
    <w:p w14:paraId="19AB4AB3" w14:textId="77777777" w:rsidR="008F439D" w:rsidRPr="008F439D" w:rsidRDefault="008F439D" w:rsidP="008F439D">
      <w:pPr>
        <w:pStyle w:val="Bullet1"/>
      </w:pPr>
      <w:r w:rsidRPr="008F439D">
        <w:t>Details of overseas visits undertaken including a summary of the objectives and outcomes of each visit.</w:t>
      </w:r>
    </w:p>
    <w:p w14:paraId="5B5D7C6F" w14:textId="77777777" w:rsidR="008F439D" w:rsidRPr="008F439D" w:rsidRDefault="008F439D" w:rsidP="008F439D">
      <w:pPr>
        <w:pStyle w:val="Bullet1"/>
      </w:pPr>
      <w:r w:rsidRPr="008F439D">
        <w:t>Details of major promotional, public relations and marketing activities undertaken by the entity to develop community awareness of the entity and the services it provides.</w:t>
      </w:r>
    </w:p>
    <w:p w14:paraId="2C7B8C23" w14:textId="77777777" w:rsidR="008F439D" w:rsidRPr="008F439D" w:rsidRDefault="008F439D" w:rsidP="008F439D">
      <w:pPr>
        <w:pStyle w:val="Bullet1"/>
      </w:pPr>
      <w:r w:rsidRPr="008F439D">
        <w:t>Details of assessments and measures undertaken to improve the occupational health and safety of employees.</w:t>
      </w:r>
    </w:p>
    <w:p w14:paraId="1ABBDE14" w14:textId="77777777" w:rsidR="008F439D" w:rsidRPr="008F439D" w:rsidRDefault="008F439D" w:rsidP="008F439D">
      <w:pPr>
        <w:pStyle w:val="Bullet1"/>
      </w:pPr>
      <w:r w:rsidRPr="008F439D">
        <w:t>A general statement on industrial relations within the entity and details of time lost through industrial action and disputes.</w:t>
      </w:r>
    </w:p>
    <w:p w14:paraId="4F9B1516" w14:textId="40F152B3" w:rsidR="008F439D" w:rsidRDefault="008F439D" w:rsidP="008F439D">
      <w:pPr>
        <w:pStyle w:val="Bullet1"/>
      </w:pPr>
      <w:r w:rsidRPr="008F439D">
        <w:lastRenderedPageBreak/>
        <w:t>A list of major committees sponsored by the entity, the purposes of each committee, and the extent to which the purposes have been achieved.</w:t>
      </w:r>
    </w:p>
    <w:p w14:paraId="317370B3" w14:textId="77777777" w:rsidR="008F439D" w:rsidRPr="00B74E10" w:rsidRDefault="008F439D" w:rsidP="00B74E10">
      <w:pPr>
        <w:pStyle w:val="Heading20"/>
        <w:rPr>
          <w:rStyle w:val="Strong"/>
          <w:rFonts w:ascii="VIC SemiBold" w:hAnsi="VIC SemiBold"/>
        </w:rPr>
      </w:pPr>
      <w:r w:rsidRPr="00B74E10">
        <w:rPr>
          <w:rStyle w:val="Strong"/>
          <w:rFonts w:ascii="VIC SemiBold" w:hAnsi="VIC SemiBold"/>
        </w:rPr>
        <w:t>Attestation for financial management compliance with Standing Directions 5.1.4</w:t>
      </w:r>
    </w:p>
    <w:p w14:paraId="34B75C1E" w14:textId="77777777" w:rsidR="008F439D" w:rsidRPr="00B74E10" w:rsidRDefault="008F439D" w:rsidP="00B74E10">
      <w:pPr>
        <w:pStyle w:val="Heading30"/>
        <w:rPr>
          <w:rStyle w:val="Strong"/>
          <w:rFonts w:ascii="VIC" w:hAnsi="VIC"/>
        </w:rPr>
      </w:pPr>
      <w:r w:rsidRPr="00B74E10">
        <w:rPr>
          <w:rStyle w:val="Strong"/>
          <w:rFonts w:ascii="VIC" w:hAnsi="VIC"/>
        </w:rPr>
        <w:t>Victorian Public Sector Commission Financial Management Compliance Attestation Statement</w:t>
      </w:r>
    </w:p>
    <w:p w14:paraId="7955C39C" w14:textId="5AC87A59" w:rsidR="008F439D" w:rsidRPr="008F439D" w:rsidRDefault="008F439D" w:rsidP="008F439D">
      <w:pPr>
        <w:pStyle w:val="Body"/>
      </w:pPr>
      <w:r w:rsidRPr="008F439D">
        <w:t>The Victorian Public Sector Commission has not identified any Material Compliance Deficiencies for the financial year ended 30 June 202</w:t>
      </w:r>
      <w:r>
        <w:t>1</w:t>
      </w:r>
      <w:r w:rsidRPr="008F439D">
        <w:t>.</w:t>
      </w:r>
    </w:p>
    <w:p w14:paraId="6A3E3A45" w14:textId="77777777" w:rsidR="008F439D" w:rsidRPr="008F439D" w:rsidRDefault="008F439D" w:rsidP="008F439D">
      <w:pPr>
        <w:pStyle w:val="Body"/>
      </w:pPr>
      <w:r w:rsidRPr="008F439D">
        <w:t>I, Adam Fennessy, certify that the Victorian Public Sector Commission has complied with respect to the Standing Directions under the Financial Management Act 1994 and Instructions.</w:t>
      </w:r>
    </w:p>
    <w:p w14:paraId="704E59FB" w14:textId="6208058A" w:rsidR="008F439D" w:rsidRPr="008F439D" w:rsidRDefault="00782836" w:rsidP="008F439D">
      <w:pPr>
        <w:pStyle w:val="Body"/>
      </w:pPr>
      <w:r>
        <w:rPr>
          <w:highlight w:val="yellow"/>
        </w:rPr>
        <w:t xml:space="preserve"> </w:t>
      </w:r>
    </w:p>
    <w:p w14:paraId="6C0298AE" w14:textId="74EC6768" w:rsidR="00DC1D4C" w:rsidRDefault="00DC1D4C" w:rsidP="008F439D">
      <w:pPr>
        <w:pStyle w:val="Body"/>
        <w:rPr>
          <w:rStyle w:val="Strong"/>
        </w:rPr>
      </w:pPr>
    </w:p>
    <w:p w14:paraId="08DEE820" w14:textId="691F2CB2" w:rsidR="008F439D" w:rsidRPr="008F439D" w:rsidRDefault="008F439D" w:rsidP="008F439D">
      <w:pPr>
        <w:pStyle w:val="Body"/>
      </w:pPr>
      <w:r w:rsidRPr="00192FF8">
        <w:rPr>
          <w:rStyle w:val="Strong"/>
        </w:rPr>
        <w:t>Adam Fennessy PSM</w:t>
      </w:r>
      <w:r w:rsidRPr="008F439D">
        <w:br/>
        <w:t>Commissioner</w:t>
      </w:r>
      <w:r w:rsidRPr="008F439D">
        <w:br/>
        <w:t>Victorian Public Sector Commission</w:t>
      </w:r>
    </w:p>
    <w:p w14:paraId="04FE78F8" w14:textId="7DE584A8" w:rsidR="008F439D" w:rsidRDefault="00DC1D4C" w:rsidP="00D8308F">
      <w:pPr>
        <w:pStyle w:val="Body"/>
      </w:pPr>
      <w:r>
        <w:t>25 October 2021</w:t>
      </w:r>
    </w:p>
    <w:p w14:paraId="76C92DEB" w14:textId="6004E39C" w:rsidR="00322E0E" w:rsidRPr="00322E0E" w:rsidRDefault="00322E0E" w:rsidP="00322E0E">
      <w:pPr>
        <w:pStyle w:val="Heading20"/>
        <w:rPr>
          <w:rStyle w:val="Strong"/>
          <w:rFonts w:ascii="VIC SemiBold" w:hAnsi="VIC SemiBold"/>
        </w:rPr>
      </w:pPr>
      <w:r>
        <w:rPr>
          <w:rStyle w:val="Strong"/>
          <w:rFonts w:ascii="VIC SemiBold" w:hAnsi="VIC SemiBold"/>
        </w:rPr>
        <w:t xml:space="preserve">Compliance with </w:t>
      </w:r>
      <w:r w:rsidRPr="00322E0E">
        <w:rPr>
          <w:rStyle w:val="Strong"/>
          <w:rFonts w:ascii="VIC SemiBold" w:hAnsi="VIC SemiBold"/>
        </w:rPr>
        <w:t>DataVic access policy</w:t>
      </w:r>
    </w:p>
    <w:p w14:paraId="6164E59A" w14:textId="12919E7B" w:rsidR="00322E0E" w:rsidRDefault="00322E0E" w:rsidP="00D8308F">
      <w:pPr>
        <w:pStyle w:val="Body"/>
        <w:rPr>
          <w:rStyle w:val="Strong"/>
          <w:rFonts w:ascii="VIC" w:hAnsi="VIC"/>
        </w:rPr>
      </w:pPr>
      <w:r w:rsidRPr="00C93E48">
        <w:rPr>
          <w:rStyle w:val="Strong"/>
          <w:rFonts w:ascii="VIC" w:hAnsi="VIC"/>
        </w:rPr>
        <w:t xml:space="preserve">Consistent with the DataVic Access Policy issued by the Victorian Government in 2012, the </w:t>
      </w:r>
      <w:r>
        <w:rPr>
          <w:rStyle w:val="Strong"/>
          <w:rFonts w:ascii="VIC" w:hAnsi="VIC"/>
        </w:rPr>
        <w:t xml:space="preserve">Commission </w:t>
      </w:r>
      <w:r w:rsidRPr="00C93E48">
        <w:rPr>
          <w:rStyle w:val="Strong"/>
          <w:rFonts w:ascii="VIC" w:hAnsi="VIC"/>
        </w:rPr>
        <w:t xml:space="preserve">made </w:t>
      </w:r>
      <w:r>
        <w:rPr>
          <w:rStyle w:val="Strong"/>
          <w:rFonts w:ascii="VIC" w:hAnsi="VIC"/>
        </w:rPr>
        <w:t>10</w:t>
      </w:r>
      <w:r w:rsidRPr="00C93E48">
        <w:rPr>
          <w:rStyle w:val="Strong"/>
          <w:rFonts w:ascii="VIC" w:hAnsi="VIC"/>
        </w:rPr>
        <w:t xml:space="preserve"> data sets available on the DataVic website in 2020</w:t>
      </w:r>
      <w:r w:rsidRPr="00C93E48">
        <w:rPr>
          <w:rStyle w:val="Strong"/>
          <w:rFonts w:ascii="Times New Roman" w:hAnsi="Times New Roman"/>
        </w:rPr>
        <w:t>‑</w:t>
      </w:r>
      <w:r w:rsidRPr="00C93E48">
        <w:rPr>
          <w:rStyle w:val="Strong"/>
          <w:rFonts w:ascii="VIC" w:hAnsi="VIC"/>
        </w:rPr>
        <w:t>21. Information included in this Annual Report will also be available at data.vic.gov.au in electronic readable format</w:t>
      </w:r>
    </w:p>
    <w:p w14:paraId="0CA1CFFD" w14:textId="5AB7FBC2" w:rsidR="00322E0E" w:rsidRPr="00322E0E" w:rsidRDefault="00322E0E" w:rsidP="00322E0E">
      <w:pPr>
        <w:pStyle w:val="Heading20"/>
        <w:rPr>
          <w:rStyle w:val="Strong"/>
          <w:rFonts w:ascii="VIC SemiBold" w:hAnsi="VIC SemiBold"/>
        </w:rPr>
      </w:pPr>
      <w:r>
        <w:rPr>
          <w:rStyle w:val="Strong"/>
          <w:rFonts w:ascii="VIC SemiBold" w:hAnsi="VIC SemiBold"/>
        </w:rPr>
        <w:t>Asset management accountability framework maturity assessment</w:t>
      </w:r>
    </w:p>
    <w:p w14:paraId="3A12C4D1" w14:textId="1E4894E1" w:rsidR="009B2783" w:rsidRDefault="009B2783" w:rsidP="00D8308F">
      <w:pPr>
        <w:pStyle w:val="Body"/>
      </w:pPr>
      <w:r>
        <w:t xml:space="preserve">The </w:t>
      </w:r>
      <w:r w:rsidR="0079078E">
        <w:t>compliance and maturity rating</w:t>
      </w:r>
      <w:r>
        <w:t xml:space="preserve"> </w:t>
      </w:r>
      <w:r w:rsidR="00C07D58">
        <w:t>diagram</w:t>
      </w:r>
      <w:r>
        <w:t xml:space="preserve"> summarises the Commission’s assessment of maturity against the requirements of the Asset Management Accountability Framework (AMAF). </w:t>
      </w:r>
    </w:p>
    <w:p w14:paraId="1EE91946" w14:textId="0BA0FCE6" w:rsidR="009B2783" w:rsidRDefault="009B2783" w:rsidP="00D8308F">
      <w:pPr>
        <w:pStyle w:val="Body"/>
      </w:pPr>
      <w:r>
        <w:lastRenderedPageBreak/>
        <w:t xml:space="preserve">The AMAF is a non-prescriptive, devolved accountability model of asset management that requires compliance with 41 mandatory requirements. These requirements can be found on the </w:t>
      </w:r>
      <w:hyperlink r:id="rId36" w:history="1">
        <w:r w:rsidRPr="009B2783">
          <w:rPr>
            <w:rStyle w:val="Hyperlink"/>
          </w:rPr>
          <w:t>Department of Treasury and Finance</w:t>
        </w:r>
      </w:hyperlink>
      <w:r>
        <w:t xml:space="preserve"> website. </w:t>
      </w:r>
    </w:p>
    <w:p w14:paraId="09FB66C2" w14:textId="53AA01EB" w:rsidR="00322E0E" w:rsidRDefault="009B2783" w:rsidP="00D8308F">
      <w:pPr>
        <w:pStyle w:val="Body"/>
      </w:pPr>
      <w:r>
        <w:t xml:space="preserve">The Commission’s target maturity rating is 'competence', meaning systems and processes fully in place, consistently applied and systematically meeting the AMAF requirement, including a continuous improvement process to expand system performance above AMAF minimum requirements. </w:t>
      </w:r>
    </w:p>
    <w:p w14:paraId="3C187029" w14:textId="620E6020" w:rsidR="00C07D58" w:rsidRDefault="00C07D58" w:rsidP="00C07D58">
      <w:pPr>
        <w:pStyle w:val="Heading30"/>
      </w:pPr>
      <w:r>
        <w:t>Compliance and maturity rating</w:t>
      </w:r>
    </w:p>
    <w:tbl>
      <w:tblPr>
        <w:tblStyle w:val="TableHorizontal"/>
        <w:tblW w:w="0" w:type="auto"/>
        <w:tblLook w:val="0420" w:firstRow="1" w:lastRow="0" w:firstColumn="0" w:lastColumn="0" w:noHBand="0" w:noVBand="1"/>
      </w:tblPr>
      <w:tblGrid>
        <w:gridCol w:w="1985"/>
        <w:gridCol w:w="2026"/>
      </w:tblGrid>
      <w:tr w:rsidR="009B2783" w14:paraId="1737D395" w14:textId="77777777" w:rsidTr="0079078E">
        <w:trPr>
          <w:cnfStyle w:val="100000000000" w:firstRow="1" w:lastRow="0" w:firstColumn="0" w:lastColumn="0" w:oddVBand="0" w:evenVBand="0" w:oddHBand="0" w:evenHBand="0" w:firstRowFirstColumn="0" w:firstRowLastColumn="0" w:lastRowFirstColumn="0" w:lastRowLastColumn="0"/>
        </w:trPr>
        <w:tc>
          <w:tcPr>
            <w:tcW w:w="1985" w:type="dxa"/>
          </w:tcPr>
          <w:p w14:paraId="1D0E31BC" w14:textId="48FEB7F8" w:rsidR="009B2783" w:rsidRPr="00973F22" w:rsidRDefault="00C07D58" w:rsidP="001F329F">
            <w:pPr>
              <w:pStyle w:val="TableHeader"/>
            </w:pPr>
            <w:r>
              <w:t>Legend</w:t>
            </w:r>
          </w:p>
        </w:tc>
        <w:tc>
          <w:tcPr>
            <w:tcW w:w="2026" w:type="dxa"/>
          </w:tcPr>
          <w:p w14:paraId="4496AFC5" w14:textId="6EE483E0" w:rsidR="009B2783" w:rsidRPr="00973F22" w:rsidRDefault="009B2783" w:rsidP="001F329F">
            <w:pPr>
              <w:pStyle w:val="TableHeader"/>
              <w:jc w:val="center"/>
            </w:pPr>
          </w:p>
        </w:tc>
      </w:tr>
      <w:tr w:rsidR="009B2783" w14:paraId="0BEE64DD" w14:textId="77777777" w:rsidTr="0079078E">
        <w:trPr>
          <w:cnfStyle w:val="000000100000" w:firstRow="0" w:lastRow="0" w:firstColumn="0" w:lastColumn="0" w:oddVBand="0" w:evenVBand="0" w:oddHBand="1" w:evenHBand="0" w:firstRowFirstColumn="0" w:firstRowLastColumn="0" w:lastRowFirstColumn="0" w:lastRowLastColumn="0"/>
        </w:trPr>
        <w:tc>
          <w:tcPr>
            <w:tcW w:w="1985" w:type="dxa"/>
          </w:tcPr>
          <w:p w14:paraId="53BCAD1B" w14:textId="00415021" w:rsidR="009B2783" w:rsidRPr="00973F22" w:rsidRDefault="009B2783" w:rsidP="001F329F">
            <w:pPr>
              <w:pStyle w:val="TableBody"/>
            </w:pPr>
            <w:r>
              <w:t>Target</w:t>
            </w:r>
          </w:p>
        </w:tc>
        <w:tc>
          <w:tcPr>
            <w:tcW w:w="2026" w:type="dxa"/>
          </w:tcPr>
          <w:p w14:paraId="0849C492" w14:textId="4643BFA5" w:rsidR="009B2783" w:rsidRPr="00973F22" w:rsidRDefault="00C07D58" w:rsidP="00C07D58">
            <w:pPr>
              <w:pStyle w:val="TableBody"/>
              <w:jc w:val="center"/>
            </w:pPr>
            <w:r>
              <w:t>Shown in red</w:t>
            </w:r>
          </w:p>
        </w:tc>
      </w:tr>
      <w:tr w:rsidR="009B2783" w14:paraId="7EA263C9" w14:textId="77777777" w:rsidTr="0079078E">
        <w:trPr>
          <w:cnfStyle w:val="000000010000" w:firstRow="0" w:lastRow="0" w:firstColumn="0" w:lastColumn="0" w:oddVBand="0" w:evenVBand="0" w:oddHBand="0" w:evenHBand="1" w:firstRowFirstColumn="0" w:firstRowLastColumn="0" w:lastRowFirstColumn="0" w:lastRowLastColumn="0"/>
        </w:trPr>
        <w:tc>
          <w:tcPr>
            <w:tcW w:w="1985" w:type="dxa"/>
          </w:tcPr>
          <w:p w14:paraId="39E6D8B7" w14:textId="6E334589" w:rsidR="009B2783" w:rsidRDefault="009B2783" w:rsidP="001F329F">
            <w:pPr>
              <w:pStyle w:val="TableBody"/>
            </w:pPr>
            <w:r>
              <w:t>Overall</w:t>
            </w:r>
          </w:p>
        </w:tc>
        <w:tc>
          <w:tcPr>
            <w:tcW w:w="2026" w:type="dxa"/>
          </w:tcPr>
          <w:p w14:paraId="6814BCF8" w14:textId="1074230C" w:rsidR="009B2783" w:rsidRDefault="00C07D58" w:rsidP="00C07D58">
            <w:pPr>
              <w:pStyle w:val="TableBody"/>
              <w:jc w:val="center"/>
            </w:pPr>
            <w:r>
              <w:t>Shown in black</w:t>
            </w:r>
          </w:p>
        </w:tc>
      </w:tr>
      <w:tr w:rsidR="00C07D58" w14:paraId="5E8388C9" w14:textId="77777777" w:rsidTr="0079078E">
        <w:trPr>
          <w:cnfStyle w:val="000000100000" w:firstRow="0" w:lastRow="0" w:firstColumn="0" w:lastColumn="0" w:oddVBand="0" w:evenVBand="0" w:oddHBand="1" w:evenHBand="0" w:firstRowFirstColumn="0" w:firstRowLastColumn="0" w:lastRowFirstColumn="0" w:lastRowLastColumn="0"/>
        </w:trPr>
        <w:tc>
          <w:tcPr>
            <w:tcW w:w="1985" w:type="dxa"/>
          </w:tcPr>
          <w:p w14:paraId="4CA73126" w14:textId="2A826352" w:rsidR="00C07D58" w:rsidRDefault="00C07D58" w:rsidP="00C07D58">
            <w:pPr>
              <w:pStyle w:val="TableHeader"/>
            </w:pPr>
            <w:r>
              <w:t>Status</w:t>
            </w:r>
          </w:p>
        </w:tc>
        <w:tc>
          <w:tcPr>
            <w:tcW w:w="2026" w:type="dxa"/>
          </w:tcPr>
          <w:p w14:paraId="451555A6" w14:textId="67291C6D" w:rsidR="00C07D58" w:rsidRDefault="00C07D58" w:rsidP="00C07D58">
            <w:pPr>
              <w:pStyle w:val="TableHeader"/>
              <w:jc w:val="center"/>
            </w:pPr>
            <w:r>
              <w:t>Scale</w:t>
            </w:r>
          </w:p>
        </w:tc>
      </w:tr>
      <w:tr w:rsidR="009B2783" w14:paraId="44ED0BAD" w14:textId="77777777" w:rsidTr="0079078E">
        <w:trPr>
          <w:cnfStyle w:val="000000010000" w:firstRow="0" w:lastRow="0" w:firstColumn="0" w:lastColumn="0" w:oddVBand="0" w:evenVBand="0" w:oddHBand="0" w:evenHBand="1" w:firstRowFirstColumn="0" w:firstRowLastColumn="0" w:lastRowFirstColumn="0" w:lastRowLastColumn="0"/>
        </w:trPr>
        <w:tc>
          <w:tcPr>
            <w:tcW w:w="1985" w:type="dxa"/>
          </w:tcPr>
          <w:p w14:paraId="1DCA68E0" w14:textId="5B089DDC" w:rsidR="009B2783" w:rsidRDefault="00C07D58" w:rsidP="001F329F">
            <w:pPr>
              <w:pStyle w:val="TableBody"/>
            </w:pPr>
            <w:r>
              <w:t>Not applicable</w:t>
            </w:r>
          </w:p>
        </w:tc>
        <w:tc>
          <w:tcPr>
            <w:tcW w:w="2026" w:type="dxa"/>
          </w:tcPr>
          <w:p w14:paraId="7926147E" w14:textId="0EEFCB46" w:rsidR="009B2783" w:rsidRDefault="00C07D58" w:rsidP="00C07D58">
            <w:pPr>
              <w:pStyle w:val="TableBody"/>
              <w:jc w:val="center"/>
            </w:pPr>
            <w:r>
              <w:t>N/A</w:t>
            </w:r>
          </w:p>
        </w:tc>
      </w:tr>
      <w:tr w:rsidR="009B2783" w14:paraId="5A81F94A" w14:textId="77777777" w:rsidTr="0079078E">
        <w:trPr>
          <w:cnfStyle w:val="000000100000" w:firstRow="0" w:lastRow="0" w:firstColumn="0" w:lastColumn="0" w:oddVBand="0" w:evenVBand="0" w:oddHBand="1" w:evenHBand="0" w:firstRowFirstColumn="0" w:firstRowLastColumn="0" w:lastRowFirstColumn="0" w:lastRowLastColumn="0"/>
        </w:trPr>
        <w:tc>
          <w:tcPr>
            <w:tcW w:w="1985" w:type="dxa"/>
          </w:tcPr>
          <w:p w14:paraId="73E6524F" w14:textId="7704BDDB" w:rsidR="009B2783" w:rsidRDefault="00C07D58" w:rsidP="001F329F">
            <w:pPr>
              <w:pStyle w:val="TableBody"/>
            </w:pPr>
            <w:r>
              <w:t>Innocence</w:t>
            </w:r>
          </w:p>
        </w:tc>
        <w:tc>
          <w:tcPr>
            <w:tcW w:w="2026" w:type="dxa"/>
          </w:tcPr>
          <w:p w14:paraId="65F09B48" w14:textId="415E52AE" w:rsidR="009B2783" w:rsidRDefault="00C07D58" w:rsidP="00C07D58">
            <w:pPr>
              <w:pStyle w:val="TableBody"/>
              <w:jc w:val="center"/>
            </w:pPr>
            <w:r>
              <w:t>0</w:t>
            </w:r>
          </w:p>
        </w:tc>
      </w:tr>
      <w:tr w:rsidR="009B2783" w14:paraId="3FFD234C" w14:textId="77777777" w:rsidTr="0079078E">
        <w:trPr>
          <w:cnfStyle w:val="000000010000" w:firstRow="0" w:lastRow="0" w:firstColumn="0" w:lastColumn="0" w:oddVBand="0" w:evenVBand="0" w:oddHBand="0" w:evenHBand="1" w:firstRowFirstColumn="0" w:firstRowLastColumn="0" w:lastRowFirstColumn="0" w:lastRowLastColumn="0"/>
        </w:trPr>
        <w:tc>
          <w:tcPr>
            <w:tcW w:w="1985" w:type="dxa"/>
          </w:tcPr>
          <w:p w14:paraId="71C5839C" w14:textId="3BA6B874" w:rsidR="009B2783" w:rsidRDefault="00C07D58" w:rsidP="001F329F">
            <w:pPr>
              <w:pStyle w:val="TableBody"/>
            </w:pPr>
            <w:r>
              <w:t>Awareness</w:t>
            </w:r>
          </w:p>
        </w:tc>
        <w:tc>
          <w:tcPr>
            <w:tcW w:w="2026" w:type="dxa"/>
          </w:tcPr>
          <w:p w14:paraId="4156F4E1" w14:textId="02C81CE4" w:rsidR="009B2783" w:rsidRDefault="00C07D58" w:rsidP="00C07D58">
            <w:pPr>
              <w:pStyle w:val="TableBody"/>
              <w:jc w:val="center"/>
            </w:pPr>
            <w:r>
              <w:t>1</w:t>
            </w:r>
          </w:p>
        </w:tc>
      </w:tr>
      <w:tr w:rsidR="009B2783" w14:paraId="7985E3BC" w14:textId="77777777" w:rsidTr="0079078E">
        <w:trPr>
          <w:cnfStyle w:val="000000100000" w:firstRow="0" w:lastRow="0" w:firstColumn="0" w:lastColumn="0" w:oddVBand="0" w:evenVBand="0" w:oddHBand="1" w:evenHBand="0" w:firstRowFirstColumn="0" w:firstRowLastColumn="0" w:lastRowFirstColumn="0" w:lastRowLastColumn="0"/>
        </w:trPr>
        <w:tc>
          <w:tcPr>
            <w:tcW w:w="1985" w:type="dxa"/>
          </w:tcPr>
          <w:p w14:paraId="5C3A7617" w14:textId="020C0B7F" w:rsidR="00C07D58" w:rsidRDefault="00C07D58" w:rsidP="001F329F">
            <w:pPr>
              <w:pStyle w:val="TableBody"/>
            </w:pPr>
            <w:r>
              <w:t>Developing</w:t>
            </w:r>
          </w:p>
        </w:tc>
        <w:tc>
          <w:tcPr>
            <w:tcW w:w="2026" w:type="dxa"/>
          </w:tcPr>
          <w:p w14:paraId="49D1325D" w14:textId="459287E5" w:rsidR="009B2783" w:rsidRDefault="00C07D58" w:rsidP="00C07D58">
            <w:pPr>
              <w:pStyle w:val="TableBody"/>
              <w:jc w:val="center"/>
            </w:pPr>
            <w:r>
              <w:t>2</w:t>
            </w:r>
          </w:p>
        </w:tc>
      </w:tr>
      <w:tr w:rsidR="00C07D58" w14:paraId="24874DB3" w14:textId="77777777" w:rsidTr="0079078E">
        <w:trPr>
          <w:cnfStyle w:val="000000010000" w:firstRow="0" w:lastRow="0" w:firstColumn="0" w:lastColumn="0" w:oddVBand="0" w:evenVBand="0" w:oddHBand="0" w:evenHBand="1" w:firstRowFirstColumn="0" w:firstRowLastColumn="0" w:lastRowFirstColumn="0" w:lastRowLastColumn="0"/>
        </w:trPr>
        <w:tc>
          <w:tcPr>
            <w:tcW w:w="1985" w:type="dxa"/>
          </w:tcPr>
          <w:p w14:paraId="5D83DA54" w14:textId="1BA06C3C" w:rsidR="00C07D58" w:rsidRDefault="00C07D58" w:rsidP="001F329F">
            <w:pPr>
              <w:pStyle w:val="TableBody"/>
            </w:pPr>
            <w:r>
              <w:t>Competence</w:t>
            </w:r>
          </w:p>
        </w:tc>
        <w:tc>
          <w:tcPr>
            <w:tcW w:w="2026" w:type="dxa"/>
          </w:tcPr>
          <w:p w14:paraId="265BA2F5" w14:textId="6C61C8F1" w:rsidR="00C07D58" w:rsidRDefault="00C07D58" w:rsidP="00C07D58">
            <w:pPr>
              <w:pStyle w:val="TableBody"/>
              <w:jc w:val="center"/>
            </w:pPr>
            <w:r>
              <w:t>3</w:t>
            </w:r>
          </w:p>
        </w:tc>
      </w:tr>
      <w:tr w:rsidR="00C07D58" w14:paraId="149CD45F" w14:textId="77777777" w:rsidTr="0079078E">
        <w:trPr>
          <w:cnfStyle w:val="000000100000" w:firstRow="0" w:lastRow="0" w:firstColumn="0" w:lastColumn="0" w:oddVBand="0" w:evenVBand="0" w:oddHBand="1" w:evenHBand="0" w:firstRowFirstColumn="0" w:firstRowLastColumn="0" w:lastRowFirstColumn="0" w:lastRowLastColumn="0"/>
        </w:trPr>
        <w:tc>
          <w:tcPr>
            <w:tcW w:w="1985" w:type="dxa"/>
          </w:tcPr>
          <w:p w14:paraId="055D32F2" w14:textId="32AB3619" w:rsidR="00C07D58" w:rsidRDefault="00C07D58" w:rsidP="001F329F">
            <w:pPr>
              <w:pStyle w:val="TableBody"/>
            </w:pPr>
            <w:r>
              <w:t>Optimising</w:t>
            </w:r>
          </w:p>
        </w:tc>
        <w:tc>
          <w:tcPr>
            <w:tcW w:w="2026" w:type="dxa"/>
          </w:tcPr>
          <w:p w14:paraId="63782E80" w14:textId="552EFCF5" w:rsidR="00C07D58" w:rsidRDefault="00C07D58" w:rsidP="00C07D58">
            <w:pPr>
              <w:pStyle w:val="TableBody"/>
              <w:jc w:val="center"/>
            </w:pPr>
            <w:r>
              <w:t>4</w:t>
            </w:r>
          </w:p>
        </w:tc>
      </w:tr>
      <w:tr w:rsidR="00C07D58" w14:paraId="3A977206" w14:textId="77777777" w:rsidTr="0079078E">
        <w:trPr>
          <w:cnfStyle w:val="000000010000" w:firstRow="0" w:lastRow="0" w:firstColumn="0" w:lastColumn="0" w:oddVBand="0" w:evenVBand="0" w:oddHBand="0" w:evenHBand="1" w:firstRowFirstColumn="0" w:firstRowLastColumn="0" w:lastRowFirstColumn="0" w:lastRowLastColumn="0"/>
        </w:trPr>
        <w:tc>
          <w:tcPr>
            <w:tcW w:w="1985" w:type="dxa"/>
          </w:tcPr>
          <w:p w14:paraId="668DDA6E" w14:textId="32649601" w:rsidR="00C07D58" w:rsidRDefault="00C07D58" w:rsidP="001F329F">
            <w:pPr>
              <w:pStyle w:val="TableBody"/>
            </w:pPr>
            <w:r>
              <w:t>Unassessed</w:t>
            </w:r>
          </w:p>
        </w:tc>
        <w:tc>
          <w:tcPr>
            <w:tcW w:w="2026" w:type="dxa"/>
          </w:tcPr>
          <w:p w14:paraId="6B01AEAF" w14:textId="11FDEB0D" w:rsidR="00C07D58" w:rsidRDefault="00C07D58" w:rsidP="00C07D58">
            <w:pPr>
              <w:pStyle w:val="TableBody"/>
              <w:jc w:val="center"/>
            </w:pPr>
            <w:r>
              <w:t>U/A</w:t>
            </w:r>
          </w:p>
        </w:tc>
      </w:tr>
    </w:tbl>
    <w:p w14:paraId="0E6F3278" w14:textId="618445EA" w:rsidR="009B2783" w:rsidRDefault="009B2783" w:rsidP="00D8308F">
      <w:pPr>
        <w:pStyle w:val="Body"/>
      </w:pPr>
    </w:p>
    <w:p w14:paraId="211FECED" w14:textId="77777777" w:rsidR="0079078E" w:rsidRDefault="0079078E">
      <w:pPr>
        <w:spacing w:after="0" w:line="240" w:lineRule="auto"/>
        <w:rPr>
          <w:rStyle w:val="Strong"/>
        </w:rPr>
      </w:pPr>
      <w:r>
        <w:rPr>
          <w:rStyle w:val="Strong"/>
        </w:rPr>
        <w:br w:type="page"/>
      </w:r>
    </w:p>
    <w:p w14:paraId="2A7B1B78" w14:textId="70F9257C" w:rsidR="0079078E" w:rsidRPr="0079078E" w:rsidRDefault="0079078E" w:rsidP="00D8308F">
      <w:pPr>
        <w:pStyle w:val="Body"/>
        <w:rPr>
          <w:rStyle w:val="Strong"/>
        </w:rPr>
      </w:pPr>
      <w:r w:rsidRPr="0079078E">
        <w:rPr>
          <w:rStyle w:val="Strong"/>
        </w:rPr>
        <w:lastRenderedPageBreak/>
        <w:t>Diagram: compliance and maturity rating</w:t>
      </w:r>
    </w:p>
    <w:p w14:paraId="393B460A" w14:textId="7A7C97D5" w:rsidR="009B2783" w:rsidRPr="008F439D" w:rsidRDefault="00C07D58" w:rsidP="0079078E">
      <w:pPr>
        <w:pStyle w:val="Body"/>
        <w:jc w:val="both"/>
      </w:pPr>
      <w:r>
        <w:rPr>
          <w:noProof/>
        </w:rPr>
        <w:drawing>
          <wp:inline distT="0" distB="0" distL="0" distR="0" wp14:anchorId="18D9C10A" wp14:editId="028C0054">
            <wp:extent cx="5759450" cy="4844415"/>
            <wp:effectExtent l="0" t="0" r="0" b="0"/>
            <wp:docPr id="4" name="Chart 4" descr="This circular diagram shows target and overall compliance with 41 asset management requirements. The Commission's target maturity rating on a scale of 0 to 4, is 3 (competence). The Commission is shown to be meeting its target maturity rating of competence in 26 out of 41 requirements.">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53B056" w14:textId="132E8168" w:rsidR="000132C3" w:rsidRDefault="0040140D" w:rsidP="00B74E10">
      <w:pPr>
        <w:pStyle w:val="Heading10"/>
      </w:pPr>
      <w:bookmarkStart w:id="26" w:name="_Disclosure_index"/>
      <w:bookmarkEnd w:id="26"/>
      <w:r>
        <w:t>Disclosure index</w:t>
      </w:r>
    </w:p>
    <w:p w14:paraId="7A27347D" w14:textId="72505563" w:rsidR="00D211D0" w:rsidRDefault="00D211D0" w:rsidP="00D211D0">
      <w:pPr>
        <w:pStyle w:val="Body"/>
        <w:rPr>
          <w:lang w:eastAsia="en-AU"/>
        </w:rPr>
      </w:pPr>
      <w:r>
        <w:rPr>
          <w:lang w:eastAsia="en-AU"/>
        </w:rPr>
        <w:t>This annual report of the V</w:t>
      </w:r>
      <w:r w:rsidR="00AE6F40">
        <w:rPr>
          <w:lang w:eastAsia="en-AU"/>
        </w:rPr>
        <w:t>ictorian Public Sector Commission</w:t>
      </w:r>
      <w:r>
        <w:rPr>
          <w:lang w:eastAsia="en-AU"/>
        </w:rPr>
        <w:t xml:space="preserve"> is prepared in accordance with all relevant Victorian legislations and pronouncements. This index has been prepared to facilitate identification of compliance with statutory disclosure and other requirements.</w:t>
      </w:r>
    </w:p>
    <w:tbl>
      <w:tblPr>
        <w:tblStyle w:val="TableHorizontal"/>
        <w:tblW w:w="5000" w:type="pct"/>
        <w:tblLook w:val="0420" w:firstRow="1" w:lastRow="0" w:firstColumn="0" w:lastColumn="0" w:noHBand="0" w:noVBand="1"/>
      </w:tblPr>
      <w:tblGrid>
        <w:gridCol w:w="1755"/>
        <w:gridCol w:w="1364"/>
        <w:gridCol w:w="4482"/>
        <w:gridCol w:w="1753"/>
      </w:tblGrid>
      <w:tr w:rsidR="000D2585" w14:paraId="290DB396" w14:textId="77777777" w:rsidTr="003C496F">
        <w:trPr>
          <w:cnfStyle w:val="100000000000" w:firstRow="1" w:lastRow="0" w:firstColumn="0" w:lastColumn="0" w:oddVBand="0" w:evenVBand="0" w:oddHBand="0" w:evenHBand="0" w:firstRowFirstColumn="0" w:firstRowLastColumn="0" w:lastRowFirstColumn="0" w:lastRowLastColumn="0"/>
        </w:trPr>
        <w:tc>
          <w:tcPr>
            <w:tcW w:w="1667" w:type="pct"/>
            <w:gridSpan w:val="2"/>
          </w:tcPr>
          <w:p w14:paraId="0636EC4A" w14:textId="77777777" w:rsidR="000D2585" w:rsidRPr="00973F22" w:rsidRDefault="000D2585" w:rsidP="003C496F">
            <w:pPr>
              <w:pStyle w:val="TableHeader"/>
            </w:pPr>
            <w:r>
              <w:lastRenderedPageBreak/>
              <w:t>Legislation</w:t>
            </w:r>
          </w:p>
        </w:tc>
        <w:tc>
          <w:tcPr>
            <w:tcW w:w="2396" w:type="pct"/>
          </w:tcPr>
          <w:p w14:paraId="04139101" w14:textId="77777777" w:rsidR="000D2585" w:rsidRDefault="000D2585" w:rsidP="003C496F">
            <w:pPr>
              <w:pStyle w:val="TableHeader"/>
            </w:pPr>
            <w:r>
              <w:t>Requirements</w:t>
            </w:r>
          </w:p>
        </w:tc>
        <w:tc>
          <w:tcPr>
            <w:tcW w:w="937" w:type="pct"/>
          </w:tcPr>
          <w:p w14:paraId="7DAE76BA" w14:textId="77777777" w:rsidR="000D2585" w:rsidRPr="00973F22" w:rsidRDefault="000D2585" w:rsidP="003C496F">
            <w:pPr>
              <w:pStyle w:val="TableHeader"/>
              <w:jc w:val="center"/>
            </w:pPr>
            <w:r>
              <w:t>Page</w:t>
            </w:r>
          </w:p>
        </w:tc>
      </w:tr>
      <w:tr w:rsidR="000D2585" w14:paraId="160E5A14" w14:textId="77777777" w:rsidTr="003C496F">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0DAF3845" w14:textId="77777777" w:rsidR="000D2585" w:rsidRPr="00973F22" w:rsidRDefault="000D2585" w:rsidP="003C496F">
            <w:pPr>
              <w:pStyle w:val="TableBody"/>
            </w:pPr>
            <w:r>
              <w:t>Charter and purpose</w:t>
            </w:r>
          </w:p>
        </w:tc>
      </w:tr>
      <w:tr w:rsidR="000D2585" w14:paraId="1D999E7C"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3FA26EC8" w14:textId="77777777" w:rsidR="000D2585" w:rsidRDefault="000D2585" w:rsidP="003C496F">
            <w:pPr>
              <w:pStyle w:val="TableBody"/>
            </w:pPr>
            <w:r>
              <w:t>FRD 22H</w:t>
            </w:r>
          </w:p>
        </w:tc>
        <w:tc>
          <w:tcPr>
            <w:tcW w:w="3125" w:type="pct"/>
            <w:gridSpan w:val="2"/>
          </w:tcPr>
          <w:p w14:paraId="5580CD5D" w14:textId="77777777" w:rsidR="000D2585" w:rsidRDefault="000D2585" w:rsidP="003C496F">
            <w:pPr>
              <w:pStyle w:val="TableBody"/>
            </w:pPr>
            <w:r>
              <w:t>Manner and establishment of relevant Minister</w:t>
            </w:r>
          </w:p>
        </w:tc>
        <w:tc>
          <w:tcPr>
            <w:tcW w:w="937" w:type="pct"/>
          </w:tcPr>
          <w:p w14:paraId="49535967" w14:textId="77777777" w:rsidR="000D2585" w:rsidRPr="00973F22" w:rsidRDefault="000D2585" w:rsidP="003C496F">
            <w:pPr>
              <w:pStyle w:val="TableBody"/>
              <w:jc w:val="center"/>
            </w:pPr>
            <w:r>
              <w:t>5</w:t>
            </w:r>
          </w:p>
        </w:tc>
      </w:tr>
      <w:tr w:rsidR="000D2585" w14:paraId="468D96B0"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2961BB43" w14:textId="77777777" w:rsidR="000D2585" w:rsidRDefault="000D2585" w:rsidP="003C496F">
            <w:pPr>
              <w:pStyle w:val="TableBody"/>
            </w:pPr>
            <w:r>
              <w:t>FRD 22H</w:t>
            </w:r>
          </w:p>
        </w:tc>
        <w:tc>
          <w:tcPr>
            <w:tcW w:w="3125" w:type="pct"/>
            <w:gridSpan w:val="2"/>
          </w:tcPr>
          <w:p w14:paraId="2559C65E" w14:textId="77777777" w:rsidR="000D2585" w:rsidRDefault="000D2585" w:rsidP="003C496F">
            <w:pPr>
              <w:pStyle w:val="TableBody"/>
            </w:pPr>
            <w:r>
              <w:t>Objectives, functions, powers and duties</w:t>
            </w:r>
          </w:p>
        </w:tc>
        <w:tc>
          <w:tcPr>
            <w:tcW w:w="937" w:type="pct"/>
          </w:tcPr>
          <w:p w14:paraId="001BD380" w14:textId="77777777" w:rsidR="000D2585" w:rsidRPr="00973F22" w:rsidRDefault="000D2585" w:rsidP="003C496F">
            <w:pPr>
              <w:pStyle w:val="TableBody"/>
              <w:jc w:val="center"/>
            </w:pPr>
            <w:r>
              <w:t>5</w:t>
            </w:r>
          </w:p>
        </w:tc>
      </w:tr>
      <w:tr w:rsidR="000D2585" w14:paraId="2A071856"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40DAB8D4" w14:textId="77777777" w:rsidR="000D2585" w:rsidRDefault="000D2585" w:rsidP="003C496F">
            <w:pPr>
              <w:pStyle w:val="TableBody"/>
            </w:pPr>
            <w:r>
              <w:t>FRD 22H</w:t>
            </w:r>
          </w:p>
        </w:tc>
        <w:tc>
          <w:tcPr>
            <w:tcW w:w="3125" w:type="pct"/>
            <w:gridSpan w:val="2"/>
          </w:tcPr>
          <w:p w14:paraId="21F16B8B" w14:textId="77777777" w:rsidR="000D2585" w:rsidRDefault="000D2585" w:rsidP="003C496F">
            <w:pPr>
              <w:pStyle w:val="TableBody"/>
            </w:pPr>
            <w:r>
              <w:t>Key initiatives and projects</w:t>
            </w:r>
          </w:p>
        </w:tc>
        <w:tc>
          <w:tcPr>
            <w:tcW w:w="937" w:type="pct"/>
          </w:tcPr>
          <w:p w14:paraId="45B774C2" w14:textId="77777777" w:rsidR="000D2585" w:rsidRPr="00973F22" w:rsidRDefault="000D2585" w:rsidP="003C496F">
            <w:pPr>
              <w:pStyle w:val="TableBody"/>
              <w:jc w:val="center"/>
            </w:pPr>
            <w:r>
              <w:t>6</w:t>
            </w:r>
          </w:p>
        </w:tc>
      </w:tr>
      <w:tr w:rsidR="000D2585" w14:paraId="57833C4F"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6D3D5742" w14:textId="77777777" w:rsidR="000D2585" w:rsidRDefault="000D2585" w:rsidP="003C496F">
            <w:pPr>
              <w:pStyle w:val="TableBody"/>
            </w:pPr>
            <w:r>
              <w:t>FRD 22H</w:t>
            </w:r>
          </w:p>
        </w:tc>
        <w:tc>
          <w:tcPr>
            <w:tcW w:w="3125" w:type="pct"/>
            <w:gridSpan w:val="2"/>
          </w:tcPr>
          <w:p w14:paraId="65496BC5" w14:textId="77777777" w:rsidR="000D2585" w:rsidRDefault="000D2585" w:rsidP="003C496F">
            <w:pPr>
              <w:pStyle w:val="TableBody"/>
            </w:pPr>
            <w:r>
              <w:t>Nature and range of services provided</w:t>
            </w:r>
          </w:p>
        </w:tc>
        <w:tc>
          <w:tcPr>
            <w:tcW w:w="937" w:type="pct"/>
          </w:tcPr>
          <w:p w14:paraId="4CB85AE1" w14:textId="5204B56E" w:rsidR="000D2585" w:rsidRPr="00973F22" w:rsidRDefault="00FC7BB2" w:rsidP="003C496F">
            <w:pPr>
              <w:pStyle w:val="TableBody"/>
              <w:jc w:val="center"/>
            </w:pPr>
            <w:r>
              <w:t>19</w:t>
            </w:r>
          </w:p>
        </w:tc>
      </w:tr>
      <w:tr w:rsidR="000D2585" w14:paraId="7B86C0AE" w14:textId="77777777" w:rsidTr="003C496F">
        <w:trPr>
          <w:cnfStyle w:val="000000010000" w:firstRow="0" w:lastRow="0" w:firstColumn="0" w:lastColumn="0" w:oddVBand="0" w:evenVBand="0" w:oddHBand="0" w:evenHBand="1" w:firstRowFirstColumn="0" w:firstRowLastColumn="0" w:lastRowFirstColumn="0" w:lastRowLastColumn="0"/>
        </w:trPr>
        <w:tc>
          <w:tcPr>
            <w:tcW w:w="5000" w:type="pct"/>
            <w:gridSpan w:val="4"/>
          </w:tcPr>
          <w:p w14:paraId="60AD82FB" w14:textId="77777777" w:rsidR="000D2585" w:rsidRPr="00973F22" w:rsidRDefault="000D2585" w:rsidP="003C496F">
            <w:pPr>
              <w:pStyle w:val="TableBody"/>
            </w:pPr>
            <w:r>
              <w:t>Management and structure</w:t>
            </w:r>
          </w:p>
        </w:tc>
      </w:tr>
      <w:tr w:rsidR="000D2585" w14:paraId="35DD5C8E"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7B9AC9D2" w14:textId="77777777" w:rsidR="000D2585" w:rsidRDefault="000D2585" w:rsidP="003C496F">
            <w:pPr>
              <w:pStyle w:val="TableBody"/>
            </w:pPr>
            <w:r>
              <w:t>FRD 22H</w:t>
            </w:r>
          </w:p>
        </w:tc>
        <w:tc>
          <w:tcPr>
            <w:tcW w:w="3125" w:type="pct"/>
            <w:gridSpan w:val="2"/>
          </w:tcPr>
          <w:p w14:paraId="7C3D6BCE" w14:textId="77777777" w:rsidR="000D2585" w:rsidRDefault="000D2585" w:rsidP="003C496F">
            <w:pPr>
              <w:pStyle w:val="TableBody"/>
            </w:pPr>
            <w:r>
              <w:t>Organisational structure</w:t>
            </w:r>
          </w:p>
        </w:tc>
        <w:tc>
          <w:tcPr>
            <w:tcW w:w="937" w:type="pct"/>
          </w:tcPr>
          <w:p w14:paraId="5B5DBB0A" w14:textId="39518867" w:rsidR="000D2585" w:rsidRPr="00973F22" w:rsidRDefault="000D2585" w:rsidP="003C496F">
            <w:pPr>
              <w:pStyle w:val="TableBody"/>
              <w:jc w:val="center"/>
            </w:pPr>
            <w:r>
              <w:t>2</w:t>
            </w:r>
            <w:r w:rsidR="00073FD5">
              <w:t>4</w:t>
            </w:r>
          </w:p>
        </w:tc>
      </w:tr>
      <w:tr w:rsidR="000D2585" w14:paraId="6011A393" w14:textId="77777777" w:rsidTr="003C496F">
        <w:trPr>
          <w:cnfStyle w:val="000000010000" w:firstRow="0" w:lastRow="0" w:firstColumn="0" w:lastColumn="0" w:oddVBand="0" w:evenVBand="0" w:oddHBand="0" w:evenHBand="1" w:firstRowFirstColumn="0" w:firstRowLastColumn="0" w:lastRowFirstColumn="0" w:lastRowLastColumn="0"/>
        </w:trPr>
        <w:tc>
          <w:tcPr>
            <w:tcW w:w="5000" w:type="pct"/>
            <w:gridSpan w:val="4"/>
          </w:tcPr>
          <w:p w14:paraId="083478F9" w14:textId="77777777" w:rsidR="000D2585" w:rsidRPr="00973F22" w:rsidRDefault="000D2585" w:rsidP="003C496F">
            <w:pPr>
              <w:pStyle w:val="TableBody"/>
            </w:pPr>
            <w:r>
              <w:t>Financial and other information</w:t>
            </w:r>
          </w:p>
        </w:tc>
      </w:tr>
      <w:tr w:rsidR="000D2585" w14:paraId="25E79575"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1FBD244F" w14:textId="77777777" w:rsidR="000D2585" w:rsidRDefault="000D2585" w:rsidP="003C496F">
            <w:pPr>
              <w:pStyle w:val="TableBody"/>
            </w:pPr>
            <w:r>
              <w:t>FRD 22H</w:t>
            </w:r>
          </w:p>
        </w:tc>
        <w:tc>
          <w:tcPr>
            <w:tcW w:w="3125" w:type="pct"/>
            <w:gridSpan w:val="2"/>
          </w:tcPr>
          <w:p w14:paraId="36269F60" w14:textId="77777777" w:rsidR="000D2585" w:rsidRDefault="000D2585" w:rsidP="003C496F">
            <w:pPr>
              <w:pStyle w:val="TableBody"/>
            </w:pPr>
            <w:r>
              <w:t>Audit committee</w:t>
            </w:r>
          </w:p>
        </w:tc>
        <w:tc>
          <w:tcPr>
            <w:tcW w:w="937" w:type="pct"/>
          </w:tcPr>
          <w:p w14:paraId="02BCF3F4" w14:textId="5043324C" w:rsidR="000D2585" w:rsidRPr="00973F22" w:rsidRDefault="000D2585" w:rsidP="003C496F">
            <w:pPr>
              <w:pStyle w:val="TableBody"/>
              <w:jc w:val="center"/>
            </w:pPr>
            <w:r>
              <w:t>2</w:t>
            </w:r>
            <w:r w:rsidR="00073FD5">
              <w:t>5</w:t>
            </w:r>
          </w:p>
        </w:tc>
      </w:tr>
      <w:tr w:rsidR="000D2585" w14:paraId="4F3B098B"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405D7DBA" w14:textId="77777777" w:rsidR="000D2585" w:rsidRDefault="000D2585" w:rsidP="003C496F">
            <w:pPr>
              <w:pStyle w:val="TableBody"/>
            </w:pPr>
            <w:r>
              <w:t>FRD 22H</w:t>
            </w:r>
          </w:p>
        </w:tc>
        <w:tc>
          <w:tcPr>
            <w:tcW w:w="3125" w:type="pct"/>
            <w:gridSpan w:val="2"/>
          </w:tcPr>
          <w:p w14:paraId="5DAD1957" w14:textId="77777777" w:rsidR="000D2585" w:rsidRDefault="000D2585" w:rsidP="003C496F">
            <w:pPr>
              <w:pStyle w:val="TableBody"/>
            </w:pPr>
            <w:r>
              <w:t>Occupational health and safety</w:t>
            </w:r>
          </w:p>
        </w:tc>
        <w:tc>
          <w:tcPr>
            <w:tcW w:w="937" w:type="pct"/>
          </w:tcPr>
          <w:p w14:paraId="54B21777" w14:textId="7A92595A" w:rsidR="000D2585" w:rsidRPr="00973F22" w:rsidRDefault="000D2585" w:rsidP="003C496F">
            <w:pPr>
              <w:pStyle w:val="TableBody"/>
              <w:jc w:val="center"/>
            </w:pPr>
            <w:r>
              <w:t>3</w:t>
            </w:r>
            <w:r w:rsidR="00073FD5">
              <w:t>4</w:t>
            </w:r>
          </w:p>
        </w:tc>
      </w:tr>
      <w:tr w:rsidR="000D2585" w14:paraId="5D6EE1E2"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26EA071E" w14:textId="77777777" w:rsidR="000D2585" w:rsidRDefault="000D2585" w:rsidP="003C496F">
            <w:pPr>
              <w:pStyle w:val="TableBody"/>
            </w:pPr>
            <w:r>
              <w:t>FRD 8D</w:t>
            </w:r>
          </w:p>
        </w:tc>
        <w:tc>
          <w:tcPr>
            <w:tcW w:w="3125" w:type="pct"/>
            <w:gridSpan w:val="2"/>
          </w:tcPr>
          <w:p w14:paraId="7B1FD9C5" w14:textId="77777777" w:rsidR="000D2585" w:rsidRDefault="000D2585" w:rsidP="003C496F">
            <w:pPr>
              <w:pStyle w:val="TableBody"/>
            </w:pPr>
            <w:r>
              <w:t>Performance against output performance measures</w:t>
            </w:r>
          </w:p>
        </w:tc>
        <w:tc>
          <w:tcPr>
            <w:tcW w:w="937" w:type="pct"/>
          </w:tcPr>
          <w:p w14:paraId="0FF24C89" w14:textId="1FD7494B" w:rsidR="000D2585" w:rsidRPr="00973F22" w:rsidRDefault="00340F4A" w:rsidP="003C496F">
            <w:pPr>
              <w:pStyle w:val="TableBody"/>
              <w:jc w:val="center"/>
            </w:pPr>
            <w:r>
              <w:t>19</w:t>
            </w:r>
          </w:p>
        </w:tc>
      </w:tr>
      <w:tr w:rsidR="000D2585" w14:paraId="1D03EF86"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01DC8B33" w14:textId="77777777" w:rsidR="000D2585" w:rsidRDefault="000D2585" w:rsidP="003C496F">
            <w:pPr>
              <w:pStyle w:val="TableBody"/>
            </w:pPr>
            <w:r>
              <w:t>FRD 10A</w:t>
            </w:r>
          </w:p>
        </w:tc>
        <w:tc>
          <w:tcPr>
            <w:tcW w:w="3125" w:type="pct"/>
            <w:gridSpan w:val="2"/>
          </w:tcPr>
          <w:p w14:paraId="04D4CCD1" w14:textId="77777777" w:rsidR="000D2585" w:rsidRDefault="000D2585" w:rsidP="003C496F">
            <w:pPr>
              <w:pStyle w:val="TableBody"/>
            </w:pPr>
            <w:r>
              <w:t>Disclosure index</w:t>
            </w:r>
          </w:p>
        </w:tc>
        <w:tc>
          <w:tcPr>
            <w:tcW w:w="937" w:type="pct"/>
          </w:tcPr>
          <w:p w14:paraId="72C2249F" w14:textId="2D774EB3" w:rsidR="000D2585" w:rsidRPr="00973F22" w:rsidRDefault="001A27F0" w:rsidP="003C496F">
            <w:pPr>
              <w:pStyle w:val="TableBody"/>
              <w:jc w:val="center"/>
            </w:pPr>
            <w:r>
              <w:t>50</w:t>
            </w:r>
          </w:p>
        </w:tc>
      </w:tr>
      <w:tr w:rsidR="000D2585" w14:paraId="5735F007"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3B08B77B" w14:textId="77777777" w:rsidR="000D2585" w:rsidRDefault="000D2585" w:rsidP="003C496F">
            <w:pPr>
              <w:pStyle w:val="TableBody"/>
            </w:pPr>
            <w:r>
              <w:t>FRD 12B</w:t>
            </w:r>
          </w:p>
        </w:tc>
        <w:tc>
          <w:tcPr>
            <w:tcW w:w="3125" w:type="pct"/>
            <w:gridSpan w:val="2"/>
          </w:tcPr>
          <w:p w14:paraId="5873AE51" w14:textId="77777777" w:rsidR="000D2585" w:rsidRDefault="000D2585" w:rsidP="003C496F">
            <w:pPr>
              <w:pStyle w:val="TableBody"/>
            </w:pPr>
            <w:r>
              <w:t>Disclosure of major contracts</w:t>
            </w:r>
          </w:p>
        </w:tc>
        <w:tc>
          <w:tcPr>
            <w:tcW w:w="937" w:type="pct"/>
          </w:tcPr>
          <w:p w14:paraId="68F341F3" w14:textId="6BFA22C0" w:rsidR="000D2585" w:rsidRPr="00973F22" w:rsidRDefault="000D2585" w:rsidP="003C496F">
            <w:pPr>
              <w:pStyle w:val="TableBody"/>
              <w:jc w:val="center"/>
            </w:pPr>
            <w:r>
              <w:t>3</w:t>
            </w:r>
            <w:r w:rsidR="00340F4A">
              <w:t>8</w:t>
            </w:r>
          </w:p>
        </w:tc>
      </w:tr>
      <w:tr w:rsidR="000D2585" w14:paraId="2AAB949F"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4B4613D6" w14:textId="77777777" w:rsidR="000D2585" w:rsidRDefault="000D2585" w:rsidP="003C496F">
            <w:pPr>
              <w:pStyle w:val="TableBody"/>
            </w:pPr>
            <w:r>
              <w:t>FRD 15E</w:t>
            </w:r>
          </w:p>
        </w:tc>
        <w:tc>
          <w:tcPr>
            <w:tcW w:w="3125" w:type="pct"/>
            <w:gridSpan w:val="2"/>
          </w:tcPr>
          <w:p w14:paraId="5A73C3AB" w14:textId="77777777" w:rsidR="000D2585" w:rsidRDefault="000D2585" w:rsidP="003C496F">
            <w:pPr>
              <w:pStyle w:val="TableBody"/>
            </w:pPr>
            <w:r>
              <w:t>Executive officer disclosures</w:t>
            </w:r>
          </w:p>
        </w:tc>
        <w:tc>
          <w:tcPr>
            <w:tcW w:w="937" w:type="pct"/>
          </w:tcPr>
          <w:p w14:paraId="2626698A" w14:textId="1054E794" w:rsidR="000D2585" w:rsidRPr="00973F22" w:rsidRDefault="000D2585" w:rsidP="003C496F">
            <w:pPr>
              <w:pStyle w:val="TableBody"/>
              <w:jc w:val="center"/>
            </w:pPr>
            <w:r>
              <w:t>3</w:t>
            </w:r>
            <w:r w:rsidR="00073FD5">
              <w:t>5</w:t>
            </w:r>
          </w:p>
        </w:tc>
      </w:tr>
      <w:tr w:rsidR="000D2585" w14:paraId="12834A10"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1371682A" w14:textId="77777777" w:rsidR="000D2585" w:rsidRDefault="000D2585" w:rsidP="003C496F">
            <w:pPr>
              <w:pStyle w:val="TableBody"/>
            </w:pPr>
            <w:r>
              <w:t>FRD 22H</w:t>
            </w:r>
          </w:p>
        </w:tc>
        <w:tc>
          <w:tcPr>
            <w:tcW w:w="3125" w:type="pct"/>
            <w:gridSpan w:val="2"/>
          </w:tcPr>
          <w:p w14:paraId="00B5C2EB" w14:textId="77777777" w:rsidR="000D2585" w:rsidRDefault="000D2585" w:rsidP="003C496F">
            <w:pPr>
              <w:pStyle w:val="TableBody"/>
            </w:pPr>
            <w:r>
              <w:t>Employment and conduct principles</w:t>
            </w:r>
          </w:p>
        </w:tc>
        <w:tc>
          <w:tcPr>
            <w:tcW w:w="937" w:type="pct"/>
          </w:tcPr>
          <w:p w14:paraId="58035290" w14:textId="51FAD781" w:rsidR="000D2585" w:rsidRPr="00973F22" w:rsidRDefault="000D2585" w:rsidP="003C496F">
            <w:pPr>
              <w:pStyle w:val="TableBody"/>
              <w:jc w:val="center"/>
            </w:pPr>
            <w:r>
              <w:t>2</w:t>
            </w:r>
            <w:r w:rsidR="001A27F0">
              <w:t>8</w:t>
            </w:r>
          </w:p>
        </w:tc>
      </w:tr>
      <w:tr w:rsidR="000D2585" w14:paraId="7231D7C0"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51BD0E65" w14:textId="77777777" w:rsidR="000D2585" w:rsidRDefault="000D2585" w:rsidP="003C496F">
            <w:pPr>
              <w:pStyle w:val="TableBody"/>
            </w:pPr>
            <w:r>
              <w:t>FRD 22H</w:t>
            </w:r>
          </w:p>
        </w:tc>
        <w:tc>
          <w:tcPr>
            <w:tcW w:w="3125" w:type="pct"/>
            <w:gridSpan w:val="2"/>
          </w:tcPr>
          <w:p w14:paraId="5CDE1693" w14:textId="77777777" w:rsidR="000D2585" w:rsidRDefault="000D2585" w:rsidP="003C496F">
            <w:pPr>
              <w:pStyle w:val="TableBody"/>
            </w:pPr>
            <w:r>
              <w:t>Summary of financial results for the year</w:t>
            </w:r>
          </w:p>
        </w:tc>
        <w:tc>
          <w:tcPr>
            <w:tcW w:w="937" w:type="pct"/>
          </w:tcPr>
          <w:p w14:paraId="4F14F618" w14:textId="1A134106" w:rsidR="000D2585" w:rsidRPr="00973F22" w:rsidRDefault="000D2585" w:rsidP="003C496F">
            <w:pPr>
              <w:pStyle w:val="TableBody"/>
              <w:jc w:val="center"/>
            </w:pPr>
            <w:r>
              <w:t>1</w:t>
            </w:r>
            <w:r w:rsidR="00340F4A">
              <w:t>6</w:t>
            </w:r>
          </w:p>
        </w:tc>
      </w:tr>
      <w:tr w:rsidR="000D2585" w14:paraId="00299386"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7D2EC334" w14:textId="77777777" w:rsidR="000D2585" w:rsidRDefault="000D2585" w:rsidP="003C496F">
            <w:pPr>
              <w:pStyle w:val="TableBody"/>
            </w:pPr>
            <w:r>
              <w:t>FRD 22H</w:t>
            </w:r>
          </w:p>
        </w:tc>
        <w:tc>
          <w:tcPr>
            <w:tcW w:w="3125" w:type="pct"/>
            <w:gridSpan w:val="2"/>
          </w:tcPr>
          <w:p w14:paraId="060395CF" w14:textId="77777777" w:rsidR="000D2585" w:rsidRDefault="000D2585" w:rsidP="003C496F">
            <w:pPr>
              <w:pStyle w:val="TableBody"/>
            </w:pPr>
            <w:r>
              <w:t>Significant changes in financial position for the year</w:t>
            </w:r>
          </w:p>
        </w:tc>
        <w:tc>
          <w:tcPr>
            <w:tcW w:w="937" w:type="pct"/>
          </w:tcPr>
          <w:p w14:paraId="5296D9AD" w14:textId="6FB2335B" w:rsidR="000D2585" w:rsidRPr="00973F22" w:rsidRDefault="000D2585" w:rsidP="003C496F">
            <w:pPr>
              <w:pStyle w:val="TableBody"/>
              <w:jc w:val="center"/>
            </w:pPr>
            <w:r>
              <w:t>1</w:t>
            </w:r>
            <w:r w:rsidR="00340F4A">
              <w:t>7</w:t>
            </w:r>
          </w:p>
        </w:tc>
      </w:tr>
      <w:tr w:rsidR="000D2585" w14:paraId="7D9C6D55"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560D2EB4" w14:textId="77777777" w:rsidR="000D2585" w:rsidRDefault="000D2585" w:rsidP="003C496F">
            <w:pPr>
              <w:pStyle w:val="TableBody"/>
            </w:pPr>
            <w:r>
              <w:t>FRD 22H</w:t>
            </w:r>
          </w:p>
        </w:tc>
        <w:tc>
          <w:tcPr>
            <w:tcW w:w="3125" w:type="pct"/>
            <w:gridSpan w:val="2"/>
          </w:tcPr>
          <w:p w14:paraId="52C5A3FB" w14:textId="77777777" w:rsidR="000D2585" w:rsidRDefault="000D2585" w:rsidP="003C496F">
            <w:pPr>
              <w:pStyle w:val="TableBody"/>
            </w:pPr>
            <w:r>
              <w:t>Major changes or factors affecting performance</w:t>
            </w:r>
          </w:p>
        </w:tc>
        <w:tc>
          <w:tcPr>
            <w:tcW w:w="937" w:type="pct"/>
          </w:tcPr>
          <w:p w14:paraId="0330AE54" w14:textId="22692265" w:rsidR="000D2585" w:rsidRPr="00973F22" w:rsidRDefault="000D2585" w:rsidP="003C496F">
            <w:pPr>
              <w:pStyle w:val="TableBody"/>
              <w:jc w:val="center"/>
            </w:pPr>
            <w:r>
              <w:t>1</w:t>
            </w:r>
            <w:r w:rsidR="00340F4A">
              <w:t>7</w:t>
            </w:r>
          </w:p>
        </w:tc>
      </w:tr>
      <w:tr w:rsidR="000D2585" w14:paraId="3F5A607D"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751B4526" w14:textId="77777777" w:rsidR="000D2585" w:rsidRDefault="000D2585" w:rsidP="003C496F">
            <w:pPr>
              <w:pStyle w:val="TableBody"/>
            </w:pPr>
            <w:r>
              <w:lastRenderedPageBreak/>
              <w:t>FRD 22H</w:t>
            </w:r>
          </w:p>
        </w:tc>
        <w:tc>
          <w:tcPr>
            <w:tcW w:w="3125" w:type="pct"/>
            <w:gridSpan w:val="2"/>
          </w:tcPr>
          <w:p w14:paraId="3238A988" w14:textId="77777777" w:rsidR="000D2585" w:rsidRDefault="000D2585" w:rsidP="003C496F">
            <w:pPr>
              <w:pStyle w:val="TableBody"/>
            </w:pPr>
            <w:r>
              <w:t>Subsequent events</w:t>
            </w:r>
          </w:p>
        </w:tc>
        <w:tc>
          <w:tcPr>
            <w:tcW w:w="937" w:type="pct"/>
          </w:tcPr>
          <w:p w14:paraId="42CCA172" w14:textId="36594BBE" w:rsidR="000D2585" w:rsidRPr="00973F22" w:rsidRDefault="000D2585" w:rsidP="003C496F">
            <w:pPr>
              <w:pStyle w:val="TableBody"/>
              <w:jc w:val="center"/>
            </w:pPr>
            <w:r>
              <w:t>1</w:t>
            </w:r>
            <w:r w:rsidR="00340F4A">
              <w:t>7</w:t>
            </w:r>
          </w:p>
        </w:tc>
      </w:tr>
      <w:tr w:rsidR="000D2585" w14:paraId="6AB0C1D4"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09347F98" w14:textId="77777777" w:rsidR="000D2585" w:rsidRDefault="000D2585" w:rsidP="003C496F">
            <w:pPr>
              <w:pStyle w:val="TableBody"/>
            </w:pPr>
            <w:r>
              <w:t>FRD 22H</w:t>
            </w:r>
          </w:p>
        </w:tc>
        <w:tc>
          <w:tcPr>
            <w:tcW w:w="3125" w:type="pct"/>
            <w:gridSpan w:val="2"/>
          </w:tcPr>
          <w:p w14:paraId="3E0F9813" w14:textId="77777777" w:rsidR="000D2585" w:rsidRDefault="000D2585" w:rsidP="003C496F">
            <w:pPr>
              <w:pStyle w:val="TableBody"/>
            </w:pPr>
            <w:r>
              <w:t>Application and operation of the Freedom of Information Act 1982</w:t>
            </w:r>
          </w:p>
        </w:tc>
        <w:tc>
          <w:tcPr>
            <w:tcW w:w="937" w:type="pct"/>
          </w:tcPr>
          <w:p w14:paraId="7749F108" w14:textId="0540811C" w:rsidR="000D2585" w:rsidRPr="00973F22" w:rsidRDefault="000D2585" w:rsidP="003C496F">
            <w:pPr>
              <w:pStyle w:val="TableBody"/>
              <w:jc w:val="center"/>
            </w:pPr>
            <w:r>
              <w:t>3</w:t>
            </w:r>
            <w:r w:rsidR="00073FD5">
              <w:t>9</w:t>
            </w:r>
          </w:p>
        </w:tc>
      </w:tr>
      <w:tr w:rsidR="000D2585" w14:paraId="28786374"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1A08E106" w14:textId="77777777" w:rsidR="000D2585" w:rsidRDefault="000D2585" w:rsidP="003C496F">
            <w:pPr>
              <w:pStyle w:val="TableBody"/>
            </w:pPr>
            <w:r>
              <w:t>FRD 22H</w:t>
            </w:r>
          </w:p>
        </w:tc>
        <w:tc>
          <w:tcPr>
            <w:tcW w:w="3125" w:type="pct"/>
            <w:gridSpan w:val="2"/>
          </w:tcPr>
          <w:p w14:paraId="61AD5215" w14:textId="77777777" w:rsidR="000D2585" w:rsidRDefault="000D2585" w:rsidP="003C496F">
            <w:pPr>
              <w:pStyle w:val="TableBody"/>
            </w:pPr>
            <w:r>
              <w:t>Compliance with building and maintenance provisions of Building Act 1993</w:t>
            </w:r>
          </w:p>
        </w:tc>
        <w:tc>
          <w:tcPr>
            <w:tcW w:w="937" w:type="pct"/>
          </w:tcPr>
          <w:p w14:paraId="5132E497" w14:textId="20894AC3" w:rsidR="000D2585" w:rsidRPr="00973F22" w:rsidRDefault="00073FD5" w:rsidP="003C496F">
            <w:pPr>
              <w:pStyle w:val="TableBody"/>
              <w:jc w:val="center"/>
            </w:pPr>
            <w:r>
              <w:t>40</w:t>
            </w:r>
          </w:p>
        </w:tc>
      </w:tr>
      <w:tr w:rsidR="000D2585" w14:paraId="1D7F354F"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2D8C1084" w14:textId="77777777" w:rsidR="000D2585" w:rsidRDefault="000D2585" w:rsidP="003C496F">
            <w:pPr>
              <w:pStyle w:val="TableBody"/>
            </w:pPr>
            <w:r>
              <w:t>FRD 22H</w:t>
            </w:r>
          </w:p>
        </w:tc>
        <w:tc>
          <w:tcPr>
            <w:tcW w:w="3125" w:type="pct"/>
            <w:gridSpan w:val="2"/>
          </w:tcPr>
          <w:p w14:paraId="71625458" w14:textId="1B46AD27" w:rsidR="000D2585" w:rsidRDefault="000D2585" w:rsidP="003C496F">
            <w:pPr>
              <w:pStyle w:val="TableBody"/>
            </w:pPr>
            <w:r>
              <w:t xml:space="preserve">Application and operation of the Public Interest Disclosures Act </w:t>
            </w:r>
            <w:r w:rsidR="0038177B">
              <w:t>2012</w:t>
            </w:r>
          </w:p>
        </w:tc>
        <w:tc>
          <w:tcPr>
            <w:tcW w:w="937" w:type="pct"/>
          </w:tcPr>
          <w:p w14:paraId="644A9D3E" w14:textId="54047A57" w:rsidR="000D2585" w:rsidRPr="00973F22" w:rsidRDefault="000D2585" w:rsidP="003C496F">
            <w:pPr>
              <w:pStyle w:val="TableBody"/>
              <w:jc w:val="center"/>
            </w:pPr>
            <w:r>
              <w:t>4</w:t>
            </w:r>
            <w:r w:rsidR="00073FD5">
              <w:t>1</w:t>
            </w:r>
          </w:p>
        </w:tc>
      </w:tr>
      <w:tr w:rsidR="000D2585" w14:paraId="3121EFBD"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342CCCC0" w14:textId="77777777" w:rsidR="000D2585" w:rsidRDefault="000D2585" w:rsidP="003C496F">
            <w:pPr>
              <w:pStyle w:val="TableBody"/>
            </w:pPr>
            <w:r>
              <w:t>FRD 22H</w:t>
            </w:r>
          </w:p>
        </w:tc>
        <w:tc>
          <w:tcPr>
            <w:tcW w:w="3125" w:type="pct"/>
            <w:gridSpan w:val="2"/>
          </w:tcPr>
          <w:p w14:paraId="35B7AC4E" w14:textId="75B477B6" w:rsidR="000D2585" w:rsidRDefault="000D2585" w:rsidP="003C496F">
            <w:pPr>
              <w:pStyle w:val="TableBody"/>
            </w:pPr>
            <w:r>
              <w:t>Application and operation of the Carers Recognition Act 2012</w:t>
            </w:r>
          </w:p>
        </w:tc>
        <w:tc>
          <w:tcPr>
            <w:tcW w:w="937" w:type="pct"/>
          </w:tcPr>
          <w:p w14:paraId="6259FBE8" w14:textId="199EA7A1" w:rsidR="000D2585" w:rsidRPr="00973F22" w:rsidRDefault="000D2585" w:rsidP="003C496F">
            <w:pPr>
              <w:pStyle w:val="TableBody"/>
              <w:jc w:val="center"/>
            </w:pPr>
            <w:r>
              <w:t>4</w:t>
            </w:r>
            <w:r w:rsidR="00073FD5">
              <w:t>2</w:t>
            </w:r>
          </w:p>
        </w:tc>
      </w:tr>
      <w:tr w:rsidR="000D2585" w14:paraId="681BCA5A"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7DF6F42E" w14:textId="77777777" w:rsidR="000D2585" w:rsidRDefault="000D2585" w:rsidP="003C496F">
            <w:pPr>
              <w:pStyle w:val="TableBody"/>
            </w:pPr>
            <w:r>
              <w:t>FRD 22H</w:t>
            </w:r>
          </w:p>
        </w:tc>
        <w:tc>
          <w:tcPr>
            <w:tcW w:w="3125" w:type="pct"/>
            <w:gridSpan w:val="2"/>
          </w:tcPr>
          <w:p w14:paraId="060296B4" w14:textId="77777777" w:rsidR="000D2585" w:rsidRDefault="000D2585" w:rsidP="003C496F">
            <w:pPr>
              <w:pStyle w:val="TableBody"/>
            </w:pPr>
            <w:r>
              <w:t>Details of consultancies over $10,000</w:t>
            </w:r>
          </w:p>
        </w:tc>
        <w:tc>
          <w:tcPr>
            <w:tcW w:w="937" w:type="pct"/>
          </w:tcPr>
          <w:p w14:paraId="2C5C32F6" w14:textId="46E5F9B9" w:rsidR="000D2585" w:rsidRPr="00973F22" w:rsidRDefault="000D2585" w:rsidP="003C496F">
            <w:pPr>
              <w:pStyle w:val="TableBody"/>
              <w:jc w:val="center"/>
            </w:pPr>
            <w:r>
              <w:t>3</w:t>
            </w:r>
            <w:r w:rsidR="00073FD5">
              <w:t>6</w:t>
            </w:r>
          </w:p>
        </w:tc>
      </w:tr>
      <w:tr w:rsidR="000D2585" w14:paraId="2A32E66D"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0D2EC760" w14:textId="77777777" w:rsidR="000D2585" w:rsidRDefault="000D2585" w:rsidP="003C496F">
            <w:pPr>
              <w:pStyle w:val="TableBody"/>
            </w:pPr>
            <w:r>
              <w:t>FRD 22H</w:t>
            </w:r>
          </w:p>
        </w:tc>
        <w:tc>
          <w:tcPr>
            <w:tcW w:w="3125" w:type="pct"/>
            <w:gridSpan w:val="2"/>
          </w:tcPr>
          <w:p w14:paraId="56A357D5" w14:textId="77777777" w:rsidR="000D2585" w:rsidRDefault="000D2585" w:rsidP="003C496F">
            <w:pPr>
              <w:pStyle w:val="TableBody"/>
            </w:pPr>
            <w:r>
              <w:t>Details of consultancies under $10,000</w:t>
            </w:r>
          </w:p>
        </w:tc>
        <w:tc>
          <w:tcPr>
            <w:tcW w:w="937" w:type="pct"/>
          </w:tcPr>
          <w:p w14:paraId="536D7BCA" w14:textId="36ADA0EF" w:rsidR="000D2585" w:rsidRPr="00973F22" w:rsidRDefault="000D2585" w:rsidP="003C496F">
            <w:pPr>
              <w:pStyle w:val="TableBody"/>
              <w:jc w:val="center"/>
            </w:pPr>
            <w:r>
              <w:t>3</w:t>
            </w:r>
            <w:r w:rsidR="00073FD5">
              <w:t>8</w:t>
            </w:r>
          </w:p>
        </w:tc>
      </w:tr>
      <w:tr w:rsidR="000D2585" w14:paraId="1D57566C"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7DBEA89A" w14:textId="77777777" w:rsidR="000D2585" w:rsidRDefault="000D2585" w:rsidP="003C496F">
            <w:pPr>
              <w:pStyle w:val="TableBody"/>
            </w:pPr>
            <w:r>
              <w:t>FRD 22H</w:t>
            </w:r>
          </w:p>
        </w:tc>
        <w:tc>
          <w:tcPr>
            <w:tcW w:w="3125" w:type="pct"/>
            <w:gridSpan w:val="2"/>
          </w:tcPr>
          <w:p w14:paraId="16572751" w14:textId="77777777" w:rsidR="000D2585" w:rsidRDefault="000D2585" w:rsidP="003C496F">
            <w:pPr>
              <w:pStyle w:val="TableBody"/>
            </w:pPr>
            <w:r>
              <w:t>Disclosure of government advertising expenditure</w:t>
            </w:r>
          </w:p>
        </w:tc>
        <w:tc>
          <w:tcPr>
            <w:tcW w:w="937" w:type="pct"/>
          </w:tcPr>
          <w:p w14:paraId="288BFC35" w14:textId="2EB15967" w:rsidR="000D2585" w:rsidRPr="00973F22" w:rsidRDefault="000D2585" w:rsidP="003C496F">
            <w:pPr>
              <w:pStyle w:val="TableBody"/>
              <w:jc w:val="center"/>
            </w:pPr>
            <w:r>
              <w:t>3</w:t>
            </w:r>
            <w:r w:rsidR="00073FD5">
              <w:t>6</w:t>
            </w:r>
          </w:p>
        </w:tc>
      </w:tr>
      <w:tr w:rsidR="000D2585" w14:paraId="2C057F0C"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3A9B268E" w14:textId="77777777" w:rsidR="000D2585" w:rsidRDefault="000D2585" w:rsidP="003C496F">
            <w:pPr>
              <w:pStyle w:val="TableBody"/>
            </w:pPr>
            <w:r>
              <w:t>FRD 22H</w:t>
            </w:r>
          </w:p>
        </w:tc>
        <w:tc>
          <w:tcPr>
            <w:tcW w:w="3125" w:type="pct"/>
            <w:gridSpan w:val="2"/>
          </w:tcPr>
          <w:p w14:paraId="6D22EDB3" w14:textId="77777777" w:rsidR="000D2585" w:rsidRDefault="000D2585" w:rsidP="003C496F">
            <w:pPr>
              <w:pStyle w:val="TableBody"/>
            </w:pPr>
            <w:r>
              <w:t>Disclosure of ICT expenditure</w:t>
            </w:r>
          </w:p>
        </w:tc>
        <w:tc>
          <w:tcPr>
            <w:tcW w:w="937" w:type="pct"/>
          </w:tcPr>
          <w:p w14:paraId="7005DD3E" w14:textId="23587BFB" w:rsidR="000D2585" w:rsidRPr="00973F22" w:rsidRDefault="000D2585" w:rsidP="003C496F">
            <w:pPr>
              <w:pStyle w:val="TableBody"/>
              <w:jc w:val="center"/>
            </w:pPr>
            <w:r>
              <w:t>3</w:t>
            </w:r>
            <w:r w:rsidR="00073FD5">
              <w:t>8</w:t>
            </w:r>
          </w:p>
        </w:tc>
      </w:tr>
      <w:tr w:rsidR="000D2585" w14:paraId="7175DDFB"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69E7BC02" w14:textId="77777777" w:rsidR="000D2585" w:rsidRDefault="000D2585" w:rsidP="003C496F">
            <w:pPr>
              <w:pStyle w:val="TableBody"/>
            </w:pPr>
            <w:r>
              <w:t>FRD 22H</w:t>
            </w:r>
          </w:p>
        </w:tc>
        <w:tc>
          <w:tcPr>
            <w:tcW w:w="3125" w:type="pct"/>
            <w:gridSpan w:val="2"/>
          </w:tcPr>
          <w:p w14:paraId="7A2491F5" w14:textId="50935FA8" w:rsidR="000D2585" w:rsidRDefault="000D2585" w:rsidP="003C496F">
            <w:pPr>
              <w:pStyle w:val="TableBody"/>
            </w:pPr>
            <w:r>
              <w:t xml:space="preserve">Statement of availability </w:t>
            </w:r>
            <w:r w:rsidR="0082252A">
              <w:t>and</w:t>
            </w:r>
            <w:r>
              <w:t xml:space="preserve"> other information</w:t>
            </w:r>
          </w:p>
        </w:tc>
        <w:tc>
          <w:tcPr>
            <w:tcW w:w="937" w:type="pct"/>
          </w:tcPr>
          <w:p w14:paraId="68006028" w14:textId="516E9032" w:rsidR="000D2585" w:rsidRPr="00973F22" w:rsidRDefault="000D2585" w:rsidP="003C496F">
            <w:pPr>
              <w:pStyle w:val="TableBody"/>
              <w:jc w:val="center"/>
            </w:pPr>
            <w:r>
              <w:t>4</w:t>
            </w:r>
            <w:r w:rsidR="00073FD5">
              <w:t>7</w:t>
            </w:r>
          </w:p>
        </w:tc>
      </w:tr>
      <w:tr w:rsidR="000D2585" w14:paraId="416460A4"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51D1E543" w14:textId="77777777" w:rsidR="000D2585" w:rsidRDefault="000D2585" w:rsidP="003C496F">
            <w:pPr>
              <w:pStyle w:val="TableBody"/>
            </w:pPr>
            <w:r>
              <w:t>FRD 24D</w:t>
            </w:r>
          </w:p>
        </w:tc>
        <w:tc>
          <w:tcPr>
            <w:tcW w:w="3125" w:type="pct"/>
            <w:gridSpan w:val="2"/>
          </w:tcPr>
          <w:p w14:paraId="7C551793" w14:textId="77777777" w:rsidR="000D2585" w:rsidRDefault="000D2585" w:rsidP="003C496F">
            <w:pPr>
              <w:pStyle w:val="TableBody"/>
            </w:pPr>
            <w:r>
              <w:t>Reporting of office based environmental impacts</w:t>
            </w:r>
          </w:p>
        </w:tc>
        <w:tc>
          <w:tcPr>
            <w:tcW w:w="937" w:type="pct"/>
          </w:tcPr>
          <w:p w14:paraId="6776533E" w14:textId="79F8997E" w:rsidR="000D2585" w:rsidRPr="00973F22" w:rsidRDefault="000D2585" w:rsidP="003C496F">
            <w:pPr>
              <w:pStyle w:val="TableBody"/>
              <w:jc w:val="center"/>
            </w:pPr>
            <w:r>
              <w:t>4</w:t>
            </w:r>
            <w:r w:rsidR="00073FD5">
              <w:t>3</w:t>
            </w:r>
          </w:p>
        </w:tc>
      </w:tr>
      <w:tr w:rsidR="000D2585" w14:paraId="0A172D6C"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42DC5BBB" w14:textId="77777777" w:rsidR="000D2585" w:rsidRDefault="000D2585" w:rsidP="003C496F">
            <w:pPr>
              <w:pStyle w:val="TableBody"/>
            </w:pPr>
            <w:r>
              <w:t>FRD 25D</w:t>
            </w:r>
          </w:p>
        </w:tc>
        <w:tc>
          <w:tcPr>
            <w:tcW w:w="3125" w:type="pct"/>
            <w:gridSpan w:val="2"/>
          </w:tcPr>
          <w:p w14:paraId="1AB7DAD8" w14:textId="77777777" w:rsidR="000D2585" w:rsidRDefault="000D2585" w:rsidP="003C496F">
            <w:pPr>
              <w:pStyle w:val="TableBody"/>
            </w:pPr>
            <w:r>
              <w:t>Local Jobs First</w:t>
            </w:r>
          </w:p>
        </w:tc>
        <w:tc>
          <w:tcPr>
            <w:tcW w:w="937" w:type="pct"/>
          </w:tcPr>
          <w:p w14:paraId="1A535601" w14:textId="02082DE9" w:rsidR="000D2585" w:rsidRPr="00973F22" w:rsidRDefault="000D2585" w:rsidP="003C496F">
            <w:pPr>
              <w:pStyle w:val="TableBody"/>
              <w:jc w:val="center"/>
            </w:pPr>
            <w:r>
              <w:t>3</w:t>
            </w:r>
            <w:r w:rsidR="00073FD5">
              <w:t>5</w:t>
            </w:r>
          </w:p>
        </w:tc>
      </w:tr>
      <w:tr w:rsidR="000D2585" w14:paraId="2B18907F"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36363F88" w14:textId="77777777" w:rsidR="000D2585" w:rsidRDefault="000D2585" w:rsidP="003C496F">
            <w:pPr>
              <w:pStyle w:val="TableBody"/>
            </w:pPr>
            <w:r>
              <w:t>FRD 29C</w:t>
            </w:r>
          </w:p>
        </w:tc>
        <w:tc>
          <w:tcPr>
            <w:tcW w:w="3125" w:type="pct"/>
            <w:gridSpan w:val="2"/>
          </w:tcPr>
          <w:p w14:paraId="5A302031" w14:textId="77777777" w:rsidR="000D2585" w:rsidRDefault="000D2585" w:rsidP="003C496F">
            <w:pPr>
              <w:pStyle w:val="TableBody"/>
            </w:pPr>
            <w:r>
              <w:t>Workforce data disclosures</w:t>
            </w:r>
          </w:p>
        </w:tc>
        <w:tc>
          <w:tcPr>
            <w:tcW w:w="937" w:type="pct"/>
          </w:tcPr>
          <w:p w14:paraId="034FE533" w14:textId="252FA81F" w:rsidR="000D2585" w:rsidRPr="00973F22" w:rsidRDefault="000D2585" w:rsidP="003C496F">
            <w:pPr>
              <w:pStyle w:val="TableBody"/>
              <w:jc w:val="center"/>
            </w:pPr>
            <w:r>
              <w:t>2</w:t>
            </w:r>
            <w:r w:rsidR="00073FD5">
              <w:t>8</w:t>
            </w:r>
          </w:p>
        </w:tc>
      </w:tr>
      <w:tr w:rsidR="000D2585" w14:paraId="3C60ACD9"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686C301A" w14:textId="77777777" w:rsidR="000D2585" w:rsidRDefault="000D2585" w:rsidP="003C496F">
            <w:pPr>
              <w:pStyle w:val="TableBody"/>
            </w:pPr>
            <w:r>
              <w:t>SD 5.2</w:t>
            </w:r>
          </w:p>
        </w:tc>
        <w:tc>
          <w:tcPr>
            <w:tcW w:w="3125" w:type="pct"/>
            <w:gridSpan w:val="2"/>
          </w:tcPr>
          <w:p w14:paraId="197E4FBB" w14:textId="77777777" w:rsidR="000D2585" w:rsidRDefault="000D2585" w:rsidP="003C496F">
            <w:pPr>
              <w:pStyle w:val="TableBody"/>
            </w:pPr>
            <w:r>
              <w:t>Specific requirements under Standing Direction 5.2</w:t>
            </w:r>
          </w:p>
        </w:tc>
        <w:tc>
          <w:tcPr>
            <w:tcW w:w="937" w:type="pct"/>
          </w:tcPr>
          <w:p w14:paraId="1DC57D32" w14:textId="3F9C85F1" w:rsidR="000D2585" w:rsidRPr="00973F22" w:rsidRDefault="00F87BF7" w:rsidP="003C496F">
            <w:pPr>
              <w:pStyle w:val="TableBody"/>
              <w:jc w:val="center"/>
            </w:pPr>
            <w:r>
              <w:t>8</w:t>
            </w:r>
            <w:r w:rsidR="00073FD5">
              <w:t>2</w:t>
            </w:r>
          </w:p>
        </w:tc>
      </w:tr>
      <w:tr w:rsidR="000D2585" w14:paraId="510B8F12" w14:textId="77777777" w:rsidTr="003C496F">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63D3D7D2" w14:textId="77777777" w:rsidR="000D2585" w:rsidRPr="00973F22" w:rsidRDefault="000D2585" w:rsidP="003C496F">
            <w:pPr>
              <w:pStyle w:val="TableBody"/>
            </w:pPr>
            <w:r>
              <w:t>Compliance attestation and declaration</w:t>
            </w:r>
          </w:p>
        </w:tc>
      </w:tr>
      <w:tr w:rsidR="000D2585" w14:paraId="6ACDC7CB"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437C8213" w14:textId="77777777" w:rsidR="000D2585" w:rsidRDefault="000D2585" w:rsidP="003C496F">
            <w:pPr>
              <w:pStyle w:val="TableBody"/>
            </w:pPr>
            <w:r>
              <w:t>SD 5.4.1</w:t>
            </w:r>
          </w:p>
        </w:tc>
        <w:tc>
          <w:tcPr>
            <w:tcW w:w="3125" w:type="pct"/>
            <w:gridSpan w:val="2"/>
          </w:tcPr>
          <w:p w14:paraId="1A96F942" w14:textId="77777777" w:rsidR="000D2585" w:rsidRDefault="000D2585" w:rsidP="003C496F">
            <w:pPr>
              <w:pStyle w:val="TableBody"/>
            </w:pPr>
            <w:r>
              <w:t>Attestation for compliance with Ministerial Standing Direction</w:t>
            </w:r>
          </w:p>
        </w:tc>
        <w:tc>
          <w:tcPr>
            <w:tcW w:w="937" w:type="pct"/>
          </w:tcPr>
          <w:p w14:paraId="2CE51119" w14:textId="7A2C66F0" w:rsidR="000D2585" w:rsidRPr="00973F22" w:rsidRDefault="000D2585" w:rsidP="003C496F">
            <w:pPr>
              <w:pStyle w:val="TableBody"/>
              <w:jc w:val="center"/>
            </w:pPr>
            <w:r w:rsidRPr="00F87BF7">
              <w:t>4</w:t>
            </w:r>
            <w:r w:rsidR="00073FD5">
              <w:t>8</w:t>
            </w:r>
          </w:p>
        </w:tc>
      </w:tr>
      <w:tr w:rsidR="000D2585" w14:paraId="04732A5C"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73769D2C" w14:textId="77777777" w:rsidR="000D2585" w:rsidRDefault="000D2585" w:rsidP="003C496F">
            <w:pPr>
              <w:pStyle w:val="TableBody"/>
            </w:pPr>
            <w:r>
              <w:t>SD 5.2.3</w:t>
            </w:r>
          </w:p>
        </w:tc>
        <w:tc>
          <w:tcPr>
            <w:tcW w:w="3125" w:type="pct"/>
            <w:gridSpan w:val="2"/>
          </w:tcPr>
          <w:p w14:paraId="28788684" w14:textId="77777777" w:rsidR="000D2585" w:rsidRDefault="000D2585" w:rsidP="003C496F">
            <w:pPr>
              <w:pStyle w:val="TableBody"/>
            </w:pPr>
            <w:r>
              <w:t>Declaration in report of operations</w:t>
            </w:r>
          </w:p>
        </w:tc>
        <w:tc>
          <w:tcPr>
            <w:tcW w:w="937" w:type="pct"/>
          </w:tcPr>
          <w:p w14:paraId="32CD2E3A" w14:textId="77777777" w:rsidR="000D2585" w:rsidRPr="00973F22" w:rsidRDefault="000D2585" w:rsidP="003C496F">
            <w:pPr>
              <w:pStyle w:val="TableBody"/>
              <w:jc w:val="center"/>
            </w:pPr>
            <w:r>
              <w:t>2</w:t>
            </w:r>
          </w:p>
        </w:tc>
      </w:tr>
      <w:tr w:rsidR="000D2585" w14:paraId="400CD1DA"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512CC33E" w14:textId="77777777" w:rsidR="000D2585" w:rsidRDefault="000D2585" w:rsidP="003C496F">
            <w:pPr>
              <w:pStyle w:val="TableBody"/>
            </w:pPr>
            <w:r>
              <w:lastRenderedPageBreak/>
              <w:t>SD 5.2.2</w:t>
            </w:r>
          </w:p>
        </w:tc>
        <w:tc>
          <w:tcPr>
            <w:tcW w:w="3125" w:type="pct"/>
            <w:gridSpan w:val="2"/>
          </w:tcPr>
          <w:p w14:paraId="3D4B07BA" w14:textId="77777777" w:rsidR="000D2585" w:rsidRDefault="000D2585" w:rsidP="003C496F">
            <w:pPr>
              <w:pStyle w:val="TableBody"/>
            </w:pPr>
            <w:r>
              <w:t>Declaration in financial statements</w:t>
            </w:r>
          </w:p>
        </w:tc>
        <w:tc>
          <w:tcPr>
            <w:tcW w:w="937" w:type="pct"/>
          </w:tcPr>
          <w:p w14:paraId="02743B1F" w14:textId="0F159AF1" w:rsidR="000D2585" w:rsidRPr="00973F22" w:rsidRDefault="00F87BF7" w:rsidP="003C496F">
            <w:pPr>
              <w:pStyle w:val="TableBody"/>
              <w:jc w:val="center"/>
            </w:pPr>
            <w:r>
              <w:t>8</w:t>
            </w:r>
            <w:r w:rsidR="00073FD5">
              <w:t>2</w:t>
            </w:r>
          </w:p>
        </w:tc>
      </w:tr>
      <w:tr w:rsidR="000D2585" w14:paraId="6D78D782" w14:textId="77777777" w:rsidTr="003C496F">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46DB7DE0" w14:textId="77777777" w:rsidR="000D2585" w:rsidRPr="00973F22" w:rsidRDefault="000D2585" w:rsidP="003C496F">
            <w:pPr>
              <w:pStyle w:val="TableBody"/>
            </w:pPr>
            <w:r>
              <w:t>Other requirements under Standing Directions 5.2</w:t>
            </w:r>
          </w:p>
        </w:tc>
      </w:tr>
      <w:tr w:rsidR="000D2585" w14:paraId="67ED889D"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4FF08DF6" w14:textId="77777777" w:rsidR="000D2585" w:rsidRDefault="000D2585" w:rsidP="003C496F">
            <w:pPr>
              <w:pStyle w:val="TableBody"/>
            </w:pPr>
            <w:r>
              <w:t>SD 5.2.1(a)</w:t>
            </w:r>
          </w:p>
        </w:tc>
        <w:tc>
          <w:tcPr>
            <w:tcW w:w="3125" w:type="pct"/>
            <w:gridSpan w:val="2"/>
          </w:tcPr>
          <w:p w14:paraId="5A82FA65" w14:textId="77777777" w:rsidR="000D2585" w:rsidRDefault="000D2585" w:rsidP="003C496F">
            <w:pPr>
              <w:pStyle w:val="TableBody"/>
            </w:pPr>
            <w:r>
              <w:t>Compliance with Australian accounting standards and other authoritative pronouncements</w:t>
            </w:r>
          </w:p>
        </w:tc>
        <w:tc>
          <w:tcPr>
            <w:tcW w:w="937" w:type="pct"/>
          </w:tcPr>
          <w:p w14:paraId="6DCCE156" w14:textId="40FDE34E" w:rsidR="000D2585" w:rsidRPr="00973F22" w:rsidRDefault="00F87BF7" w:rsidP="003C496F">
            <w:pPr>
              <w:pStyle w:val="TableBody"/>
              <w:jc w:val="center"/>
            </w:pPr>
            <w:r>
              <w:t>6</w:t>
            </w:r>
            <w:r w:rsidR="0082489B">
              <w:t>0</w:t>
            </w:r>
          </w:p>
        </w:tc>
      </w:tr>
      <w:tr w:rsidR="000D2585" w14:paraId="53A2F2A1"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1E9EF04A" w14:textId="77777777" w:rsidR="000D2585" w:rsidRDefault="000D2585" w:rsidP="003C496F">
            <w:pPr>
              <w:pStyle w:val="TableBody"/>
            </w:pPr>
            <w:r>
              <w:t>SD 5.2.1(a)</w:t>
            </w:r>
          </w:p>
        </w:tc>
        <w:tc>
          <w:tcPr>
            <w:tcW w:w="3125" w:type="pct"/>
            <w:gridSpan w:val="2"/>
          </w:tcPr>
          <w:p w14:paraId="52750705" w14:textId="77777777" w:rsidR="000D2585" w:rsidRDefault="000D2585" w:rsidP="003C496F">
            <w:pPr>
              <w:pStyle w:val="TableBody"/>
            </w:pPr>
            <w:r>
              <w:t>Compliance with Standing Directions</w:t>
            </w:r>
          </w:p>
        </w:tc>
        <w:tc>
          <w:tcPr>
            <w:tcW w:w="937" w:type="pct"/>
          </w:tcPr>
          <w:p w14:paraId="6E9B373C" w14:textId="6B0C1CAA" w:rsidR="000D2585" w:rsidRPr="00973F22" w:rsidRDefault="00F87BF7" w:rsidP="003C496F">
            <w:pPr>
              <w:pStyle w:val="TableBody"/>
              <w:jc w:val="center"/>
            </w:pPr>
            <w:r>
              <w:t>6</w:t>
            </w:r>
            <w:r w:rsidR="0082489B">
              <w:t>0</w:t>
            </w:r>
          </w:p>
        </w:tc>
      </w:tr>
      <w:tr w:rsidR="000D2585" w14:paraId="6DC1B5D0"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2D42F1D1" w14:textId="77777777" w:rsidR="000D2585" w:rsidRDefault="000D2585" w:rsidP="003C496F">
            <w:pPr>
              <w:pStyle w:val="TableBody"/>
            </w:pPr>
            <w:r>
              <w:t>SD 5.2.1(b)</w:t>
            </w:r>
          </w:p>
        </w:tc>
        <w:tc>
          <w:tcPr>
            <w:tcW w:w="3125" w:type="pct"/>
            <w:gridSpan w:val="2"/>
          </w:tcPr>
          <w:p w14:paraId="7C43A4E8" w14:textId="77777777" w:rsidR="000D2585" w:rsidRDefault="000D2585" w:rsidP="003C496F">
            <w:pPr>
              <w:pStyle w:val="TableBody"/>
            </w:pPr>
            <w:r>
              <w:t>Compliance with model financial report</w:t>
            </w:r>
          </w:p>
        </w:tc>
        <w:tc>
          <w:tcPr>
            <w:tcW w:w="937" w:type="pct"/>
          </w:tcPr>
          <w:p w14:paraId="4A1A4B25" w14:textId="0F3B80F3" w:rsidR="000D2585" w:rsidRPr="00973F22" w:rsidRDefault="00F87BF7" w:rsidP="003C496F">
            <w:pPr>
              <w:pStyle w:val="TableBody"/>
              <w:jc w:val="center"/>
            </w:pPr>
            <w:r>
              <w:t>6</w:t>
            </w:r>
            <w:r w:rsidR="0082489B">
              <w:t>0</w:t>
            </w:r>
          </w:p>
        </w:tc>
      </w:tr>
      <w:tr w:rsidR="000D2585" w14:paraId="3F3C7BD2" w14:textId="77777777" w:rsidTr="003C496F">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3B68D191" w14:textId="77777777" w:rsidR="000D2585" w:rsidRPr="00973F22" w:rsidRDefault="000D2585" w:rsidP="003C496F">
            <w:pPr>
              <w:pStyle w:val="TableBody"/>
            </w:pPr>
            <w:r>
              <w:t>Other disclosures as required by FRDs in notes to financial statements</w:t>
            </w:r>
          </w:p>
        </w:tc>
      </w:tr>
      <w:tr w:rsidR="000D2585" w14:paraId="7396376B" w14:textId="77777777" w:rsidTr="003C496F">
        <w:trPr>
          <w:cnfStyle w:val="000000010000" w:firstRow="0" w:lastRow="0" w:firstColumn="0" w:lastColumn="0" w:oddVBand="0" w:evenVBand="0" w:oddHBand="0" w:evenHBand="1" w:firstRowFirstColumn="0" w:firstRowLastColumn="0" w:lastRowFirstColumn="0" w:lastRowLastColumn="0"/>
        </w:trPr>
        <w:tc>
          <w:tcPr>
            <w:tcW w:w="938" w:type="pct"/>
          </w:tcPr>
          <w:p w14:paraId="0E670075" w14:textId="77777777" w:rsidR="000D2585" w:rsidRDefault="000D2585" w:rsidP="003C496F">
            <w:pPr>
              <w:pStyle w:val="TableBody"/>
            </w:pPr>
            <w:r>
              <w:t>FRD 110A</w:t>
            </w:r>
          </w:p>
        </w:tc>
        <w:tc>
          <w:tcPr>
            <w:tcW w:w="3125" w:type="pct"/>
            <w:gridSpan w:val="2"/>
          </w:tcPr>
          <w:p w14:paraId="208941D4" w14:textId="77777777" w:rsidR="000D2585" w:rsidRDefault="000D2585" w:rsidP="003C496F">
            <w:pPr>
              <w:pStyle w:val="TableBody"/>
            </w:pPr>
            <w:r>
              <w:t>Balance sheet</w:t>
            </w:r>
          </w:p>
        </w:tc>
        <w:tc>
          <w:tcPr>
            <w:tcW w:w="937" w:type="pct"/>
          </w:tcPr>
          <w:p w14:paraId="4CAF13C4" w14:textId="5D14CB83" w:rsidR="000D2585" w:rsidRPr="00973F22" w:rsidRDefault="00F87BF7" w:rsidP="003C496F">
            <w:pPr>
              <w:pStyle w:val="TableBody"/>
              <w:jc w:val="center"/>
            </w:pPr>
            <w:r>
              <w:t>5</w:t>
            </w:r>
            <w:r w:rsidR="00073FD5">
              <w:t>8</w:t>
            </w:r>
          </w:p>
        </w:tc>
      </w:tr>
      <w:tr w:rsidR="000D2585" w14:paraId="643C33BC" w14:textId="77777777" w:rsidTr="003C496F">
        <w:trPr>
          <w:cnfStyle w:val="000000100000" w:firstRow="0" w:lastRow="0" w:firstColumn="0" w:lastColumn="0" w:oddVBand="0" w:evenVBand="0" w:oddHBand="1" w:evenHBand="0" w:firstRowFirstColumn="0" w:firstRowLastColumn="0" w:lastRowFirstColumn="0" w:lastRowLastColumn="0"/>
        </w:trPr>
        <w:tc>
          <w:tcPr>
            <w:tcW w:w="938" w:type="pct"/>
          </w:tcPr>
          <w:p w14:paraId="64D8EF51" w14:textId="77777777" w:rsidR="000D2585" w:rsidRDefault="000D2585" w:rsidP="003C496F">
            <w:pPr>
              <w:pStyle w:val="TableBody"/>
            </w:pPr>
            <w:r>
              <w:t>FRD 110A</w:t>
            </w:r>
          </w:p>
        </w:tc>
        <w:tc>
          <w:tcPr>
            <w:tcW w:w="3125" w:type="pct"/>
            <w:gridSpan w:val="2"/>
          </w:tcPr>
          <w:p w14:paraId="7161E28B" w14:textId="77777777" w:rsidR="000D2585" w:rsidRDefault="000D2585" w:rsidP="003C496F">
            <w:pPr>
              <w:pStyle w:val="TableBody"/>
            </w:pPr>
            <w:r>
              <w:t>Cash flow statement</w:t>
            </w:r>
          </w:p>
        </w:tc>
        <w:tc>
          <w:tcPr>
            <w:tcW w:w="937" w:type="pct"/>
          </w:tcPr>
          <w:p w14:paraId="533CF2D2" w14:textId="310749F7" w:rsidR="000D2585" w:rsidRPr="00973F22" w:rsidRDefault="00F87BF7" w:rsidP="003C496F">
            <w:pPr>
              <w:pStyle w:val="TableBody"/>
              <w:jc w:val="center"/>
            </w:pPr>
            <w:r>
              <w:t>5</w:t>
            </w:r>
            <w:r w:rsidR="00073FD5">
              <w:t>9</w:t>
            </w:r>
          </w:p>
        </w:tc>
      </w:tr>
    </w:tbl>
    <w:p w14:paraId="34773E39" w14:textId="299D02CD" w:rsidR="00A42367" w:rsidRDefault="00A42367" w:rsidP="00A42367">
      <w:pPr>
        <w:pStyle w:val="Heading30"/>
        <w:jc w:val="both"/>
      </w:pPr>
    </w:p>
    <w:p w14:paraId="07814B6B" w14:textId="77777777" w:rsidR="000D2585" w:rsidRDefault="000D2585" w:rsidP="00A42367">
      <w:pPr>
        <w:pStyle w:val="Heading30"/>
        <w:jc w:val="both"/>
      </w:pPr>
    </w:p>
    <w:tbl>
      <w:tblPr>
        <w:tblStyle w:val="TableHorizontal"/>
        <w:tblW w:w="5000" w:type="pct"/>
        <w:tblLook w:val="0420" w:firstRow="1" w:lastRow="0" w:firstColumn="0" w:lastColumn="0" w:noHBand="0" w:noVBand="1"/>
      </w:tblPr>
      <w:tblGrid>
        <w:gridCol w:w="5785"/>
        <w:gridCol w:w="3569"/>
      </w:tblGrid>
      <w:tr w:rsidR="00DE7F42" w14:paraId="53321292" w14:textId="77777777" w:rsidTr="00DE7F42">
        <w:trPr>
          <w:cnfStyle w:val="100000000000" w:firstRow="1" w:lastRow="0" w:firstColumn="0" w:lastColumn="0" w:oddVBand="0" w:evenVBand="0" w:oddHBand="0" w:evenHBand="0" w:firstRowFirstColumn="0" w:firstRowLastColumn="0" w:lastRowFirstColumn="0" w:lastRowLastColumn="0"/>
        </w:trPr>
        <w:tc>
          <w:tcPr>
            <w:tcW w:w="5000" w:type="pct"/>
            <w:gridSpan w:val="2"/>
            <w:tcBorders>
              <w:bottom w:val="nil"/>
            </w:tcBorders>
          </w:tcPr>
          <w:p w14:paraId="67B2D8BF" w14:textId="12D3197F" w:rsidR="00DE7F42" w:rsidRPr="00DE7F42" w:rsidRDefault="00DE7F42" w:rsidP="00B74E10">
            <w:pPr>
              <w:pStyle w:val="Heading20"/>
              <w:outlineLvl w:val="1"/>
            </w:pPr>
            <w:r w:rsidRPr="00DE7F42">
              <w:lastRenderedPageBreak/>
              <w:t>Legislation</w:t>
            </w:r>
          </w:p>
        </w:tc>
      </w:tr>
      <w:tr w:rsidR="00A42367" w14:paraId="1CBF7065" w14:textId="77777777" w:rsidTr="00DE7F42">
        <w:trPr>
          <w:cnfStyle w:val="000000100000" w:firstRow="0" w:lastRow="0" w:firstColumn="0" w:lastColumn="0" w:oddVBand="0" w:evenVBand="0" w:oddHBand="1" w:evenHBand="0" w:firstRowFirstColumn="0" w:firstRowLastColumn="0" w:lastRowFirstColumn="0" w:lastRowLastColumn="0"/>
        </w:trPr>
        <w:tc>
          <w:tcPr>
            <w:tcW w:w="3092" w:type="pct"/>
            <w:tcBorders>
              <w:bottom w:val="single" w:sz="12" w:space="0" w:color="00573F" w:themeColor="text2"/>
              <w:right w:val="nil"/>
            </w:tcBorders>
          </w:tcPr>
          <w:p w14:paraId="7F421284" w14:textId="53442050" w:rsidR="00A42367" w:rsidRPr="00973F22" w:rsidRDefault="00DE7F42" w:rsidP="001C4240">
            <w:pPr>
              <w:pStyle w:val="TableHeader"/>
            </w:pPr>
            <w:r>
              <w:t>Act</w:t>
            </w:r>
          </w:p>
        </w:tc>
        <w:tc>
          <w:tcPr>
            <w:tcW w:w="1908" w:type="pct"/>
            <w:tcBorders>
              <w:left w:val="nil"/>
              <w:bottom w:val="single" w:sz="12" w:space="0" w:color="00573F" w:themeColor="text2"/>
            </w:tcBorders>
          </w:tcPr>
          <w:p w14:paraId="61192579" w14:textId="268EF808" w:rsidR="00A42367" w:rsidRPr="00973F22" w:rsidRDefault="00A42367" w:rsidP="001C4240">
            <w:pPr>
              <w:pStyle w:val="TableHeader"/>
              <w:jc w:val="center"/>
            </w:pPr>
            <w:r>
              <w:t>Page</w:t>
            </w:r>
          </w:p>
        </w:tc>
      </w:tr>
      <w:tr w:rsidR="00A42367" w14:paraId="4E947343" w14:textId="77777777" w:rsidTr="00DE7F42">
        <w:trPr>
          <w:cnfStyle w:val="000000010000" w:firstRow="0" w:lastRow="0" w:firstColumn="0" w:lastColumn="0" w:oddVBand="0" w:evenVBand="0" w:oddHBand="0" w:evenHBand="1" w:firstRowFirstColumn="0" w:firstRowLastColumn="0" w:lastRowFirstColumn="0" w:lastRowLastColumn="0"/>
        </w:trPr>
        <w:tc>
          <w:tcPr>
            <w:tcW w:w="3092" w:type="pct"/>
            <w:tcBorders>
              <w:top w:val="single" w:sz="12" w:space="0" w:color="00573F" w:themeColor="text2"/>
            </w:tcBorders>
          </w:tcPr>
          <w:p w14:paraId="77479992" w14:textId="71899FF5" w:rsidR="00A42367" w:rsidRPr="00973F22" w:rsidRDefault="00E46996" w:rsidP="001C4240">
            <w:pPr>
              <w:pStyle w:val="TableBody"/>
            </w:pPr>
            <w:r>
              <w:t>Local Jobs First Act 2003</w:t>
            </w:r>
          </w:p>
        </w:tc>
        <w:tc>
          <w:tcPr>
            <w:tcW w:w="1908" w:type="pct"/>
            <w:tcBorders>
              <w:top w:val="single" w:sz="12" w:space="0" w:color="00573F" w:themeColor="text2"/>
            </w:tcBorders>
          </w:tcPr>
          <w:p w14:paraId="7B0D76D3" w14:textId="361188F1" w:rsidR="00A42367" w:rsidRPr="00973F22" w:rsidRDefault="00E46996" w:rsidP="001C4240">
            <w:pPr>
              <w:pStyle w:val="TableBody"/>
              <w:jc w:val="center"/>
            </w:pPr>
            <w:r>
              <w:t>3</w:t>
            </w:r>
            <w:r w:rsidR="00FC7BB2">
              <w:t>4</w:t>
            </w:r>
          </w:p>
        </w:tc>
      </w:tr>
      <w:tr w:rsidR="00E46996" w14:paraId="17881D06" w14:textId="77777777" w:rsidTr="00A42367">
        <w:trPr>
          <w:cnfStyle w:val="000000100000" w:firstRow="0" w:lastRow="0" w:firstColumn="0" w:lastColumn="0" w:oddVBand="0" w:evenVBand="0" w:oddHBand="1" w:evenHBand="0" w:firstRowFirstColumn="0" w:firstRowLastColumn="0" w:lastRowFirstColumn="0" w:lastRowLastColumn="0"/>
        </w:trPr>
        <w:tc>
          <w:tcPr>
            <w:tcW w:w="3092" w:type="pct"/>
          </w:tcPr>
          <w:p w14:paraId="47031B45" w14:textId="1C27934F" w:rsidR="00E46996" w:rsidRDefault="00E46996" w:rsidP="001C4240">
            <w:pPr>
              <w:pStyle w:val="TableBody"/>
            </w:pPr>
            <w:r>
              <w:t>Freedom of Information Act 1982</w:t>
            </w:r>
          </w:p>
        </w:tc>
        <w:tc>
          <w:tcPr>
            <w:tcW w:w="1908" w:type="pct"/>
          </w:tcPr>
          <w:p w14:paraId="5D3A1017" w14:textId="40AA1B1E" w:rsidR="00E46996" w:rsidRPr="00973F22" w:rsidRDefault="00E46996" w:rsidP="001C4240">
            <w:pPr>
              <w:pStyle w:val="TableBody"/>
              <w:jc w:val="center"/>
            </w:pPr>
            <w:r>
              <w:t>3</w:t>
            </w:r>
            <w:r w:rsidR="00073FD5">
              <w:t>9</w:t>
            </w:r>
          </w:p>
        </w:tc>
      </w:tr>
      <w:tr w:rsidR="00A42367" w14:paraId="73E0A2F7" w14:textId="77777777" w:rsidTr="00A42367">
        <w:trPr>
          <w:cnfStyle w:val="000000010000" w:firstRow="0" w:lastRow="0" w:firstColumn="0" w:lastColumn="0" w:oddVBand="0" w:evenVBand="0" w:oddHBand="0" w:evenHBand="1" w:firstRowFirstColumn="0" w:firstRowLastColumn="0" w:lastRowFirstColumn="0" w:lastRowLastColumn="0"/>
        </w:trPr>
        <w:tc>
          <w:tcPr>
            <w:tcW w:w="3092" w:type="pct"/>
          </w:tcPr>
          <w:p w14:paraId="3016BFDC" w14:textId="74DB928A" w:rsidR="00A42367" w:rsidRPr="00973F22" w:rsidRDefault="00A42367" w:rsidP="001C4240">
            <w:pPr>
              <w:pStyle w:val="TableBody"/>
            </w:pPr>
            <w:r>
              <w:t>Building Act 1993</w:t>
            </w:r>
          </w:p>
        </w:tc>
        <w:tc>
          <w:tcPr>
            <w:tcW w:w="1908" w:type="pct"/>
          </w:tcPr>
          <w:p w14:paraId="498AFB89" w14:textId="370C0730" w:rsidR="00A42367" w:rsidRPr="00973F22" w:rsidRDefault="00073FD5" w:rsidP="001C4240">
            <w:pPr>
              <w:pStyle w:val="TableBody"/>
              <w:jc w:val="center"/>
            </w:pPr>
            <w:r>
              <w:t>40</w:t>
            </w:r>
          </w:p>
        </w:tc>
      </w:tr>
      <w:tr w:rsidR="00A42367" w14:paraId="41A6BDB5" w14:textId="77777777" w:rsidTr="00A42367">
        <w:trPr>
          <w:cnfStyle w:val="000000100000" w:firstRow="0" w:lastRow="0" w:firstColumn="0" w:lastColumn="0" w:oddVBand="0" w:evenVBand="0" w:oddHBand="1" w:evenHBand="0" w:firstRowFirstColumn="0" w:firstRowLastColumn="0" w:lastRowFirstColumn="0" w:lastRowLastColumn="0"/>
        </w:trPr>
        <w:tc>
          <w:tcPr>
            <w:tcW w:w="3092" w:type="pct"/>
          </w:tcPr>
          <w:p w14:paraId="0BD8C2AA" w14:textId="16AA4427" w:rsidR="00A42367" w:rsidRDefault="00A42367" w:rsidP="001C4240">
            <w:pPr>
              <w:pStyle w:val="TableBody"/>
            </w:pPr>
            <w:r>
              <w:t>Public Interest Disclosures Act 20</w:t>
            </w:r>
            <w:r w:rsidR="0038177B">
              <w:t>12</w:t>
            </w:r>
          </w:p>
        </w:tc>
        <w:tc>
          <w:tcPr>
            <w:tcW w:w="1908" w:type="pct"/>
          </w:tcPr>
          <w:p w14:paraId="5C8DA95A" w14:textId="3EF6E3F2" w:rsidR="00A42367" w:rsidRDefault="00E46996" w:rsidP="001C4240">
            <w:pPr>
              <w:pStyle w:val="TableBody"/>
              <w:jc w:val="center"/>
            </w:pPr>
            <w:r>
              <w:t>4</w:t>
            </w:r>
            <w:r w:rsidR="00073FD5">
              <w:t>1</w:t>
            </w:r>
          </w:p>
        </w:tc>
      </w:tr>
      <w:tr w:rsidR="00A42367" w14:paraId="0A23C321" w14:textId="77777777" w:rsidTr="00A42367">
        <w:trPr>
          <w:cnfStyle w:val="000000010000" w:firstRow="0" w:lastRow="0" w:firstColumn="0" w:lastColumn="0" w:oddVBand="0" w:evenVBand="0" w:oddHBand="0" w:evenHBand="1" w:firstRowFirstColumn="0" w:firstRowLastColumn="0" w:lastRowFirstColumn="0" w:lastRowLastColumn="0"/>
        </w:trPr>
        <w:tc>
          <w:tcPr>
            <w:tcW w:w="3092" w:type="pct"/>
          </w:tcPr>
          <w:p w14:paraId="34C8A4B1" w14:textId="5EA8508F" w:rsidR="00A42367" w:rsidRDefault="00A42367" w:rsidP="001C4240">
            <w:pPr>
              <w:pStyle w:val="TableBody"/>
            </w:pPr>
            <w:r>
              <w:t>Carers Recognition Act 2012</w:t>
            </w:r>
          </w:p>
        </w:tc>
        <w:tc>
          <w:tcPr>
            <w:tcW w:w="1908" w:type="pct"/>
          </w:tcPr>
          <w:p w14:paraId="1CBFEE40" w14:textId="594E3B51" w:rsidR="00A42367" w:rsidRDefault="00E46996" w:rsidP="001C4240">
            <w:pPr>
              <w:pStyle w:val="TableBody"/>
              <w:jc w:val="center"/>
            </w:pPr>
            <w:r>
              <w:t>4</w:t>
            </w:r>
            <w:r w:rsidR="00073FD5">
              <w:t>2</w:t>
            </w:r>
          </w:p>
        </w:tc>
      </w:tr>
      <w:tr w:rsidR="00A42367" w14:paraId="47325648" w14:textId="77777777" w:rsidTr="00A42367">
        <w:trPr>
          <w:cnfStyle w:val="000000100000" w:firstRow="0" w:lastRow="0" w:firstColumn="0" w:lastColumn="0" w:oddVBand="0" w:evenVBand="0" w:oddHBand="1" w:evenHBand="0" w:firstRowFirstColumn="0" w:firstRowLastColumn="0" w:lastRowFirstColumn="0" w:lastRowLastColumn="0"/>
        </w:trPr>
        <w:tc>
          <w:tcPr>
            <w:tcW w:w="3092" w:type="pct"/>
          </w:tcPr>
          <w:p w14:paraId="19016D1B" w14:textId="1545903D" w:rsidR="00A42367" w:rsidRDefault="00A42367" w:rsidP="001C4240">
            <w:pPr>
              <w:pStyle w:val="TableBody"/>
            </w:pPr>
            <w:r>
              <w:t>Disability Act 2006</w:t>
            </w:r>
          </w:p>
        </w:tc>
        <w:tc>
          <w:tcPr>
            <w:tcW w:w="1908" w:type="pct"/>
          </w:tcPr>
          <w:p w14:paraId="026A685D" w14:textId="11409583" w:rsidR="00A42367" w:rsidRDefault="00E46996" w:rsidP="001C4240">
            <w:pPr>
              <w:pStyle w:val="TableBody"/>
              <w:jc w:val="center"/>
            </w:pPr>
            <w:r>
              <w:t>4</w:t>
            </w:r>
            <w:r w:rsidR="00073FD5">
              <w:t>2</w:t>
            </w:r>
          </w:p>
        </w:tc>
      </w:tr>
      <w:tr w:rsidR="00A42367" w14:paraId="13418B3D" w14:textId="77777777" w:rsidTr="00A42367">
        <w:trPr>
          <w:cnfStyle w:val="000000010000" w:firstRow="0" w:lastRow="0" w:firstColumn="0" w:lastColumn="0" w:oddVBand="0" w:evenVBand="0" w:oddHBand="0" w:evenHBand="1" w:firstRowFirstColumn="0" w:firstRowLastColumn="0" w:lastRowFirstColumn="0" w:lastRowLastColumn="0"/>
        </w:trPr>
        <w:tc>
          <w:tcPr>
            <w:tcW w:w="3092" w:type="pct"/>
          </w:tcPr>
          <w:p w14:paraId="0FF46A4B" w14:textId="77122420" w:rsidR="00A42367" w:rsidRDefault="00A42367" w:rsidP="001C4240">
            <w:pPr>
              <w:pStyle w:val="TableBody"/>
            </w:pPr>
            <w:r>
              <w:t>Financial Management Act 1994</w:t>
            </w:r>
          </w:p>
        </w:tc>
        <w:tc>
          <w:tcPr>
            <w:tcW w:w="1908" w:type="pct"/>
          </w:tcPr>
          <w:p w14:paraId="2E9E8ADA" w14:textId="28BC70A0" w:rsidR="00A42367" w:rsidRDefault="00E46996" w:rsidP="001C4240">
            <w:pPr>
              <w:pStyle w:val="TableBody"/>
              <w:jc w:val="center"/>
            </w:pPr>
            <w:r>
              <w:t>4</w:t>
            </w:r>
            <w:r w:rsidR="0059208F">
              <w:t>8</w:t>
            </w:r>
          </w:p>
        </w:tc>
      </w:tr>
    </w:tbl>
    <w:p w14:paraId="5FE8C107" w14:textId="77777777" w:rsidR="00A42367" w:rsidRDefault="00A42367" w:rsidP="00A42367">
      <w:pPr>
        <w:pStyle w:val="Heading30"/>
        <w:jc w:val="both"/>
      </w:pPr>
    </w:p>
    <w:p w14:paraId="251ABDF2" w14:textId="341C15A6" w:rsidR="00DD0E21" w:rsidRDefault="00DD0E21" w:rsidP="00A42367">
      <w:pPr>
        <w:pStyle w:val="Heading30"/>
        <w:jc w:val="both"/>
        <w:rPr>
          <w:color w:val="00573F" w:themeColor="text2"/>
          <w:sz w:val="52"/>
          <w:szCs w:val="52"/>
        </w:rPr>
      </w:pPr>
      <w:r>
        <w:br w:type="page"/>
      </w:r>
    </w:p>
    <w:p w14:paraId="19B001AF" w14:textId="1657FD9C" w:rsidR="008402DD" w:rsidRPr="00622554" w:rsidRDefault="000132C3" w:rsidP="008402DD">
      <w:pPr>
        <w:pStyle w:val="Title"/>
      </w:pPr>
      <w:bookmarkStart w:id="27" w:name="_Toc73541444"/>
      <w:bookmarkStart w:id="28" w:name="_Toc73541682"/>
      <w:bookmarkStart w:id="29" w:name="_Toc73542061"/>
      <w:r>
        <w:lastRenderedPageBreak/>
        <w:t>Report of financials</w:t>
      </w:r>
      <w:bookmarkEnd w:id="27"/>
      <w:bookmarkEnd w:id="28"/>
      <w:bookmarkEnd w:id="29"/>
    </w:p>
    <w:p w14:paraId="089D563F" w14:textId="77777777" w:rsidR="00F8706A" w:rsidRDefault="00F8706A" w:rsidP="000132C3">
      <w:pPr>
        <w:pStyle w:val="Heading10"/>
      </w:pPr>
      <w:bookmarkStart w:id="30" w:name="_Financial_statements"/>
      <w:bookmarkStart w:id="31" w:name="_Toc73541445"/>
      <w:bookmarkStart w:id="32" w:name="_Toc73541683"/>
      <w:bookmarkStart w:id="33" w:name="_Toc73542062"/>
      <w:bookmarkEnd w:id="30"/>
      <w:r>
        <w:t>Victorian Public Sector Commission</w:t>
      </w:r>
    </w:p>
    <w:p w14:paraId="2BCDEE40" w14:textId="22E420A2" w:rsidR="006B755E" w:rsidRDefault="006B755E" w:rsidP="000132C3">
      <w:pPr>
        <w:pStyle w:val="Heading10"/>
        <w:rPr>
          <w:rStyle w:val="Heading2Char"/>
        </w:rPr>
      </w:pPr>
      <w:bookmarkStart w:id="34" w:name="_Financial_statements_for"/>
      <w:bookmarkEnd w:id="31"/>
      <w:bookmarkEnd w:id="32"/>
      <w:bookmarkEnd w:id="33"/>
      <w:bookmarkEnd w:id="34"/>
      <w:r w:rsidRPr="006B755E">
        <w:rPr>
          <w:rStyle w:val="Heading2Char"/>
        </w:rPr>
        <w:t>F</w:t>
      </w:r>
      <w:r w:rsidR="00F8706A">
        <w:rPr>
          <w:rStyle w:val="Heading2Char"/>
        </w:rPr>
        <w:t>inancial statements f</w:t>
      </w:r>
      <w:r w:rsidR="00D1524E" w:rsidRPr="006B755E">
        <w:rPr>
          <w:rStyle w:val="Heading2Char"/>
        </w:rPr>
        <w:t>or the year ended 30 June 2021</w:t>
      </w:r>
    </w:p>
    <w:tbl>
      <w:tblPr>
        <w:tblStyle w:val="TableHorizontal"/>
        <w:tblW w:w="5000" w:type="pct"/>
        <w:tblLook w:val="0420" w:firstRow="1" w:lastRow="0" w:firstColumn="0" w:lastColumn="0" w:noHBand="0" w:noVBand="1"/>
      </w:tblPr>
      <w:tblGrid>
        <w:gridCol w:w="8041"/>
        <w:gridCol w:w="1313"/>
      </w:tblGrid>
      <w:tr w:rsidR="006B755E" w14:paraId="099A7093" w14:textId="77777777" w:rsidTr="00121EF6">
        <w:trPr>
          <w:cnfStyle w:val="100000000000" w:firstRow="1" w:lastRow="0" w:firstColumn="0" w:lastColumn="0" w:oddVBand="0" w:evenVBand="0" w:oddHBand="0" w:evenHBand="0" w:firstRowFirstColumn="0" w:firstRowLastColumn="0" w:lastRowFirstColumn="0" w:lastRowLastColumn="0"/>
        </w:trPr>
        <w:tc>
          <w:tcPr>
            <w:tcW w:w="4298" w:type="pct"/>
          </w:tcPr>
          <w:p w14:paraId="1521375C" w14:textId="5AD63026" w:rsidR="006B755E" w:rsidRPr="00F8706A" w:rsidRDefault="00F8706A" w:rsidP="00F8706A">
            <w:pPr>
              <w:pStyle w:val="Heading30"/>
              <w:outlineLvl w:val="2"/>
              <w:rPr>
                <w:rFonts w:asciiTheme="minorHAnsi" w:hAnsiTheme="minorHAnsi"/>
              </w:rPr>
            </w:pPr>
            <w:r w:rsidRPr="00F8706A">
              <w:rPr>
                <w:rFonts w:asciiTheme="minorHAnsi" w:hAnsiTheme="minorHAnsi"/>
              </w:rPr>
              <w:lastRenderedPageBreak/>
              <w:t>Contents</w:t>
            </w:r>
          </w:p>
        </w:tc>
        <w:tc>
          <w:tcPr>
            <w:tcW w:w="702" w:type="pct"/>
          </w:tcPr>
          <w:p w14:paraId="3655834A" w14:textId="41491654" w:rsidR="006B755E" w:rsidRPr="00E02097" w:rsidRDefault="006B755E" w:rsidP="00121EF6">
            <w:pPr>
              <w:pStyle w:val="TableBody"/>
              <w:jc w:val="right"/>
              <w:rPr>
                <w:rFonts w:asciiTheme="minorHAnsi" w:hAnsiTheme="minorHAnsi"/>
              </w:rPr>
            </w:pPr>
          </w:p>
        </w:tc>
      </w:tr>
      <w:tr w:rsidR="006B755E" w14:paraId="4E989B8F" w14:textId="77777777" w:rsidTr="00121EF6">
        <w:trPr>
          <w:cnfStyle w:val="000000100000" w:firstRow="0" w:lastRow="0" w:firstColumn="0" w:lastColumn="0" w:oddVBand="0" w:evenVBand="0" w:oddHBand="1" w:evenHBand="0" w:firstRowFirstColumn="0" w:firstRowLastColumn="0" w:lastRowFirstColumn="0" w:lastRowLastColumn="0"/>
        </w:trPr>
        <w:tc>
          <w:tcPr>
            <w:tcW w:w="4298" w:type="pct"/>
            <w:tcBorders>
              <w:right w:val="nil"/>
            </w:tcBorders>
          </w:tcPr>
          <w:p w14:paraId="04DD5DD8" w14:textId="54818E31" w:rsidR="006B755E" w:rsidRPr="00973F22" w:rsidRDefault="00F8706A" w:rsidP="00121EF6">
            <w:pPr>
              <w:pStyle w:val="TableHeader"/>
            </w:pPr>
            <w:r>
              <w:t>Financial statements</w:t>
            </w:r>
          </w:p>
        </w:tc>
        <w:tc>
          <w:tcPr>
            <w:tcW w:w="702" w:type="pct"/>
            <w:tcBorders>
              <w:top w:val="single" w:sz="12" w:space="0" w:color="00573F" w:themeColor="text2"/>
              <w:left w:val="nil"/>
            </w:tcBorders>
          </w:tcPr>
          <w:p w14:paraId="3B65E1EA" w14:textId="77777777" w:rsidR="006B755E" w:rsidRPr="00E02097" w:rsidRDefault="006B755E" w:rsidP="00121EF6">
            <w:pPr>
              <w:pStyle w:val="TableBody"/>
              <w:jc w:val="right"/>
            </w:pPr>
          </w:p>
        </w:tc>
      </w:tr>
      <w:tr w:rsidR="006B755E" w14:paraId="0941A997" w14:textId="77777777" w:rsidTr="00121EF6">
        <w:trPr>
          <w:cnfStyle w:val="000000010000" w:firstRow="0" w:lastRow="0" w:firstColumn="0" w:lastColumn="0" w:oddVBand="0" w:evenVBand="0" w:oddHBand="0" w:evenHBand="1" w:firstRowFirstColumn="0" w:firstRowLastColumn="0" w:lastRowFirstColumn="0" w:lastRowLastColumn="0"/>
        </w:trPr>
        <w:tc>
          <w:tcPr>
            <w:tcW w:w="4298" w:type="pct"/>
            <w:tcBorders>
              <w:right w:val="nil"/>
            </w:tcBorders>
          </w:tcPr>
          <w:p w14:paraId="4F9496B6" w14:textId="5E159451" w:rsidR="006B755E" w:rsidRPr="00E17542" w:rsidRDefault="00F8706A" w:rsidP="00121EF6">
            <w:pPr>
              <w:pStyle w:val="TableBody"/>
            </w:pPr>
            <w:r>
              <w:t>Comprehensive operating statement</w:t>
            </w:r>
          </w:p>
        </w:tc>
        <w:tc>
          <w:tcPr>
            <w:tcW w:w="702" w:type="pct"/>
            <w:tcBorders>
              <w:left w:val="nil"/>
            </w:tcBorders>
          </w:tcPr>
          <w:p w14:paraId="1266B530" w14:textId="40180B91" w:rsidR="006B755E" w:rsidRPr="00E02097" w:rsidRDefault="00121EF6" w:rsidP="00121EF6">
            <w:pPr>
              <w:pStyle w:val="TableBody"/>
              <w:jc w:val="right"/>
            </w:pPr>
            <w:r>
              <w:t>56</w:t>
            </w:r>
          </w:p>
        </w:tc>
      </w:tr>
      <w:tr w:rsidR="006B755E" w14:paraId="278DA31C" w14:textId="77777777" w:rsidTr="00121EF6">
        <w:trPr>
          <w:cnfStyle w:val="000000100000" w:firstRow="0" w:lastRow="0" w:firstColumn="0" w:lastColumn="0" w:oddVBand="0" w:evenVBand="0" w:oddHBand="1" w:evenHBand="0" w:firstRowFirstColumn="0" w:firstRowLastColumn="0" w:lastRowFirstColumn="0" w:lastRowLastColumn="0"/>
        </w:trPr>
        <w:tc>
          <w:tcPr>
            <w:tcW w:w="4298" w:type="pct"/>
            <w:tcBorders>
              <w:right w:val="nil"/>
            </w:tcBorders>
          </w:tcPr>
          <w:p w14:paraId="3713AD58" w14:textId="10EF980A" w:rsidR="006B755E" w:rsidRPr="00E17542" w:rsidRDefault="00F8706A" w:rsidP="00121EF6">
            <w:pPr>
              <w:pStyle w:val="TableBody"/>
            </w:pPr>
            <w:r>
              <w:t>Balance sheet</w:t>
            </w:r>
          </w:p>
        </w:tc>
        <w:tc>
          <w:tcPr>
            <w:tcW w:w="702" w:type="pct"/>
            <w:tcBorders>
              <w:left w:val="nil"/>
            </w:tcBorders>
          </w:tcPr>
          <w:p w14:paraId="08EDD83F" w14:textId="2C38D5DC" w:rsidR="006B755E" w:rsidRPr="00E02097" w:rsidRDefault="00121EF6" w:rsidP="00121EF6">
            <w:pPr>
              <w:pStyle w:val="TableBody"/>
              <w:jc w:val="right"/>
            </w:pPr>
            <w:r>
              <w:t>57</w:t>
            </w:r>
          </w:p>
        </w:tc>
      </w:tr>
      <w:tr w:rsidR="006B755E" w14:paraId="239523BE" w14:textId="77777777" w:rsidTr="00121EF6">
        <w:trPr>
          <w:cnfStyle w:val="000000010000" w:firstRow="0" w:lastRow="0" w:firstColumn="0" w:lastColumn="0" w:oddVBand="0" w:evenVBand="0" w:oddHBand="0" w:evenHBand="1" w:firstRowFirstColumn="0" w:firstRowLastColumn="0" w:lastRowFirstColumn="0" w:lastRowLastColumn="0"/>
        </w:trPr>
        <w:tc>
          <w:tcPr>
            <w:tcW w:w="4298" w:type="pct"/>
            <w:tcBorders>
              <w:right w:val="nil"/>
            </w:tcBorders>
          </w:tcPr>
          <w:p w14:paraId="7FB721D0" w14:textId="7DC7C3BB" w:rsidR="006B755E" w:rsidRPr="00E17542" w:rsidRDefault="00361972" w:rsidP="00121EF6">
            <w:pPr>
              <w:pStyle w:val="TableBody"/>
            </w:pPr>
            <w:hyperlink w:anchor="_Workforce_data" w:history="1">
              <w:r w:rsidR="00F8706A">
                <w:rPr>
                  <w:rStyle w:val="Hyperlink"/>
                  <w:color w:val="auto"/>
                  <w:u w:val="none"/>
                </w:rPr>
                <w:t>Cash flow</w:t>
              </w:r>
            </w:hyperlink>
            <w:r w:rsidR="00F8706A">
              <w:rPr>
                <w:rStyle w:val="Hyperlink"/>
                <w:color w:val="auto"/>
                <w:u w:val="none"/>
              </w:rPr>
              <w:t xml:space="preserve"> statement</w:t>
            </w:r>
          </w:p>
        </w:tc>
        <w:tc>
          <w:tcPr>
            <w:tcW w:w="702" w:type="pct"/>
            <w:tcBorders>
              <w:left w:val="nil"/>
            </w:tcBorders>
          </w:tcPr>
          <w:p w14:paraId="2F99350E" w14:textId="72464DA2" w:rsidR="006B755E" w:rsidRPr="00E02097" w:rsidRDefault="00121EF6" w:rsidP="00121EF6">
            <w:pPr>
              <w:pStyle w:val="TableBody"/>
              <w:jc w:val="right"/>
            </w:pPr>
            <w:r>
              <w:t>58</w:t>
            </w:r>
          </w:p>
        </w:tc>
      </w:tr>
      <w:tr w:rsidR="006B755E" w14:paraId="389BBB6F" w14:textId="77777777" w:rsidTr="00121EF6">
        <w:trPr>
          <w:cnfStyle w:val="000000100000" w:firstRow="0" w:lastRow="0" w:firstColumn="0" w:lastColumn="0" w:oddVBand="0" w:evenVBand="0" w:oddHBand="1" w:evenHBand="0" w:firstRowFirstColumn="0" w:firstRowLastColumn="0" w:lastRowFirstColumn="0" w:lastRowLastColumn="0"/>
        </w:trPr>
        <w:tc>
          <w:tcPr>
            <w:tcW w:w="4298" w:type="pct"/>
            <w:tcBorders>
              <w:bottom w:val="nil"/>
              <w:right w:val="nil"/>
            </w:tcBorders>
          </w:tcPr>
          <w:p w14:paraId="2B88F8B5" w14:textId="6D88A44F" w:rsidR="006B755E" w:rsidRPr="00E17542" w:rsidRDefault="00361972" w:rsidP="00121EF6">
            <w:pPr>
              <w:pStyle w:val="TableBody"/>
            </w:pPr>
            <w:hyperlink w:anchor="_Other_disclosures" w:history="1">
              <w:r w:rsidR="00F8706A">
                <w:rPr>
                  <w:rStyle w:val="Hyperlink"/>
                  <w:color w:val="auto"/>
                  <w:u w:val="none"/>
                </w:rPr>
                <w:t>Statement</w:t>
              </w:r>
            </w:hyperlink>
            <w:r w:rsidR="00F8706A">
              <w:rPr>
                <w:rStyle w:val="Hyperlink"/>
                <w:color w:val="auto"/>
                <w:u w:val="none"/>
              </w:rPr>
              <w:t xml:space="preserve"> of changes in equity</w:t>
            </w:r>
          </w:p>
        </w:tc>
        <w:tc>
          <w:tcPr>
            <w:tcW w:w="702" w:type="pct"/>
            <w:tcBorders>
              <w:left w:val="nil"/>
              <w:bottom w:val="nil"/>
            </w:tcBorders>
          </w:tcPr>
          <w:p w14:paraId="40B9F293" w14:textId="1039BA0A" w:rsidR="006B755E" w:rsidRPr="00E02097" w:rsidRDefault="00121EF6" w:rsidP="00121EF6">
            <w:pPr>
              <w:pStyle w:val="TableBody"/>
              <w:jc w:val="right"/>
            </w:pPr>
            <w:r>
              <w:t>59</w:t>
            </w:r>
          </w:p>
        </w:tc>
      </w:tr>
      <w:tr w:rsidR="006B755E" w:rsidRPr="00E02097" w14:paraId="5547E0B5" w14:textId="77777777" w:rsidTr="00121EF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top w:val="single" w:sz="12" w:space="0" w:color="00573F" w:themeColor="text2"/>
              <w:right w:val="nil"/>
            </w:tcBorders>
            <w:shd w:val="clear" w:color="auto" w:fill="FFFFFF" w:themeFill="background1"/>
          </w:tcPr>
          <w:p w14:paraId="6679AB74" w14:textId="3642C5FB" w:rsidR="006B755E" w:rsidRPr="00973F22" w:rsidRDefault="00F8706A" w:rsidP="00121EF6">
            <w:pPr>
              <w:pStyle w:val="TableHeader"/>
            </w:pPr>
            <w:r>
              <w:t>Notes to financial statements</w:t>
            </w:r>
          </w:p>
        </w:tc>
        <w:tc>
          <w:tcPr>
            <w:tcW w:w="702" w:type="pct"/>
            <w:tcBorders>
              <w:top w:val="single" w:sz="12" w:space="0" w:color="00573F" w:themeColor="text2"/>
              <w:left w:val="nil"/>
            </w:tcBorders>
            <w:shd w:val="clear" w:color="auto" w:fill="FFFFFF" w:themeFill="background1"/>
          </w:tcPr>
          <w:p w14:paraId="64B38024" w14:textId="77777777" w:rsidR="006B755E" w:rsidRPr="00E02097" w:rsidRDefault="006B755E" w:rsidP="00121EF6">
            <w:pPr>
              <w:pStyle w:val="TableBody"/>
              <w:jc w:val="right"/>
              <w:cnfStyle w:val="000000010000" w:firstRow="0" w:lastRow="0" w:firstColumn="0" w:lastColumn="0" w:oddVBand="0" w:evenVBand="0" w:oddHBand="0" w:evenHBand="1" w:firstRowFirstColumn="0" w:firstRowLastColumn="0" w:lastRowFirstColumn="0" w:lastRowLastColumn="0"/>
            </w:pPr>
          </w:p>
        </w:tc>
      </w:tr>
      <w:tr w:rsidR="006B755E" w:rsidRPr="00E02097" w14:paraId="3CDDD9A3" w14:textId="77777777" w:rsidTr="00121EF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2F2F2" w:themeFill="background2" w:themeFillShade="F2"/>
          </w:tcPr>
          <w:p w14:paraId="418474B8" w14:textId="15513BAD" w:rsidR="006B755E" w:rsidRPr="00E17542" w:rsidRDefault="00F8706A" w:rsidP="00F8706A">
            <w:pPr>
              <w:pStyle w:val="TableBody"/>
              <w:numPr>
                <w:ilvl w:val="0"/>
                <w:numId w:val="45"/>
              </w:numPr>
            </w:pPr>
            <w:r>
              <w:t>About this report</w:t>
            </w:r>
            <w:hyperlink w:anchor="_Financial_statements" w:history="1"/>
          </w:p>
        </w:tc>
        <w:tc>
          <w:tcPr>
            <w:tcW w:w="702" w:type="pct"/>
            <w:tcBorders>
              <w:left w:val="nil"/>
            </w:tcBorders>
            <w:shd w:val="clear" w:color="auto" w:fill="F2F2F2" w:themeFill="background2" w:themeFillShade="F2"/>
          </w:tcPr>
          <w:p w14:paraId="117E7F14" w14:textId="11A2D273" w:rsidR="006B755E" w:rsidRPr="00E02097" w:rsidRDefault="00121EF6" w:rsidP="00121EF6">
            <w:pPr>
              <w:pStyle w:val="TableBody"/>
              <w:jc w:val="right"/>
              <w:cnfStyle w:val="000000100000" w:firstRow="0" w:lastRow="0" w:firstColumn="0" w:lastColumn="0" w:oddVBand="0" w:evenVBand="0" w:oddHBand="1" w:evenHBand="0" w:firstRowFirstColumn="0" w:firstRowLastColumn="0" w:lastRowFirstColumn="0" w:lastRowLastColumn="0"/>
            </w:pPr>
            <w:r>
              <w:t>6</w:t>
            </w:r>
            <w:r w:rsidR="006B755E">
              <w:t>0</w:t>
            </w:r>
          </w:p>
        </w:tc>
      </w:tr>
      <w:tr w:rsidR="006B755E" w:rsidRPr="00E02097" w14:paraId="149922DC" w14:textId="77777777" w:rsidTr="00121EF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FFFFF" w:themeFill="background1"/>
          </w:tcPr>
          <w:p w14:paraId="25F324F9" w14:textId="3E0BE557" w:rsidR="006B755E" w:rsidRPr="00E17542" w:rsidRDefault="00361972" w:rsidP="00F8706A">
            <w:pPr>
              <w:pStyle w:val="TableBody"/>
              <w:numPr>
                <w:ilvl w:val="0"/>
                <w:numId w:val="45"/>
              </w:numPr>
            </w:pPr>
            <w:hyperlink w:anchor="_Notes_to_the" w:history="1">
              <w:r w:rsidR="00F8706A">
                <w:t>Funding</w:t>
              </w:r>
            </w:hyperlink>
            <w:r w:rsidR="00F8706A">
              <w:rPr>
                <w:rStyle w:val="Hyperlink"/>
                <w:color w:val="auto"/>
                <w:u w:val="none"/>
              </w:rPr>
              <w:t xml:space="preserve"> of our services</w:t>
            </w:r>
          </w:p>
        </w:tc>
        <w:tc>
          <w:tcPr>
            <w:tcW w:w="702" w:type="pct"/>
            <w:tcBorders>
              <w:left w:val="nil"/>
            </w:tcBorders>
            <w:shd w:val="clear" w:color="auto" w:fill="FFFFFF" w:themeFill="background1"/>
          </w:tcPr>
          <w:p w14:paraId="7BDE275D" w14:textId="697CB93D" w:rsidR="006B755E" w:rsidRPr="00E02097" w:rsidRDefault="00121EF6" w:rsidP="00121EF6">
            <w:pPr>
              <w:pStyle w:val="TableBody"/>
              <w:jc w:val="right"/>
              <w:cnfStyle w:val="000000010000" w:firstRow="0" w:lastRow="0" w:firstColumn="0" w:lastColumn="0" w:oddVBand="0" w:evenVBand="0" w:oddHBand="0" w:evenHBand="1" w:firstRowFirstColumn="0" w:firstRowLastColumn="0" w:lastRowFirstColumn="0" w:lastRowLastColumn="0"/>
            </w:pPr>
            <w:r>
              <w:t>61</w:t>
            </w:r>
          </w:p>
        </w:tc>
      </w:tr>
      <w:tr w:rsidR="006B755E" w:rsidRPr="00E02097" w14:paraId="4F144FD5" w14:textId="77777777" w:rsidTr="00121EF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2F2F2" w:themeFill="background2" w:themeFillShade="F2"/>
          </w:tcPr>
          <w:p w14:paraId="51DB0001" w14:textId="38598550" w:rsidR="006B755E" w:rsidRPr="00E17542" w:rsidRDefault="00361972" w:rsidP="00F8706A">
            <w:pPr>
              <w:pStyle w:val="TableBody"/>
              <w:numPr>
                <w:ilvl w:val="0"/>
                <w:numId w:val="45"/>
              </w:numPr>
            </w:pPr>
            <w:hyperlink w:anchor="_Accountable_Officer’s_and" w:history="1">
              <w:r w:rsidR="00F8706A">
                <w:t>Cost</w:t>
              </w:r>
            </w:hyperlink>
            <w:r w:rsidR="00F8706A">
              <w:rPr>
                <w:rStyle w:val="Hyperlink"/>
                <w:color w:val="auto"/>
                <w:u w:val="none"/>
              </w:rPr>
              <w:t xml:space="preserve"> of delivering our services</w:t>
            </w:r>
          </w:p>
        </w:tc>
        <w:tc>
          <w:tcPr>
            <w:tcW w:w="702" w:type="pct"/>
            <w:tcBorders>
              <w:left w:val="nil"/>
            </w:tcBorders>
            <w:shd w:val="clear" w:color="auto" w:fill="F2F2F2" w:themeFill="background2" w:themeFillShade="F2"/>
          </w:tcPr>
          <w:p w14:paraId="599BF509" w14:textId="70D8A378" w:rsidR="006B755E" w:rsidRPr="00E02097" w:rsidRDefault="00121EF6" w:rsidP="00121EF6">
            <w:pPr>
              <w:pStyle w:val="TableBody"/>
              <w:jc w:val="right"/>
              <w:cnfStyle w:val="000000100000" w:firstRow="0" w:lastRow="0" w:firstColumn="0" w:lastColumn="0" w:oddVBand="0" w:evenVBand="0" w:oddHBand="1" w:evenHBand="0" w:firstRowFirstColumn="0" w:firstRowLastColumn="0" w:lastRowFirstColumn="0" w:lastRowLastColumn="0"/>
            </w:pPr>
            <w:r>
              <w:t>63</w:t>
            </w:r>
          </w:p>
        </w:tc>
      </w:tr>
      <w:tr w:rsidR="006B755E" w:rsidRPr="00E02097" w14:paraId="31A80B2C" w14:textId="77777777" w:rsidTr="00121EF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FFFFF" w:themeFill="background1"/>
          </w:tcPr>
          <w:p w14:paraId="594777FE" w14:textId="06AA3E4E" w:rsidR="006B755E" w:rsidRPr="00E17542" w:rsidRDefault="00361972" w:rsidP="00F8706A">
            <w:pPr>
              <w:pStyle w:val="TableBody"/>
              <w:numPr>
                <w:ilvl w:val="0"/>
                <w:numId w:val="45"/>
              </w:numPr>
            </w:pPr>
            <w:hyperlink w:anchor="_Victorian_Auditor-General’s_Office" w:history="1">
              <w:r w:rsidR="00F8706A">
                <w:rPr>
                  <w:rStyle w:val="Hyperlink"/>
                  <w:color w:val="auto"/>
                  <w:u w:val="none"/>
                </w:rPr>
                <w:t>Key</w:t>
              </w:r>
            </w:hyperlink>
            <w:r w:rsidR="00F8706A">
              <w:rPr>
                <w:rStyle w:val="Hyperlink"/>
                <w:color w:val="auto"/>
                <w:u w:val="none"/>
              </w:rPr>
              <w:t xml:space="preserve"> assets available to support delivery of our services</w:t>
            </w:r>
          </w:p>
        </w:tc>
        <w:tc>
          <w:tcPr>
            <w:tcW w:w="702" w:type="pct"/>
            <w:tcBorders>
              <w:left w:val="nil"/>
            </w:tcBorders>
            <w:shd w:val="clear" w:color="auto" w:fill="FFFFFF" w:themeFill="background1"/>
          </w:tcPr>
          <w:p w14:paraId="25D32E68" w14:textId="67AF1FB6" w:rsidR="006B755E" w:rsidRPr="00E02097" w:rsidRDefault="00121EF6" w:rsidP="00121EF6">
            <w:pPr>
              <w:pStyle w:val="TableBody"/>
              <w:jc w:val="right"/>
              <w:cnfStyle w:val="000000010000" w:firstRow="0" w:lastRow="0" w:firstColumn="0" w:lastColumn="0" w:oddVBand="0" w:evenVBand="0" w:oddHBand="0" w:evenHBand="1" w:firstRowFirstColumn="0" w:firstRowLastColumn="0" w:lastRowFirstColumn="0" w:lastRowLastColumn="0"/>
            </w:pPr>
            <w:r>
              <w:t>56</w:t>
            </w:r>
          </w:p>
        </w:tc>
      </w:tr>
      <w:tr w:rsidR="00F8706A" w:rsidRPr="00E02097" w14:paraId="6AB1434C" w14:textId="77777777" w:rsidTr="00F8706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2F2F2" w:themeFill="background2" w:themeFillShade="F2"/>
          </w:tcPr>
          <w:p w14:paraId="3C902CA7" w14:textId="18C7745A" w:rsidR="00F8706A" w:rsidRDefault="00F8706A" w:rsidP="00F8706A">
            <w:pPr>
              <w:pStyle w:val="TableBody"/>
              <w:numPr>
                <w:ilvl w:val="0"/>
                <w:numId w:val="45"/>
              </w:numPr>
            </w:pPr>
            <w:r>
              <w:t>Other assets and liabilities</w:t>
            </w:r>
          </w:p>
        </w:tc>
        <w:tc>
          <w:tcPr>
            <w:tcW w:w="702" w:type="pct"/>
            <w:tcBorders>
              <w:left w:val="nil"/>
            </w:tcBorders>
            <w:shd w:val="clear" w:color="auto" w:fill="F2F2F2" w:themeFill="background2" w:themeFillShade="F2"/>
          </w:tcPr>
          <w:p w14:paraId="020DE906" w14:textId="699E2BD6" w:rsidR="00F8706A" w:rsidRDefault="00121EF6" w:rsidP="00121EF6">
            <w:pPr>
              <w:pStyle w:val="TableBody"/>
              <w:jc w:val="right"/>
              <w:cnfStyle w:val="000000100000" w:firstRow="0" w:lastRow="0" w:firstColumn="0" w:lastColumn="0" w:oddVBand="0" w:evenVBand="0" w:oddHBand="1" w:evenHBand="0" w:firstRowFirstColumn="0" w:firstRowLastColumn="0" w:lastRowFirstColumn="0" w:lastRowLastColumn="0"/>
            </w:pPr>
            <w:r>
              <w:t>70</w:t>
            </w:r>
          </w:p>
        </w:tc>
      </w:tr>
      <w:tr w:rsidR="00F8706A" w:rsidRPr="00E02097" w14:paraId="08EEB8FD" w14:textId="77777777" w:rsidTr="00121EF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FFFFF" w:themeFill="background1"/>
          </w:tcPr>
          <w:p w14:paraId="38FC99C0" w14:textId="2F9BD99F" w:rsidR="00F8706A" w:rsidRDefault="00F8706A" w:rsidP="00F8706A">
            <w:pPr>
              <w:pStyle w:val="TableBody"/>
              <w:numPr>
                <w:ilvl w:val="0"/>
                <w:numId w:val="45"/>
              </w:numPr>
            </w:pPr>
            <w:r>
              <w:t>How we financed our operations</w:t>
            </w:r>
          </w:p>
        </w:tc>
        <w:tc>
          <w:tcPr>
            <w:tcW w:w="702" w:type="pct"/>
            <w:tcBorders>
              <w:left w:val="nil"/>
            </w:tcBorders>
            <w:shd w:val="clear" w:color="auto" w:fill="FFFFFF" w:themeFill="background1"/>
          </w:tcPr>
          <w:p w14:paraId="4DA3332A" w14:textId="56B4B1DC" w:rsidR="00F8706A" w:rsidRDefault="00121EF6" w:rsidP="00121EF6">
            <w:pPr>
              <w:pStyle w:val="TableBody"/>
              <w:jc w:val="right"/>
              <w:cnfStyle w:val="000000010000" w:firstRow="0" w:lastRow="0" w:firstColumn="0" w:lastColumn="0" w:oddVBand="0" w:evenVBand="0" w:oddHBand="0" w:evenHBand="1" w:firstRowFirstColumn="0" w:firstRowLastColumn="0" w:lastRowFirstColumn="0" w:lastRowLastColumn="0"/>
            </w:pPr>
            <w:r>
              <w:t>72</w:t>
            </w:r>
          </w:p>
        </w:tc>
      </w:tr>
      <w:tr w:rsidR="00F8706A" w:rsidRPr="00E02097" w14:paraId="5F66980E" w14:textId="77777777" w:rsidTr="00F8706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right w:val="nil"/>
            </w:tcBorders>
            <w:shd w:val="clear" w:color="auto" w:fill="F2F2F2" w:themeFill="background2" w:themeFillShade="F2"/>
          </w:tcPr>
          <w:p w14:paraId="352B02F7" w14:textId="02B1C869" w:rsidR="00F8706A" w:rsidRDefault="00F8706A" w:rsidP="00F8706A">
            <w:pPr>
              <w:pStyle w:val="TableBody"/>
              <w:numPr>
                <w:ilvl w:val="0"/>
                <w:numId w:val="45"/>
              </w:numPr>
            </w:pPr>
            <w:r>
              <w:t>Risks, contingencies and other valuation judgements</w:t>
            </w:r>
          </w:p>
        </w:tc>
        <w:tc>
          <w:tcPr>
            <w:tcW w:w="702" w:type="pct"/>
            <w:tcBorders>
              <w:left w:val="nil"/>
            </w:tcBorders>
            <w:shd w:val="clear" w:color="auto" w:fill="F2F2F2" w:themeFill="background2" w:themeFillShade="F2"/>
          </w:tcPr>
          <w:p w14:paraId="4E1D9193" w14:textId="0C561847" w:rsidR="00F8706A" w:rsidRDefault="00121EF6" w:rsidP="00121EF6">
            <w:pPr>
              <w:pStyle w:val="TableBody"/>
              <w:jc w:val="right"/>
              <w:cnfStyle w:val="000000100000" w:firstRow="0" w:lastRow="0" w:firstColumn="0" w:lastColumn="0" w:oddVBand="0" w:evenVBand="0" w:oddHBand="1" w:evenHBand="0" w:firstRowFirstColumn="0" w:firstRowLastColumn="0" w:lastRowFirstColumn="0" w:lastRowLastColumn="0"/>
            </w:pPr>
            <w:r>
              <w:t>74</w:t>
            </w:r>
          </w:p>
        </w:tc>
      </w:tr>
      <w:tr w:rsidR="00F8706A" w:rsidRPr="00E02097" w14:paraId="783B6925" w14:textId="77777777" w:rsidTr="00F8706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8" w:type="pct"/>
            <w:tcBorders>
              <w:bottom w:val="single" w:sz="12" w:space="0" w:color="00573F" w:themeColor="text2"/>
              <w:right w:val="nil"/>
            </w:tcBorders>
            <w:shd w:val="clear" w:color="auto" w:fill="FFFFFF" w:themeFill="background1"/>
          </w:tcPr>
          <w:p w14:paraId="27757D60" w14:textId="76033569" w:rsidR="00F8706A" w:rsidRDefault="00F8706A" w:rsidP="00F8706A">
            <w:pPr>
              <w:pStyle w:val="TableBody"/>
              <w:numPr>
                <w:ilvl w:val="0"/>
                <w:numId w:val="45"/>
              </w:numPr>
            </w:pPr>
            <w:r>
              <w:t>Other disclosures</w:t>
            </w:r>
          </w:p>
        </w:tc>
        <w:tc>
          <w:tcPr>
            <w:tcW w:w="702" w:type="pct"/>
            <w:tcBorders>
              <w:left w:val="nil"/>
              <w:bottom w:val="single" w:sz="12" w:space="0" w:color="00573F" w:themeColor="text2"/>
            </w:tcBorders>
            <w:shd w:val="clear" w:color="auto" w:fill="FFFFFF" w:themeFill="background1"/>
          </w:tcPr>
          <w:p w14:paraId="615796A7" w14:textId="1C3A286A" w:rsidR="00F8706A" w:rsidRDefault="00121EF6" w:rsidP="00121EF6">
            <w:pPr>
              <w:pStyle w:val="TableBody"/>
              <w:jc w:val="right"/>
              <w:cnfStyle w:val="000000010000" w:firstRow="0" w:lastRow="0" w:firstColumn="0" w:lastColumn="0" w:oddVBand="0" w:evenVBand="0" w:oddHBand="0" w:evenHBand="1" w:firstRowFirstColumn="0" w:firstRowLastColumn="0" w:lastRowFirstColumn="0" w:lastRowLastColumn="0"/>
            </w:pPr>
            <w:r>
              <w:t>77</w:t>
            </w:r>
          </w:p>
        </w:tc>
      </w:tr>
      <w:tr w:rsidR="00F8706A" w14:paraId="15097738" w14:textId="77777777" w:rsidTr="00F8706A">
        <w:trPr>
          <w:cnfStyle w:val="000000100000" w:firstRow="0" w:lastRow="0" w:firstColumn="0" w:lastColumn="0" w:oddVBand="0" w:evenVBand="0" w:oddHBand="1" w:evenHBand="0" w:firstRowFirstColumn="0" w:firstRowLastColumn="0" w:lastRowFirstColumn="0" w:lastRowLastColumn="0"/>
        </w:trPr>
        <w:tc>
          <w:tcPr>
            <w:tcW w:w="4298" w:type="pct"/>
            <w:tcBorders>
              <w:top w:val="single" w:sz="12" w:space="0" w:color="00573F" w:themeColor="text2"/>
              <w:bottom w:val="nil"/>
              <w:right w:val="nil"/>
            </w:tcBorders>
          </w:tcPr>
          <w:p w14:paraId="70535531" w14:textId="228AEF29" w:rsidR="00F8706A" w:rsidRPr="00973F22" w:rsidRDefault="00F8706A" w:rsidP="00F8706A">
            <w:pPr>
              <w:pStyle w:val="TableBody"/>
            </w:pPr>
            <w:r>
              <w:t>Accountable Officer’s and Chief Financial Officer’s declaration</w:t>
            </w:r>
          </w:p>
        </w:tc>
        <w:tc>
          <w:tcPr>
            <w:tcW w:w="702" w:type="pct"/>
            <w:tcBorders>
              <w:top w:val="single" w:sz="12" w:space="0" w:color="00573F" w:themeColor="text2"/>
              <w:left w:val="nil"/>
              <w:bottom w:val="nil"/>
            </w:tcBorders>
          </w:tcPr>
          <w:p w14:paraId="47F820A7" w14:textId="636B69A4" w:rsidR="00F8706A" w:rsidRPr="00E02097" w:rsidRDefault="00121EF6" w:rsidP="00F8706A">
            <w:pPr>
              <w:pStyle w:val="TableBody"/>
              <w:jc w:val="right"/>
            </w:pPr>
            <w:r>
              <w:t>81</w:t>
            </w:r>
          </w:p>
        </w:tc>
      </w:tr>
      <w:tr w:rsidR="00F8706A" w14:paraId="1D3691CA" w14:textId="77777777" w:rsidTr="00F8706A">
        <w:trPr>
          <w:cnfStyle w:val="000000010000" w:firstRow="0" w:lastRow="0" w:firstColumn="0" w:lastColumn="0" w:oddVBand="0" w:evenVBand="0" w:oddHBand="0" w:evenHBand="1" w:firstRowFirstColumn="0" w:firstRowLastColumn="0" w:lastRowFirstColumn="0" w:lastRowLastColumn="0"/>
        </w:trPr>
        <w:tc>
          <w:tcPr>
            <w:tcW w:w="4298" w:type="pct"/>
            <w:tcBorders>
              <w:top w:val="nil"/>
              <w:right w:val="nil"/>
            </w:tcBorders>
            <w:shd w:val="clear" w:color="auto" w:fill="F2F2F2" w:themeFill="background2" w:themeFillShade="F2"/>
          </w:tcPr>
          <w:p w14:paraId="584BBDDF" w14:textId="2CFDD61A" w:rsidR="00F8706A" w:rsidRDefault="00F8706A" w:rsidP="00F8706A">
            <w:pPr>
              <w:pStyle w:val="TableBody"/>
            </w:pPr>
            <w:r>
              <w:t xml:space="preserve">Victorian Auditor General’s Office </w:t>
            </w:r>
            <w:r w:rsidR="00BC57E2">
              <w:t>I</w:t>
            </w:r>
            <w:r>
              <w:t xml:space="preserve">ndependent </w:t>
            </w:r>
            <w:r w:rsidR="00BC57E2">
              <w:t>A</w:t>
            </w:r>
            <w:r>
              <w:t xml:space="preserve">uditor’s </w:t>
            </w:r>
            <w:r w:rsidR="00BC57E2">
              <w:t>R</w:t>
            </w:r>
            <w:r>
              <w:t>eport</w:t>
            </w:r>
          </w:p>
        </w:tc>
        <w:tc>
          <w:tcPr>
            <w:tcW w:w="702" w:type="pct"/>
            <w:tcBorders>
              <w:top w:val="nil"/>
              <w:left w:val="nil"/>
            </w:tcBorders>
            <w:shd w:val="clear" w:color="auto" w:fill="F2F2F2" w:themeFill="background2" w:themeFillShade="F2"/>
          </w:tcPr>
          <w:p w14:paraId="6CC002C1" w14:textId="12E52142" w:rsidR="00F8706A" w:rsidRDefault="00121EF6" w:rsidP="00F8706A">
            <w:pPr>
              <w:pStyle w:val="TableBody"/>
              <w:jc w:val="right"/>
            </w:pPr>
            <w:r>
              <w:t>82</w:t>
            </w:r>
          </w:p>
        </w:tc>
      </w:tr>
    </w:tbl>
    <w:p w14:paraId="10845E54" w14:textId="77777777" w:rsidR="00F46260" w:rsidRPr="00F46260" w:rsidRDefault="00F46260" w:rsidP="00D1524E">
      <w:pPr>
        <w:tabs>
          <w:tab w:val="center" w:pos="4320"/>
          <w:tab w:val="right" w:pos="8640"/>
        </w:tabs>
        <w:spacing w:after="0" w:line="240" w:lineRule="auto"/>
        <w:rPr>
          <w:rFonts w:ascii="Times New Roman" w:eastAsia="Times New Roman" w:hAnsi="Times New Roman"/>
          <w:sz w:val="20"/>
          <w:szCs w:val="20"/>
          <w:lang w:eastAsia="en-AU"/>
        </w:rPr>
        <w:sectPr w:rsidR="00F46260" w:rsidRPr="00F46260" w:rsidSect="00F46260">
          <w:headerReference w:type="even" r:id="rId38"/>
          <w:footerReference w:type="even" r:id="rId39"/>
          <w:footerReference w:type="default" r:id="rId40"/>
          <w:footerReference w:type="first" r:id="rId41"/>
          <w:pgSz w:w="11906" w:h="16838"/>
          <w:pgMar w:top="1440" w:right="1276" w:bottom="1440" w:left="1276" w:header="708" w:footer="708" w:gutter="0"/>
          <w:cols w:space="720"/>
          <w:titlePg/>
          <w:docGrid w:linePitch="272"/>
        </w:sectPr>
      </w:pPr>
      <w:r w:rsidRPr="00F46260">
        <w:rPr>
          <w:rFonts w:ascii="Times New Roman" w:eastAsia="Times New Roman" w:hAnsi="Times New Roman"/>
          <w:sz w:val="20"/>
          <w:szCs w:val="20"/>
          <w:lang w:eastAsia="en-AU"/>
        </w:rPr>
        <w:tab/>
      </w:r>
    </w:p>
    <w:p w14:paraId="4123857F" w14:textId="77777777" w:rsidR="00F46260" w:rsidRPr="00F46260" w:rsidRDefault="00F46260" w:rsidP="00F46260">
      <w:pPr>
        <w:keepNext/>
        <w:spacing w:after="0" w:line="240" w:lineRule="auto"/>
        <w:outlineLvl w:val="1"/>
        <w:rPr>
          <w:rFonts w:ascii="Arial" w:eastAsia="Times New Roman" w:hAnsi="Arial" w:cs="Arial"/>
          <w:b/>
          <w:sz w:val="24"/>
          <w:szCs w:val="24"/>
          <w:lang w:eastAsia="en-AU"/>
        </w:rPr>
      </w:pPr>
      <w:r w:rsidRPr="00F46260">
        <w:rPr>
          <w:rFonts w:ascii="Arial" w:eastAsia="Times New Roman" w:hAnsi="Arial" w:cs="Arial"/>
          <w:b/>
          <w:sz w:val="24"/>
          <w:szCs w:val="24"/>
          <w:lang w:eastAsia="en-AU"/>
        </w:rPr>
        <w:lastRenderedPageBreak/>
        <w:t>Comprehensive operating statement</w:t>
      </w:r>
    </w:p>
    <w:p w14:paraId="0AC52FD5" w14:textId="77777777" w:rsidR="00F46260" w:rsidRPr="00F46260" w:rsidRDefault="00F46260" w:rsidP="00F46260">
      <w:pPr>
        <w:keepNext/>
        <w:spacing w:after="0" w:line="240" w:lineRule="auto"/>
        <w:outlineLvl w:val="1"/>
        <w:rPr>
          <w:rFonts w:ascii="Arial" w:eastAsia="Times New Roman" w:hAnsi="Arial" w:cs="Arial"/>
          <w:b/>
          <w:sz w:val="20"/>
          <w:szCs w:val="24"/>
          <w:lang w:eastAsia="en-AU"/>
        </w:rPr>
      </w:pPr>
      <w:r w:rsidRPr="00F46260">
        <w:rPr>
          <w:rFonts w:ascii="Arial" w:eastAsia="Times New Roman" w:hAnsi="Arial" w:cs="Arial"/>
          <w:b/>
          <w:sz w:val="20"/>
          <w:szCs w:val="24"/>
          <w:lang w:eastAsia="en-AU"/>
        </w:rPr>
        <w:t>For the financial year ended 30 June 2021</w:t>
      </w:r>
    </w:p>
    <w:p w14:paraId="49C8B7EC" w14:textId="77777777" w:rsidR="00F46260" w:rsidRPr="00F46260" w:rsidRDefault="00F46260" w:rsidP="00F46260">
      <w:pPr>
        <w:spacing w:after="0" w:line="240" w:lineRule="auto"/>
        <w:rPr>
          <w:rFonts w:ascii="Times New Roman" w:eastAsia="Times New Roman" w:hAnsi="Times New Roman"/>
          <w:sz w:val="20"/>
          <w:szCs w:val="20"/>
          <w:lang w:eastAsia="en-AU"/>
        </w:rPr>
      </w:pPr>
    </w:p>
    <w:tbl>
      <w:tblPr>
        <w:tblW w:w="5000" w:type="pct"/>
        <w:tblInd w:w="-108" w:type="dxa"/>
        <w:tblLook w:val="0000" w:firstRow="0" w:lastRow="0" w:firstColumn="0" w:lastColumn="0" w:noHBand="0" w:noVBand="0"/>
      </w:tblPr>
      <w:tblGrid>
        <w:gridCol w:w="5618"/>
        <w:gridCol w:w="833"/>
        <w:gridCol w:w="1336"/>
        <w:gridCol w:w="254"/>
        <w:gridCol w:w="1313"/>
      </w:tblGrid>
      <w:tr w:rsidR="00F46260" w:rsidRPr="00F46260" w14:paraId="4D462325" w14:textId="77777777" w:rsidTr="00D1524E">
        <w:tc>
          <w:tcPr>
            <w:tcW w:w="3003" w:type="pct"/>
            <w:vAlign w:val="bottom"/>
          </w:tcPr>
          <w:p w14:paraId="3444C5C2"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5" w:type="pct"/>
            <w:vAlign w:val="bottom"/>
          </w:tcPr>
          <w:p w14:paraId="4D6361F7"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714" w:type="pct"/>
            <w:vAlign w:val="bottom"/>
          </w:tcPr>
          <w:p w14:paraId="78B22D4C" w14:textId="77777777" w:rsidR="00F46260" w:rsidRPr="00F46260" w:rsidRDefault="00F46260" w:rsidP="00F46260">
            <w:pPr>
              <w:spacing w:after="0" w:line="240" w:lineRule="auto"/>
              <w:jc w:val="center"/>
              <w:rPr>
                <w:rFonts w:ascii="Arial" w:eastAsia="Times New Roman" w:hAnsi="Arial" w:cs="Arial"/>
                <w:b/>
                <w:sz w:val="20"/>
                <w:szCs w:val="20"/>
                <w:lang w:eastAsia="en-AU"/>
              </w:rPr>
            </w:pPr>
            <w:r w:rsidRPr="00F46260">
              <w:rPr>
                <w:rFonts w:ascii="Arial" w:eastAsia="Times New Roman" w:hAnsi="Arial" w:cs="Arial"/>
                <w:b/>
                <w:sz w:val="20"/>
                <w:szCs w:val="20"/>
                <w:lang w:eastAsia="en-AU"/>
              </w:rPr>
              <w:t xml:space="preserve">2021 </w:t>
            </w:r>
          </w:p>
        </w:tc>
        <w:tc>
          <w:tcPr>
            <w:tcW w:w="136" w:type="pct"/>
            <w:vAlign w:val="bottom"/>
          </w:tcPr>
          <w:p w14:paraId="6680C461" w14:textId="77777777" w:rsidR="00F46260" w:rsidRPr="00F46260" w:rsidRDefault="00F46260" w:rsidP="00F46260">
            <w:pPr>
              <w:spacing w:after="0" w:line="240" w:lineRule="auto"/>
              <w:jc w:val="center"/>
              <w:rPr>
                <w:rFonts w:ascii="Arial" w:eastAsia="Times New Roman" w:hAnsi="Arial" w:cs="Arial"/>
                <w:b/>
                <w:sz w:val="20"/>
                <w:szCs w:val="20"/>
                <w:lang w:eastAsia="en-AU"/>
              </w:rPr>
            </w:pPr>
          </w:p>
        </w:tc>
        <w:tc>
          <w:tcPr>
            <w:tcW w:w="702" w:type="pct"/>
            <w:vAlign w:val="bottom"/>
          </w:tcPr>
          <w:p w14:paraId="74FA9C2B" w14:textId="77777777" w:rsidR="00F46260" w:rsidRPr="00F46260" w:rsidRDefault="00F46260" w:rsidP="00F46260">
            <w:pPr>
              <w:spacing w:after="0" w:line="240" w:lineRule="auto"/>
              <w:jc w:val="center"/>
              <w:rPr>
                <w:rFonts w:ascii="Arial" w:eastAsia="Times New Roman" w:hAnsi="Arial" w:cs="Arial"/>
                <w:b/>
                <w:sz w:val="20"/>
                <w:szCs w:val="20"/>
                <w:lang w:eastAsia="en-AU"/>
              </w:rPr>
            </w:pPr>
            <w:r w:rsidRPr="00F46260">
              <w:rPr>
                <w:rFonts w:ascii="Arial" w:eastAsia="Times New Roman" w:hAnsi="Arial" w:cs="Arial"/>
                <w:b/>
                <w:sz w:val="20"/>
                <w:szCs w:val="20"/>
                <w:lang w:eastAsia="en-AU"/>
              </w:rPr>
              <w:t>2020</w:t>
            </w:r>
          </w:p>
        </w:tc>
      </w:tr>
      <w:tr w:rsidR="00F46260" w:rsidRPr="00F46260" w14:paraId="061432A2" w14:textId="77777777" w:rsidTr="00D1524E">
        <w:tc>
          <w:tcPr>
            <w:tcW w:w="3003" w:type="pct"/>
            <w:vAlign w:val="bottom"/>
          </w:tcPr>
          <w:p w14:paraId="16BF104B" w14:textId="77777777" w:rsidR="00F46260" w:rsidRPr="00F46260" w:rsidRDefault="00F46260" w:rsidP="00F46260">
            <w:pPr>
              <w:spacing w:after="0" w:line="240" w:lineRule="auto"/>
              <w:rPr>
                <w:rFonts w:ascii="Arial" w:eastAsia="Times New Roman" w:hAnsi="Arial" w:cs="Arial"/>
                <w:b/>
                <w:i/>
                <w:sz w:val="20"/>
                <w:szCs w:val="20"/>
                <w:lang w:eastAsia="en-AU"/>
              </w:rPr>
            </w:pPr>
          </w:p>
        </w:tc>
        <w:tc>
          <w:tcPr>
            <w:tcW w:w="445" w:type="pct"/>
            <w:vAlign w:val="bottom"/>
          </w:tcPr>
          <w:p w14:paraId="3AE0DC85"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Notes</w:t>
            </w:r>
          </w:p>
        </w:tc>
        <w:tc>
          <w:tcPr>
            <w:tcW w:w="714" w:type="pct"/>
            <w:vAlign w:val="bottom"/>
          </w:tcPr>
          <w:p w14:paraId="5F78BAE6" w14:textId="77777777" w:rsidR="00F46260" w:rsidRPr="00F46260" w:rsidRDefault="00F46260" w:rsidP="00F46260">
            <w:pPr>
              <w:spacing w:after="0" w:line="240" w:lineRule="auto"/>
              <w:jc w:val="center"/>
              <w:rPr>
                <w:rFonts w:ascii="Arial" w:eastAsia="Times New Roman" w:hAnsi="Arial" w:cs="Arial"/>
                <w:b/>
                <w:sz w:val="20"/>
                <w:szCs w:val="20"/>
                <w:lang w:eastAsia="en-AU"/>
              </w:rPr>
            </w:pPr>
            <w:r w:rsidRPr="00F46260">
              <w:rPr>
                <w:rFonts w:ascii="Arial" w:eastAsia="Times New Roman" w:hAnsi="Arial" w:cs="Arial"/>
                <w:b/>
                <w:sz w:val="20"/>
                <w:szCs w:val="20"/>
                <w:lang w:eastAsia="en-AU"/>
              </w:rPr>
              <w:t>$</w:t>
            </w:r>
          </w:p>
        </w:tc>
        <w:tc>
          <w:tcPr>
            <w:tcW w:w="136" w:type="pct"/>
            <w:vAlign w:val="bottom"/>
          </w:tcPr>
          <w:p w14:paraId="35A6E891" w14:textId="77777777" w:rsidR="00F46260" w:rsidRPr="00F46260" w:rsidRDefault="00F46260" w:rsidP="00F46260">
            <w:pPr>
              <w:spacing w:after="0" w:line="240" w:lineRule="auto"/>
              <w:jc w:val="center"/>
              <w:rPr>
                <w:rFonts w:ascii="Arial" w:eastAsia="Times New Roman" w:hAnsi="Arial" w:cs="Arial"/>
                <w:b/>
                <w:sz w:val="20"/>
                <w:szCs w:val="20"/>
                <w:lang w:eastAsia="en-AU"/>
              </w:rPr>
            </w:pPr>
          </w:p>
        </w:tc>
        <w:tc>
          <w:tcPr>
            <w:tcW w:w="702" w:type="pct"/>
            <w:vAlign w:val="bottom"/>
          </w:tcPr>
          <w:p w14:paraId="5F34C270" w14:textId="77777777" w:rsidR="00F46260" w:rsidRPr="00F46260" w:rsidRDefault="00F46260" w:rsidP="00F46260">
            <w:pPr>
              <w:spacing w:after="0" w:line="240" w:lineRule="auto"/>
              <w:jc w:val="center"/>
              <w:rPr>
                <w:rFonts w:ascii="Arial" w:eastAsia="Times New Roman" w:hAnsi="Arial" w:cs="Arial"/>
                <w:b/>
                <w:sz w:val="20"/>
                <w:szCs w:val="20"/>
                <w:lang w:eastAsia="en-AU"/>
              </w:rPr>
            </w:pPr>
            <w:r w:rsidRPr="00F46260">
              <w:rPr>
                <w:rFonts w:ascii="Arial" w:eastAsia="Times New Roman" w:hAnsi="Arial" w:cs="Arial"/>
                <w:b/>
                <w:sz w:val="20"/>
                <w:szCs w:val="20"/>
                <w:lang w:eastAsia="en-AU"/>
              </w:rPr>
              <w:t>$</w:t>
            </w:r>
          </w:p>
        </w:tc>
      </w:tr>
      <w:tr w:rsidR="00F46260" w:rsidRPr="00F46260" w14:paraId="444A58E2" w14:textId="77777777" w:rsidTr="00D1524E">
        <w:tc>
          <w:tcPr>
            <w:tcW w:w="3003" w:type="pct"/>
            <w:vAlign w:val="bottom"/>
          </w:tcPr>
          <w:p w14:paraId="4FE73290"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5" w:type="pct"/>
            <w:vAlign w:val="bottom"/>
          </w:tcPr>
          <w:p w14:paraId="738BA39D"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vAlign w:val="bottom"/>
          </w:tcPr>
          <w:p w14:paraId="4F10AE0D"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136" w:type="pct"/>
            <w:vAlign w:val="bottom"/>
          </w:tcPr>
          <w:p w14:paraId="4DF217D7"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vAlign w:val="bottom"/>
          </w:tcPr>
          <w:p w14:paraId="5B897B41"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r>
      <w:tr w:rsidR="00F46260" w:rsidRPr="00F46260" w14:paraId="03D31FC7" w14:textId="77777777" w:rsidTr="00D1524E">
        <w:tc>
          <w:tcPr>
            <w:tcW w:w="3003" w:type="pct"/>
            <w:vAlign w:val="bottom"/>
          </w:tcPr>
          <w:p w14:paraId="7340C1FF" w14:textId="77777777" w:rsidR="00F46260" w:rsidRPr="00F46260" w:rsidRDefault="00F46260" w:rsidP="00D1524E">
            <w:pPr>
              <w:keepNext/>
              <w:spacing w:after="0" w:line="240" w:lineRule="auto"/>
              <w:outlineLvl w:val="2"/>
              <w:rPr>
                <w:rFonts w:ascii="Arial" w:eastAsia="Times New Roman" w:hAnsi="Arial" w:cs="Arial"/>
                <w:b/>
                <w:sz w:val="20"/>
                <w:szCs w:val="20"/>
                <w:lang w:val="en-GB" w:eastAsia="en-AU"/>
              </w:rPr>
            </w:pPr>
            <w:r w:rsidRPr="00F46260">
              <w:rPr>
                <w:rFonts w:ascii="Arial" w:eastAsia="Times New Roman" w:hAnsi="Arial" w:cs="Arial"/>
                <w:b/>
                <w:sz w:val="20"/>
                <w:szCs w:val="20"/>
                <w:lang w:val="en-GB" w:eastAsia="en-AU"/>
              </w:rPr>
              <w:t>Continuing operations</w:t>
            </w:r>
          </w:p>
        </w:tc>
        <w:tc>
          <w:tcPr>
            <w:tcW w:w="445" w:type="pct"/>
            <w:vAlign w:val="bottom"/>
          </w:tcPr>
          <w:p w14:paraId="165F430F"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vAlign w:val="bottom"/>
          </w:tcPr>
          <w:p w14:paraId="5F9C4DD2"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136" w:type="pct"/>
            <w:vAlign w:val="bottom"/>
          </w:tcPr>
          <w:p w14:paraId="0A62540C"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vAlign w:val="bottom"/>
          </w:tcPr>
          <w:p w14:paraId="793F1344"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r>
      <w:tr w:rsidR="00F46260" w:rsidRPr="00F46260" w14:paraId="55E7AE1E" w14:textId="77777777" w:rsidTr="00D1524E">
        <w:tc>
          <w:tcPr>
            <w:tcW w:w="3003" w:type="pct"/>
            <w:vAlign w:val="bottom"/>
          </w:tcPr>
          <w:p w14:paraId="5576C35F" w14:textId="77777777" w:rsidR="00F46260" w:rsidRPr="00F46260" w:rsidRDefault="00F46260" w:rsidP="00D1524E">
            <w:pPr>
              <w:keepNext/>
              <w:spacing w:after="0" w:line="240" w:lineRule="auto"/>
              <w:outlineLvl w:val="2"/>
              <w:rPr>
                <w:rFonts w:ascii="Arial" w:eastAsia="Times New Roman" w:hAnsi="Arial" w:cs="Arial"/>
                <w:b/>
                <w:sz w:val="20"/>
                <w:szCs w:val="20"/>
                <w:lang w:val="en-GB" w:eastAsia="en-AU"/>
              </w:rPr>
            </w:pPr>
            <w:r w:rsidRPr="00F46260">
              <w:rPr>
                <w:rFonts w:ascii="Arial" w:eastAsia="Times New Roman" w:hAnsi="Arial" w:cs="Arial"/>
                <w:b/>
                <w:sz w:val="20"/>
                <w:szCs w:val="20"/>
                <w:lang w:val="en-GB" w:eastAsia="en-AU"/>
              </w:rPr>
              <w:t>Income from transactions</w:t>
            </w:r>
          </w:p>
        </w:tc>
        <w:tc>
          <w:tcPr>
            <w:tcW w:w="445" w:type="pct"/>
            <w:vAlign w:val="bottom"/>
          </w:tcPr>
          <w:p w14:paraId="4832088D"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vAlign w:val="bottom"/>
          </w:tcPr>
          <w:p w14:paraId="427ED86C"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136" w:type="pct"/>
            <w:vAlign w:val="bottom"/>
          </w:tcPr>
          <w:p w14:paraId="174180DA"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vAlign w:val="bottom"/>
          </w:tcPr>
          <w:p w14:paraId="46F8E7F6"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r>
      <w:tr w:rsidR="00F46260" w:rsidRPr="00F46260" w14:paraId="36A9480E" w14:textId="77777777" w:rsidTr="00D1524E">
        <w:tc>
          <w:tcPr>
            <w:tcW w:w="3003" w:type="pct"/>
            <w:vAlign w:val="bottom"/>
          </w:tcPr>
          <w:p w14:paraId="340FA85D" w14:textId="77777777" w:rsidR="00F46260" w:rsidRPr="00F46260" w:rsidRDefault="00F46260" w:rsidP="00D1524E">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Grants</w:t>
            </w:r>
          </w:p>
        </w:tc>
        <w:tc>
          <w:tcPr>
            <w:tcW w:w="445" w:type="pct"/>
            <w:vAlign w:val="bottom"/>
          </w:tcPr>
          <w:p w14:paraId="57BACE1A" w14:textId="77777777" w:rsidR="00F46260" w:rsidRPr="00F46260" w:rsidRDefault="00F46260" w:rsidP="00F46260">
            <w:pPr>
              <w:spacing w:after="0" w:line="240" w:lineRule="auto"/>
              <w:jc w:val="right"/>
              <w:rPr>
                <w:rFonts w:ascii="Arial" w:eastAsia="Times New Roman" w:hAnsi="Arial" w:cs="Arial"/>
                <w:sz w:val="20"/>
                <w:szCs w:val="20"/>
                <w:highlight w:val="yellow"/>
                <w:lang w:eastAsia="en-AU"/>
              </w:rPr>
            </w:pPr>
            <w:r w:rsidRPr="00F46260">
              <w:rPr>
                <w:rFonts w:ascii="Arial" w:eastAsia="Times New Roman" w:hAnsi="Arial" w:cs="Arial"/>
                <w:sz w:val="20"/>
                <w:szCs w:val="20"/>
                <w:lang w:eastAsia="en-AU"/>
              </w:rPr>
              <w:t>2.2</w:t>
            </w:r>
          </w:p>
        </w:tc>
        <w:tc>
          <w:tcPr>
            <w:tcW w:w="714" w:type="pct"/>
            <w:shd w:val="pct15" w:color="auto" w:fill="auto"/>
            <w:vAlign w:val="bottom"/>
          </w:tcPr>
          <w:p w14:paraId="34819EE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12,871,414</w:t>
            </w:r>
          </w:p>
        </w:tc>
        <w:tc>
          <w:tcPr>
            <w:tcW w:w="136" w:type="pct"/>
            <w:vAlign w:val="bottom"/>
          </w:tcPr>
          <w:p w14:paraId="6BB8D2A3"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702" w:type="pct"/>
            <w:vAlign w:val="bottom"/>
          </w:tcPr>
          <w:p w14:paraId="2C759A32"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14,466,528</w:t>
            </w:r>
          </w:p>
        </w:tc>
      </w:tr>
      <w:tr w:rsidR="00F46260" w:rsidRPr="00F46260" w14:paraId="4CE58E54" w14:textId="77777777" w:rsidTr="00D1524E">
        <w:tc>
          <w:tcPr>
            <w:tcW w:w="3003" w:type="pct"/>
            <w:vAlign w:val="bottom"/>
          </w:tcPr>
          <w:p w14:paraId="173E1D67" w14:textId="77777777" w:rsidR="00F46260" w:rsidRPr="00F46260" w:rsidRDefault="00F46260" w:rsidP="00D1524E">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Provision of services</w:t>
            </w:r>
            <w:r w:rsidRPr="00F46260" w:rsidDel="009D018F">
              <w:rPr>
                <w:rFonts w:ascii="Arial" w:eastAsia="Times New Roman" w:hAnsi="Arial" w:cs="Arial"/>
                <w:sz w:val="20"/>
                <w:szCs w:val="20"/>
                <w:lang w:eastAsia="en-AU"/>
              </w:rPr>
              <w:t xml:space="preserve"> </w:t>
            </w:r>
          </w:p>
        </w:tc>
        <w:tc>
          <w:tcPr>
            <w:tcW w:w="445" w:type="pct"/>
            <w:vAlign w:val="bottom"/>
          </w:tcPr>
          <w:p w14:paraId="44FAA380" w14:textId="77777777" w:rsidR="00F46260" w:rsidRPr="00F46260" w:rsidRDefault="00F46260" w:rsidP="00F46260">
            <w:pPr>
              <w:spacing w:after="0" w:line="240" w:lineRule="auto"/>
              <w:jc w:val="right"/>
              <w:rPr>
                <w:rFonts w:ascii="Arial" w:eastAsia="Times New Roman" w:hAnsi="Arial" w:cs="Arial"/>
                <w:sz w:val="20"/>
                <w:szCs w:val="20"/>
                <w:highlight w:val="yellow"/>
                <w:lang w:eastAsia="en-AU"/>
              </w:rPr>
            </w:pPr>
            <w:r w:rsidRPr="00F46260">
              <w:rPr>
                <w:rFonts w:ascii="Arial" w:eastAsia="Times New Roman" w:hAnsi="Arial" w:cs="Arial"/>
                <w:sz w:val="20"/>
                <w:szCs w:val="20"/>
                <w:lang w:eastAsia="en-AU"/>
              </w:rPr>
              <w:t>2.3</w:t>
            </w:r>
          </w:p>
        </w:tc>
        <w:tc>
          <w:tcPr>
            <w:tcW w:w="714" w:type="pct"/>
            <w:shd w:val="pct15" w:color="auto" w:fill="auto"/>
            <w:vAlign w:val="bottom"/>
          </w:tcPr>
          <w:p w14:paraId="5E5F5059"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5,054,447</w:t>
            </w:r>
          </w:p>
        </w:tc>
        <w:tc>
          <w:tcPr>
            <w:tcW w:w="136" w:type="pct"/>
            <w:vAlign w:val="bottom"/>
          </w:tcPr>
          <w:p w14:paraId="099A40E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702" w:type="pct"/>
            <w:vAlign w:val="bottom"/>
          </w:tcPr>
          <w:p w14:paraId="7DB9685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5,465,614</w:t>
            </w:r>
          </w:p>
        </w:tc>
      </w:tr>
      <w:tr w:rsidR="00F46260" w:rsidRPr="00F46260" w14:paraId="7D857CFA" w14:textId="77777777" w:rsidTr="00D1524E">
        <w:tc>
          <w:tcPr>
            <w:tcW w:w="3003" w:type="pct"/>
            <w:tcBorders>
              <w:top w:val="single" w:sz="2" w:space="0" w:color="auto"/>
              <w:bottom w:val="single" w:sz="12" w:space="0" w:color="auto"/>
            </w:tcBorders>
            <w:vAlign w:val="bottom"/>
          </w:tcPr>
          <w:p w14:paraId="1D91FE91" w14:textId="77777777" w:rsidR="00F46260" w:rsidRPr="00F46260" w:rsidRDefault="00F46260" w:rsidP="00D1524E">
            <w:pPr>
              <w:keepNext/>
              <w:spacing w:after="0" w:line="240" w:lineRule="auto"/>
              <w:outlineLvl w:val="2"/>
              <w:rPr>
                <w:rFonts w:ascii="Arial" w:eastAsia="Times New Roman" w:hAnsi="Arial" w:cs="Arial"/>
                <w:b/>
                <w:sz w:val="20"/>
                <w:szCs w:val="20"/>
                <w:lang w:val="en-GB" w:eastAsia="en-AU"/>
              </w:rPr>
            </w:pPr>
            <w:r w:rsidRPr="00F46260">
              <w:rPr>
                <w:rFonts w:ascii="Arial" w:eastAsia="Times New Roman" w:hAnsi="Arial" w:cs="Arial"/>
                <w:b/>
                <w:sz w:val="20"/>
                <w:szCs w:val="20"/>
                <w:lang w:val="en-GB" w:eastAsia="en-AU"/>
              </w:rPr>
              <w:t>Total income from transactions</w:t>
            </w:r>
          </w:p>
        </w:tc>
        <w:tc>
          <w:tcPr>
            <w:tcW w:w="445" w:type="pct"/>
            <w:tcBorders>
              <w:top w:val="single" w:sz="2" w:space="0" w:color="auto"/>
              <w:bottom w:val="single" w:sz="12" w:space="0" w:color="auto"/>
            </w:tcBorders>
            <w:vAlign w:val="bottom"/>
          </w:tcPr>
          <w:p w14:paraId="04DFB02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714" w:type="pct"/>
            <w:tcBorders>
              <w:top w:val="single" w:sz="2" w:space="0" w:color="auto"/>
              <w:bottom w:val="single" w:sz="12" w:space="0" w:color="auto"/>
            </w:tcBorders>
            <w:shd w:val="pct15" w:color="auto" w:fill="auto"/>
            <w:vAlign w:val="bottom"/>
          </w:tcPr>
          <w:p w14:paraId="1476B4B2"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17,925,861</w:t>
            </w:r>
          </w:p>
        </w:tc>
        <w:tc>
          <w:tcPr>
            <w:tcW w:w="136" w:type="pct"/>
            <w:tcBorders>
              <w:top w:val="single" w:sz="2" w:space="0" w:color="auto"/>
              <w:bottom w:val="single" w:sz="12" w:space="0" w:color="auto"/>
            </w:tcBorders>
            <w:vAlign w:val="bottom"/>
          </w:tcPr>
          <w:p w14:paraId="28FEDE4B"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2" w:space="0" w:color="auto"/>
              <w:bottom w:val="single" w:sz="12" w:space="0" w:color="auto"/>
            </w:tcBorders>
            <w:vAlign w:val="bottom"/>
          </w:tcPr>
          <w:p w14:paraId="54A29D9D"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19,932,142</w:t>
            </w:r>
          </w:p>
        </w:tc>
      </w:tr>
      <w:tr w:rsidR="00F46260" w:rsidRPr="00F46260" w14:paraId="758C9E06" w14:textId="77777777" w:rsidTr="00D1524E">
        <w:tc>
          <w:tcPr>
            <w:tcW w:w="3003" w:type="pct"/>
            <w:tcBorders>
              <w:top w:val="single" w:sz="12" w:space="0" w:color="auto"/>
            </w:tcBorders>
            <w:vAlign w:val="bottom"/>
          </w:tcPr>
          <w:p w14:paraId="05188713" w14:textId="77777777" w:rsidR="00F46260" w:rsidRPr="00F46260" w:rsidRDefault="00F46260" w:rsidP="00D1524E">
            <w:pPr>
              <w:spacing w:after="0" w:line="240" w:lineRule="auto"/>
              <w:rPr>
                <w:rFonts w:ascii="Arial" w:eastAsia="Times New Roman" w:hAnsi="Arial" w:cs="Arial"/>
                <w:sz w:val="20"/>
                <w:szCs w:val="20"/>
                <w:lang w:eastAsia="en-AU"/>
              </w:rPr>
            </w:pPr>
          </w:p>
        </w:tc>
        <w:tc>
          <w:tcPr>
            <w:tcW w:w="445" w:type="pct"/>
            <w:tcBorders>
              <w:top w:val="single" w:sz="12" w:space="0" w:color="auto"/>
            </w:tcBorders>
            <w:vAlign w:val="bottom"/>
          </w:tcPr>
          <w:p w14:paraId="190287F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714" w:type="pct"/>
            <w:tcBorders>
              <w:top w:val="single" w:sz="12" w:space="0" w:color="auto"/>
            </w:tcBorders>
            <w:shd w:val="pct15" w:color="auto" w:fill="auto"/>
            <w:vAlign w:val="bottom"/>
          </w:tcPr>
          <w:p w14:paraId="1126108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36" w:type="pct"/>
            <w:tcBorders>
              <w:top w:val="single" w:sz="12" w:space="0" w:color="auto"/>
            </w:tcBorders>
            <w:vAlign w:val="bottom"/>
          </w:tcPr>
          <w:p w14:paraId="7C55CF8E"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12" w:space="0" w:color="auto"/>
            </w:tcBorders>
            <w:vAlign w:val="bottom"/>
          </w:tcPr>
          <w:p w14:paraId="03086EBB"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31577351" w14:textId="77777777" w:rsidTr="00D1524E">
        <w:tc>
          <w:tcPr>
            <w:tcW w:w="3003" w:type="pct"/>
            <w:vAlign w:val="bottom"/>
          </w:tcPr>
          <w:p w14:paraId="2E973ED3" w14:textId="77777777" w:rsidR="00F46260" w:rsidRPr="00F46260" w:rsidRDefault="00F46260" w:rsidP="00D1524E">
            <w:pPr>
              <w:keepNext/>
              <w:spacing w:after="0" w:line="240" w:lineRule="auto"/>
              <w:outlineLvl w:val="2"/>
              <w:rPr>
                <w:rFonts w:ascii="Arial" w:eastAsia="Times New Roman" w:hAnsi="Arial" w:cs="Arial"/>
                <w:b/>
                <w:sz w:val="20"/>
                <w:szCs w:val="20"/>
                <w:lang w:val="en-GB" w:eastAsia="en-AU"/>
              </w:rPr>
            </w:pPr>
            <w:r w:rsidRPr="00F46260">
              <w:rPr>
                <w:rFonts w:ascii="Arial" w:eastAsia="Times New Roman" w:hAnsi="Arial" w:cs="Arial"/>
                <w:b/>
                <w:sz w:val="20"/>
                <w:szCs w:val="20"/>
                <w:lang w:val="en-GB" w:eastAsia="en-AU"/>
              </w:rPr>
              <w:t>Expenses from transactions</w:t>
            </w:r>
          </w:p>
        </w:tc>
        <w:tc>
          <w:tcPr>
            <w:tcW w:w="445" w:type="pct"/>
            <w:vAlign w:val="bottom"/>
          </w:tcPr>
          <w:p w14:paraId="7B51EBC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714" w:type="pct"/>
            <w:shd w:val="pct15" w:color="auto" w:fill="auto"/>
            <w:vAlign w:val="bottom"/>
          </w:tcPr>
          <w:p w14:paraId="10CE59C8"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36" w:type="pct"/>
            <w:vAlign w:val="bottom"/>
          </w:tcPr>
          <w:p w14:paraId="5756FB23"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vAlign w:val="bottom"/>
          </w:tcPr>
          <w:p w14:paraId="3EED515F"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68F2576A" w14:textId="77777777" w:rsidTr="00D1524E">
        <w:tc>
          <w:tcPr>
            <w:tcW w:w="3003" w:type="pct"/>
            <w:vAlign w:val="bottom"/>
          </w:tcPr>
          <w:p w14:paraId="02EFC10C" w14:textId="77777777" w:rsidR="00F46260" w:rsidRPr="00F46260" w:rsidRDefault="00F46260" w:rsidP="00D1524E">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Employee benefits</w:t>
            </w:r>
          </w:p>
        </w:tc>
        <w:tc>
          <w:tcPr>
            <w:tcW w:w="445" w:type="pct"/>
            <w:vAlign w:val="bottom"/>
          </w:tcPr>
          <w:p w14:paraId="42CD9BF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3.2.1</w:t>
            </w:r>
          </w:p>
        </w:tc>
        <w:tc>
          <w:tcPr>
            <w:tcW w:w="714" w:type="pct"/>
            <w:shd w:val="pct15" w:color="auto" w:fill="auto"/>
            <w:vAlign w:val="bottom"/>
          </w:tcPr>
          <w:p w14:paraId="64E410F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14,376,757</w:t>
            </w:r>
          </w:p>
        </w:tc>
        <w:tc>
          <w:tcPr>
            <w:tcW w:w="136" w:type="pct"/>
            <w:vAlign w:val="bottom"/>
          </w:tcPr>
          <w:p w14:paraId="1C6BCF37"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vAlign w:val="bottom"/>
          </w:tcPr>
          <w:p w14:paraId="6EF931A4"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13,052,291</w:t>
            </w:r>
          </w:p>
        </w:tc>
      </w:tr>
      <w:tr w:rsidR="00F46260" w:rsidRPr="00F46260" w14:paraId="67FA182C" w14:textId="77777777" w:rsidTr="00D1524E">
        <w:tc>
          <w:tcPr>
            <w:tcW w:w="3003" w:type="pct"/>
            <w:vAlign w:val="bottom"/>
          </w:tcPr>
          <w:p w14:paraId="34105AA5" w14:textId="77777777" w:rsidR="00F46260" w:rsidRPr="00F46260" w:rsidRDefault="00F46260" w:rsidP="00D1524E">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Depreciation</w:t>
            </w:r>
          </w:p>
        </w:tc>
        <w:tc>
          <w:tcPr>
            <w:tcW w:w="445" w:type="pct"/>
            <w:vAlign w:val="bottom"/>
          </w:tcPr>
          <w:p w14:paraId="72723D5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4.3</w:t>
            </w:r>
          </w:p>
        </w:tc>
        <w:tc>
          <w:tcPr>
            <w:tcW w:w="714" w:type="pct"/>
            <w:shd w:val="pct15" w:color="auto" w:fill="auto"/>
            <w:vAlign w:val="bottom"/>
          </w:tcPr>
          <w:p w14:paraId="23A709F2"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308,188</w:t>
            </w:r>
          </w:p>
        </w:tc>
        <w:tc>
          <w:tcPr>
            <w:tcW w:w="136" w:type="pct"/>
            <w:vAlign w:val="bottom"/>
          </w:tcPr>
          <w:p w14:paraId="5A354155"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vAlign w:val="bottom"/>
          </w:tcPr>
          <w:p w14:paraId="48185177"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568,938</w:t>
            </w:r>
          </w:p>
        </w:tc>
      </w:tr>
      <w:tr w:rsidR="00F46260" w:rsidRPr="00F46260" w14:paraId="0F85A391" w14:textId="77777777" w:rsidTr="00D1524E">
        <w:tc>
          <w:tcPr>
            <w:tcW w:w="3003" w:type="pct"/>
            <w:vAlign w:val="bottom"/>
          </w:tcPr>
          <w:p w14:paraId="007E36F1" w14:textId="77777777" w:rsidR="00F46260" w:rsidRPr="00F46260" w:rsidRDefault="00F46260" w:rsidP="00D1524E">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Interest expense</w:t>
            </w:r>
          </w:p>
        </w:tc>
        <w:tc>
          <w:tcPr>
            <w:tcW w:w="445" w:type="pct"/>
            <w:vAlign w:val="bottom"/>
          </w:tcPr>
          <w:p w14:paraId="050E5EB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714" w:type="pct"/>
            <w:shd w:val="pct15" w:color="auto" w:fill="auto"/>
            <w:vAlign w:val="bottom"/>
          </w:tcPr>
          <w:p w14:paraId="13538D69"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1,537</w:t>
            </w:r>
          </w:p>
        </w:tc>
        <w:tc>
          <w:tcPr>
            <w:tcW w:w="136" w:type="pct"/>
            <w:vAlign w:val="bottom"/>
          </w:tcPr>
          <w:p w14:paraId="0764C3B5"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vAlign w:val="bottom"/>
          </w:tcPr>
          <w:p w14:paraId="3FB4A0B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14,311</w:t>
            </w:r>
          </w:p>
        </w:tc>
      </w:tr>
      <w:tr w:rsidR="00F46260" w:rsidRPr="00F46260" w14:paraId="07593583" w14:textId="77777777" w:rsidTr="00D1524E">
        <w:tc>
          <w:tcPr>
            <w:tcW w:w="3003" w:type="pct"/>
            <w:vAlign w:val="bottom"/>
          </w:tcPr>
          <w:p w14:paraId="14E0A1A2" w14:textId="77777777" w:rsidR="00F46260" w:rsidRPr="00F46260" w:rsidRDefault="00F46260" w:rsidP="00D1524E">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Capital asset charge</w:t>
            </w:r>
          </w:p>
        </w:tc>
        <w:tc>
          <w:tcPr>
            <w:tcW w:w="445" w:type="pct"/>
            <w:vAlign w:val="bottom"/>
          </w:tcPr>
          <w:p w14:paraId="08A580E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3.3</w:t>
            </w:r>
          </w:p>
        </w:tc>
        <w:tc>
          <w:tcPr>
            <w:tcW w:w="714" w:type="pct"/>
            <w:shd w:val="pct15" w:color="auto" w:fill="auto"/>
            <w:vAlign w:val="bottom"/>
          </w:tcPr>
          <w:p w14:paraId="504F92A2"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13,508</w:t>
            </w:r>
          </w:p>
        </w:tc>
        <w:tc>
          <w:tcPr>
            <w:tcW w:w="136" w:type="pct"/>
            <w:vAlign w:val="bottom"/>
          </w:tcPr>
          <w:p w14:paraId="17B933D6"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vAlign w:val="bottom"/>
          </w:tcPr>
          <w:p w14:paraId="37064A3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13,500</w:t>
            </w:r>
          </w:p>
        </w:tc>
      </w:tr>
      <w:tr w:rsidR="00F46260" w:rsidRPr="00F46260" w14:paraId="78527913" w14:textId="77777777" w:rsidTr="00D1524E">
        <w:tc>
          <w:tcPr>
            <w:tcW w:w="3003" w:type="pct"/>
            <w:tcBorders>
              <w:bottom w:val="single" w:sz="2" w:space="0" w:color="auto"/>
            </w:tcBorders>
            <w:vAlign w:val="bottom"/>
          </w:tcPr>
          <w:p w14:paraId="046691CC" w14:textId="77777777" w:rsidR="00F46260" w:rsidRPr="00F46260" w:rsidRDefault="00F46260" w:rsidP="00D1524E">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Other operating expenses</w:t>
            </w:r>
          </w:p>
        </w:tc>
        <w:tc>
          <w:tcPr>
            <w:tcW w:w="445" w:type="pct"/>
            <w:tcBorders>
              <w:bottom w:val="single" w:sz="2" w:space="0" w:color="auto"/>
            </w:tcBorders>
            <w:vAlign w:val="bottom"/>
          </w:tcPr>
          <w:p w14:paraId="6DF4033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3.4</w:t>
            </w:r>
          </w:p>
        </w:tc>
        <w:tc>
          <w:tcPr>
            <w:tcW w:w="714" w:type="pct"/>
            <w:tcBorders>
              <w:bottom w:val="single" w:sz="2" w:space="0" w:color="auto"/>
            </w:tcBorders>
            <w:shd w:val="pct15" w:color="auto" w:fill="auto"/>
            <w:vAlign w:val="bottom"/>
          </w:tcPr>
          <w:p w14:paraId="452C5974"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5,688,520</w:t>
            </w:r>
          </w:p>
        </w:tc>
        <w:tc>
          <w:tcPr>
            <w:tcW w:w="136" w:type="pct"/>
            <w:tcBorders>
              <w:bottom w:val="single" w:sz="2" w:space="0" w:color="auto"/>
            </w:tcBorders>
            <w:vAlign w:val="bottom"/>
          </w:tcPr>
          <w:p w14:paraId="51709660"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bottom w:val="single" w:sz="2" w:space="0" w:color="auto"/>
            </w:tcBorders>
            <w:vAlign w:val="bottom"/>
          </w:tcPr>
          <w:p w14:paraId="6745B58B"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6,442,677</w:t>
            </w:r>
          </w:p>
        </w:tc>
      </w:tr>
      <w:tr w:rsidR="00F46260" w:rsidRPr="00F46260" w14:paraId="468D5BB9" w14:textId="77777777" w:rsidTr="00D1524E">
        <w:tc>
          <w:tcPr>
            <w:tcW w:w="3003" w:type="pct"/>
            <w:tcBorders>
              <w:top w:val="single" w:sz="2" w:space="0" w:color="auto"/>
              <w:bottom w:val="single" w:sz="12" w:space="0" w:color="auto"/>
            </w:tcBorders>
            <w:vAlign w:val="bottom"/>
          </w:tcPr>
          <w:p w14:paraId="0EFBB71B" w14:textId="77777777" w:rsidR="00F46260" w:rsidRPr="00F46260" w:rsidRDefault="00F46260" w:rsidP="00D1524E">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expenses from transactions</w:t>
            </w:r>
          </w:p>
        </w:tc>
        <w:tc>
          <w:tcPr>
            <w:tcW w:w="445" w:type="pct"/>
            <w:tcBorders>
              <w:top w:val="single" w:sz="2" w:space="0" w:color="auto"/>
              <w:bottom w:val="single" w:sz="12" w:space="0" w:color="auto"/>
            </w:tcBorders>
            <w:vAlign w:val="bottom"/>
          </w:tcPr>
          <w:p w14:paraId="69AC3B2E"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2" w:space="0" w:color="auto"/>
              <w:bottom w:val="single" w:sz="12" w:space="0" w:color="auto"/>
            </w:tcBorders>
            <w:shd w:val="pct15" w:color="auto" w:fill="auto"/>
            <w:vAlign w:val="bottom"/>
          </w:tcPr>
          <w:p w14:paraId="0F6752A5"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20,388,510</w:t>
            </w:r>
          </w:p>
        </w:tc>
        <w:tc>
          <w:tcPr>
            <w:tcW w:w="136" w:type="pct"/>
            <w:tcBorders>
              <w:top w:val="single" w:sz="2" w:space="0" w:color="auto"/>
              <w:bottom w:val="single" w:sz="12" w:space="0" w:color="auto"/>
            </w:tcBorders>
            <w:vAlign w:val="bottom"/>
          </w:tcPr>
          <w:p w14:paraId="09DA2BE2"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2" w:space="0" w:color="auto"/>
              <w:bottom w:val="single" w:sz="12" w:space="0" w:color="auto"/>
            </w:tcBorders>
            <w:vAlign w:val="bottom"/>
          </w:tcPr>
          <w:p w14:paraId="11D22976"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20,091,717</w:t>
            </w:r>
          </w:p>
        </w:tc>
      </w:tr>
      <w:tr w:rsidR="00F46260" w:rsidRPr="00F46260" w14:paraId="505AAA00" w14:textId="77777777" w:rsidTr="00D1524E">
        <w:tc>
          <w:tcPr>
            <w:tcW w:w="3003" w:type="pct"/>
            <w:tcBorders>
              <w:top w:val="single" w:sz="12" w:space="0" w:color="auto"/>
              <w:bottom w:val="single" w:sz="4" w:space="0" w:color="auto"/>
            </w:tcBorders>
            <w:vAlign w:val="bottom"/>
          </w:tcPr>
          <w:p w14:paraId="3804A977" w14:textId="77777777" w:rsidR="00F46260" w:rsidRPr="00F46260" w:rsidRDefault="00F46260" w:rsidP="00D1524E">
            <w:pPr>
              <w:spacing w:after="0" w:line="240" w:lineRule="auto"/>
              <w:rPr>
                <w:rFonts w:ascii="Arial" w:eastAsia="Times New Roman" w:hAnsi="Arial" w:cs="Arial"/>
                <w:sz w:val="20"/>
                <w:szCs w:val="20"/>
                <w:lang w:eastAsia="en-AU"/>
              </w:rPr>
            </w:pPr>
          </w:p>
        </w:tc>
        <w:tc>
          <w:tcPr>
            <w:tcW w:w="445" w:type="pct"/>
            <w:tcBorders>
              <w:top w:val="single" w:sz="12" w:space="0" w:color="auto"/>
              <w:bottom w:val="single" w:sz="4" w:space="0" w:color="auto"/>
            </w:tcBorders>
            <w:vAlign w:val="bottom"/>
          </w:tcPr>
          <w:p w14:paraId="25E60B3B"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12" w:space="0" w:color="auto"/>
              <w:bottom w:val="single" w:sz="4" w:space="0" w:color="auto"/>
            </w:tcBorders>
            <w:shd w:val="pct15" w:color="auto" w:fill="auto"/>
            <w:vAlign w:val="bottom"/>
          </w:tcPr>
          <w:p w14:paraId="0549977A"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36" w:type="pct"/>
            <w:tcBorders>
              <w:top w:val="single" w:sz="12" w:space="0" w:color="auto"/>
              <w:bottom w:val="single" w:sz="4" w:space="0" w:color="auto"/>
            </w:tcBorders>
            <w:vAlign w:val="bottom"/>
          </w:tcPr>
          <w:p w14:paraId="7344C9E8"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12" w:space="0" w:color="auto"/>
              <w:bottom w:val="single" w:sz="4" w:space="0" w:color="auto"/>
            </w:tcBorders>
            <w:vAlign w:val="bottom"/>
          </w:tcPr>
          <w:p w14:paraId="3102B807"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7A3D15CD" w14:textId="77777777" w:rsidTr="00D1524E">
        <w:tc>
          <w:tcPr>
            <w:tcW w:w="3003" w:type="pct"/>
            <w:tcBorders>
              <w:top w:val="single" w:sz="4" w:space="0" w:color="auto"/>
              <w:bottom w:val="single" w:sz="12" w:space="0" w:color="auto"/>
            </w:tcBorders>
            <w:vAlign w:val="bottom"/>
          </w:tcPr>
          <w:p w14:paraId="4138AA73" w14:textId="77777777" w:rsidR="00F46260" w:rsidRPr="00F46260" w:rsidRDefault="00F46260" w:rsidP="00D1524E">
            <w:pPr>
              <w:keepNext/>
              <w:spacing w:after="0" w:line="240" w:lineRule="auto"/>
              <w:outlineLvl w:val="2"/>
              <w:rPr>
                <w:rFonts w:ascii="Arial" w:eastAsia="Times New Roman" w:hAnsi="Arial" w:cs="Arial"/>
                <w:b/>
                <w:sz w:val="20"/>
                <w:szCs w:val="20"/>
                <w:lang w:val="en-GB" w:eastAsia="en-AU"/>
              </w:rPr>
            </w:pPr>
            <w:r w:rsidRPr="00F46260">
              <w:rPr>
                <w:rFonts w:ascii="Arial" w:eastAsia="Times New Roman" w:hAnsi="Arial" w:cs="Arial"/>
                <w:b/>
                <w:sz w:val="20"/>
                <w:szCs w:val="20"/>
                <w:lang w:val="en-GB" w:eastAsia="en-AU"/>
              </w:rPr>
              <w:t>Net result from transactions (net operating balance)</w:t>
            </w:r>
          </w:p>
        </w:tc>
        <w:tc>
          <w:tcPr>
            <w:tcW w:w="445" w:type="pct"/>
            <w:tcBorders>
              <w:top w:val="single" w:sz="4" w:space="0" w:color="auto"/>
              <w:bottom w:val="single" w:sz="12" w:space="0" w:color="auto"/>
            </w:tcBorders>
            <w:vAlign w:val="bottom"/>
          </w:tcPr>
          <w:p w14:paraId="35EFDF8F"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4" w:space="0" w:color="auto"/>
              <w:bottom w:val="single" w:sz="12" w:space="0" w:color="auto"/>
            </w:tcBorders>
            <w:shd w:val="pct15" w:color="auto" w:fill="auto"/>
            <w:vAlign w:val="bottom"/>
          </w:tcPr>
          <w:p w14:paraId="4E604C5C"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(2,462,649)</w:t>
            </w:r>
          </w:p>
        </w:tc>
        <w:tc>
          <w:tcPr>
            <w:tcW w:w="136" w:type="pct"/>
            <w:tcBorders>
              <w:top w:val="single" w:sz="4" w:space="0" w:color="auto"/>
              <w:bottom w:val="single" w:sz="12" w:space="0" w:color="auto"/>
            </w:tcBorders>
            <w:vAlign w:val="bottom"/>
          </w:tcPr>
          <w:p w14:paraId="5F5E5656"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4" w:space="0" w:color="auto"/>
              <w:bottom w:val="single" w:sz="12" w:space="0" w:color="auto"/>
            </w:tcBorders>
            <w:vAlign w:val="bottom"/>
          </w:tcPr>
          <w:p w14:paraId="4123172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(159,575)</w:t>
            </w:r>
          </w:p>
        </w:tc>
      </w:tr>
      <w:tr w:rsidR="00F46260" w:rsidRPr="00F46260" w14:paraId="58C36F29" w14:textId="77777777" w:rsidTr="00D1524E">
        <w:tc>
          <w:tcPr>
            <w:tcW w:w="3003" w:type="pct"/>
            <w:tcBorders>
              <w:top w:val="single" w:sz="12" w:space="0" w:color="auto"/>
            </w:tcBorders>
            <w:vAlign w:val="bottom"/>
          </w:tcPr>
          <w:p w14:paraId="147A4E5D" w14:textId="77777777" w:rsidR="00F46260" w:rsidRPr="00F46260" w:rsidRDefault="00F46260" w:rsidP="00D1524E">
            <w:pPr>
              <w:keepNext/>
              <w:spacing w:after="0" w:line="240" w:lineRule="auto"/>
              <w:outlineLvl w:val="2"/>
              <w:rPr>
                <w:rFonts w:ascii="Arial" w:eastAsia="Times New Roman" w:hAnsi="Arial" w:cs="Arial"/>
                <w:b/>
                <w:sz w:val="20"/>
                <w:szCs w:val="20"/>
                <w:lang w:val="en-GB" w:eastAsia="en-AU"/>
              </w:rPr>
            </w:pPr>
          </w:p>
        </w:tc>
        <w:tc>
          <w:tcPr>
            <w:tcW w:w="445" w:type="pct"/>
            <w:tcBorders>
              <w:top w:val="single" w:sz="12" w:space="0" w:color="auto"/>
            </w:tcBorders>
            <w:vAlign w:val="bottom"/>
          </w:tcPr>
          <w:p w14:paraId="331D070C"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12" w:space="0" w:color="auto"/>
            </w:tcBorders>
            <w:shd w:val="pct15" w:color="auto" w:fill="auto"/>
            <w:vAlign w:val="bottom"/>
          </w:tcPr>
          <w:p w14:paraId="7BA43936"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36" w:type="pct"/>
            <w:tcBorders>
              <w:top w:val="single" w:sz="12" w:space="0" w:color="auto"/>
            </w:tcBorders>
            <w:vAlign w:val="bottom"/>
          </w:tcPr>
          <w:p w14:paraId="6633D55C"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12" w:space="0" w:color="auto"/>
            </w:tcBorders>
            <w:vAlign w:val="bottom"/>
          </w:tcPr>
          <w:p w14:paraId="6D8D174A"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30DFC65F" w14:textId="77777777" w:rsidTr="00D1524E">
        <w:tc>
          <w:tcPr>
            <w:tcW w:w="3003" w:type="pct"/>
            <w:vAlign w:val="bottom"/>
          </w:tcPr>
          <w:p w14:paraId="5C8C6CB5" w14:textId="77777777" w:rsidR="00F46260" w:rsidRPr="00F46260" w:rsidRDefault="00F46260" w:rsidP="00D1524E">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Other economic flows included in net result</w:t>
            </w:r>
          </w:p>
        </w:tc>
        <w:tc>
          <w:tcPr>
            <w:tcW w:w="445" w:type="pct"/>
            <w:vAlign w:val="bottom"/>
          </w:tcPr>
          <w:p w14:paraId="12333C6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shd w:val="pct15" w:color="auto" w:fill="auto"/>
            <w:vAlign w:val="bottom"/>
          </w:tcPr>
          <w:p w14:paraId="52A16E1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36" w:type="pct"/>
            <w:vAlign w:val="bottom"/>
          </w:tcPr>
          <w:p w14:paraId="160A7D45"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vAlign w:val="bottom"/>
          </w:tcPr>
          <w:p w14:paraId="2B748A06"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5909F17B" w14:textId="77777777" w:rsidTr="00D1524E">
        <w:tc>
          <w:tcPr>
            <w:tcW w:w="3003" w:type="pct"/>
            <w:tcBorders>
              <w:bottom w:val="single" w:sz="4" w:space="0" w:color="auto"/>
            </w:tcBorders>
            <w:vAlign w:val="bottom"/>
          </w:tcPr>
          <w:p w14:paraId="13C9FB36" w14:textId="77777777" w:rsidR="00F46260" w:rsidRPr="00F46260" w:rsidRDefault="00F46260" w:rsidP="00D1524E">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Net gain/(loss) arising from revaluation of leave liabilities</w:t>
            </w:r>
          </w:p>
        </w:tc>
        <w:tc>
          <w:tcPr>
            <w:tcW w:w="445" w:type="pct"/>
            <w:tcBorders>
              <w:bottom w:val="single" w:sz="4" w:space="0" w:color="auto"/>
            </w:tcBorders>
            <w:vAlign w:val="bottom"/>
          </w:tcPr>
          <w:p w14:paraId="46B71225"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bottom w:val="single" w:sz="4" w:space="0" w:color="auto"/>
            </w:tcBorders>
            <w:shd w:val="pct15" w:color="auto" w:fill="auto"/>
            <w:vAlign w:val="bottom"/>
          </w:tcPr>
          <w:p w14:paraId="783FF2E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220,195</w:t>
            </w:r>
          </w:p>
        </w:tc>
        <w:tc>
          <w:tcPr>
            <w:tcW w:w="136" w:type="pct"/>
            <w:tcBorders>
              <w:bottom w:val="single" w:sz="4" w:space="0" w:color="auto"/>
            </w:tcBorders>
            <w:vAlign w:val="bottom"/>
          </w:tcPr>
          <w:p w14:paraId="4855689F"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bottom w:val="single" w:sz="4" w:space="0" w:color="auto"/>
            </w:tcBorders>
            <w:vAlign w:val="bottom"/>
          </w:tcPr>
          <w:p w14:paraId="0F9B6F4F"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(26,568)</w:t>
            </w:r>
          </w:p>
        </w:tc>
      </w:tr>
      <w:tr w:rsidR="00F46260" w:rsidRPr="00F46260" w14:paraId="70D69B7F" w14:textId="77777777" w:rsidTr="00D1524E">
        <w:tc>
          <w:tcPr>
            <w:tcW w:w="3003" w:type="pct"/>
            <w:tcBorders>
              <w:top w:val="single" w:sz="4" w:space="0" w:color="auto"/>
              <w:bottom w:val="single" w:sz="12" w:space="0" w:color="auto"/>
            </w:tcBorders>
            <w:vAlign w:val="bottom"/>
          </w:tcPr>
          <w:p w14:paraId="6D81D5F8" w14:textId="77777777" w:rsidR="00F46260" w:rsidRPr="00F46260" w:rsidRDefault="00F46260" w:rsidP="00D1524E">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Total other economic flows included in net result</w:t>
            </w:r>
          </w:p>
        </w:tc>
        <w:tc>
          <w:tcPr>
            <w:tcW w:w="445" w:type="pct"/>
            <w:tcBorders>
              <w:top w:val="single" w:sz="4" w:space="0" w:color="auto"/>
              <w:bottom w:val="single" w:sz="12" w:space="0" w:color="auto"/>
            </w:tcBorders>
            <w:vAlign w:val="bottom"/>
          </w:tcPr>
          <w:p w14:paraId="28FA8694"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4" w:space="0" w:color="auto"/>
              <w:bottom w:val="single" w:sz="12" w:space="0" w:color="auto"/>
            </w:tcBorders>
            <w:shd w:val="pct15" w:color="auto" w:fill="auto"/>
            <w:vAlign w:val="bottom"/>
          </w:tcPr>
          <w:p w14:paraId="2E099C6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220,195</w:t>
            </w:r>
          </w:p>
        </w:tc>
        <w:tc>
          <w:tcPr>
            <w:tcW w:w="136" w:type="pct"/>
            <w:tcBorders>
              <w:top w:val="single" w:sz="4" w:space="0" w:color="auto"/>
              <w:bottom w:val="single" w:sz="12" w:space="0" w:color="auto"/>
            </w:tcBorders>
            <w:vAlign w:val="bottom"/>
          </w:tcPr>
          <w:p w14:paraId="41C2F86F"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4" w:space="0" w:color="auto"/>
              <w:bottom w:val="single" w:sz="12" w:space="0" w:color="auto"/>
            </w:tcBorders>
            <w:vAlign w:val="bottom"/>
          </w:tcPr>
          <w:p w14:paraId="6FC1974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(26,568)</w:t>
            </w:r>
          </w:p>
        </w:tc>
      </w:tr>
      <w:tr w:rsidR="00F46260" w:rsidRPr="00F46260" w14:paraId="6B09D131" w14:textId="77777777" w:rsidTr="00D1524E">
        <w:tc>
          <w:tcPr>
            <w:tcW w:w="3003" w:type="pct"/>
            <w:tcBorders>
              <w:top w:val="single" w:sz="12" w:space="0" w:color="auto"/>
              <w:bottom w:val="single" w:sz="2" w:space="0" w:color="auto"/>
            </w:tcBorders>
            <w:vAlign w:val="bottom"/>
          </w:tcPr>
          <w:p w14:paraId="74184341" w14:textId="77777777" w:rsidR="00F46260" w:rsidRPr="00F46260" w:rsidRDefault="00F46260" w:rsidP="00D1524E">
            <w:pPr>
              <w:spacing w:after="0" w:line="240" w:lineRule="auto"/>
              <w:rPr>
                <w:rFonts w:ascii="Arial" w:eastAsia="Times New Roman" w:hAnsi="Arial" w:cs="Arial"/>
                <w:b/>
                <w:sz w:val="20"/>
                <w:szCs w:val="20"/>
                <w:lang w:eastAsia="en-AU"/>
              </w:rPr>
            </w:pPr>
          </w:p>
        </w:tc>
        <w:tc>
          <w:tcPr>
            <w:tcW w:w="445" w:type="pct"/>
            <w:tcBorders>
              <w:top w:val="single" w:sz="12" w:space="0" w:color="auto"/>
              <w:bottom w:val="single" w:sz="2" w:space="0" w:color="auto"/>
            </w:tcBorders>
            <w:vAlign w:val="bottom"/>
          </w:tcPr>
          <w:p w14:paraId="61D91903"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12" w:space="0" w:color="auto"/>
              <w:bottom w:val="single" w:sz="2" w:space="0" w:color="auto"/>
            </w:tcBorders>
            <w:shd w:val="pct15" w:color="auto" w:fill="auto"/>
            <w:vAlign w:val="bottom"/>
          </w:tcPr>
          <w:p w14:paraId="60A1606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36" w:type="pct"/>
            <w:tcBorders>
              <w:top w:val="single" w:sz="12" w:space="0" w:color="auto"/>
              <w:bottom w:val="single" w:sz="2" w:space="0" w:color="auto"/>
            </w:tcBorders>
            <w:vAlign w:val="bottom"/>
          </w:tcPr>
          <w:p w14:paraId="29FD3BB9"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12" w:space="0" w:color="auto"/>
              <w:bottom w:val="single" w:sz="2" w:space="0" w:color="auto"/>
            </w:tcBorders>
            <w:vAlign w:val="bottom"/>
          </w:tcPr>
          <w:p w14:paraId="72E8E0ED"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118BA3F4" w14:textId="77777777" w:rsidTr="00D1524E">
        <w:tc>
          <w:tcPr>
            <w:tcW w:w="3003" w:type="pct"/>
            <w:tcBorders>
              <w:top w:val="single" w:sz="2" w:space="0" w:color="auto"/>
              <w:bottom w:val="single" w:sz="12" w:space="0" w:color="auto"/>
            </w:tcBorders>
            <w:vAlign w:val="bottom"/>
          </w:tcPr>
          <w:p w14:paraId="72AB309F" w14:textId="77777777" w:rsidR="00F46260" w:rsidRPr="00F46260" w:rsidRDefault="00F46260" w:rsidP="00D1524E">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Net result</w:t>
            </w:r>
          </w:p>
        </w:tc>
        <w:tc>
          <w:tcPr>
            <w:tcW w:w="445" w:type="pct"/>
            <w:tcBorders>
              <w:top w:val="single" w:sz="2" w:space="0" w:color="auto"/>
              <w:bottom w:val="single" w:sz="12" w:space="0" w:color="auto"/>
            </w:tcBorders>
            <w:vAlign w:val="bottom"/>
          </w:tcPr>
          <w:p w14:paraId="2C752C4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2" w:space="0" w:color="auto"/>
              <w:bottom w:val="single" w:sz="12" w:space="0" w:color="auto"/>
            </w:tcBorders>
            <w:shd w:val="pct15" w:color="auto" w:fill="auto"/>
            <w:vAlign w:val="bottom"/>
          </w:tcPr>
          <w:p w14:paraId="2630D559"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(2,242,454)</w:t>
            </w:r>
          </w:p>
        </w:tc>
        <w:tc>
          <w:tcPr>
            <w:tcW w:w="136" w:type="pct"/>
            <w:tcBorders>
              <w:top w:val="single" w:sz="2" w:space="0" w:color="auto"/>
              <w:bottom w:val="single" w:sz="12" w:space="0" w:color="auto"/>
            </w:tcBorders>
            <w:vAlign w:val="bottom"/>
          </w:tcPr>
          <w:p w14:paraId="3A756F3B"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2" w:space="0" w:color="auto"/>
              <w:bottom w:val="single" w:sz="12" w:space="0" w:color="auto"/>
            </w:tcBorders>
            <w:vAlign w:val="bottom"/>
          </w:tcPr>
          <w:p w14:paraId="4638F13E"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(186,142)</w:t>
            </w:r>
          </w:p>
        </w:tc>
      </w:tr>
      <w:tr w:rsidR="00F46260" w:rsidRPr="00F46260" w14:paraId="14618EAF" w14:textId="77777777" w:rsidTr="00D1524E">
        <w:tc>
          <w:tcPr>
            <w:tcW w:w="3003" w:type="pct"/>
            <w:tcBorders>
              <w:top w:val="single" w:sz="12" w:space="0" w:color="auto"/>
              <w:bottom w:val="single" w:sz="2" w:space="0" w:color="auto"/>
            </w:tcBorders>
            <w:vAlign w:val="bottom"/>
          </w:tcPr>
          <w:p w14:paraId="351D859B" w14:textId="77777777" w:rsidR="00F46260" w:rsidRPr="00F46260" w:rsidRDefault="00F46260" w:rsidP="00D1524E">
            <w:pPr>
              <w:spacing w:after="0" w:line="240" w:lineRule="auto"/>
              <w:rPr>
                <w:rFonts w:ascii="Arial" w:eastAsia="Times New Roman" w:hAnsi="Arial" w:cs="Arial"/>
                <w:sz w:val="20"/>
                <w:szCs w:val="20"/>
                <w:lang w:eastAsia="en-AU"/>
              </w:rPr>
            </w:pPr>
          </w:p>
        </w:tc>
        <w:tc>
          <w:tcPr>
            <w:tcW w:w="445" w:type="pct"/>
            <w:tcBorders>
              <w:top w:val="single" w:sz="12" w:space="0" w:color="auto"/>
              <w:bottom w:val="single" w:sz="2" w:space="0" w:color="auto"/>
            </w:tcBorders>
            <w:vAlign w:val="bottom"/>
          </w:tcPr>
          <w:p w14:paraId="489B6D77"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12" w:space="0" w:color="auto"/>
              <w:bottom w:val="single" w:sz="2" w:space="0" w:color="auto"/>
            </w:tcBorders>
            <w:shd w:val="pct15" w:color="auto" w:fill="auto"/>
            <w:vAlign w:val="bottom"/>
          </w:tcPr>
          <w:p w14:paraId="0DC34620" w14:textId="77777777" w:rsidR="00F46260" w:rsidRPr="00F46260" w:rsidRDefault="00F46260" w:rsidP="00F46260">
            <w:pPr>
              <w:autoSpaceDE w:val="0"/>
              <w:autoSpaceDN w:val="0"/>
              <w:adjustRightInd w:val="0"/>
              <w:spacing w:after="0" w:line="240" w:lineRule="auto"/>
              <w:jc w:val="right"/>
              <w:rPr>
                <w:rFonts w:ascii="Arial" w:eastAsia="Times New Roman" w:hAnsi="Arial" w:cs="Arial"/>
                <w:b/>
                <w:bCs/>
                <w:color w:val="000000"/>
                <w:sz w:val="20"/>
                <w:szCs w:val="20"/>
                <w:lang w:val="en-US" w:eastAsia="en-AU"/>
              </w:rPr>
            </w:pPr>
          </w:p>
        </w:tc>
        <w:tc>
          <w:tcPr>
            <w:tcW w:w="136" w:type="pct"/>
            <w:tcBorders>
              <w:top w:val="single" w:sz="12" w:space="0" w:color="auto"/>
              <w:bottom w:val="single" w:sz="2" w:space="0" w:color="auto"/>
            </w:tcBorders>
            <w:vAlign w:val="bottom"/>
          </w:tcPr>
          <w:p w14:paraId="1765EF94"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12" w:space="0" w:color="auto"/>
              <w:bottom w:val="single" w:sz="2" w:space="0" w:color="auto"/>
            </w:tcBorders>
            <w:vAlign w:val="bottom"/>
          </w:tcPr>
          <w:p w14:paraId="3CA4ABDA" w14:textId="77777777" w:rsidR="00F46260" w:rsidRPr="00F46260" w:rsidRDefault="00F46260" w:rsidP="00F46260">
            <w:pPr>
              <w:autoSpaceDE w:val="0"/>
              <w:autoSpaceDN w:val="0"/>
              <w:adjustRightInd w:val="0"/>
              <w:spacing w:after="0" w:line="240" w:lineRule="auto"/>
              <w:jc w:val="right"/>
              <w:rPr>
                <w:rFonts w:ascii="Arial" w:eastAsia="Times New Roman" w:hAnsi="Arial" w:cs="Arial"/>
                <w:bCs/>
                <w:color w:val="000000"/>
                <w:sz w:val="20"/>
                <w:szCs w:val="20"/>
                <w:lang w:val="en-US" w:eastAsia="en-AU"/>
              </w:rPr>
            </w:pPr>
          </w:p>
        </w:tc>
      </w:tr>
      <w:tr w:rsidR="00F46260" w:rsidRPr="00F46260" w14:paraId="5D3C30D8" w14:textId="77777777" w:rsidTr="00D1524E">
        <w:tc>
          <w:tcPr>
            <w:tcW w:w="3003" w:type="pct"/>
            <w:tcBorders>
              <w:top w:val="single" w:sz="2" w:space="0" w:color="auto"/>
              <w:bottom w:val="single" w:sz="12" w:space="0" w:color="auto"/>
            </w:tcBorders>
            <w:vAlign w:val="bottom"/>
          </w:tcPr>
          <w:p w14:paraId="7DAB83CC" w14:textId="77777777" w:rsidR="00F46260" w:rsidRPr="00F46260" w:rsidRDefault="00F46260" w:rsidP="00D1524E">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Comprehensive result</w:t>
            </w:r>
          </w:p>
        </w:tc>
        <w:tc>
          <w:tcPr>
            <w:tcW w:w="445" w:type="pct"/>
            <w:tcBorders>
              <w:top w:val="single" w:sz="2" w:space="0" w:color="auto"/>
              <w:bottom w:val="single" w:sz="12" w:space="0" w:color="auto"/>
            </w:tcBorders>
            <w:vAlign w:val="bottom"/>
          </w:tcPr>
          <w:p w14:paraId="37EC1A1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2" w:space="0" w:color="auto"/>
              <w:bottom w:val="single" w:sz="12" w:space="0" w:color="auto"/>
            </w:tcBorders>
            <w:shd w:val="pct15" w:color="auto" w:fill="auto"/>
            <w:vAlign w:val="bottom"/>
          </w:tcPr>
          <w:p w14:paraId="77B22DFC" w14:textId="77777777" w:rsidR="00F46260" w:rsidRPr="00F46260" w:rsidRDefault="00F46260" w:rsidP="00F46260">
            <w:pPr>
              <w:spacing w:after="0" w:line="240" w:lineRule="auto"/>
              <w:jc w:val="right"/>
              <w:rPr>
                <w:rFonts w:ascii="Arial" w:eastAsia="Times New Roman" w:hAnsi="Arial" w:cs="Arial"/>
                <w:b/>
                <w:bCs/>
                <w:color w:val="000000"/>
                <w:sz w:val="20"/>
                <w:szCs w:val="20"/>
                <w:lang w:eastAsia="en-AU"/>
              </w:rPr>
            </w:pPr>
            <w:r w:rsidRPr="00F46260">
              <w:rPr>
                <w:rFonts w:ascii="Arial" w:eastAsia="Times New Roman" w:hAnsi="Arial" w:cs="Arial"/>
                <w:b/>
                <w:sz w:val="20"/>
                <w:szCs w:val="20"/>
                <w:lang w:eastAsia="en-AU"/>
              </w:rPr>
              <w:t>(2,242,454)</w:t>
            </w:r>
          </w:p>
        </w:tc>
        <w:tc>
          <w:tcPr>
            <w:tcW w:w="136" w:type="pct"/>
            <w:tcBorders>
              <w:top w:val="single" w:sz="2" w:space="0" w:color="auto"/>
              <w:left w:val="nil"/>
              <w:bottom w:val="single" w:sz="12" w:space="0" w:color="auto"/>
            </w:tcBorders>
            <w:vAlign w:val="bottom"/>
          </w:tcPr>
          <w:p w14:paraId="099B14E3"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2" w:space="0" w:color="auto"/>
              <w:bottom w:val="single" w:sz="12" w:space="0" w:color="auto"/>
            </w:tcBorders>
            <w:vAlign w:val="bottom"/>
          </w:tcPr>
          <w:p w14:paraId="1D7CF127" w14:textId="77777777" w:rsidR="00F46260" w:rsidRPr="00F46260" w:rsidRDefault="00F46260" w:rsidP="00F46260">
            <w:pPr>
              <w:spacing w:after="0" w:line="240" w:lineRule="auto"/>
              <w:jc w:val="right"/>
              <w:rPr>
                <w:rFonts w:ascii="Arial" w:eastAsia="Times New Roman" w:hAnsi="Arial" w:cs="Arial"/>
                <w:b/>
                <w:bCs/>
                <w:color w:val="000000"/>
                <w:sz w:val="20"/>
                <w:szCs w:val="20"/>
                <w:lang w:eastAsia="en-AU"/>
              </w:rPr>
            </w:pPr>
            <w:r w:rsidRPr="00F46260">
              <w:rPr>
                <w:rFonts w:ascii="Arial" w:eastAsia="Times New Roman" w:hAnsi="Arial" w:cs="Arial"/>
                <w:b/>
                <w:sz w:val="20"/>
                <w:szCs w:val="20"/>
                <w:lang w:eastAsia="en-AU"/>
              </w:rPr>
              <w:t>(186,142)</w:t>
            </w:r>
          </w:p>
        </w:tc>
      </w:tr>
      <w:tr w:rsidR="00F46260" w:rsidRPr="00F46260" w14:paraId="2F9EF240" w14:textId="77777777" w:rsidTr="00D1524E">
        <w:tc>
          <w:tcPr>
            <w:tcW w:w="3003" w:type="pct"/>
            <w:tcBorders>
              <w:top w:val="single" w:sz="12" w:space="0" w:color="auto"/>
            </w:tcBorders>
            <w:vAlign w:val="bottom"/>
          </w:tcPr>
          <w:p w14:paraId="692AB9D7"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445" w:type="pct"/>
            <w:tcBorders>
              <w:top w:val="single" w:sz="12" w:space="0" w:color="auto"/>
            </w:tcBorders>
            <w:vAlign w:val="bottom"/>
          </w:tcPr>
          <w:p w14:paraId="2728521C"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14" w:type="pct"/>
            <w:tcBorders>
              <w:top w:val="single" w:sz="12" w:space="0" w:color="auto"/>
            </w:tcBorders>
            <w:vAlign w:val="bottom"/>
          </w:tcPr>
          <w:p w14:paraId="50E2D051" w14:textId="77777777" w:rsidR="00F46260" w:rsidRPr="00F46260" w:rsidRDefault="00F46260" w:rsidP="00F46260">
            <w:pPr>
              <w:spacing w:after="0" w:line="240" w:lineRule="auto"/>
              <w:jc w:val="right"/>
              <w:rPr>
                <w:rFonts w:ascii="Arial" w:eastAsia="Times New Roman" w:hAnsi="Arial" w:cs="Arial"/>
                <w:b/>
                <w:bCs/>
                <w:color w:val="000000"/>
                <w:sz w:val="20"/>
                <w:szCs w:val="20"/>
                <w:lang w:eastAsia="en-AU"/>
              </w:rPr>
            </w:pPr>
          </w:p>
        </w:tc>
        <w:tc>
          <w:tcPr>
            <w:tcW w:w="136" w:type="pct"/>
            <w:tcBorders>
              <w:top w:val="single" w:sz="12" w:space="0" w:color="auto"/>
              <w:left w:val="nil"/>
            </w:tcBorders>
            <w:vAlign w:val="bottom"/>
          </w:tcPr>
          <w:p w14:paraId="285E8C98" w14:textId="77777777" w:rsidR="00F46260" w:rsidRPr="00F46260" w:rsidRDefault="00F46260" w:rsidP="00F46260">
            <w:pPr>
              <w:tabs>
                <w:tab w:val="decimal" w:pos="882"/>
              </w:tabs>
              <w:spacing w:after="0" w:line="240" w:lineRule="auto"/>
              <w:jc w:val="right"/>
              <w:rPr>
                <w:rFonts w:ascii="Arial" w:eastAsia="Times New Roman" w:hAnsi="Arial" w:cs="Arial"/>
                <w:sz w:val="20"/>
                <w:szCs w:val="20"/>
                <w:lang w:eastAsia="en-AU"/>
              </w:rPr>
            </w:pPr>
          </w:p>
        </w:tc>
        <w:tc>
          <w:tcPr>
            <w:tcW w:w="702" w:type="pct"/>
            <w:tcBorders>
              <w:top w:val="single" w:sz="12" w:space="0" w:color="auto"/>
            </w:tcBorders>
            <w:vAlign w:val="bottom"/>
          </w:tcPr>
          <w:p w14:paraId="4E445C8A"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bl>
    <w:p w14:paraId="7FC04C1A" w14:textId="77777777" w:rsidR="00F46260" w:rsidRPr="00F46260" w:rsidRDefault="00F46260" w:rsidP="00F46260">
      <w:pPr>
        <w:tabs>
          <w:tab w:val="left" w:pos="9464"/>
          <w:tab w:val="left" w:pos="10598"/>
        </w:tabs>
        <w:spacing w:after="0" w:line="240" w:lineRule="auto"/>
        <w:rPr>
          <w:rFonts w:ascii="Arial" w:eastAsia="Times New Roman" w:hAnsi="Arial" w:cs="Arial"/>
          <w:bCs/>
          <w:sz w:val="16"/>
          <w:szCs w:val="16"/>
          <w:lang w:eastAsia="en-AU"/>
        </w:rPr>
      </w:pPr>
      <w:r w:rsidRPr="00F46260">
        <w:rPr>
          <w:rFonts w:ascii="Arial" w:eastAsia="Times New Roman" w:hAnsi="Arial" w:cs="Arial"/>
          <w:bCs/>
          <w:sz w:val="16"/>
          <w:szCs w:val="16"/>
          <w:lang w:eastAsia="en-AU"/>
        </w:rPr>
        <w:t>The accompanying notes form part of these financial statements.</w:t>
      </w:r>
    </w:p>
    <w:p w14:paraId="0F346CE5" w14:textId="77777777" w:rsidR="00F46260" w:rsidRPr="00F46260" w:rsidRDefault="00F46260" w:rsidP="00F46260">
      <w:pPr>
        <w:tabs>
          <w:tab w:val="left" w:pos="9464"/>
          <w:tab w:val="left" w:pos="10598"/>
        </w:tabs>
        <w:spacing w:after="0" w:line="240" w:lineRule="auto"/>
        <w:rPr>
          <w:rFonts w:ascii="Arial" w:eastAsia="Times New Roman" w:hAnsi="Arial" w:cs="Arial"/>
          <w:bCs/>
          <w:sz w:val="16"/>
          <w:szCs w:val="16"/>
          <w:lang w:eastAsia="en-AU"/>
        </w:rPr>
      </w:pPr>
    </w:p>
    <w:p w14:paraId="694252F3" w14:textId="77777777" w:rsidR="00F46260" w:rsidRPr="00F46260" w:rsidRDefault="00F46260" w:rsidP="00F46260">
      <w:pPr>
        <w:tabs>
          <w:tab w:val="left" w:pos="9464"/>
          <w:tab w:val="left" w:pos="10598"/>
        </w:tabs>
        <w:spacing w:after="0" w:line="240" w:lineRule="auto"/>
        <w:rPr>
          <w:rFonts w:ascii="Arial" w:eastAsia="Times New Roman" w:hAnsi="Arial" w:cs="Arial"/>
          <w:sz w:val="16"/>
          <w:szCs w:val="16"/>
          <w:lang w:eastAsia="en-AU"/>
        </w:rPr>
      </w:pPr>
    </w:p>
    <w:p w14:paraId="3075123D" w14:textId="77777777" w:rsidR="00F46260" w:rsidRPr="00F46260" w:rsidRDefault="00F46260" w:rsidP="00F46260">
      <w:pPr>
        <w:keepNext/>
        <w:spacing w:after="0" w:line="240" w:lineRule="auto"/>
        <w:outlineLvl w:val="1"/>
        <w:rPr>
          <w:rFonts w:ascii="Arial" w:eastAsia="Times New Roman" w:hAnsi="Arial" w:cs="Arial"/>
          <w:b/>
          <w:sz w:val="20"/>
          <w:szCs w:val="20"/>
          <w:lang w:eastAsia="en-AU"/>
        </w:rPr>
        <w:sectPr w:rsidR="00F46260" w:rsidRPr="00F46260" w:rsidSect="00F46260">
          <w:headerReference w:type="even" r:id="rId42"/>
          <w:headerReference w:type="default" r:id="rId43"/>
          <w:footerReference w:type="even" r:id="rId44"/>
          <w:footerReference w:type="default" r:id="rId45"/>
          <w:headerReference w:type="first" r:id="rId46"/>
          <w:footerReference w:type="first" r:id="rId47"/>
          <w:pgSz w:w="11906" w:h="16838"/>
          <w:pgMar w:top="1440" w:right="1276" w:bottom="1440" w:left="1276" w:header="708" w:footer="708" w:gutter="0"/>
          <w:cols w:space="720"/>
          <w:titlePg/>
          <w:docGrid w:linePitch="272"/>
        </w:sectPr>
      </w:pPr>
    </w:p>
    <w:p w14:paraId="16497F76" w14:textId="77777777" w:rsidR="00F46260" w:rsidRPr="00F46260" w:rsidRDefault="00F46260" w:rsidP="00F46260">
      <w:pPr>
        <w:keepNext/>
        <w:spacing w:after="0" w:line="240" w:lineRule="auto"/>
        <w:outlineLvl w:val="1"/>
        <w:rPr>
          <w:rFonts w:ascii="Arial" w:eastAsia="Times New Roman" w:hAnsi="Arial" w:cs="Arial"/>
          <w:b/>
          <w:sz w:val="24"/>
          <w:szCs w:val="24"/>
          <w:lang w:eastAsia="en-AU"/>
        </w:rPr>
      </w:pPr>
      <w:r w:rsidRPr="00F46260">
        <w:rPr>
          <w:rFonts w:ascii="Arial" w:eastAsia="Times New Roman" w:hAnsi="Arial" w:cs="Arial"/>
          <w:b/>
          <w:sz w:val="24"/>
          <w:szCs w:val="24"/>
          <w:lang w:eastAsia="en-AU"/>
        </w:rPr>
        <w:lastRenderedPageBreak/>
        <w:t xml:space="preserve">Balance sheet </w:t>
      </w:r>
    </w:p>
    <w:p w14:paraId="1CAB886B" w14:textId="77777777" w:rsidR="00F46260" w:rsidRPr="00F46260" w:rsidRDefault="00F46260" w:rsidP="00F46260">
      <w:pPr>
        <w:keepNext/>
        <w:spacing w:after="0" w:line="240" w:lineRule="auto"/>
        <w:outlineLvl w:val="1"/>
        <w:rPr>
          <w:rFonts w:ascii="Arial" w:eastAsia="Times New Roman" w:hAnsi="Arial" w:cs="Arial"/>
          <w:b/>
          <w:i/>
          <w:sz w:val="20"/>
          <w:szCs w:val="20"/>
          <w:lang w:eastAsia="en-AU"/>
        </w:rPr>
      </w:pPr>
      <w:r w:rsidRPr="00F46260">
        <w:rPr>
          <w:rFonts w:ascii="Arial" w:eastAsia="Times New Roman" w:hAnsi="Arial" w:cs="Arial"/>
          <w:b/>
          <w:sz w:val="20"/>
          <w:szCs w:val="20"/>
          <w:lang w:eastAsia="en-AU"/>
        </w:rPr>
        <w:t>As at 30 June 2021</w:t>
      </w:r>
    </w:p>
    <w:p w14:paraId="7B9D2D56" w14:textId="77777777" w:rsidR="00F46260" w:rsidRPr="00F46260" w:rsidRDefault="00F46260" w:rsidP="00F46260">
      <w:pPr>
        <w:spacing w:after="0" w:line="240" w:lineRule="auto"/>
        <w:rPr>
          <w:rFonts w:ascii="Arial" w:eastAsia="Times New Roman" w:hAnsi="Arial" w:cs="Arial"/>
          <w:sz w:val="20"/>
          <w:szCs w:val="20"/>
          <w:lang w:eastAsia="en-AU"/>
        </w:rPr>
      </w:pPr>
    </w:p>
    <w:tbl>
      <w:tblPr>
        <w:tblW w:w="5000" w:type="pct"/>
        <w:tblInd w:w="-108" w:type="dxa"/>
        <w:tblBorders>
          <w:bottom w:val="double" w:sz="4" w:space="0" w:color="auto"/>
        </w:tblBorders>
        <w:tblLook w:val="0000" w:firstRow="0" w:lastRow="0" w:firstColumn="0" w:lastColumn="0" w:noHBand="0" w:noVBand="0"/>
      </w:tblPr>
      <w:tblGrid>
        <w:gridCol w:w="5814"/>
        <w:gridCol w:w="838"/>
        <w:gridCol w:w="1233"/>
        <w:gridCol w:w="236"/>
        <w:gridCol w:w="1233"/>
      </w:tblGrid>
      <w:tr w:rsidR="00F46260" w:rsidRPr="00F46260" w14:paraId="557979FD" w14:textId="77777777" w:rsidTr="00D1524E">
        <w:trPr>
          <w:trHeight w:val="255"/>
        </w:trPr>
        <w:tc>
          <w:tcPr>
            <w:tcW w:w="3108" w:type="pct"/>
            <w:shd w:val="clear" w:color="auto" w:fill="auto"/>
            <w:vAlign w:val="bottom"/>
          </w:tcPr>
          <w:p w14:paraId="57E12C7C"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8" w:type="pct"/>
            <w:tcBorders>
              <w:bottom w:val="nil"/>
            </w:tcBorders>
          </w:tcPr>
          <w:p w14:paraId="74746EC7"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659" w:type="pct"/>
            <w:vAlign w:val="bottom"/>
          </w:tcPr>
          <w:p w14:paraId="31CAD16A"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sz w:val="20"/>
                <w:szCs w:val="20"/>
                <w:lang w:eastAsia="en-AU"/>
              </w:rPr>
              <w:t xml:space="preserve">2021 </w:t>
            </w:r>
          </w:p>
        </w:tc>
        <w:tc>
          <w:tcPr>
            <w:tcW w:w="126" w:type="pct"/>
            <w:tcBorders>
              <w:top w:val="nil"/>
              <w:bottom w:val="nil"/>
            </w:tcBorders>
            <w:vAlign w:val="bottom"/>
          </w:tcPr>
          <w:p w14:paraId="4CD09291"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659" w:type="pct"/>
            <w:vAlign w:val="bottom"/>
          </w:tcPr>
          <w:p w14:paraId="7893B451"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sz w:val="20"/>
                <w:szCs w:val="20"/>
                <w:lang w:eastAsia="en-AU"/>
              </w:rPr>
              <w:t>2020</w:t>
            </w:r>
          </w:p>
        </w:tc>
      </w:tr>
      <w:tr w:rsidR="00F46260" w:rsidRPr="00F46260" w14:paraId="4D2EBDD7" w14:textId="77777777" w:rsidTr="00D1524E">
        <w:trPr>
          <w:trHeight w:val="255"/>
        </w:trPr>
        <w:tc>
          <w:tcPr>
            <w:tcW w:w="3108" w:type="pct"/>
            <w:shd w:val="clear" w:color="auto" w:fill="auto"/>
            <w:vAlign w:val="bottom"/>
          </w:tcPr>
          <w:p w14:paraId="3049D4C6"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8" w:type="pct"/>
            <w:tcBorders>
              <w:bottom w:val="nil"/>
            </w:tcBorders>
          </w:tcPr>
          <w:p w14:paraId="1B747F0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Notes</w:t>
            </w:r>
          </w:p>
        </w:tc>
        <w:tc>
          <w:tcPr>
            <w:tcW w:w="659" w:type="pct"/>
          </w:tcPr>
          <w:p w14:paraId="5F3B0EBB"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w:t>
            </w:r>
          </w:p>
        </w:tc>
        <w:tc>
          <w:tcPr>
            <w:tcW w:w="126" w:type="pct"/>
            <w:tcBorders>
              <w:bottom w:val="nil"/>
            </w:tcBorders>
          </w:tcPr>
          <w:p w14:paraId="77B1032F"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659" w:type="pct"/>
          </w:tcPr>
          <w:p w14:paraId="5CD40773"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w:t>
            </w:r>
          </w:p>
        </w:tc>
      </w:tr>
      <w:tr w:rsidR="00F46260" w:rsidRPr="00F46260" w14:paraId="7393D3E9" w14:textId="77777777" w:rsidTr="00D1524E">
        <w:trPr>
          <w:trHeight w:val="255"/>
        </w:trPr>
        <w:tc>
          <w:tcPr>
            <w:tcW w:w="3108" w:type="pct"/>
            <w:shd w:val="clear" w:color="auto" w:fill="auto"/>
            <w:vAlign w:val="bottom"/>
          </w:tcPr>
          <w:p w14:paraId="1535ACA3"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Assets</w:t>
            </w:r>
          </w:p>
        </w:tc>
        <w:tc>
          <w:tcPr>
            <w:tcW w:w="448" w:type="pct"/>
            <w:tcBorders>
              <w:bottom w:val="nil"/>
            </w:tcBorders>
            <w:vAlign w:val="bottom"/>
          </w:tcPr>
          <w:p w14:paraId="472CA049"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vAlign w:val="bottom"/>
          </w:tcPr>
          <w:p w14:paraId="160DFDC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26" w:type="pct"/>
            <w:tcBorders>
              <w:bottom w:val="nil"/>
            </w:tcBorders>
            <w:vAlign w:val="bottom"/>
          </w:tcPr>
          <w:p w14:paraId="31CD1B99"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vAlign w:val="bottom"/>
          </w:tcPr>
          <w:p w14:paraId="24A89CCB"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5DA5F177" w14:textId="77777777" w:rsidTr="00D1524E">
        <w:trPr>
          <w:trHeight w:val="255"/>
        </w:trPr>
        <w:tc>
          <w:tcPr>
            <w:tcW w:w="3108" w:type="pct"/>
            <w:shd w:val="clear" w:color="auto" w:fill="auto"/>
            <w:vAlign w:val="bottom"/>
          </w:tcPr>
          <w:p w14:paraId="09358C61"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Financial assets</w:t>
            </w:r>
          </w:p>
        </w:tc>
        <w:tc>
          <w:tcPr>
            <w:tcW w:w="448" w:type="pct"/>
            <w:tcBorders>
              <w:bottom w:val="nil"/>
            </w:tcBorders>
            <w:vAlign w:val="bottom"/>
          </w:tcPr>
          <w:p w14:paraId="66572D18"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vAlign w:val="bottom"/>
          </w:tcPr>
          <w:p w14:paraId="3969D2FA"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26" w:type="pct"/>
            <w:tcBorders>
              <w:bottom w:val="nil"/>
            </w:tcBorders>
            <w:vAlign w:val="bottom"/>
          </w:tcPr>
          <w:p w14:paraId="2BCF91D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vAlign w:val="bottom"/>
          </w:tcPr>
          <w:p w14:paraId="5519E653"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2708B4B8" w14:textId="77777777" w:rsidTr="00D1524E">
        <w:trPr>
          <w:trHeight w:val="255"/>
        </w:trPr>
        <w:tc>
          <w:tcPr>
            <w:tcW w:w="3108" w:type="pct"/>
            <w:shd w:val="clear" w:color="auto" w:fill="auto"/>
            <w:vAlign w:val="bottom"/>
          </w:tcPr>
          <w:p w14:paraId="422D50F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Cash and deposits</w:t>
            </w:r>
            <w:r w:rsidRPr="00F46260" w:rsidDel="00C822A4">
              <w:rPr>
                <w:rFonts w:ascii="Arial" w:eastAsia="Times New Roman" w:hAnsi="Arial" w:cs="Arial"/>
                <w:sz w:val="20"/>
                <w:szCs w:val="20"/>
                <w:lang w:eastAsia="en-AU"/>
              </w:rPr>
              <w:t xml:space="preserve"> </w:t>
            </w:r>
          </w:p>
        </w:tc>
        <w:tc>
          <w:tcPr>
            <w:tcW w:w="448" w:type="pct"/>
            <w:tcBorders>
              <w:bottom w:val="nil"/>
            </w:tcBorders>
            <w:vAlign w:val="bottom"/>
          </w:tcPr>
          <w:p w14:paraId="5F884C21"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bottom w:val="nil"/>
            </w:tcBorders>
            <w:shd w:val="pct15" w:color="auto" w:fill="auto"/>
            <w:vAlign w:val="bottom"/>
          </w:tcPr>
          <w:p w14:paraId="0ADD688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126" w:type="pct"/>
            <w:tcBorders>
              <w:bottom w:val="nil"/>
            </w:tcBorders>
            <w:vAlign w:val="bottom"/>
          </w:tcPr>
          <w:p w14:paraId="6AFEE08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bottom w:val="nil"/>
            </w:tcBorders>
            <w:vAlign w:val="bottom"/>
          </w:tcPr>
          <w:p w14:paraId="4EF84F58"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600</w:t>
            </w:r>
          </w:p>
        </w:tc>
      </w:tr>
      <w:tr w:rsidR="00F46260" w:rsidRPr="00F46260" w14:paraId="33DF97C8" w14:textId="77777777" w:rsidTr="00D1524E">
        <w:trPr>
          <w:trHeight w:val="255"/>
        </w:trPr>
        <w:tc>
          <w:tcPr>
            <w:tcW w:w="3108" w:type="pct"/>
            <w:tcBorders>
              <w:bottom w:val="single" w:sz="2" w:space="0" w:color="auto"/>
            </w:tcBorders>
            <w:shd w:val="clear" w:color="auto" w:fill="auto"/>
            <w:vAlign w:val="bottom"/>
          </w:tcPr>
          <w:p w14:paraId="1409B0D7"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Receivables</w:t>
            </w:r>
          </w:p>
        </w:tc>
        <w:tc>
          <w:tcPr>
            <w:tcW w:w="448" w:type="pct"/>
            <w:tcBorders>
              <w:bottom w:val="single" w:sz="2" w:space="0" w:color="auto"/>
            </w:tcBorders>
            <w:vAlign w:val="bottom"/>
          </w:tcPr>
          <w:p w14:paraId="52D1F235"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5.1</w:t>
            </w:r>
          </w:p>
        </w:tc>
        <w:tc>
          <w:tcPr>
            <w:tcW w:w="659" w:type="pct"/>
            <w:tcBorders>
              <w:bottom w:val="single" w:sz="2" w:space="0" w:color="auto"/>
            </w:tcBorders>
            <w:shd w:val="pct15" w:color="auto" w:fill="auto"/>
            <w:vAlign w:val="bottom"/>
          </w:tcPr>
          <w:p w14:paraId="5B45CDBE"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8,771,298</w:t>
            </w:r>
          </w:p>
        </w:tc>
        <w:tc>
          <w:tcPr>
            <w:tcW w:w="126" w:type="pct"/>
            <w:tcBorders>
              <w:bottom w:val="single" w:sz="2" w:space="0" w:color="auto"/>
            </w:tcBorders>
            <w:vAlign w:val="bottom"/>
          </w:tcPr>
          <w:p w14:paraId="1FF2E0D8"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bottom w:val="single" w:sz="2" w:space="0" w:color="auto"/>
            </w:tcBorders>
            <w:vAlign w:val="bottom"/>
          </w:tcPr>
          <w:p w14:paraId="43A88ABF"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11,650,533</w:t>
            </w:r>
          </w:p>
        </w:tc>
      </w:tr>
      <w:tr w:rsidR="00F46260" w:rsidRPr="00F46260" w14:paraId="2A2FC9CE" w14:textId="77777777" w:rsidTr="00D1524E">
        <w:trPr>
          <w:trHeight w:val="270"/>
        </w:trPr>
        <w:tc>
          <w:tcPr>
            <w:tcW w:w="3108" w:type="pct"/>
            <w:tcBorders>
              <w:top w:val="single" w:sz="2" w:space="0" w:color="auto"/>
              <w:bottom w:val="single" w:sz="12" w:space="0" w:color="auto"/>
            </w:tcBorders>
            <w:shd w:val="clear" w:color="auto" w:fill="auto"/>
            <w:vAlign w:val="bottom"/>
          </w:tcPr>
          <w:p w14:paraId="23CE97B1"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financial assets</w:t>
            </w:r>
          </w:p>
        </w:tc>
        <w:tc>
          <w:tcPr>
            <w:tcW w:w="448" w:type="pct"/>
            <w:tcBorders>
              <w:top w:val="single" w:sz="2" w:space="0" w:color="auto"/>
              <w:bottom w:val="single" w:sz="12" w:space="0" w:color="auto"/>
            </w:tcBorders>
            <w:vAlign w:val="bottom"/>
          </w:tcPr>
          <w:p w14:paraId="479E3871"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2" w:space="0" w:color="auto"/>
              <w:bottom w:val="single" w:sz="12" w:space="0" w:color="auto"/>
            </w:tcBorders>
            <w:shd w:val="pct15" w:color="auto" w:fill="auto"/>
            <w:vAlign w:val="bottom"/>
          </w:tcPr>
          <w:p w14:paraId="1BE82A69"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8,771,298</w:t>
            </w:r>
          </w:p>
        </w:tc>
        <w:tc>
          <w:tcPr>
            <w:tcW w:w="126" w:type="pct"/>
            <w:tcBorders>
              <w:top w:val="single" w:sz="2" w:space="0" w:color="auto"/>
              <w:bottom w:val="single" w:sz="12" w:space="0" w:color="auto"/>
            </w:tcBorders>
            <w:vAlign w:val="bottom"/>
          </w:tcPr>
          <w:p w14:paraId="34AFAC14"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2" w:space="0" w:color="auto"/>
              <w:bottom w:val="single" w:sz="12" w:space="0" w:color="auto"/>
            </w:tcBorders>
            <w:vAlign w:val="bottom"/>
          </w:tcPr>
          <w:p w14:paraId="52693C01"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11,651,133</w:t>
            </w:r>
          </w:p>
        </w:tc>
      </w:tr>
      <w:tr w:rsidR="00F46260" w:rsidRPr="00F46260" w14:paraId="44D43488" w14:textId="77777777" w:rsidTr="00D1524E">
        <w:trPr>
          <w:trHeight w:val="255"/>
        </w:trPr>
        <w:tc>
          <w:tcPr>
            <w:tcW w:w="3108" w:type="pct"/>
            <w:tcBorders>
              <w:top w:val="single" w:sz="12" w:space="0" w:color="auto"/>
            </w:tcBorders>
            <w:shd w:val="clear" w:color="auto" w:fill="auto"/>
            <w:vAlign w:val="bottom"/>
          </w:tcPr>
          <w:p w14:paraId="065DBCB4"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8" w:type="pct"/>
            <w:tcBorders>
              <w:top w:val="single" w:sz="12" w:space="0" w:color="auto"/>
              <w:bottom w:val="nil"/>
            </w:tcBorders>
            <w:vAlign w:val="bottom"/>
          </w:tcPr>
          <w:p w14:paraId="551D0933"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tcBorders>
            <w:shd w:val="pct15" w:color="auto" w:fill="auto"/>
            <w:vAlign w:val="bottom"/>
          </w:tcPr>
          <w:p w14:paraId="55F6D22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6" w:type="pct"/>
            <w:tcBorders>
              <w:top w:val="single" w:sz="12" w:space="0" w:color="auto"/>
              <w:bottom w:val="nil"/>
            </w:tcBorders>
            <w:vAlign w:val="bottom"/>
          </w:tcPr>
          <w:p w14:paraId="78E80557"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tcBorders>
            <w:vAlign w:val="bottom"/>
          </w:tcPr>
          <w:p w14:paraId="7821D423"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5BD9A672" w14:textId="77777777" w:rsidTr="00D1524E">
        <w:trPr>
          <w:trHeight w:val="255"/>
        </w:trPr>
        <w:tc>
          <w:tcPr>
            <w:tcW w:w="3108" w:type="pct"/>
            <w:shd w:val="clear" w:color="auto" w:fill="auto"/>
            <w:vAlign w:val="bottom"/>
          </w:tcPr>
          <w:p w14:paraId="1BF01BF3"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Non-financial assets</w:t>
            </w:r>
          </w:p>
        </w:tc>
        <w:tc>
          <w:tcPr>
            <w:tcW w:w="448" w:type="pct"/>
            <w:tcBorders>
              <w:bottom w:val="nil"/>
            </w:tcBorders>
            <w:vAlign w:val="bottom"/>
          </w:tcPr>
          <w:p w14:paraId="656D0B3F"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shd w:val="pct15" w:color="auto" w:fill="auto"/>
            <w:vAlign w:val="bottom"/>
          </w:tcPr>
          <w:p w14:paraId="2355652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6" w:type="pct"/>
            <w:tcBorders>
              <w:bottom w:val="nil"/>
            </w:tcBorders>
            <w:vAlign w:val="bottom"/>
          </w:tcPr>
          <w:p w14:paraId="1E1646E9"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vAlign w:val="bottom"/>
          </w:tcPr>
          <w:p w14:paraId="57AB25E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37461A7F" w14:textId="77777777" w:rsidTr="00D1524E">
        <w:trPr>
          <w:trHeight w:val="270"/>
        </w:trPr>
        <w:tc>
          <w:tcPr>
            <w:tcW w:w="3108" w:type="pct"/>
            <w:tcBorders>
              <w:bottom w:val="nil"/>
            </w:tcBorders>
            <w:shd w:val="clear" w:color="auto" w:fill="auto"/>
            <w:vAlign w:val="bottom"/>
          </w:tcPr>
          <w:p w14:paraId="47D33E9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Property, plant and equipment</w:t>
            </w:r>
          </w:p>
        </w:tc>
        <w:tc>
          <w:tcPr>
            <w:tcW w:w="448" w:type="pct"/>
            <w:tcBorders>
              <w:bottom w:val="nil"/>
            </w:tcBorders>
            <w:vAlign w:val="bottom"/>
          </w:tcPr>
          <w:p w14:paraId="0E1575F6"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4.1</w:t>
            </w:r>
          </w:p>
        </w:tc>
        <w:tc>
          <w:tcPr>
            <w:tcW w:w="659" w:type="pct"/>
            <w:tcBorders>
              <w:bottom w:val="nil"/>
            </w:tcBorders>
            <w:shd w:val="pct15" w:color="auto" w:fill="auto"/>
            <w:vAlign w:val="bottom"/>
          </w:tcPr>
          <w:p w14:paraId="685B13F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224,609</w:t>
            </w:r>
          </w:p>
        </w:tc>
        <w:tc>
          <w:tcPr>
            <w:tcW w:w="126" w:type="pct"/>
            <w:tcBorders>
              <w:bottom w:val="nil"/>
            </w:tcBorders>
            <w:vAlign w:val="bottom"/>
          </w:tcPr>
          <w:p w14:paraId="0918D986"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bottom w:val="nil"/>
            </w:tcBorders>
            <w:vAlign w:val="bottom"/>
          </w:tcPr>
          <w:p w14:paraId="195D9C69"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215,261</w:t>
            </w:r>
          </w:p>
        </w:tc>
      </w:tr>
      <w:tr w:rsidR="00F46260" w:rsidRPr="00F46260" w14:paraId="5F80A874" w14:textId="77777777" w:rsidTr="00D1524E">
        <w:trPr>
          <w:trHeight w:val="270"/>
        </w:trPr>
        <w:tc>
          <w:tcPr>
            <w:tcW w:w="3108" w:type="pct"/>
            <w:tcBorders>
              <w:bottom w:val="nil"/>
            </w:tcBorders>
            <w:shd w:val="clear" w:color="auto" w:fill="auto"/>
            <w:vAlign w:val="bottom"/>
          </w:tcPr>
          <w:p w14:paraId="17735660"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Intangible assets</w:t>
            </w:r>
          </w:p>
        </w:tc>
        <w:tc>
          <w:tcPr>
            <w:tcW w:w="448" w:type="pct"/>
            <w:tcBorders>
              <w:top w:val="nil"/>
              <w:bottom w:val="nil"/>
            </w:tcBorders>
            <w:vAlign w:val="bottom"/>
          </w:tcPr>
          <w:p w14:paraId="3EC56B5B"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4.2</w:t>
            </w:r>
          </w:p>
        </w:tc>
        <w:tc>
          <w:tcPr>
            <w:tcW w:w="659" w:type="pct"/>
            <w:tcBorders>
              <w:top w:val="nil"/>
              <w:bottom w:val="nil"/>
            </w:tcBorders>
            <w:shd w:val="pct15" w:color="auto" w:fill="auto"/>
            <w:vAlign w:val="bottom"/>
          </w:tcPr>
          <w:p w14:paraId="36B44AAA"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2,238,270</w:t>
            </w:r>
          </w:p>
        </w:tc>
        <w:tc>
          <w:tcPr>
            <w:tcW w:w="126" w:type="pct"/>
            <w:tcBorders>
              <w:top w:val="nil"/>
              <w:bottom w:val="nil"/>
            </w:tcBorders>
            <w:vAlign w:val="bottom"/>
          </w:tcPr>
          <w:p w14:paraId="3DA135F9"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nil"/>
              <w:bottom w:val="nil"/>
            </w:tcBorders>
            <w:vAlign w:val="bottom"/>
          </w:tcPr>
          <w:p w14:paraId="6CA05F9B"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1,799,286</w:t>
            </w:r>
          </w:p>
        </w:tc>
      </w:tr>
      <w:tr w:rsidR="00F46260" w:rsidRPr="00F46260" w14:paraId="69749472" w14:textId="77777777" w:rsidTr="00D1524E">
        <w:trPr>
          <w:trHeight w:val="270"/>
        </w:trPr>
        <w:tc>
          <w:tcPr>
            <w:tcW w:w="3108" w:type="pct"/>
            <w:tcBorders>
              <w:top w:val="nil"/>
              <w:bottom w:val="single" w:sz="2" w:space="0" w:color="auto"/>
            </w:tcBorders>
            <w:shd w:val="clear" w:color="auto" w:fill="auto"/>
            <w:vAlign w:val="bottom"/>
          </w:tcPr>
          <w:p w14:paraId="65CB60C0"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Prepayments</w:t>
            </w:r>
          </w:p>
        </w:tc>
        <w:tc>
          <w:tcPr>
            <w:tcW w:w="448" w:type="pct"/>
            <w:tcBorders>
              <w:top w:val="nil"/>
              <w:bottom w:val="single" w:sz="2" w:space="0" w:color="auto"/>
            </w:tcBorders>
            <w:vAlign w:val="bottom"/>
          </w:tcPr>
          <w:p w14:paraId="464B943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5.4</w:t>
            </w:r>
          </w:p>
        </w:tc>
        <w:tc>
          <w:tcPr>
            <w:tcW w:w="659" w:type="pct"/>
            <w:tcBorders>
              <w:top w:val="nil"/>
              <w:bottom w:val="single" w:sz="2" w:space="0" w:color="auto"/>
            </w:tcBorders>
            <w:shd w:val="pct15" w:color="auto" w:fill="auto"/>
            <w:vAlign w:val="bottom"/>
          </w:tcPr>
          <w:p w14:paraId="5C8111F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348,856</w:t>
            </w:r>
          </w:p>
        </w:tc>
        <w:tc>
          <w:tcPr>
            <w:tcW w:w="126" w:type="pct"/>
            <w:tcBorders>
              <w:top w:val="nil"/>
              <w:bottom w:val="single" w:sz="2" w:space="0" w:color="auto"/>
            </w:tcBorders>
            <w:vAlign w:val="bottom"/>
          </w:tcPr>
          <w:p w14:paraId="5E9AF55D"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nil"/>
              <w:bottom w:val="single" w:sz="2" w:space="0" w:color="auto"/>
            </w:tcBorders>
            <w:vAlign w:val="bottom"/>
          </w:tcPr>
          <w:p w14:paraId="79C3D94F"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118,301</w:t>
            </w:r>
          </w:p>
        </w:tc>
      </w:tr>
      <w:tr w:rsidR="00F46260" w:rsidRPr="00F46260" w14:paraId="3B541746" w14:textId="77777777" w:rsidTr="00D1524E">
        <w:trPr>
          <w:trHeight w:val="270"/>
        </w:trPr>
        <w:tc>
          <w:tcPr>
            <w:tcW w:w="3108" w:type="pct"/>
            <w:tcBorders>
              <w:top w:val="single" w:sz="2" w:space="0" w:color="auto"/>
              <w:bottom w:val="single" w:sz="12" w:space="0" w:color="auto"/>
            </w:tcBorders>
            <w:shd w:val="clear" w:color="auto" w:fill="auto"/>
            <w:vAlign w:val="bottom"/>
          </w:tcPr>
          <w:p w14:paraId="386FD738"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non-financial assets</w:t>
            </w:r>
          </w:p>
        </w:tc>
        <w:tc>
          <w:tcPr>
            <w:tcW w:w="448" w:type="pct"/>
            <w:tcBorders>
              <w:top w:val="single" w:sz="2" w:space="0" w:color="auto"/>
              <w:bottom w:val="single" w:sz="12" w:space="0" w:color="auto"/>
            </w:tcBorders>
            <w:vAlign w:val="bottom"/>
          </w:tcPr>
          <w:p w14:paraId="35A05836"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2" w:space="0" w:color="auto"/>
              <w:bottom w:val="single" w:sz="12" w:space="0" w:color="auto"/>
            </w:tcBorders>
            <w:shd w:val="pct15" w:color="auto" w:fill="auto"/>
            <w:vAlign w:val="bottom"/>
          </w:tcPr>
          <w:p w14:paraId="6364D36D"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2,811,735</w:t>
            </w:r>
          </w:p>
        </w:tc>
        <w:tc>
          <w:tcPr>
            <w:tcW w:w="126" w:type="pct"/>
            <w:tcBorders>
              <w:top w:val="single" w:sz="2" w:space="0" w:color="auto"/>
              <w:bottom w:val="single" w:sz="12" w:space="0" w:color="auto"/>
            </w:tcBorders>
            <w:vAlign w:val="bottom"/>
          </w:tcPr>
          <w:p w14:paraId="2E0FE533"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2" w:space="0" w:color="auto"/>
              <w:bottom w:val="single" w:sz="12" w:space="0" w:color="auto"/>
            </w:tcBorders>
            <w:vAlign w:val="bottom"/>
          </w:tcPr>
          <w:p w14:paraId="32D89EE2"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2,132,848</w:t>
            </w:r>
          </w:p>
        </w:tc>
      </w:tr>
      <w:tr w:rsidR="00F46260" w:rsidRPr="00F46260" w14:paraId="1F5BF709" w14:textId="77777777" w:rsidTr="00D1524E">
        <w:trPr>
          <w:trHeight w:val="270"/>
        </w:trPr>
        <w:tc>
          <w:tcPr>
            <w:tcW w:w="3108" w:type="pct"/>
            <w:tcBorders>
              <w:top w:val="single" w:sz="12" w:space="0" w:color="auto"/>
              <w:bottom w:val="single" w:sz="12" w:space="0" w:color="auto"/>
            </w:tcBorders>
            <w:shd w:val="clear" w:color="auto" w:fill="auto"/>
            <w:vAlign w:val="bottom"/>
          </w:tcPr>
          <w:p w14:paraId="240DA3BC" w14:textId="77777777" w:rsidR="00F46260" w:rsidRPr="00F46260" w:rsidRDefault="00F46260" w:rsidP="00F46260">
            <w:pPr>
              <w:spacing w:after="0" w:line="240" w:lineRule="auto"/>
              <w:rPr>
                <w:rFonts w:ascii="Arial" w:eastAsia="Times New Roman" w:hAnsi="Arial" w:cs="Arial"/>
                <w:b/>
                <w:bCs/>
                <w:i/>
                <w:iCs/>
                <w:sz w:val="20"/>
                <w:szCs w:val="20"/>
                <w:lang w:eastAsia="en-AU"/>
              </w:rPr>
            </w:pPr>
          </w:p>
        </w:tc>
        <w:tc>
          <w:tcPr>
            <w:tcW w:w="448" w:type="pct"/>
            <w:tcBorders>
              <w:top w:val="single" w:sz="12" w:space="0" w:color="auto"/>
              <w:bottom w:val="single" w:sz="12" w:space="0" w:color="auto"/>
            </w:tcBorders>
            <w:vAlign w:val="bottom"/>
          </w:tcPr>
          <w:p w14:paraId="3A4F2BD4"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bottom w:val="single" w:sz="12" w:space="0" w:color="auto"/>
            </w:tcBorders>
            <w:shd w:val="pct15" w:color="auto" w:fill="auto"/>
            <w:vAlign w:val="bottom"/>
          </w:tcPr>
          <w:p w14:paraId="0A513744"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6" w:type="pct"/>
            <w:tcBorders>
              <w:top w:val="single" w:sz="12" w:space="0" w:color="auto"/>
              <w:bottom w:val="single" w:sz="12" w:space="0" w:color="auto"/>
            </w:tcBorders>
            <w:vAlign w:val="bottom"/>
          </w:tcPr>
          <w:p w14:paraId="68C1D79C"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bottom w:val="single" w:sz="12" w:space="0" w:color="auto"/>
            </w:tcBorders>
            <w:vAlign w:val="bottom"/>
          </w:tcPr>
          <w:p w14:paraId="6F796671"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709E46D8" w14:textId="77777777" w:rsidTr="00D1524E">
        <w:trPr>
          <w:trHeight w:val="270"/>
        </w:trPr>
        <w:tc>
          <w:tcPr>
            <w:tcW w:w="3108" w:type="pct"/>
            <w:tcBorders>
              <w:top w:val="single" w:sz="12" w:space="0" w:color="auto"/>
              <w:bottom w:val="single" w:sz="12" w:space="0" w:color="auto"/>
            </w:tcBorders>
            <w:shd w:val="clear" w:color="auto" w:fill="auto"/>
            <w:vAlign w:val="bottom"/>
          </w:tcPr>
          <w:p w14:paraId="2620E305"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Total assets</w:t>
            </w:r>
          </w:p>
        </w:tc>
        <w:tc>
          <w:tcPr>
            <w:tcW w:w="448" w:type="pct"/>
            <w:tcBorders>
              <w:top w:val="single" w:sz="12" w:space="0" w:color="auto"/>
              <w:bottom w:val="single" w:sz="12" w:space="0" w:color="auto"/>
            </w:tcBorders>
            <w:vAlign w:val="bottom"/>
          </w:tcPr>
          <w:p w14:paraId="56B20CFC"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bottom w:val="single" w:sz="12" w:space="0" w:color="auto"/>
            </w:tcBorders>
            <w:shd w:val="pct15" w:color="auto" w:fill="auto"/>
            <w:vAlign w:val="bottom"/>
          </w:tcPr>
          <w:p w14:paraId="07A8F50B"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11,583,033</w:t>
            </w:r>
          </w:p>
        </w:tc>
        <w:tc>
          <w:tcPr>
            <w:tcW w:w="126" w:type="pct"/>
            <w:tcBorders>
              <w:top w:val="single" w:sz="12" w:space="0" w:color="auto"/>
              <w:bottom w:val="single" w:sz="12" w:space="0" w:color="auto"/>
            </w:tcBorders>
            <w:vAlign w:val="bottom"/>
          </w:tcPr>
          <w:p w14:paraId="77CD6422"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bottom w:val="single" w:sz="12" w:space="0" w:color="auto"/>
            </w:tcBorders>
            <w:vAlign w:val="bottom"/>
          </w:tcPr>
          <w:p w14:paraId="1D8774F3"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13,783,258</w:t>
            </w:r>
          </w:p>
        </w:tc>
      </w:tr>
      <w:tr w:rsidR="00F46260" w:rsidRPr="00F46260" w14:paraId="332EF9C5" w14:textId="77777777" w:rsidTr="00D1524E">
        <w:trPr>
          <w:trHeight w:val="255"/>
        </w:trPr>
        <w:tc>
          <w:tcPr>
            <w:tcW w:w="3108" w:type="pct"/>
            <w:tcBorders>
              <w:top w:val="single" w:sz="12" w:space="0" w:color="auto"/>
            </w:tcBorders>
            <w:shd w:val="clear" w:color="auto" w:fill="auto"/>
            <w:vAlign w:val="bottom"/>
          </w:tcPr>
          <w:p w14:paraId="0310D1FF" w14:textId="77777777" w:rsidR="00F46260" w:rsidRPr="00F46260" w:rsidRDefault="00F46260" w:rsidP="00F46260">
            <w:pPr>
              <w:spacing w:after="0" w:line="240" w:lineRule="auto"/>
              <w:rPr>
                <w:rFonts w:ascii="Arial" w:eastAsia="Times New Roman" w:hAnsi="Arial" w:cs="Arial"/>
                <w:b/>
                <w:bCs/>
                <w:sz w:val="20"/>
                <w:szCs w:val="20"/>
                <w:lang w:eastAsia="en-AU"/>
              </w:rPr>
            </w:pPr>
          </w:p>
        </w:tc>
        <w:tc>
          <w:tcPr>
            <w:tcW w:w="448" w:type="pct"/>
            <w:tcBorders>
              <w:top w:val="single" w:sz="12" w:space="0" w:color="auto"/>
              <w:bottom w:val="nil"/>
            </w:tcBorders>
            <w:vAlign w:val="bottom"/>
          </w:tcPr>
          <w:p w14:paraId="3754CB20"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tcBorders>
            <w:shd w:val="pct15" w:color="auto" w:fill="auto"/>
            <w:vAlign w:val="bottom"/>
          </w:tcPr>
          <w:p w14:paraId="4B0159E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6" w:type="pct"/>
            <w:tcBorders>
              <w:top w:val="single" w:sz="12" w:space="0" w:color="auto"/>
              <w:bottom w:val="nil"/>
            </w:tcBorders>
            <w:vAlign w:val="bottom"/>
          </w:tcPr>
          <w:p w14:paraId="0DE2C42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tcBorders>
            <w:vAlign w:val="bottom"/>
          </w:tcPr>
          <w:p w14:paraId="4F8B6F0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4227FFC2" w14:textId="77777777" w:rsidTr="00D1524E">
        <w:trPr>
          <w:trHeight w:val="255"/>
        </w:trPr>
        <w:tc>
          <w:tcPr>
            <w:tcW w:w="3108" w:type="pct"/>
            <w:shd w:val="clear" w:color="auto" w:fill="auto"/>
            <w:vAlign w:val="bottom"/>
          </w:tcPr>
          <w:p w14:paraId="2C30C413"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Liabilities</w:t>
            </w:r>
          </w:p>
        </w:tc>
        <w:tc>
          <w:tcPr>
            <w:tcW w:w="448" w:type="pct"/>
            <w:tcBorders>
              <w:bottom w:val="nil"/>
            </w:tcBorders>
            <w:vAlign w:val="bottom"/>
          </w:tcPr>
          <w:p w14:paraId="65DEC7A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shd w:val="pct15" w:color="auto" w:fill="auto"/>
            <w:vAlign w:val="bottom"/>
          </w:tcPr>
          <w:p w14:paraId="2E9DEE5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6" w:type="pct"/>
            <w:tcBorders>
              <w:bottom w:val="nil"/>
            </w:tcBorders>
            <w:vAlign w:val="bottom"/>
          </w:tcPr>
          <w:p w14:paraId="7BCE556D"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vAlign w:val="bottom"/>
          </w:tcPr>
          <w:p w14:paraId="35B0292A"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7BBDBF5E" w14:textId="77777777" w:rsidTr="00D1524E">
        <w:trPr>
          <w:trHeight w:val="255"/>
        </w:trPr>
        <w:tc>
          <w:tcPr>
            <w:tcW w:w="3108" w:type="pct"/>
            <w:shd w:val="clear" w:color="auto" w:fill="auto"/>
            <w:vAlign w:val="bottom"/>
          </w:tcPr>
          <w:p w14:paraId="138B849B"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Employee benefits</w:t>
            </w:r>
          </w:p>
        </w:tc>
        <w:tc>
          <w:tcPr>
            <w:tcW w:w="448" w:type="pct"/>
            <w:tcBorders>
              <w:bottom w:val="nil"/>
            </w:tcBorders>
            <w:vAlign w:val="bottom"/>
          </w:tcPr>
          <w:p w14:paraId="6A6ADA9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3.2.2</w:t>
            </w:r>
          </w:p>
        </w:tc>
        <w:tc>
          <w:tcPr>
            <w:tcW w:w="659" w:type="pct"/>
            <w:tcBorders>
              <w:bottom w:val="nil"/>
            </w:tcBorders>
            <w:shd w:val="pct15" w:color="auto" w:fill="auto"/>
            <w:vAlign w:val="bottom"/>
          </w:tcPr>
          <w:p w14:paraId="2050BA1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3,417,321</w:t>
            </w:r>
          </w:p>
        </w:tc>
        <w:tc>
          <w:tcPr>
            <w:tcW w:w="126" w:type="pct"/>
            <w:tcBorders>
              <w:bottom w:val="nil"/>
            </w:tcBorders>
            <w:vAlign w:val="bottom"/>
          </w:tcPr>
          <w:p w14:paraId="54008330"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bottom w:val="nil"/>
            </w:tcBorders>
            <w:vAlign w:val="bottom"/>
          </w:tcPr>
          <w:p w14:paraId="32B59910"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2,517,624</w:t>
            </w:r>
          </w:p>
        </w:tc>
      </w:tr>
      <w:tr w:rsidR="00F46260" w:rsidRPr="00F46260" w14:paraId="0F240D16" w14:textId="77777777" w:rsidTr="00D1524E">
        <w:trPr>
          <w:trHeight w:val="255"/>
        </w:trPr>
        <w:tc>
          <w:tcPr>
            <w:tcW w:w="3108" w:type="pct"/>
            <w:shd w:val="clear" w:color="auto" w:fill="auto"/>
            <w:vAlign w:val="bottom"/>
          </w:tcPr>
          <w:p w14:paraId="3963811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Payables</w:t>
            </w:r>
          </w:p>
        </w:tc>
        <w:tc>
          <w:tcPr>
            <w:tcW w:w="448" w:type="pct"/>
            <w:tcBorders>
              <w:bottom w:val="nil"/>
            </w:tcBorders>
            <w:vAlign w:val="bottom"/>
          </w:tcPr>
          <w:p w14:paraId="395B5632"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5.2</w:t>
            </w:r>
          </w:p>
        </w:tc>
        <w:tc>
          <w:tcPr>
            <w:tcW w:w="659" w:type="pct"/>
            <w:shd w:val="pct15" w:color="auto" w:fill="auto"/>
            <w:vAlign w:val="bottom"/>
          </w:tcPr>
          <w:p w14:paraId="0006A10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1,131,801</w:t>
            </w:r>
          </w:p>
        </w:tc>
        <w:tc>
          <w:tcPr>
            <w:tcW w:w="126" w:type="pct"/>
            <w:tcBorders>
              <w:bottom w:val="nil"/>
            </w:tcBorders>
            <w:vAlign w:val="bottom"/>
          </w:tcPr>
          <w:p w14:paraId="195C0307"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vAlign w:val="bottom"/>
          </w:tcPr>
          <w:p w14:paraId="79ECDE96"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2,118,447</w:t>
            </w:r>
          </w:p>
        </w:tc>
      </w:tr>
      <w:tr w:rsidR="00F46260" w:rsidRPr="00F46260" w14:paraId="3BA05649" w14:textId="77777777" w:rsidTr="00D1524E">
        <w:trPr>
          <w:trHeight w:val="255"/>
        </w:trPr>
        <w:tc>
          <w:tcPr>
            <w:tcW w:w="3108" w:type="pct"/>
            <w:tcBorders>
              <w:bottom w:val="nil"/>
            </w:tcBorders>
            <w:shd w:val="clear" w:color="auto" w:fill="auto"/>
            <w:vAlign w:val="bottom"/>
          </w:tcPr>
          <w:p w14:paraId="7516B851"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Borrowings</w:t>
            </w:r>
            <w:r w:rsidRPr="00F46260" w:rsidDel="00C822A4">
              <w:rPr>
                <w:rFonts w:ascii="Arial" w:eastAsia="Times New Roman" w:hAnsi="Arial" w:cs="Arial"/>
                <w:sz w:val="20"/>
                <w:szCs w:val="20"/>
                <w:lang w:eastAsia="en-AU"/>
              </w:rPr>
              <w:t xml:space="preserve"> </w:t>
            </w:r>
          </w:p>
        </w:tc>
        <w:tc>
          <w:tcPr>
            <w:tcW w:w="448" w:type="pct"/>
            <w:tcBorders>
              <w:bottom w:val="nil"/>
            </w:tcBorders>
            <w:vAlign w:val="bottom"/>
          </w:tcPr>
          <w:p w14:paraId="03A9E58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6.1</w:t>
            </w:r>
          </w:p>
        </w:tc>
        <w:tc>
          <w:tcPr>
            <w:tcW w:w="659" w:type="pct"/>
            <w:tcBorders>
              <w:bottom w:val="nil"/>
            </w:tcBorders>
            <w:shd w:val="pct15" w:color="auto" w:fill="auto"/>
            <w:vAlign w:val="bottom"/>
          </w:tcPr>
          <w:p w14:paraId="27D7275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52,276</w:t>
            </w:r>
          </w:p>
        </w:tc>
        <w:tc>
          <w:tcPr>
            <w:tcW w:w="126" w:type="pct"/>
            <w:tcBorders>
              <w:bottom w:val="nil"/>
            </w:tcBorders>
            <w:vAlign w:val="bottom"/>
          </w:tcPr>
          <w:p w14:paraId="040BF58B"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bottom w:val="nil"/>
            </w:tcBorders>
            <w:vAlign w:val="bottom"/>
          </w:tcPr>
          <w:p w14:paraId="59D781ED"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34,693</w:t>
            </w:r>
          </w:p>
        </w:tc>
      </w:tr>
      <w:tr w:rsidR="00F46260" w:rsidRPr="00F46260" w14:paraId="09A1C210" w14:textId="77777777" w:rsidTr="00D1524E">
        <w:trPr>
          <w:trHeight w:val="270"/>
        </w:trPr>
        <w:tc>
          <w:tcPr>
            <w:tcW w:w="3108" w:type="pct"/>
            <w:tcBorders>
              <w:bottom w:val="nil"/>
            </w:tcBorders>
            <w:shd w:val="clear" w:color="auto" w:fill="auto"/>
            <w:vAlign w:val="bottom"/>
          </w:tcPr>
          <w:p w14:paraId="111B0BA9"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Unearned income</w:t>
            </w:r>
          </w:p>
        </w:tc>
        <w:tc>
          <w:tcPr>
            <w:tcW w:w="448" w:type="pct"/>
            <w:tcBorders>
              <w:bottom w:val="nil"/>
            </w:tcBorders>
            <w:vAlign w:val="bottom"/>
          </w:tcPr>
          <w:p w14:paraId="559AFD6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5.3</w:t>
            </w:r>
          </w:p>
        </w:tc>
        <w:tc>
          <w:tcPr>
            <w:tcW w:w="659" w:type="pct"/>
            <w:tcBorders>
              <w:bottom w:val="nil"/>
            </w:tcBorders>
            <w:shd w:val="pct15" w:color="auto" w:fill="auto"/>
            <w:vAlign w:val="bottom"/>
          </w:tcPr>
          <w:p w14:paraId="35F83C4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1,155,385</w:t>
            </w:r>
          </w:p>
        </w:tc>
        <w:tc>
          <w:tcPr>
            <w:tcW w:w="126" w:type="pct"/>
            <w:tcBorders>
              <w:bottom w:val="nil"/>
            </w:tcBorders>
            <w:vAlign w:val="bottom"/>
          </w:tcPr>
          <w:p w14:paraId="0F2E0E5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bottom w:val="nil"/>
            </w:tcBorders>
            <w:vAlign w:val="bottom"/>
          </w:tcPr>
          <w:p w14:paraId="74E82A0A"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1,064,372</w:t>
            </w:r>
          </w:p>
        </w:tc>
      </w:tr>
      <w:tr w:rsidR="00F46260" w:rsidRPr="00F46260" w14:paraId="48559C6C" w14:textId="77777777" w:rsidTr="00D1524E">
        <w:trPr>
          <w:trHeight w:val="270"/>
        </w:trPr>
        <w:tc>
          <w:tcPr>
            <w:tcW w:w="3108" w:type="pct"/>
            <w:tcBorders>
              <w:top w:val="nil"/>
              <w:bottom w:val="single" w:sz="12" w:space="0" w:color="auto"/>
            </w:tcBorders>
            <w:shd w:val="clear" w:color="auto" w:fill="auto"/>
            <w:vAlign w:val="bottom"/>
          </w:tcPr>
          <w:p w14:paraId="1D9EA02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Other provisions</w:t>
            </w:r>
          </w:p>
        </w:tc>
        <w:tc>
          <w:tcPr>
            <w:tcW w:w="448" w:type="pct"/>
            <w:tcBorders>
              <w:top w:val="nil"/>
              <w:bottom w:val="single" w:sz="12" w:space="0" w:color="auto"/>
            </w:tcBorders>
            <w:vAlign w:val="bottom"/>
          </w:tcPr>
          <w:p w14:paraId="6973B94F" w14:textId="77777777" w:rsidR="00F46260" w:rsidRPr="00F46260" w:rsidRDefault="00F46260" w:rsidP="00F46260">
            <w:pPr>
              <w:spacing w:after="0" w:line="240" w:lineRule="auto"/>
              <w:rPr>
                <w:rFonts w:ascii="Arial" w:eastAsia="Times New Roman" w:hAnsi="Arial" w:cs="Arial"/>
                <w:bCs/>
                <w:sz w:val="20"/>
                <w:szCs w:val="20"/>
                <w:lang w:eastAsia="en-AU"/>
              </w:rPr>
            </w:pPr>
            <w:r w:rsidRPr="00F46260">
              <w:rPr>
                <w:rFonts w:ascii="Arial" w:eastAsia="Times New Roman" w:hAnsi="Arial" w:cs="Arial"/>
                <w:bCs/>
                <w:sz w:val="20"/>
                <w:szCs w:val="20"/>
                <w:lang w:eastAsia="en-AU"/>
              </w:rPr>
              <w:t xml:space="preserve">      5.5</w:t>
            </w:r>
          </w:p>
        </w:tc>
        <w:tc>
          <w:tcPr>
            <w:tcW w:w="659" w:type="pct"/>
            <w:tcBorders>
              <w:top w:val="nil"/>
              <w:bottom w:val="single" w:sz="12" w:space="0" w:color="auto"/>
            </w:tcBorders>
            <w:shd w:val="pct15" w:color="auto" w:fill="auto"/>
            <w:vAlign w:val="bottom"/>
          </w:tcPr>
          <w:p w14:paraId="1798F92C"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90,440</w:t>
            </w:r>
          </w:p>
        </w:tc>
        <w:tc>
          <w:tcPr>
            <w:tcW w:w="126" w:type="pct"/>
            <w:tcBorders>
              <w:top w:val="nil"/>
              <w:bottom w:val="single" w:sz="12" w:space="0" w:color="auto"/>
            </w:tcBorders>
            <w:vAlign w:val="bottom"/>
          </w:tcPr>
          <w:p w14:paraId="629BCEEB"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nil"/>
              <w:bottom w:val="single" w:sz="12" w:space="0" w:color="auto"/>
            </w:tcBorders>
            <w:vAlign w:val="bottom"/>
          </w:tcPr>
          <w:p w14:paraId="0E5E0795"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Cs/>
                <w:sz w:val="20"/>
                <w:szCs w:val="20"/>
                <w:lang w:eastAsia="en-AU"/>
              </w:rPr>
              <w:t>90,440</w:t>
            </w:r>
          </w:p>
        </w:tc>
      </w:tr>
      <w:tr w:rsidR="00F46260" w:rsidRPr="00F46260" w14:paraId="6D719D9D" w14:textId="77777777" w:rsidTr="00D1524E">
        <w:trPr>
          <w:trHeight w:val="270"/>
        </w:trPr>
        <w:tc>
          <w:tcPr>
            <w:tcW w:w="3108" w:type="pct"/>
            <w:tcBorders>
              <w:top w:val="single" w:sz="12" w:space="0" w:color="auto"/>
              <w:bottom w:val="single" w:sz="12" w:space="0" w:color="auto"/>
            </w:tcBorders>
            <w:shd w:val="clear" w:color="auto" w:fill="auto"/>
            <w:vAlign w:val="bottom"/>
          </w:tcPr>
          <w:p w14:paraId="175EA50B"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liabilities</w:t>
            </w:r>
          </w:p>
        </w:tc>
        <w:tc>
          <w:tcPr>
            <w:tcW w:w="448" w:type="pct"/>
            <w:tcBorders>
              <w:top w:val="single" w:sz="12" w:space="0" w:color="auto"/>
              <w:bottom w:val="single" w:sz="12" w:space="0" w:color="auto"/>
            </w:tcBorders>
            <w:vAlign w:val="bottom"/>
          </w:tcPr>
          <w:p w14:paraId="24EE4740" w14:textId="77777777" w:rsidR="00F46260" w:rsidRPr="00F46260" w:rsidRDefault="00F46260" w:rsidP="00F46260">
            <w:pPr>
              <w:spacing w:after="0" w:line="240" w:lineRule="auto"/>
              <w:rPr>
                <w:rFonts w:ascii="Arial" w:eastAsia="Times New Roman" w:hAnsi="Arial" w:cs="Arial"/>
                <w:bCs/>
                <w:sz w:val="20"/>
                <w:szCs w:val="20"/>
                <w:lang w:eastAsia="en-AU"/>
              </w:rPr>
            </w:pPr>
          </w:p>
        </w:tc>
        <w:tc>
          <w:tcPr>
            <w:tcW w:w="659" w:type="pct"/>
            <w:tcBorders>
              <w:top w:val="single" w:sz="12" w:space="0" w:color="auto"/>
              <w:bottom w:val="single" w:sz="12" w:space="0" w:color="auto"/>
            </w:tcBorders>
            <w:shd w:val="pct15" w:color="auto" w:fill="auto"/>
            <w:vAlign w:val="bottom"/>
          </w:tcPr>
          <w:p w14:paraId="64303B3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5,847,223</w:t>
            </w:r>
          </w:p>
        </w:tc>
        <w:tc>
          <w:tcPr>
            <w:tcW w:w="126" w:type="pct"/>
            <w:tcBorders>
              <w:top w:val="single" w:sz="12" w:space="0" w:color="auto"/>
              <w:bottom w:val="single" w:sz="12" w:space="0" w:color="auto"/>
            </w:tcBorders>
            <w:vAlign w:val="bottom"/>
          </w:tcPr>
          <w:p w14:paraId="295B919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bottom w:val="single" w:sz="12" w:space="0" w:color="auto"/>
            </w:tcBorders>
            <w:vAlign w:val="bottom"/>
          </w:tcPr>
          <w:p w14:paraId="38ECBF3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5,825,576</w:t>
            </w:r>
          </w:p>
        </w:tc>
      </w:tr>
      <w:tr w:rsidR="00F46260" w:rsidRPr="00F46260" w14:paraId="5AEC7571" w14:textId="77777777" w:rsidTr="00D1524E">
        <w:trPr>
          <w:trHeight w:val="270"/>
        </w:trPr>
        <w:tc>
          <w:tcPr>
            <w:tcW w:w="3108" w:type="pct"/>
            <w:tcBorders>
              <w:top w:val="single" w:sz="12" w:space="0" w:color="auto"/>
              <w:bottom w:val="single" w:sz="2" w:space="0" w:color="auto"/>
            </w:tcBorders>
            <w:shd w:val="clear" w:color="auto" w:fill="auto"/>
            <w:vAlign w:val="bottom"/>
          </w:tcPr>
          <w:p w14:paraId="3AB8860C" w14:textId="77777777" w:rsidR="00F46260" w:rsidRPr="00F46260" w:rsidRDefault="00F46260" w:rsidP="00F46260">
            <w:pPr>
              <w:spacing w:after="0" w:line="240" w:lineRule="auto"/>
              <w:rPr>
                <w:rFonts w:ascii="Arial" w:eastAsia="Times New Roman" w:hAnsi="Arial" w:cs="Arial"/>
                <w:b/>
                <w:bCs/>
                <w:i/>
                <w:iCs/>
                <w:sz w:val="20"/>
                <w:szCs w:val="20"/>
                <w:lang w:eastAsia="en-AU"/>
              </w:rPr>
            </w:pPr>
          </w:p>
        </w:tc>
        <w:tc>
          <w:tcPr>
            <w:tcW w:w="448" w:type="pct"/>
            <w:tcBorders>
              <w:top w:val="single" w:sz="12" w:space="0" w:color="auto"/>
              <w:bottom w:val="single" w:sz="2" w:space="0" w:color="auto"/>
            </w:tcBorders>
            <w:vAlign w:val="bottom"/>
          </w:tcPr>
          <w:p w14:paraId="53FB577F" w14:textId="77777777" w:rsidR="00F46260" w:rsidRPr="00F46260" w:rsidRDefault="00F46260" w:rsidP="00F46260">
            <w:pPr>
              <w:spacing w:after="0" w:line="240" w:lineRule="auto"/>
              <w:rPr>
                <w:rFonts w:ascii="Arial" w:eastAsia="Times New Roman" w:hAnsi="Arial" w:cs="Arial"/>
                <w:bCs/>
                <w:sz w:val="20"/>
                <w:szCs w:val="20"/>
                <w:lang w:eastAsia="en-AU"/>
              </w:rPr>
            </w:pPr>
          </w:p>
        </w:tc>
        <w:tc>
          <w:tcPr>
            <w:tcW w:w="659" w:type="pct"/>
            <w:tcBorders>
              <w:top w:val="single" w:sz="12" w:space="0" w:color="auto"/>
              <w:bottom w:val="single" w:sz="2" w:space="0" w:color="auto"/>
            </w:tcBorders>
            <w:shd w:val="pct15" w:color="auto" w:fill="auto"/>
            <w:vAlign w:val="bottom"/>
          </w:tcPr>
          <w:p w14:paraId="6C587482"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6" w:type="pct"/>
            <w:tcBorders>
              <w:top w:val="single" w:sz="12" w:space="0" w:color="auto"/>
              <w:bottom w:val="single" w:sz="2" w:space="0" w:color="auto"/>
            </w:tcBorders>
            <w:vAlign w:val="bottom"/>
          </w:tcPr>
          <w:p w14:paraId="187A831C"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bottom w:val="single" w:sz="2" w:space="0" w:color="auto"/>
            </w:tcBorders>
            <w:vAlign w:val="bottom"/>
          </w:tcPr>
          <w:p w14:paraId="2F048198"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5AD035F2" w14:textId="77777777" w:rsidTr="00D1524E">
        <w:trPr>
          <w:trHeight w:val="270"/>
        </w:trPr>
        <w:tc>
          <w:tcPr>
            <w:tcW w:w="3108" w:type="pct"/>
            <w:tcBorders>
              <w:top w:val="single" w:sz="2" w:space="0" w:color="auto"/>
              <w:bottom w:val="single" w:sz="12" w:space="0" w:color="auto"/>
            </w:tcBorders>
            <w:shd w:val="clear" w:color="auto" w:fill="auto"/>
            <w:vAlign w:val="bottom"/>
          </w:tcPr>
          <w:p w14:paraId="3C6245FE"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Net assets</w:t>
            </w:r>
          </w:p>
        </w:tc>
        <w:tc>
          <w:tcPr>
            <w:tcW w:w="448" w:type="pct"/>
            <w:tcBorders>
              <w:top w:val="single" w:sz="2" w:space="0" w:color="auto"/>
              <w:bottom w:val="single" w:sz="12" w:space="0" w:color="auto"/>
            </w:tcBorders>
            <w:vAlign w:val="bottom"/>
          </w:tcPr>
          <w:p w14:paraId="2124083A" w14:textId="77777777" w:rsidR="00F46260" w:rsidRPr="00F46260" w:rsidRDefault="00F46260" w:rsidP="00F46260">
            <w:pPr>
              <w:spacing w:after="0" w:line="240" w:lineRule="auto"/>
              <w:rPr>
                <w:rFonts w:ascii="Arial" w:eastAsia="Times New Roman" w:hAnsi="Arial" w:cs="Arial"/>
                <w:bCs/>
                <w:sz w:val="20"/>
                <w:szCs w:val="20"/>
                <w:lang w:eastAsia="en-AU"/>
              </w:rPr>
            </w:pPr>
          </w:p>
        </w:tc>
        <w:tc>
          <w:tcPr>
            <w:tcW w:w="659" w:type="pct"/>
            <w:tcBorders>
              <w:top w:val="single" w:sz="2" w:space="0" w:color="auto"/>
              <w:bottom w:val="single" w:sz="12" w:space="0" w:color="auto"/>
            </w:tcBorders>
            <w:shd w:val="pct15" w:color="auto" w:fill="auto"/>
            <w:vAlign w:val="bottom"/>
          </w:tcPr>
          <w:p w14:paraId="7E5C6292"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5,735,810</w:t>
            </w:r>
          </w:p>
        </w:tc>
        <w:tc>
          <w:tcPr>
            <w:tcW w:w="126" w:type="pct"/>
            <w:tcBorders>
              <w:top w:val="single" w:sz="2" w:space="0" w:color="auto"/>
              <w:bottom w:val="single" w:sz="12" w:space="0" w:color="auto"/>
            </w:tcBorders>
            <w:vAlign w:val="bottom"/>
          </w:tcPr>
          <w:p w14:paraId="393E8283"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2" w:space="0" w:color="auto"/>
              <w:bottom w:val="single" w:sz="12" w:space="0" w:color="auto"/>
            </w:tcBorders>
            <w:vAlign w:val="bottom"/>
          </w:tcPr>
          <w:p w14:paraId="2E219EA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7,958,405</w:t>
            </w:r>
          </w:p>
        </w:tc>
      </w:tr>
      <w:tr w:rsidR="00F46260" w:rsidRPr="00F46260" w14:paraId="2428F214" w14:textId="77777777" w:rsidTr="00D1524E">
        <w:trPr>
          <w:trHeight w:val="270"/>
        </w:trPr>
        <w:tc>
          <w:tcPr>
            <w:tcW w:w="3108" w:type="pct"/>
            <w:tcBorders>
              <w:top w:val="single" w:sz="12" w:space="0" w:color="auto"/>
            </w:tcBorders>
            <w:shd w:val="clear" w:color="auto" w:fill="auto"/>
            <w:vAlign w:val="bottom"/>
          </w:tcPr>
          <w:p w14:paraId="00B2777C"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8" w:type="pct"/>
            <w:tcBorders>
              <w:top w:val="single" w:sz="12" w:space="0" w:color="auto"/>
              <w:bottom w:val="nil"/>
            </w:tcBorders>
            <w:vAlign w:val="bottom"/>
          </w:tcPr>
          <w:p w14:paraId="599E791B"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9" w:type="pct"/>
            <w:tcBorders>
              <w:top w:val="single" w:sz="12" w:space="0" w:color="auto"/>
            </w:tcBorders>
            <w:shd w:val="pct15" w:color="auto" w:fill="auto"/>
            <w:vAlign w:val="bottom"/>
          </w:tcPr>
          <w:p w14:paraId="2F98EF55"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26" w:type="pct"/>
            <w:tcBorders>
              <w:top w:val="single" w:sz="12" w:space="0" w:color="auto"/>
              <w:bottom w:val="nil"/>
            </w:tcBorders>
            <w:vAlign w:val="bottom"/>
          </w:tcPr>
          <w:p w14:paraId="19224BC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single" w:sz="12" w:space="0" w:color="auto"/>
            </w:tcBorders>
            <w:vAlign w:val="bottom"/>
          </w:tcPr>
          <w:p w14:paraId="53C0BD3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1A4045CC" w14:textId="77777777" w:rsidTr="00D1524E">
        <w:trPr>
          <w:trHeight w:val="255"/>
        </w:trPr>
        <w:tc>
          <w:tcPr>
            <w:tcW w:w="3108" w:type="pct"/>
            <w:shd w:val="clear" w:color="auto" w:fill="auto"/>
            <w:vAlign w:val="bottom"/>
          </w:tcPr>
          <w:p w14:paraId="51DBBB16"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Equity</w:t>
            </w:r>
          </w:p>
        </w:tc>
        <w:tc>
          <w:tcPr>
            <w:tcW w:w="448" w:type="pct"/>
            <w:tcBorders>
              <w:bottom w:val="nil"/>
            </w:tcBorders>
            <w:vAlign w:val="bottom"/>
          </w:tcPr>
          <w:p w14:paraId="75A52251"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9" w:type="pct"/>
            <w:shd w:val="pct15" w:color="auto" w:fill="auto"/>
            <w:vAlign w:val="bottom"/>
          </w:tcPr>
          <w:p w14:paraId="5B2269C5"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26" w:type="pct"/>
            <w:tcBorders>
              <w:bottom w:val="nil"/>
            </w:tcBorders>
            <w:vAlign w:val="bottom"/>
          </w:tcPr>
          <w:p w14:paraId="52409D9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vAlign w:val="bottom"/>
          </w:tcPr>
          <w:p w14:paraId="13EA3001"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0EF839B0" w14:textId="77777777" w:rsidTr="00D1524E">
        <w:trPr>
          <w:trHeight w:val="270"/>
        </w:trPr>
        <w:tc>
          <w:tcPr>
            <w:tcW w:w="3108" w:type="pct"/>
            <w:tcBorders>
              <w:bottom w:val="nil"/>
            </w:tcBorders>
            <w:shd w:val="clear" w:color="auto" w:fill="auto"/>
            <w:vAlign w:val="bottom"/>
          </w:tcPr>
          <w:p w14:paraId="2EC255C3"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Accumulated surplus</w:t>
            </w:r>
          </w:p>
        </w:tc>
        <w:tc>
          <w:tcPr>
            <w:tcW w:w="448" w:type="pct"/>
            <w:tcBorders>
              <w:bottom w:val="nil"/>
            </w:tcBorders>
            <w:vAlign w:val="bottom"/>
          </w:tcPr>
          <w:p w14:paraId="7060EB95"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9" w:type="pct"/>
            <w:tcBorders>
              <w:bottom w:val="nil"/>
            </w:tcBorders>
            <w:shd w:val="pct15" w:color="auto" w:fill="auto"/>
            <w:vAlign w:val="bottom"/>
          </w:tcPr>
          <w:p w14:paraId="513AB9D9"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1,448,283</w:t>
            </w:r>
          </w:p>
        </w:tc>
        <w:tc>
          <w:tcPr>
            <w:tcW w:w="126" w:type="pct"/>
            <w:tcBorders>
              <w:bottom w:val="nil"/>
            </w:tcBorders>
            <w:vAlign w:val="bottom"/>
          </w:tcPr>
          <w:p w14:paraId="54F8AA73"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bottom w:val="nil"/>
            </w:tcBorders>
            <w:vAlign w:val="bottom"/>
          </w:tcPr>
          <w:p w14:paraId="62AFD7D7"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3,690,737</w:t>
            </w:r>
          </w:p>
        </w:tc>
      </w:tr>
      <w:tr w:rsidR="00F46260" w:rsidRPr="00F46260" w14:paraId="3415A623" w14:textId="77777777" w:rsidTr="00D1524E">
        <w:trPr>
          <w:trHeight w:val="270"/>
        </w:trPr>
        <w:tc>
          <w:tcPr>
            <w:tcW w:w="3108" w:type="pct"/>
            <w:tcBorders>
              <w:top w:val="nil"/>
              <w:bottom w:val="single" w:sz="2" w:space="0" w:color="auto"/>
            </w:tcBorders>
            <w:shd w:val="clear" w:color="auto" w:fill="auto"/>
            <w:vAlign w:val="bottom"/>
          </w:tcPr>
          <w:p w14:paraId="63C9BB99"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Contributed capital</w:t>
            </w:r>
          </w:p>
        </w:tc>
        <w:tc>
          <w:tcPr>
            <w:tcW w:w="448" w:type="pct"/>
            <w:tcBorders>
              <w:top w:val="nil"/>
              <w:bottom w:val="single" w:sz="2" w:space="0" w:color="auto"/>
            </w:tcBorders>
            <w:vAlign w:val="bottom"/>
          </w:tcPr>
          <w:p w14:paraId="4D2ED24B"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9" w:type="pct"/>
            <w:tcBorders>
              <w:top w:val="nil"/>
              <w:bottom w:val="single" w:sz="2" w:space="0" w:color="auto"/>
            </w:tcBorders>
            <w:shd w:val="pct15" w:color="auto" w:fill="auto"/>
            <w:vAlign w:val="bottom"/>
          </w:tcPr>
          <w:p w14:paraId="18466EC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4,287,527</w:t>
            </w:r>
          </w:p>
        </w:tc>
        <w:tc>
          <w:tcPr>
            <w:tcW w:w="126" w:type="pct"/>
            <w:tcBorders>
              <w:top w:val="nil"/>
              <w:bottom w:val="single" w:sz="2" w:space="0" w:color="auto"/>
            </w:tcBorders>
            <w:vAlign w:val="bottom"/>
          </w:tcPr>
          <w:p w14:paraId="611562FF"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nil"/>
              <w:bottom w:val="single" w:sz="2" w:space="0" w:color="auto"/>
            </w:tcBorders>
            <w:vAlign w:val="bottom"/>
          </w:tcPr>
          <w:p w14:paraId="0C83B724"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4,267,668</w:t>
            </w:r>
          </w:p>
        </w:tc>
      </w:tr>
      <w:tr w:rsidR="00F46260" w:rsidRPr="00F46260" w14:paraId="56B1F76B" w14:textId="77777777" w:rsidTr="00D1524E">
        <w:trPr>
          <w:trHeight w:val="270"/>
        </w:trPr>
        <w:tc>
          <w:tcPr>
            <w:tcW w:w="3108" w:type="pct"/>
            <w:tcBorders>
              <w:top w:val="single" w:sz="2" w:space="0" w:color="auto"/>
              <w:bottom w:val="single" w:sz="12" w:space="0" w:color="auto"/>
            </w:tcBorders>
            <w:shd w:val="clear" w:color="auto" w:fill="auto"/>
            <w:vAlign w:val="bottom"/>
          </w:tcPr>
          <w:p w14:paraId="3D93602F"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Net worth</w:t>
            </w:r>
          </w:p>
        </w:tc>
        <w:tc>
          <w:tcPr>
            <w:tcW w:w="448" w:type="pct"/>
            <w:tcBorders>
              <w:top w:val="single" w:sz="2" w:space="0" w:color="auto"/>
              <w:bottom w:val="single" w:sz="12" w:space="0" w:color="auto"/>
            </w:tcBorders>
            <w:vAlign w:val="bottom"/>
          </w:tcPr>
          <w:p w14:paraId="59DDD240" w14:textId="77777777" w:rsidR="00F46260" w:rsidRPr="00F46260" w:rsidRDefault="00F46260" w:rsidP="00F46260">
            <w:pPr>
              <w:spacing w:after="0" w:line="240" w:lineRule="auto"/>
              <w:rPr>
                <w:rFonts w:ascii="Arial" w:eastAsia="Times New Roman" w:hAnsi="Arial" w:cs="Arial"/>
                <w:bCs/>
                <w:color w:val="000000"/>
                <w:sz w:val="20"/>
                <w:szCs w:val="20"/>
                <w:lang w:eastAsia="en-AU"/>
              </w:rPr>
            </w:pPr>
          </w:p>
        </w:tc>
        <w:tc>
          <w:tcPr>
            <w:tcW w:w="659" w:type="pct"/>
            <w:tcBorders>
              <w:top w:val="single" w:sz="2" w:space="0" w:color="auto"/>
              <w:bottom w:val="single" w:sz="12" w:space="0" w:color="auto"/>
            </w:tcBorders>
            <w:shd w:val="pct15" w:color="auto" w:fill="auto"/>
            <w:vAlign w:val="bottom"/>
          </w:tcPr>
          <w:p w14:paraId="2DD7BFA9"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5,735,810</w:t>
            </w:r>
          </w:p>
        </w:tc>
        <w:tc>
          <w:tcPr>
            <w:tcW w:w="126" w:type="pct"/>
            <w:tcBorders>
              <w:top w:val="single" w:sz="2" w:space="0" w:color="auto"/>
              <w:bottom w:val="single" w:sz="12" w:space="0" w:color="auto"/>
            </w:tcBorders>
            <w:vAlign w:val="bottom"/>
          </w:tcPr>
          <w:p w14:paraId="48E08B23"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2" w:space="0" w:color="auto"/>
              <w:bottom w:val="single" w:sz="12" w:space="0" w:color="auto"/>
            </w:tcBorders>
            <w:vAlign w:val="bottom"/>
          </w:tcPr>
          <w:p w14:paraId="6946A843"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7,958,405</w:t>
            </w:r>
          </w:p>
        </w:tc>
      </w:tr>
      <w:tr w:rsidR="00F46260" w:rsidRPr="00F46260" w14:paraId="09B3E3B1" w14:textId="77777777" w:rsidTr="00D1524E">
        <w:trPr>
          <w:trHeight w:val="270"/>
        </w:trPr>
        <w:tc>
          <w:tcPr>
            <w:tcW w:w="3108" w:type="pct"/>
            <w:tcBorders>
              <w:top w:val="single" w:sz="12" w:space="0" w:color="auto"/>
              <w:bottom w:val="nil"/>
            </w:tcBorders>
            <w:shd w:val="clear" w:color="auto" w:fill="auto"/>
            <w:vAlign w:val="bottom"/>
          </w:tcPr>
          <w:p w14:paraId="046D9EFD" w14:textId="77777777" w:rsidR="00F46260" w:rsidRPr="00F46260" w:rsidRDefault="00F46260" w:rsidP="00F46260">
            <w:pPr>
              <w:spacing w:after="0" w:line="240" w:lineRule="auto"/>
              <w:rPr>
                <w:rFonts w:ascii="Arial" w:eastAsia="Times New Roman" w:hAnsi="Arial" w:cs="Arial"/>
                <w:b/>
                <w:bCs/>
                <w:sz w:val="20"/>
                <w:szCs w:val="20"/>
                <w:lang w:eastAsia="en-AU"/>
              </w:rPr>
            </w:pPr>
          </w:p>
        </w:tc>
        <w:tc>
          <w:tcPr>
            <w:tcW w:w="448" w:type="pct"/>
            <w:tcBorders>
              <w:top w:val="single" w:sz="12" w:space="0" w:color="auto"/>
              <w:bottom w:val="nil"/>
            </w:tcBorders>
            <w:vAlign w:val="bottom"/>
          </w:tcPr>
          <w:p w14:paraId="7C78FE96" w14:textId="77777777" w:rsidR="00F46260" w:rsidRPr="00F46260" w:rsidRDefault="00F46260" w:rsidP="00F46260">
            <w:pPr>
              <w:spacing w:after="0" w:line="240" w:lineRule="auto"/>
              <w:rPr>
                <w:rFonts w:ascii="Arial" w:eastAsia="Times New Roman" w:hAnsi="Arial" w:cs="Arial"/>
                <w:bCs/>
                <w:sz w:val="20"/>
                <w:szCs w:val="20"/>
                <w:lang w:eastAsia="en-AU"/>
              </w:rPr>
            </w:pPr>
          </w:p>
        </w:tc>
        <w:tc>
          <w:tcPr>
            <w:tcW w:w="659" w:type="pct"/>
            <w:tcBorders>
              <w:top w:val="single" w:sz="12" w:space="0" w:color="auto"/>
              <w:bottom w:val="nil"/>
            </w:tcBorders>
            <w:vAlign w:val="bottom"/>
          </w:tcPr>
          <w:p w14:paraId="48CBC6EA"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126" w:type="pct"/>
            <w:tcBorders>
              <w:top w:val="single" w:sz="12" w:space="0" w:color="auto"/>
              <w:bottom w:val="nil"/>
            </w:tcBorders>
            <w:vAlign w:val="bottom"/>
          </w:tcPr>
          <w:p w14:paraId="4C9AD3C0"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659" w:type="pct"/>
            <w:tcBorders>
              <w:top w:val="single" w:sz="12" w:space="0" w:color="auto"/>
              <w:bottom w:val="nil"/>
            </w:tcBorders>
            <w:vAlign w:val="bottom"/>
          </w:tcPr>
          <w:p w14:paraId="6ABA574C"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bl>
    <w:p w14:paraId="5532B20D" w14:textId="77777777" w:rsidR="00F46260" w:rsidRPr="00F46260" w:rsidRDefault="00F46260" w:rsidP="00F46260">
      <w:pPr>
        <w:spacing w:after="0" w:line="240" w:lineRule="auto"/>
        <w:rPr>
          <w:rFonts w:ascii="Arial" w:eastAsia="Times New Roman" w:hAnsi="Arial" w:cs="Arial"/>
          <w:sz w:val="16"/>
          <w:szCs w:val="16"/>
          <w:lang w:eastAsia="en-AU"/>
        </w:rPr>
      </w:pPr>
      <w:r w:rsidRPr="00F46260">
        <w:rPr>
          <w:rFonts w:ascii="Arial" w:eastAsia="Times New Roman" w:hAnsi="Arial" w:cs="Arial"/>
          <w:sz w:val="16"/>
          <w:szCs w:val="16"/>
          <w:lang w:eastAsia="en-AU"/>
        </w:rPr>
        <w:t>The accompanying notes form part of these financial statements.</w:t>
      </w:r>
    </w:p>
    <w:p w14:paraId="14E571C5" w14:textId="77777777" w:rsidR="00F46260" w:rsidRPr="00F46260" w:rsidRDefault="00F46260" w:rsidP="00F46260">
      <w:pPr>
        <w:spacing w:after="0" w:line="240" w:lineRule="auto"/>
        <w:rPr>
          <w:rFonts w:ascii="Arial" w:eastAsia="Times New Roman" w:hAnsi="Arial" w:cs="Arial"/>
          <w:sz w:val="20"/>
          <w:szCs w:val="20"/>
          <w:lang w:eastAsia="en-AU"/>
        </w:rPr>
      </w:pPr>
    </w:p>
    <w:p w14:paraId="414A4C43" w14:textId="77777777" w:rsidR="00F46260" w:rsidRPr="00F46260" w:rsidRDefault="00F46260" w:rsidP="00F46260">
      <w:pPr>
        <w:spacing w:after="0" w:line="240" w:lineRule="auto"/>
        <w:rPr>
          <w:rFonts w:ascii="Arial" w:eastAsia="Times New Roman" w:hAnsi="Arial" w:cs="Arial"/>
          <w:sz w:val="20"/>
          <w:szCs w:val="20"/>
          <w:lang w:eastAsia="en-AU"/>
        </w:rPr>
      </w:pPr>
    </w:p>
    <w:p w14:paraId="5A5C7AEF" w14:textId="77777777" w:rsidR="00F46260" w:rsidRPr="00F46260" w:rsidRDefault="00F46260" w:rsidP="00F46260">
      <w:pPr>
        <w:spacing w:after="0" w:line="240" w:lineRule="auto"/>
        <w:rPr>
          <w:rFonts w:ascii="Arial" w:eastAsia="Times New Roman" w:hAnsi="Arial" w:cs="Arial"/>
          <w:sz w:val="20"/>
          <w:szCs w:val="20"/>
          <w:lang w:eastAsia="en-AU"/>
        </w:rPr>
      </w:pPr>
    </w:p>
    <w:p w14:paraId="28E4FF70" w14:textId="77777777" w:rsidR="00F46260" w:rsidRPr="00F46260" w:rsidRDefault="00F46260" w:rsidP="00F46260">
      <w:pPr>
        <w:spacing w:after="0" w:line="240" w:lineRule="auto"/>
        <w:rPr>
          <w:rFonts w:ascii="Arial" w:eastAsia="Times New Roman" w:hAnsi="Arial" w:cs="Arial"/>
          <w:sz w:val="20"/>
          <w:szCs w:val="20"/>
          <w:lang w:eastAsia="en-AU"/>
        </w:rPr>
      </w:pPr>
    </w:p>
    <w:p w14:paraId="742832A4" w14:textId="77777777" w:rsidR="00F46260" w:rsidRPr="00F46260" w:rsidRDefault="00F46260" w:rsidP="00F46260">
      <w:pPr>
        <w:spacing w:after="0" w:line="240" w:lineRule="auto"/>
        <w:rPr>
          <w:rFonts w:ascii="Arial" w:eastAsia="Times New Roman" w:hAnsi="Arial" w:cs="Arial"/>
          <w:sz w:val="20"/>
          <w:szCs w:val="20"/>
          <w:lang w:eastAsia="en-AU"/>
        </w:rPr>
      </w:pPr>
    </w:p>
    <w:p w14:paraId="452BBE4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br w:type="page"/>
      </w:r>
    </w:p>
    <w:p w14:paraId="3A309293" w14:textId="77777777" w:rsidR="00F46260" w:rsidRPr="00F46260" w:rsidRDefault="00F46260" w:rsidP="00F46260">
      <w:pPr>
        <w:spacing w:after="0" w:line="240" w:lineRule="auto"/>
        <w:rPr>
          <w:rFonts w:ascii="Arial" w:eastAsia="Times New Roman" w:hAnsi="Arial" w:cs="Arial"/>
          <w:b/>
          <w:sz w:val="24"/>
          <w:szCs w:val="24"/>
          <w:lang w:eastAsia="en-AU"/>
        </w:rPr>
      </w:pPr>
      <w:r w:rsidRPr="00F46260">
        <w:rPr>
          <w:rFonts w:ascii="Arial" w:eastAsia="Times New Roman" w:hAnsi="Arial" w:cs="Arial"/>
          <w:b/>
          <w:sz w:val="24"/>
          <w:szCs w:val="24"/>
          <w:lang w:eastAsia="en-AU"/>
        </w:rPr>
        <w:lastRenderedPageBreak/>
        <w:t xml:space="preserve">Cash flow statement </w:t>
      </w:r>
    </w:p>
    <w:p w14:paraId="7473DBE1" w14:textId="77777777" w:rsidR="00F46260" w:rsidRPr="00F46260" w:rsidRDefault="00F46260" w:rsidP="00F46260">
      <w:pPr>
        <w:keepNext/>
        <w:spacing w:after="0" w:line="240" w:lineRule="auto"/>
        <w:outlineLvl w:val="1"/>
        <w:rPr>
          <w:rFonts w:ascii="Arial" w:eastAsia="Times New Roman" w:hAnsi="Arial" w:cs="Arial"/>
          <w:b/>
          <w:sz w:val="20"/>
          <w:szCs w:val="24"/>
          <w:lang w:eastAsia="en-AU"/>
        </w:rPr>
      </w:pPr>
      <w:r w:rsidRPr="00F46260">
        <w:rPr>
          <w:rFonts w:ascii="Arial" w:eastAsia="Times New Roman" w:hAnsi="Arial" w:cs="Arial"/>
          <w:b/>
          <w:sz w:val="20"/>
          <w:szCs w:val="24"/>
          <w:lang w:eastAsia="en-AU"/>
        </w:rPr>
        <w:t>For the financial year ended 30 June 2021</w:t>
      </w:r>
    </w:p>
    <w:p w14:paraId="1BC735B6" w14:textId="77777777" w:rsidR="00F46260" w:rsidRPr="00F46260" w:rsidRDefault="00F46260" w:rsidP="00F46260">
      <w:pPr>
        <w:spacing w:after="0" w:line="240" w:lineRule="auto"/>
        <w:rPr>
          <w:rFonts w:ascii="Times New Roman" w:eastAsia="Times New Roman" w:hAnsi="Times New Roman"/>
          <w:sz w:val="20"/>
          <w:szCs w:val="20"/>
          <w:lang w:eastAsia="en-AU"/>
        </w:rPr>
      </w:pPr>
    </w:p>
    <w:tbl>
      <w:tblPr>
        <w:tblW w:w="5000" w:type="pct"/>
        <w:tblInd w:w="-108" w:type="dxa"/>
        <w:tblLook w:val="0000" w:firstRow="0" w:lastRow="0" w:firstColumn="0" w:lastColumn="0" w:noHBand="0" w:noVBand="0"/>
      </w:tblPr>
      <w:tblGrid>
        <w:gridCol w:w="5445"/>
        <w:gridCol w:w="818"/>
        <w:gridCol w:w="1510"/>
        <w:gridCol w:w="228"/>
        <w:gridCol w:w="1353"/>
      </w:tblGrid>
      <w:tr w:rsidR="00F46260" w:rsidRPr="00F46260" w14:paraId="66E3653C" w14:textId="77777777" w:rsidTr="00D1524E">
        <w:trPr>
          <w:trHeight w:val="255"/>
        </w:trPr>
        <w:tc>
          <w:tcPr>
            <w:tcW w:w="2911" w:type="pct"/>
            <w:tcBorders>
              <w:top w:val="nil"/>
              <w:left w:val="nil"/>
              <w:bottom w:val="nil"/>
              <w:right w:val="nil"/>
            </w:tcBorders>
            <w:shd w:val="clear" w:color="auto" w:fill="auto"/>
            <w:vAlign w:val="bottom"/>
          </w:tcPr>
          <w:p w14:paraId="44643B0B"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37" w:type="pct"/>
            <w:tcBorders>
              <w:top w:val="nil"/>
              <w:left w:val="nil"/>
              <w:bottom w:val="nil"/>
              <w:right w:val="nil"/>
            </w:tcBorders>
            <w:shd w:val="clear" w:color="auto" w:fill="auto"/>
          </w:tcPr>
          <w:p w14:paraId="5439EA1D"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807" w:type="pct"/>
            <w:tcBorders>
              <w:top w:val="nil"/>
              <w:left w:val="nil"/>
              <w:bottom w:val="nil"/>
              <w:right w:val="nil"/>
            </w:tcBorders>
          </w:tcPr>
          <w:p w14:paraId="4CD74190" w14:textId="77777777" w:rsidR="00F46260" w:rsidRPr="00F46260" w:rsidRDefault="00F46260" w:rsidP="00F46260">
            <w:pPr>
              <w:tabs>
                <w:tab w:val="left" w:pos="330"/>
                <w:tab w:val="center" w:pos="564"/>
              </w:tabs>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ab/>
            </w:r>
            <w:r w:rsidRPr="00F46260">
              <w:rPr>
                <w:rFonts w:ascii="Arial" w:eastAsia="Times New Roman" w:hAnsi="Arial" w:cs="Arial"/>
                <w:b/>
                <w:bCs/>
                <w:sz w:val="20"/>
                <w:szCs w:val="20"/>
                <w:lang w:eastAsia="en-AU"/>
              </w:rPr>
              <w:tab/>
              <w:t>20</w:t>
            </w:r>
            <w:r w:rsidRPr="00F46260">
              <w:rPr>
                <w:rFonts w:ascii="Arial" w:eastAsia="Times New Roman" w:hAnsi="Arial" w:cs="Arial"/>
                <w:b/>
                <w:sz w:val="20"/>
                <w:szCs w:val="20"/>
                <w:lang w:eastAsia="en-AU"/>
              </w:rPr>
              <w:t>21</w:t>
            </w:r>
          </w:p>
        </w:tc>
        <w:tc>
          <w:tcPr>
            <w:tcW w:w="122" w:type="pct"/>
            <w:tcBorders>
              <w:top w:val="nil"/>
              <w:left w:val="nil"/>
              <w:bottom w:val="nil"/>
              <w:right w:val="nil"/>
            </w:tcBorders>
            <w:shd w:val="clear" w:color="auto" w:fill="auto"/>
          </w:tcPr>
          <w:p w14:paraId="78FB01C8"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723" w:type="pct"/>
            <w:tcBorders>
              <w:top w:val="nil"/>
              <w:left w:val="nil"/>
              <w:bottom w:val="nil"/>
              <w:right w:val="nil"/>
            </w:tcBorders>
            <w:shd w:val="clear" w:color="auto" w:fill="auto"/>
          </w:tcPr>
          <w:p w14:paraId="50805901"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20</w:t>
            </w:r>
            <w:r w:rsidRPr="00F46260">
              <w:rPr>
                <w:rFonts w:ascii="Arial" w:eastAsia="Times New Roman" w:hAnsi="Arial" w:cs="Arial"/>
                <w:b/>
                <w:sz w:val="20"/>
                <w:szCs w:val="20"/>
                <w:lang w:eastAsia="en-AU"/>
              </w:rPr>
              <w:t>20</w:t>
            </w:r>
          </w:p>
        </w:tc>
      </w:tr>
      <w:tr w:rsidR="00F46260" w:rsidRPr="00F46260" w14:paraId="049D3B62" w14:textId="77777777" w:rsidTr="00D1524E">
        <w:trPr>
          <w:trHeight w:val="255"/>
        </w:trPr>
        <w:tc>
          <w:tcPr>
            <w:tcW w:w="2911" w:type="pct"/>
            <w:tcBorders>
              <w:top w:val="nil"/>
              <w:left w:val="nil"/>
              <w:bottom w:val="nil"/>
              <w:right w:val="nil"/>
            </w:tcBorders>
            <w:shd w:val="clear" w:color="auto" w:fill="auto"/>
            <w:vAlign w:val="bottom"/>
          </w:tcPr>
          <w:p w14:paraId="3CAFA1E3"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37" w:type="pct"/>
            <w:tcBorders>
              <w:top w:val="nil"/>
              <w:left w:val="nil"/>
              <w:bottom w:val="nil"/>
              <w:right w:val="nil"/>
            </w:tcBorders>
            <w:shd w:val="clear" w:color="auto" w:fill="auto"/>
            <w:vAlign w:val="bottom"/>
          </w:tcPr>
          <w:p w14:paraId="38E25B4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Notes</w:t>
            </w:r>
          </w:p>
        </w:tc>
        <w:tc>
          <w:tcPr>
            <w:tcW w:w="807" w:type="pct"/>
            <w:tcBorders>
              <w:top w:val="nil"/>
              <w:left w:val="nil"/>
              <w:bottom w:val="nil"/>
              <w:right w:val="nil"/>
            </w:tcBorders>
            <w:vAlign w:val="bottom"/>
          </w:tcPr>
          <w:p w14:paraId="5ED59102"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w:t>
            </w:r>
          </w:p>
        </w:tc>
        <w:tc>
          <w:tcPr>
            <w:tcW w:w="122" w:type="pct"/>
            <w:tcBorders>
              <w:top w:val="nil"/>
              <w:left w:val="nil"/>
              <w:bottom w:val="nil"/>
              <w:right w:val="nil"/>
            </w:tcBorders>
            <w:shd w:val="clear" w:color="auto" w:fill="auto"/>
            <w:vAlign w:val="bottom"/>
          </w:tcPr>
          <w:p w14:paraId="4228D31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nil"/>
              <w:left w:val="nil"/>
              <w:bottom w:val="nil"/>
              <w:right w:val="nil"/>
            </w:tcBorders>
            <w:shd w:val="clear" w:color="auto" w:fill="auto"/>
            <w:vAlign w:val="bottom"/>
          </w:tcPr>
          <w:p w14:paraId="3337F420"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w:t>
            </w:r>
          </w:p>
        </w:tc>
      </w:tr>
      <w:tr w:rsidR="00F46260" w:rsidRPr="00F46260" w14:paraId="0675C7D5" w14:textId="77777777" w:rsidTr="00D1524E">
        <w:trPr>
          <w:trHeight w:val="255"/>
        </w:trPr>
        <w:tc>
          <w:tcPr>
            <w:tcW w:w="2911" w:type="pct"/>
            <w:tcBorders>
              <w:top w:val="nil"/>
              <w:left w:val="nil"/>
              <w:bottom w:val="nil"/>
              <w:right w:val="nil"/>
            </w:tcBorders>
            <w:shd w:val="clear" w:color="auto" w:fill="auto"/>
            <w:vAlign w:val="bottom"/>
          </w:tcPr>
          <w:p w14:paraId="1EFBC438"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37" w:type="pct"/>
            <w:tcBorders>
              <w:top w:val="nil"/>
              <w:left w:val="nil"/>
              <w:bottom w:val="nil"/>
              <w:right w:val="nil"/>
            </w:tcBorders>
            <w:shd w:val="clear" w:color="auto" w:fill="auto"/>
            <w:vAlign w:val="bottom"/>
          </w:tcPr>
          <w:p w14:paraId="3BA352DD"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807" w:type="pct"/>
            <w:tcBorders>
              <w:top w:val="nil"/>
              <w:left w:val="nil"/>
              <w:bottom w:val="nil"/>
              <w:right w:val="nil"/>
            </w:tcBorders>
            <w:vAlign w:val="bottom"/>
          </w:tcPr>
          <w:p w14:paraId="03AEBCC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2" w:type="pct"/>
            <w:tcBorders>
              <w:top w:val="nil"/>
              <w:left w:val="nil"/>
              <w:bottom w:val="nil"/>
              <w:right w:val="nil"/>
            </w:tcBorders>
            <w:shd w:val="clear" w:color="auto" w:fill="auto"/>
            <w:vAlign w:val="bottom"/>
          </w:tcPr>
          <w:p w14:paraId="618E007A"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nil"/>
              <w:left w:val="nil"/>
              <w:bottom w:val="nil"/>
              <w:right w:val="nil"/>
            </w:tcBorders>
            <w:shd w:val="clear" w:color="auto" w:fill="auto"/>
            <w:vAlign w:val="bottom"/>
          </w:tcPr>
          <w:p w14:paraId="1FB539C4"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5E6CB8D3" w14:textId="77777777" w:rsidTr="00D1524E">
        <w:trPr>
          <w:trHeight w:val="255"/>
        </w:trPr>
        <w:tc>
          <w:tcPr>
            <w:tcW w:w="2911" w:type="pct"/>
            <w:tcBorders>
              <w:top w:val="nil"/>
              <w:left w:val="nil"/>
              <w:bottom w:val="nil"/>
              <w:right w:val="nil"/>
            </w:tcBorders>
            <w:shd w:val="clear" w:color="auto" w:fill="auto"/>
            <w:vAlign w:val="bottom"/>
          </w:tcPr>
          <w:p w14:paraId="6F7FEF9F"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Cash flows from operating activities</w:t>
            </w:r>
          </w:p>
        </w:tc>
        <w:tc>
          <w:tcPr>
            <w:tcW w:w="437" w:type="pct"/>
            <w:tcBorders>
              <w:top w:val="nil"/>
              <w:left w:val="nil"/>
              <w:bottom w:val="nil"/>
              <w:right w:val="nil"/>
            </w:tcBorders>
            <w:shd w:val="clear" w:color="auto" w:fill="auto"/>
            <w:vAlign w:val="bottom"/>
          </w:tcPr>
          <w:p w14:paraId="1A189E4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nil"/>
              <w:left w:val="nil"/>
              <w:bottom w:val="nil"/>
              <w:right w:val="nil"/>
            </w:tcBorders>
            <w:vAlign w:val="bottom"/>
          </w:tcPr>
          <w:p w14:paraId="3D7CB27B"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22" w:type="pct"/>
            <w:tcBorders>
              <w:top w:val="nil"/>
              <w:left w:val="nil"/>
              <w:bottom w:val="nil"/>
              <w:right w:val="nil"/>
            </w:tcBorders>
            <w:shd w:val="clear" w:color="auto" w:fill="auto"/>
            <w:vAlign w:val="bottom"/>
          </w:tcPr>
          <w:p w14:paraId="73D7E45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723" w:type="pct"/>
            <w:tcBorders>
              <w:top w:val="nil"/>
              <w:left w:val="nil"/>
              <w:bottom w:val="nil"/>
              <w:right w:val="nil"/>
            </w:tcBorders>
            <w:shd w:val="clear" w:color="auto" w:fill="auto"/>
            <w:vAlign w:val="bottom"/>
          </w:tcPr>
          <w:p w14:paraId="3C6088CB"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06907311" w14:textId="77777777" w:rsidTr="00D1524E">
        <w:trPr>
          <w:trHeight w:val="255"/>
        </w:trPr>
        <w:tc>
          <w:tcPr>
            <w:tcW w:w="2911" w:type="pct"/>
            <w:tcBorders>
              <w:top w:val="nil"/>
              <w:left w:val="nil"/>
              <w:right w:val="nil"/>
            </w:tcBorders>
            <w:shd w:val="clear" w:color="auto" w:fill="auto"/>
            <w:vAlign w:val="bottom"/>
          </w:tcPr>
          <w:p w14:paraId="0BFB51C5"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Receipts</w:t>
            </w:r>
          </w:p>
        </w:tc>
        <w:tc>
          <w:tcPr>
            <w:tcW w:w="437" w:type="pct"/>
            <w:tcBorders>
              <w:top w:val="nil"/>
              <w:left w:val="nil"/>
              <w:right w:val="nil"/>
            </w:tcBorders>
            <w:shd w:val="clear" w:color="auto" w:fill="auto"/>
            <w:vAlign w:val="bottom"/>
          </w:tcPr>
          <w:p w14:paraId="437CA13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nil"/>
              <w:left w:val="nil"/>
              <w:right w:val="nil"/>
            </w:tcBorders>
            <w:vAlign w:val="bottom"/>
          </w:tcPr>
          <w:p w14:paraId="1F42CDF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22" w:type="pct"/>
            <w:tcBorders>
              <w:top w:val="nil"/>
              <w:left w:val="nil"/>
              <w:right w:val="nil"/>
            </w:tcBorders>
            <w:shd w:val="clear" w:color="auto" w:fill="auto"/>
            <w:vAlign w:val="bottom"/>
          </w:tcPr>
          <w:p w14:paraId="60E3918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723" w:type="pct"/>
            <w:tcBorders>
              <w:top w:val="nil"/>
              <w:left w:val="nil"/>
              <w:right w:val="nil"/>
            </w:tcBorders>
            <w:shd w:val="clear" w:color="auto" w:fill="auto"/>
            <w:vAlign w:val="bottom"/>
          </w:tcPr>
          <w:p w14:paraId="155204D7"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065DE62A" w14:textId="77777777" w:rsidTr="00D1524E">
        <w:trPr>
          <w:trHeight w:val="255"/>
        </w:trPr>
        <w:tc>
          <w:tcPr>
            <w:tcW w:w="2911" w:type="pct"/>
            <w:tcBorders>
              <w:top w:val="nil"/>
              <w:left w:val="nil"/>
              <w:right w:val="nil"/>
            </w:tcBorders>
            <w:shd w:val="clear" w:color="auto" w:fill="auto"/>
            <w:vAlign w:val="bottom"/>
          </w:tcPr>
          <w:p w14:paraId="6E9B072C"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sz w:val="20"/>
                <w:szCs w:val="20"/>
                <w:lang w:eastAsia="en-AU"/>
              </w:rPr>
              <w:t>Receipts from government</w:t>
            </w:r>
          </w:p>
        </w:tc>
        <w:tc>
          <w:tcPr>
            <w:tcW w:w="437" w:type="pct"/>
            <w:tcBorders>
              <w:top w:val="nil"/>
              <w:left w:val="nil"/>
              <w:right w:val="nil"/>
            </w:tcBorders>
            <w:shd w:val="clear" w:color="auto" w:fill="auto"/>
            <w:vAlign w:val="bottom"/>
          </w:tcPr>
          <w:p w14:paraId="4C6F256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nil"/>
              <w:left w:val="nil"/>
              <w:right w:val="nil"/>
            </w:tcBorders>
            <w:shd w:val="pct15" w:color="auto" w:fill="auto"/>
            <w:vAlign w:val="bottom"/>
          </w:tcPr>
          <w:p w14:paraId="5EFBF64E"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20,834,055</w:t>
            </w:r>
          </w:p>
        </w:tc>
        <w:tc>
          <w:tcPr>
            <w:tcW w:w="122" w:type="pct"/>
            <w:tcBorders>
              <w:top w:val="nil"/>
              <w:left w:val="nil"/>
              <w:right w:val="nil"/>
            </w:tcBorders>
            <w:shd w:val="clear" w:color="auto" w:fill="auto"/>
            <w:vAlign w:val="bottom"/>
          </w:tcPr>
          <w:p w14:paraId="0324E628"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nil"/>
              <w:left w:val="nil"/>
              <w:right w:val="nil"/>
            </w:tcBorders>
            <w:shd w:val="clear" w:color="auto" w:fill="auto"/>
            <w:vAlign w:val="bottom"/>
          </w:tcPr>
          <w:p w14:paraId="399E3B83"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19,693,915</w:t>
            </w:r>
          </w:p>
        </w:tc>
      </w:tr>
      <w:tr w:rsidR="00F46260" w:rsidRPr="00F46260" w14:paraId="77A1C075" w14:textId="77777777" w:rsidTr="00D1524E">
        <w:trPr>
          <w:trHeight w:val="255"/>
        </w:trPr>
        <w:tc>
          <w:tcPr>
            <w:tcW w:w="2911" w:type="pct"/>
            <w:tcBorders>
              <w:top w:val="single" w:sz="2" w:space="0" w:color="auto"/>
              <w:left w:val="nil"/>
              <w:bottom w:val="single" w:sz="12" w:space="0" w:color="auto"/>
              <w:right w:val="nil"/>
            </w:tcBorders>
            <w:shd w:val="clear" w:color="auto" w:fill="auto"/>
            <w:vAlign w:val="bottom"/>
          </w:tcPr>
          <w:p w14:paraId="5B538E02"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receipts</w:t>
            </w:r>
          </w:p>
        </w:tc>
        <w:tc>
          <w:tcPr>
            <w:tcW w:w="437" w:type="pct"/>
            <w:tcBorders>
              <w:top w:val="single" w:sz="2" w:space="0" w:color="auto"/>
              <w:left w:val="nil"/>
              <w:bottom w:val="single" w:sz="12" w:space="0" w:color="auto"/>
              <w:right w:val="nil"/>
            </w:tcBorders>
            <w:shd w:val="clear" w:color="auto" w:fill="auto"/>
            <w:vAlign w:val="bottom"/>
          </w:tcPr>
          <w:p w14:paraId="2F7BB7C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single" w:sz="2" w:space="0" w:color="auto"/>
              <w:left w:val="nil"/>
              <w:bottom w:val="single" w:sz="12" w:space="0" w:color="auto"/>
              <w:right w:val="nil"/>
            </w:tcBorders>
            <w:shd w:val="pct15" w:color="auto" w:fill="auto"/>
            <w:vAlign w:val="bottom"/>
          </w:tcPr>
          <w:p w14:paraId="3845E0A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20,834,055</w:t>
            </w:r>
          </w:p>
        </w:tc>
        <w:tc>
          <w:tcPr>
            <w:tcW w:w="122" w:type="pct"/>
            <w:tcBorders>
              <w:top w:val="single" w:sz="2" w:space="0" w:color="auto"/>
              <w:left w:val="nil"/>
              <w:bottom w:val="single" w:sz="12" w:space="0" w:color="auto"/>
              <w:right w:val="nil"/>
            </w:tcBorders>
            <w:shd w:val="clear" w:color="auto" w:fill="auto"/>
            <w:vAlign w:val="bottom"/>
          </w:tcPr>
          <w:p w14:paraId="6BC72EB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single" w:sz="2" w:space="0" w:color="auto"/>
              <w:left w:val="nil"/>
              <w:bottom w:val="single" w:sz="12" w:space="0" w:color="auto"/>
              <w:right w:val="nil"/>
            </w:tcBorders>
            <w:shd w:val="clear" w:color="auto" w:fill="auto"/>
            <w:vAlign w:val="bottom"/>
          </w:tcPr>
          <w:p w14:paraId="53582574"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19,693,915</w:t>
            </w:r>
          </w:p>
        </w:tc>
      </w:tr>
      <w:tr w:rsidR="00F46260" w:rsidRPr="00F46260" w14:paraId="27E4B3A8" w14:textId="77777777" w:rsidTr="00D1524E">
        <w:trPr>
          <w:trHeight w:val="255"/>
        </w:trPr>
        <w:tc>
          <w:tcPr>
            <w:tcW w:w="2911" w:type="pct"/>
            <w:tcBorders>
              <w:top w:val="single" w:sz="12" w:space="0" w:color="auto"/>
              <w:left w:val="nil"/>
              <w:bottom w:val="nil"/>
              <w:right w:val="nil"/>
            </w:tcBorders>
            <w:shd w:val="clear" w:color="auto" w:fill="auto"/>
            <w:vAlign w:val="bottom"/>
          </w:tcPr>
          <w:p w14:paraId="1361493C" w14:textId="77777777" w:rsidR="00F46260" w:rsidRPr="00F46260" w:rsidDel="00C52EE4"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Payments</w:t>
            </w:r>
          </w:p>
        </w:tc>
        <w:tc>
          <w:tcPr>
            <w:tcW w:w="437" w:type="pct"/>
            <w:tcBorders>
              <w:top w:val="single" w:sz="12" w:space="0" w:color="auto"/>
              <w:left w:val="nil"/>
              <w:bottom w:val="nil"/>
              <w:right w:val="nil"/>
            </w:tcBorders>
            <w:shd w:val="clear" w:color="auto" w:fill="auto"/>
            <w:vAlign w:val="bottom"/>
          </w:tcPr>
          <w:p w14:paraId="164338A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single" w:sz="12" w:space="0" w:color="auto"/>
              <w:left w:val="nil"/>
              <w:bottom w:val="nil"/>
              <w:right w:val="nil"/>
            </w:tcBorders>
            <w:shd w:val="pct15" w:color="auto" w:fill="auto"/>
            <w:vAlign w:val="bottom"/>
          </w:tcPr>
          <w:p w14:paraId="2BE1E8F7"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22" w:type="pct"/>
            <w:tcBorders>
              <w:top w:val="single" w:sz="12" w:space="0" w:color="auto"/>
              <w:left w:val="nil"/>
              <w:bottom w:val="nil"/>
              <w:right w:val="nil"/>
            </w:tcBorders>
            <w:shd w:val="clear" w:color="auto" w:fill="auto"/>
            <w:vAlign w:val="bottom"/>
          </w:tcPr>
          <w:p w14:paraId="14B3145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single" w:sz="12" w:space="0" w:color="auto"/>
              <w:left w:val="nil"/>
              <w:bottom w:val="nil"/>
              <w:right w:val="nil"/>
            </w:tcBorders>
            <w:shd w:val="clear" w:color="auto" w:fill="auto"/>
            <w:vAlign w:val="bottom"/>
          </w:tcPr>
          <w:p w14:paraId="3520017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74B41FBE" w14:textId="77777777" w:rsidTr="00D1524E">
        <w:trPr>
          <w:trHeight w:val="255"/>
        </w:trPr>
        <w:tc>
          <w:tcPr>
            <w:tcW w:w="2911" w:type="pct"/>
            <w:tcBorders>
              <w:top w:val="nil"/>
              <w:left w:val="nil"/>
              <w:bottom w:val="nil"/>
              <w:right w:val="nil"/>
            </w:tcBorders>
            <w:shd w:val="clear" w:color="auto" w:fill="auto"/>
            <w:vAlign w:val="bottom"/>
          </w:tcPr>
          <w:p w14:paraId="0BCCF8D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Payments to suppliers and employees</w:t>
            </w:r>
          </w:p>
        </w:tc>
        <w:tc>
          <w:tcPr>
            <w:tcW w:w="437" w:type="pct"/>
            <w:tcBorders>
              <w:top w:val="nil"/>
              <w:left w:val="nil"/>
              <w:bottom w:val="nil"/>
              <w:right w:val="nil"/>
            </w:tcBorders>
            <w:shd w:val="clear" w:color="auto" w:fill="auto"/>
            <w:vAlign w:val="bottom"/>
          </w:tcPr>
          <w:p w14:paraId="51723A0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nil"/>
              <w:left w:val="nil"/>
              <w:bottom w:val="nil"/>
              <w:right w:val="nil"/>
            </w:tcBorders>
            <w:shd w:val="pct15" w:color="auto" w:fill="auto"/>
            <w:vAlign w:val="bottom"/>
          </w:tcPr>
          <w:p w14:paraId="2628D8B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(20,100,532)</w:t>
            </w:r>
          </w:p>
        </w:tc>
        <w:tc>
          <w:tcPr>
            <w:tcW w:w="122" w:type="pct"/>
            <w:tcBorders>
              <w:top w:val="nil"/>
              <w:left w:val="nil"/>
              <w:bottom w:val="nil"/>
              <w:right w:val="nil"/>
            </w:tcBorders>
            <w:shd w:val="clear" w:color="auto" w:fill="auto"/>
            <w:vAlign w:val="bottom"/>
          </w:tcPr>
          <w:p w14:paraId="080DAFFB"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nil"/>
              <w:left w:val="nil"/>
              <w:bottom w:val="nil"/>
              <w:right w:val="nil"/>
            </w:tcBorders>
            <w:shd w:val="clear" w:color="auto" w:fill="auto"/>
            <w:vAlign w:val="bottom"/>
          </w:tcPr>
          <w:p w14:paraId="1024F41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(18,953,925)</w:t>
            </w:r>
          </w:p>
        </w:tc>
      </w:tr>
      <w:tr w:rsidR="00F46260" w:rsidRPr="00F46260" w14:paraId="2B23CF60" w14:textId="77777777" w:rsidTr="00D1524E">
        <w:trPr>
          <w:trHeight w:val="255"/>
        </w:trPr>
        <w:tc>
          <w:tcPr>
            <w:tcW w:w="2911" w:type="pct"/>
            <w:tcBorders>
              <w:top w:val="nil"/>
              <w:left w:val="nil"/>
              <w:bottom w:val="nil"/>
              <w:right w:val="nil"/>
            </w:tcBorders>
            <w:shd w:val="clear" w:color="auto" w:fill="auto"/>
            <w:vAlign w:val="bottom"/>
          </w:tcPr>
          <w:p w14:paraId="3D32A79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Grants and transfer payments</w:t>
            </w:r>
          </w:p>
        </w:tc>
        <w:tc>
          <w:tcPr>
            <w:tcW w:w="437" w:type="pct"/>
            <w:tcBorders>
              <w:top w:val="nil"/>
              <w:left w:val="nil"/>
              <w:bottom w:val="nil"/>
              <w:right w:val="nil"/>
            </w:tcBorders>
            <w:shd w:val="clear" w:color="auto" w:fill="auto"/>
            <w:vAlign w:val="bottom"/>
          </w:tcPr>
          <w:p w14:paraId="5B55524E"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nil"/>
              <w:left w:val="nil"/>
              <w:right w:val="nil"/>
            </w:tcBorders>
            <w:shd w:val="pct15" w:color="auto" w:fill="auto"/>
            <w:vAlign w:val="bottom"/>
          </w:tcPr>
          <w:p w14:paraId="7343687A"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122" w:type="pct"/>
            <w:tcBorders>
              <w:top w:val="nil"/>
              <w:left w:val="nil"/>
              <w:bottom w:val="nil"/>
              <w:right w:val="nil"/>
            </w:tcBorders>
            <w:shd w:val="clear" w:color="auto" w:fill="auto"/>
            <w:vAlign w:val="bottom"/>
          </w:tcPr>
          <w:p w14:paraId="7C0C10F8"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nil"/>
              <w:left w:val="nil"/>
              <w:right w:val="nil"/>
            </w:tcBorders>
            <w:shd w:val="clear" w:color="auto" w:fill="auto"/>
            <w:vAlign w:val="bottom"/>
          </w:tcPr>
          <w:p w14:paraId="75F3F5A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(70)</w:t>
            </w:r>
          </w:p>
        </w:tc>
      </w:tr>
      <w:tr w:rsidR="00F46260" w:rsidRPr="00F46260" w14:paraId="38E60B36" w14:textId="77777777" w:rsidTr="00D1524E">
        <w:trPr>
          <w:trHeight w:val="255"/>
        </w:trPr>
        <w:tc>
          <w:tcPr>
            <w:tcW w:w="2911" w:type="pct"/>
            <w:tcBorders>
              <w:top w:val="nil"/>
              <w:left w:val="nil"/>
              <w:bottom w:val="nil"/>
              <w:right w:val="nil"/>
            </w:tcBorders>
            <w:shd w:val="clear" w:color="auto" w:fill="auto"/>
            <w:vAlign w:val="bottom"/>
          </w:tcPr>
          <w:p w14:paraId="17D7694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Capital asset charge paid</w:t>
            </w:r>
          </w:p>
        </w:tc>
        <w:tc>
          <w:tcPr>
            <w:tcW w:w="437" w:type="pct"/>
            <w:tcBorders>
              <w:top w:val="nil"/>
              <w:left w:val="nil"/>
              <w:bottom w:val="nil"/>
              <w:right w:val="nil"/>
            </w:tcBorders>
            <w:shd w:val="clear" w:color="auto" w:fill="auto"/>
            <w:vAlign w:val="bottom"/>
          </w:tcPr>
          <w:p w14:paraId="3DEE5C4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nil"/>
              <w:left w:val="nil"/>
              <w:right w:val="nil"/>
            </w:tcBorders>
            <w:shd w:val="pct15" w:color="auto" w:fill="auto"/>
            <w:vAlign w:val="bottom"/>
          </w:tcPr>
          <w:p w14:paraId="7C56CBF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(13,508)</w:t>
            </w:r>
          </w:p>
        </w:tc>
        <w:tc>
          <w:tcPr>
            <w:tcW w:w="122" w:type="pct"/>
            <w:tcBorders>
              <w:top w:val="nil"/>
              <w:left w:val="nil"/>
              <w:bottom w:val="nil"/>
              <w:right w:val="nil"/>
            </w:tcBorders>
            <w:shd w:val="clear" w:color="auto" w:fill="auto"/>
            <w:vAlign w:val="bottom"/>
          </w:tcPr>
          <w:p w14:paraId="28DB70BD"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nil"/>
              <w:left w:val="nil"/>
              <w:right w:val="nil"/>
            </w:tcBorders>
            <w:shd w:val="clear" w:color="auto" w:fill="auto"/>
            <w:vAlign w:val="bottom"/>
          </w:tcPr>
          <w:p w14:paraId="0580CA85"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(13,500)</w:t>
            </w:r>
          </w:p>
        </w:tc>
      </w:tr>
      <w:tr w:rsidR="00F46260" w:rsidRPr="00F46260" w14:paraId="72DBA65C" w14:textId="77777777" w:rsidTr="00D1524E">
        <w:trPr>
          <w:trHeight w:val="270"/>
        </w:trPr>
        <w:tc>
          <w:tcPr>
            <w:tcW w:w="2911" w:type="pct"/>
            <w:tcBorders>
              <w:top w:val="nil"/>
              <w:left w:val="nil"/>
              <w:bottom w:val="single" w:sz="2" w:space="0" w:color="auto"/>
              <w:right w:val="nil"/>
            </w:tcBorders>
            <w:shd w:val="clear" w:color="auto" w:fill="auto"/>
            <w:vAlign w:val="bottom"/>
          </w:tcPr>
          <w:p w14:paraId="6C48E79D"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Interest payments </w:t>
            </w:r>
          </w:p>
        </w:tc>
        <w:tc>
          <w:tcPr>
            <w:tcW w:w="437" w:type="pct"/>
            <w:tcBorders>
              <w:top w:val="nil"/>
              <w:left w:val="nil"/>
              <w:bottom w:val="single" w:sz="2" w:space="0" w:color="auto"/>
              <w:right w:val="nil"/>
            </w:tcBorders>
            <w:shd w:val="clear" w:color="auto" w:fill="auto"/>
            <w:vAlign w:val="bottom"/>
          </w:tcPr>
          <w:p w14:paraId="43EA597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nil"/>
              <w:left w:val="nil"/>
              <w:bottom w:val="single" w:sz="2" w:space="0" w:color="auto"/>
              <w:right w:val="nil"/>
            </w:tcBorders>
            <w:shd w:val="pct15" w:color="auto" w:fill="auto"/>
            <w:vAlign w:val="bottom"/>
          </w:tcPr>
          <w:p w14:paraId="1075EAA4"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(1,537)</w:t>
            </w:r>
          </w:p>
        </w:tc>
        <w:tc>
          <w:tcPr>
            <w:tcW w:w="122" w:type="pct"/>
            <w:tcBorders>
              <w:top w:val="nil"/>
              <w:left w:val="nil"/>
              <w:bottom w:val="single" w:sz="2" w:space="0" w:color="auto"/>
              <w:right w:val="nil"/>
            </w:tcBorders>
            <w:shd w:val="clear" w:color="auto" w:fill="auto"/>
            <w:vAlign w:val="bottom"/>
          </w:tcPr>
          <w:p w14:paraId="16B75DF6"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nil"/>
              <w:left w:val="nil"/>
              <w:bottom w:val="single" w:sz="2" w:space="0" w:color="auto"/>
              <w:right w:val="nil"/>
            </w:tcBorders>
            <w:shd w:val="clear" w:color="auto" w:fill="auto"/>
            <w:vAlign w:val="bottom"/>
          </w:tcPr>
          <w:p w14:paraId="139C6BAE"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(14,311)</w:t>
            </w:r>
          </w:p>
        </w:tc>
      </w:tr>
      <w:tr w:rsidR="00F46260" w:rsidRPr="00F46260" w14:paraId="0BFD1F79" w14:textId="77777777" w:rsidTr="00D1524E">
        <w:trPr>
          <w:trHeight w:val="270"/>
        </w:trPr>
        <w:tc>
          <w:tcPr>
            <w:tcW w:w="2911" w:type="pct"/>
            <w:tcBorders>
              <w:top w:val="single" w:sz="2" w:space="0" w:color="auto"/>
              <w:left w:val="nil"/>
              <w:bottom w:val="single" w:sz="12" w:space="0" w:color="auto"/>
              <w:right w:val="nil"/>
            </w:tcBorders>
            <w:shd w:val="clear" w:color="auto" w:fill="auto"/>
            <w:vAlign w:val="bottom"/>
          </w:tcPr>
          <w:p w14:paraId="6F8A0171"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payments</w:t>
            </w:r>
          </w:p>
        </w:tc>
        <w:tc>
          <w:tcPr>
            <w:tcW w:w="437" w:type="pct"/>
            <w:tcBorders>
              <w:top w:val="single" w:sz="2" w:space="0" w:color="auto"/>
              <w:left w:val="nil"/>
              <w:bottom w:val="single" w:sz="12" w:space="0" w:color="auto"/>
              <w:right w:val="nil"/>
            </w:tcBorders>
            <w:shd w:val="clear" w:color="auto" w:fill="auto"/>
            <w:vAlign w:val="bottom"/>
          </w:tcPr>
          <w:p w14:paraId="1C664D28"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807" w:type="pct"/>
            <w:tcBorders>
              <w:top w:val="single" w:sz="2" w:space="0" w:color="auto"/>
              <w:left w:val="nil"/>
              <w:bottom w:val="single" w:sz="12" w:space="0" w:color="auto"/>
              <w:right w:val="nil"/>
            </w:tcBorders>
            <w:shd w:val="pct15" w:color="auto" w:fill="auto"/>
            <w:vAlign w:val="bottom"/>
          </w:tcPr>
          <w:p w14:paraId="1BAAA9D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(20,115,577)</w:t>
            </w:r>
          </w:p>
        </w:tc>
        <w:tc>
          <w:tcPr>
            <w:tcW w:w="122" w:type="pct"/>
            <w:tcBorders>
              <w:top w:val="single" w:sz="2" w:space="0" w:color="auto"/>
              <w:left w:val="nil"/>
              <w:bottom w:val="single" w:sz="12" w:space="0" w:color="auto"/>
              <w:right w:val="nil"/>
            </w:tcBorders>
            <w:shd w:val="clear" w:color="auto" w:fill="auto"/>
            <w:vAlign w:val="bottom"/>
          </w:tcPr>
          <w:p w14:paraId="7D413F7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single" w:sz="2" w:space="0" w:color="auto"/>
              <w:left w:val="nil"/>
              <w:bottom w:val="single" w:sz="12" w:space="0" w:color="auto"/>
              <w:right w:val="nil"/>
            </w:tcBorders>
            <w:shd w:val="clear" w:color="auto" w:fill="auto"/>
            <w:vAlign w:val="bottom"/>
          </w:tcPr>
          <w:p w14:paraId="4B2CAD31"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(18,981,806)</w:t>
            </w:r>
          </w:p>
        </w:tc>
      </w:tr>
      <w:tr w:rsidR="00F46260" w:rsidRPr="00F46260" w14:paraId="2C77D122" w14:textId="77777777" w:rsidTr="00D1524E">
        <w:trPr>
          <w:trHeight w:val="270"/>
        </w:trPr>
        <w:tc>
          <w:tcPr>
            <w:tcW w:w="2911" w:type="pct"/>
            <w:tcBorders>
              <w:top w:val="single" w:sz="12" w:space="0" w:color="auto"/>
              <w:left w:val="nil"/>
              <w:bottom w:val="single" w:sz="2" w:space="0" w:color="auto"/>
              <w:right w:val="nil"/>
            </w:tcBorders>
            <w:shd w:val="clear" w:color="auto" w:fill="auto"/>
            <w:vAlign w:val="bottom"/>
          </w:tcPr>
          <w:p w14:paraId="08AD234D" w14:textId="77777777" w:rsidR="00F46260" w:rsidRPr="00F46260" w:rsidRDefault="00F46260" w:rsidP="00F46260">
            <w:pPr>
              <w:spacing w:after="0" w:line="240" w:lineRule="auto"/>
              <w:rPr>
                <w:rFonts w:ascii="Arial" w:eastAsia="Times New Roman" w:hAnsi="Arial" w:cs="Arial"/>
                <w:b/>
                <w:bCs/>
                <w:sz w:val="20"/>
                <w:szCs w:val="20"/>
                <w:lang w:eastAsia="en-AU"/>
              </w:rPr>
            </w:pPr>
          </w:p>
        </w:tc>
        <w:tc>
          <w:tcPr>
            <w:tcW w:w="437" w:type="pct"/>
            <w:tcBorders>
              <w:top w:val="single" w:sz="12" w:space="0" w:color="auto"/>
              <w:left w:val="nil"/>
              <w:bottom w:val="single" w:sz="2" w:space="0" w:color="auto"/>
              <w:right w:val="nil"/>
            </w:tcBorders>
            <w:shd w:val="clear" w:color="auto" w:fill="auto"/>
            <w:vAlign w:val="bottom"/>
          </w:tcPr>
          <w:p w14:paraId="752FF93E"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07" w:type="pct"/>
            <w:tcBorders>
              <w:top w:val="single" w:sz="12" w:space="0" w:color="auto"/>
              <w:left w:val="nil"/>
              <w:bottom w:val="single" w:sz="2" w:space="0" w:color="auto"/>
              <w:right w:val="nil"/>
            </w:tcBorders>
            <w:shd w:val="pct15" w:color="auto" w:fill="auto"/>
            <w:vAlign w:val="bottom"/>
          </w:tcPr>
          <w:p w14:paraId="4C79A92C"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2" w:type="pct"/>
            <w:tcBorders>
              <w:top w:val="single" w:sz="12" w:space="0" w:color="auto"/>
              <w:left w:val="nil"/>
              <w:bottom w:val="single" w:sz="2" w:space="0" w:color="auto"/>
              <w:right w:val="nil"/>
            </w:tcBorders>
            <w:shd w:val="clear" w:color="auto" w:fill="auto"/>
            <w:vAlign w:val="bottom"/>
          </w:tcPr>
          <w:p w14:paraId="725BDB51"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single" w:sz="12" w:space="0" w:color="auto"/>
              <w:left w:val="nil"/>
              <w:bottom w:val="single" w:sz="2" w:space="0" w:color="auto"/>
              <w:right w:val="nil"/>
            </w:tcBorders>
            <w:shd w:val="clear" w:color="auto" w:fill="auto"/>
            <w:vAlign w:val="bottom"/>
          </w:tcPr>
          <w:p w14:paraId="48F9A690"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r>
      <w:tr w:rsidR="00F46260" w:rsidRPr="00F46260" w14:paraId="3F59434D" w14:textId="77777777" w:rsidTr="00D1524E">
        <w:trPr>
          <w:trHeight w:val="270"/>
        </w:trPr>
        <w:tc>
          <w:tcPr>
            <w:tcW w:w="2911" w:type="pct"/>
            <w:tcBorders>
              <w:top w:val="single" w:sz="2" w:space="0" w:color="auto"/>
              <w:left w:val="nil"/>
              <w:bottom w:val="single" w:sz="12" w:space="0" w:color="auto"/>
              <w:right w:val="nil"/>
            </w:tcBorders>
            <w:shd w:val="clear" w:color="auto" w:fill="auto"/>
            <w:vAlign w:val="bottom"/>
          </w:tcPr>
          <w:p w14:paraId="0B9ED1A2"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Net cash flows from operating activities</w:t>
            </w:r>
          </w:p>
        </w:tc>
        <w:tc>
          <w:tcPr>
            <w:tcW w:w="437" w:type="pct"/>
            <w:tcBorders>
              <w:top w:val="single" w:sz="2" w:space="0" w:color="auto"/>
              <w:left w:val="nil"/>
              <w:bottom w:val="single" w:sz="12" w:space="0" w:color="auto"/>
              <w:right w:val="nil"/>
            </w:tcBorders>
            <w:shd w:val="clear" w:color="auto" w:fill="auto"/>
            <w:vAlign w:val="bottom"/>
          </w:tcPr>
          <w:p w14:paraId="66DCE3E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6.2</w:t>
            </w:r>
          </w:p>
        </w:tc>
        <w:tc>
          <w:tcPr>
            <w:tcW w:w="807" w:type="pct"/>
            <w:tcBorders>
              <w:top w:val="single" w:sz="2" w:space="0" w:color="auto"/>
              <w:left w:val="nil"/>
              <w:bottom w:val="single" w:sz="12" w:space="0" w:color="auto"/>
              <w:right w:val="nil"/>
            </w:tcBorders>
            <w:shd w:val="pct15" w:color="auto" w:fill="auto"/>
            <w:vAlign w:val="bottom"/>
          </w:tcPr>
          <w:p w14:paraId="431F1923"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718,478</w:t>
            </w:r>
          </w:p>
        </w:tc>
        <w:tc>
          <w:tcPr>
            <w:tcW w:w="122" w:type="pct"/>
            <w:tcBorders>
              <w:top w:val="single" w:sz="2" w:space="0" w:color="auto"/>
              <w:left w:val="nil"/>
              <w:bottom w:val="single" w:sz="12" w:space="0" w:color="auto"/>
              <w:right w:val="nil"/>
            </w:tcBorders>
            <w:shd w:val="clear" w:color="auto" w:fill="auto"/>
            <w:vAlign w:val="bottom"/>
          </w:tcPr>
          <w:p w14:paraId="1B142ADC"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single" w:sz="2" w:space="0" w:color="auto"/>
              <w:left w:val="nil"/>
              <w:bottom w:val="single" w:sz="12" w:space="0" w:color="auto"/>
              <w:right w:val="nil"/>
            </w:tcBorders>
            <w:shd w:val="clear" w:color="auto" w:fill="auto"/>
            <w:vAlign w:val="bottom"/>
          </w:tcPr>
          <w:p w14:paraId="6FBCF6E9"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712,109</w:t>
            </w:r>
          </w:p>
        </w:tc>
      </w:tr>
      <w:tr w:rsidR="00F46260" w:rsidRPr="00F46260" w14:paraId="5FDF2CE9" w14:textId="77777777" w:rsidTr="00D1524E">
        <w:trPr>
          <w:trHeight w:val="270"/>
        </w:trPr>
        <w:tc>
          <w:tcPr>
            <w:tcW w:w="2911" w:type="pct"/>
            <w:tcBorders>
              <w:top w:val="single" w:sz="12" w:space="0" w:color="auto"/>
              <w:left w:val="nil"/>
              <w:bottom w:val="nil"/>
              <w:right w:val="nil"/>
            </w:tcBorders>
            <w:shd w:val="clear" w:color="auto" w:fill="auto"/>
            <w:vAlign w:val="bottom"/>
          </w:tcPr>
          <w:p w14:paraId="5E77C826" w14:textId="77777777" w:rsidR="00F46260" w:rsidRPr="00F46260" w:rsidRDefault="00F46260" w:rsidP="00F46260">
            <w:pPr>
              <w:spacing w:after="0" w:line="240" w:lineRule="auto"/>
              <w:rPr>
                <w:rFonts w:ascii="Arial" w:eastAsia="Times New Roman" w:hAnsi="Arial" w:cs="Arial"/>
                <w:b/>
                <w:bCs/>
                <w:i/>
                <w:iCs/>
                <w:sz w:val="20"/>
                <w:szCs w:val="20"/>
                <w:lang w:eastAsia="en-AU"/>
              </w:rPr>
            </w:pPr>
          </w:p>
        </w:tc>
        <w:tc>
          <w:tcPr>
            <w:tcW w:w="437" w:type="pct"/>
            <w:tcBorders>
              <w:top w:val="single" w:sz="12" w:space="0" w:color="auto"/>
              <w:left w:val="nil"/>
              <w:bottom w:val="nil"/>
              <w:right w:val="nil"/>
            </w:tcBorders>
            <w:shd w:val="clear" w:color="auto" w:fill="auto"/>
            <w:vAlign w:val="bottom"/>
          </w:tcPr>
          <w:p w14:paraId="34463837"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single" w:sz="12" w:space="0" w:color="auto"/>
              <w:left w:val="nil"/>
              <w:bottom w:val="nil"/>
              <w:right w:val="nil"/>
            </w:tcBorders>
            <w:shd w:val="pct15" w:color="auto" w:fill="auto"/>
            <w:vAlign w:val="bottom"/>
          </w:tcPr>
          <w:p w14:paraId="04E76ABA"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22" w:type="pct"/>
            <w:tcBorders>
              <w:top w:val="single" w:sz="12" w:space="0" w:color="auto"/>
              <w:left w:val="nil"/>
              <w:bottom w:val="nil"/>
              <w:right w:val="nil"/>
            </w:tcBorders>
            <w:shd w:val="clear" w:color="auto" w:fill="auto"/>
            <w:vAlign w:val="bottom"/>
          </w:tcPr>
          <w:p w14:paraId="3CF625C1"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723" w:type="pct"/>
            <w:tcBorders>
              <w:top w:val="single" w:sz="12" w:space="0" w:color="auto"/>
              <w:left w:val="nil"/>
              <w:bottom w:val="nil"/>
              <w:right w:val="nil"/>
            </w:tcBorders>
            <w:shd w:val="clear" w:color="auto" w:fill="auto"/>
            <w:vAlign w:val="bottom"/>
          </w:tcPr>
          <w:p w14:paraId="4A134231"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52F197A6" w14:textId="77777777" w:rsidTr="00D1524E">
        <w:trPr>
          <w:trHeight w:val="255"/>
        </w:trPr>
        <w:tc>
          <w:tcPr>
            <w:tcW w:w="2911" w:type="pct"/>
            <w:tcBorders>
              <w:top w:val="nil"/>
              <w:left w:val="nil"/>
              <w:right w:val="nil"/>
            </w:tcBorders>
            <w:shd w:val="clear" w:color="auto" w:fill="auto"/>
            <w:vAlign w:val="bottom"/>
          </w:tcPr>
          <w:p w14:paraId="0FCAE20E"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Cash flows from/(used in) investing activities</w:t>
            </w:r>
          </w:p>
        </w:tc>
        <w:tc>
          <w:tcPr>
            <w:tcW w:w="437" w:type="pct"/>
            <w:tcBorders>
              <w:top w:val="nil"/>
              <w:left w:val="nil"/>
              <w:right w:val="nil"/>
            </w:tcBorders>
            <w:shd w:val="clear" w:color="auto" w:fill="auto"/>
            <w:vAlign w:val="bottom"/>
          </w:tcPr>
          <w:p w14:paraId="754EECC7"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nil"/>
              <w:left w:val="nil"/>
              <w:right w:val="nil"/>
            </w:tcBorders>
            <w:shd w:val="pct15" w:color="auto" w:fill="auto"/>
            <w:vAlign w:val="bottom"/>
          </w:tcPr>
          <w:p w14:paraId="6FDE893F"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22" w:type="pct"/>
            <w:tcBorders>
              <w:top w:val="nil"/>
              <w:left w:val="nil"/>
              <w:right w:val="nil"/>
            </w:tcBorders>
            <w:shd w:val="clear" w:color="auto" w:fill="auto"/>
            <w:vAlign w:val="bottom"/>
          </w:tcPr>
          <w:p w14:paraId="474438F0"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723" w:type="pct"/>
            <w:tcBorders>
              <w:top w:val="nil"/>
              <w:left w:val="nil"/>
              <w:right w:val="nil"/>
            </w:tcBorders>
            <w:shd w:val="clear" w:color="auto" w:fill="auto"/>
            <w:vAlign w:val="bottom"/>
          </w:tcPr>
          <w:p w14:paraId="1F491D31"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4D6CFA21" w14:textId="77777777" w:rsidTr="00D1524E">
        <w:trPr>
          <w:trHeight w:val="255"/>
        </w:trPr>
        <w:tc>
          <w:tcPr>
            <w:tcW w:w="2911" w:type="pct"/>
            <w:tcBorders>
              <w:top w:val="nil"/>
              <w:left w:val="nil"/>
              <w:right w:val="nil"/>
            </w:tcBorders>
            <w:shd w:val="clear" w:color="auto" w:fill="auto"/>
            <w:vAlign w:val="bottom"/>
          </w:tcPr>
          <w:p w14:paraId="195393A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Payments for property, plant and equipment</w:t>
            </w:r>
          </w:p>
        </w:tc>
        <w:tc>
          <w:tcPr>
            <w:tcW w:w="437" w:type="pct"/>
            <w:tcBorders>
              <w:top w:val="nil"/>
              <w:left w:val="nil"/>
            </w:tcBorders>
            <w:shd w:val="clear" w:color="auto" w:fill="auto"/>
            <w:vAlign w:val="bottom"/>
          </w:tcPr>
          <w:p w14:paraId="365400B3"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right w:val="nil"/>
            </w:tcBorders>
            <w:shd w:val="pct15" w:color="auto" w:fill="auto"/>
            <w:vAlign w:val="bottom"/>
          </w:tcPr>
          <w:p w14:paraId="4FABB21C"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(16,146)</w:t>
            </w:r>
          </w:p>
        </w:tc>
        <w:tc>
          <w:tcPr>
            <w:tcW w:w="122" w:type="pct"/>
            <w:tcBorders>
              <w:left w:val="nil"/>
              <w:right w:val="nil"/>
            </w:tcBorders>
            <w:shd w:val="clear" w:color="auto" w:fill="auto"/>
            <w:vAlign w:val="bottom"/>
          </w:tcPr>
          <w:p w14:paraId="08DCC945"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left w:val="nil"/>
            </w:tcBorders>
            <w:shd w:val="clear" w:color="auto" w:fill="auto"/>
            <w:vAlign w:val="bottom"/>
          </w:tcPr>
          <w:p w14:paraId="1922218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Cs/>
                <w:sz w:val="20"/>
                <w:szCs w:val="20"/>
                <w:lang w:eastAsia="en-AU"/>
              </w:rPr>
              <w:t>(80,215)</w:t>
            </w:r>
          </w:p>
        </w:tc>
      </w:tr>
      <w:tr w:rsidR="00F46260" w:rsidRPr="00F46260" w14:paraId="53B9765A" w14:textId="77777777" w:rsidTr="00D1524E">
        <w:trPr>
          <w:trHeight w:val="255"/>
        </w:trPr>
        <w:tc>
          <w:tcPr>
            <w:tcW w:w="2911" w:type="pct"/>
            <w:tcBorders>
              <w:left w:val="nil"/>
              <w:bottom w:val="single" w:sz="2" w:space="0" w:color="auto"/>
              <w:right w:val="nil"/>
            </w:tcBorders>
            <w:shd w:val="clear" w:color="auto" w:fill="auto"/>
            <w:vAlign w:val="bottom"/>
          </w:tcPr>
          <w:p w14:paraId="68C4A5C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Payment for intangible assets</w:t>
            </w:r>
          </w:p>
        </w:tc>
        <w:tc>
          <w:tcPr>
            <w:tcW w:w="437" w:type="pct"/>
            <w:tcBorders>
              <w:left w:val="nil"/>
              <w:bottom w:val="single" w:sz="2" w:space="0" w:color="auto"/>
            </w:tcBorders>
            <w:shd w:val="clear" w:color="auto" w:fill="auto"/>
            <w:vAlign w:val="bottom"/>
          </w:tcPr>
          <w:p w14:paraId="5B1851F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bottom w:val="single" w:sz="2" w:space="0" w:color="auto"/>
              <w:right w:val="nil"/>
            </w:tcBorders>
            <w:shd w:val="pct15" w:color="auto" w:fill="auto"/>
            <w:vAlign w:val="bottom"/>
          </w:tcPr>
          <w:p w14:paraId="4F0DD4BD"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(708,990)</w:t>
            </w:r>
          </w:p>
        </w:tc>
        <w:tc>
          <w:tcPr>
            <w:tcW w:w="122" w:type="pct"/>
            <w:tcBorders>
              <w:left w:val="nil"/>
              <w:bottom w:val="single" w:sz="2" w:space="0" w:color="auto"/>
              <w:right w:val="nil"/>
            </w:tcBorders>
            <w:shd w:val="clear" w:color="auto" w:fill="auto"/>
            <w:vAlign w:val="bottom"/>
          </w:tcPr>
          <w:p w14:paraId="60A7263B"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left w:val="nil"/>
              <w:bottom w:val="single" w:sz="2" w:space="0" w:color="auto"/>
            </w:tcBorders>
            <w:shd w:val="clear" w:color="auto" w:fill="auto"/>
            <w:vAlign w:val="bottom"/>
          </w:tcPr>
          <w:p w14:paraId="0772A1E5"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Cs/>
                <w:sz w:val="20"/>
                <w:szCs w:val="20"/>
                <w:lang w:eastAsia="en-AU"/>
              </w:rPr>
              <w:t>(422,036)</w:t>
            </w:r>
          </w:p>
        </w:tc>
      </w:tr>
      <w:tr w:rsidR="00F46260" w:rsidRPr="00F46260" w14:paraId="1AE54AA0" w14:textId="77777777" w:rsidTr="00D1524E">
        <w:trPr>
          <w:trHeight w:val="270"/>
        </w:trPr>
        <w:tc>
          <w:tcPr>
            <w:tcW w:w="2911" w:type="pct"/>
            <w:tcBorders>
              <w:top w:val="single" w:sz="2" w:space="0" w:color="auto"/>
              <w:left w:val="nil"/>
              <w:bottom w:val="single" w:sz="12" w:space="0" w:color="auto"/>
              <w:right w:val="nil"/>
            </w:tcBorders>
            <w:shd w:val="clear" w:color="auto" w:fill="auto"/>
            <w:vAlign w:val="bottom"/>
          </w:tcPr>
          <w:p w14:paraId="0CFE4253"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Net cash flows from/(used in) investing activities</w:t>
            </w:r>
          </w:p>
        </w:tc>
        <w:tc>
          <w:tcPr>
            <w:tcW w:w="437" w:type="pct"/>
            <w:tcBorders>
              <w:top w:val="single" w:sz="2" w:space="0" w:color="auto"/>
              <w:left w:val="nil"/>
              <w:bottom w:val="single" w:sz="12" w:space="0" w:color="auto"/>
              <w:right w:val="nil"/>
            </w:tcBorders>
            <w:shd w:val="clear" w:color="auto" w:fill="auto"/>
            <w:vAlign w:val="bottom"/>
          </w:tcPr>
          <w:p w14:paraId="114325A6"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single" w:sz="2" w:space="0" w:color="auto"/>
              <w:left w:val="nil"/>
              <w:bottom w:val="single" w:sz="12" w:space="0" w:color="auto"/>
              <w:right w:val="nil"/>
            </w:tcBorders>
            <w:shd w:val="pct15" w:color="auto" w:fill="auto"/>
            <w:vAlign w:val="bottom"/>
          </w:tcPr>
          <w:p w14:paraId="58080D52"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(725,136)</w:t>
            </w:r>
          </w:p>
        </w:tc>
        <w:tc>
          <w:tcPr>
            <w:tcW w:w="122" w:type="pct"/>
            <w:tcBorders>
              <w:top w:val="single" w:sz="2" w:space="0" w:color="auto"/>
              <w:left w:val="nil"/>
              <w:bottom w:val="single" w:sz="12" w:space="0" w:color="auto"/>
              <w:right w:val="nil"/>
            </w:tcBorders>
            <w:shd w:val="clear" w:color="auto" w:fill="auto"/>
            <w:vAlign w:val="bottom"/>
          </w:tcPr>
          <w:p w14:paraId="47F3EF96"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single" w:sz="2" w:space="0" w:color="auto"/>
              <w:left w:val="nil"/>
              <w:bottom w:val="single" w:sz="12" w:space="0" w:color="auto"/>
              <w:right w:val="nil"/>
            </w:tcBorders>
            <w:shd w:val="clear" w:color="auto" w:fill="auto"/>
            <w:vAlign w:val="bottom"/>
          </w:tcPr>
          <w:p w14:paraId="743B1D7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(502,251)</w:t>
            </w:r>
          </w:p>
        </w:tc>
      </w:tr>
      <w:tr w:rsidR="00F46260" w:rsidRPr="00F46260" w14:paraId="4824FE6B" w14:textId="77777777" w:rsidTr="00D1524E">
        <w:trPr>
          <w:trHeight w:val="255"/>
        </w:trPr>
        <w:tc>
          <w:tcPr>
            <w:tcW w:w="2911" w:type="pct"/>
            <w:tcBorders>
              <w:top w:val="single" w:sz="12" w:space="0" w:color="auto"/>
              <w:left w:val="nil"/>
              <w:bottom w:val="nil"/>
              <w:right w:val="nil"/>
            </w:tcBorders>
            <w:shd w:val="clear" w:color="auto" w:fill="auto"/>
            <w:vAlign w:val="bottom"/>
          </w:tcPr>
          <w:p w14:paraId="696C9631"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37" w:type="pct"/>
            <w:tcBorders>
              <w:top w:val="single" w:sz="12" w:space="0" w:color="auto"/>
              <w:left w:val="nil"/>
              <w:bottom w:val="nil"/>
              <w:right w:val="nil"/>
            </w:tcBorders>
            <w:shd w:val="clear" w:color="auto" w:fill="auto"/>
            <w:vAlign w:val="bottom"/>
          </w:tcPr>
          <w:p w14:paraId="05CACD3E"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single" w:sz="12" w:space="0" w:color="auto"/>
              <w:left w:val="nil"/>
              <w:bottom w:val="nil"/>
              <w:right w:val="nil"/>
            </w:tcBorders>
            <w:shd w:val="pct15" w:color="auto" w:fill="auto"/>
            <w:vAlign w:val="bottom"/>
          </w:tcPr>
          <w:p w14:paraId="5030652A"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22" w:type="pct"/>
            <w:tcBorders>
              <w:top w:val="single" w:sz="12" w:space="0" w:color="auto"/>
              <w:left w:val="nil"/>
              <w:bottom w:val="nil"/>
              <w:right w:val="nil"/>
            </w:tcBorders>
            <w:shd w:val="clear" w:color="auto" w:fill="auto"/>
            <w:vAlign w:val="bottom"/>
          </w:tcPr>
          <w:p w14:paraId="6BA5EB73"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723" w:type="pct"/>
            <w:tcBorders>
              <w:top w:val="single" w:sz="12" w:space="0" w:color="auto"/>
              <w:left w:val="nil"/>
              <w:bottom w:val="nil"/>
              <w:right w:val="nil"/>
            </w:tcBorders>
            <w:shd w:val="clear" w:color="auto" w:fill="auto"/>
            <w:vAlign w:val="bottom"/>
          </w:tcPr>
          <w:p w14:paraId="574689E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1E2D16AF" w14:textId="77777777" w:rsidTr="00D1524E">
        <w:trPr>
          <w:trHeight w:val="255"/>
        </w:trPr>
        <w:tc>
          <w:tcPr>
            <w:tcW w:w="2911" w:type="pct"/>
            <w:tcBorders>
              <w:top w:val="nil"/>
              <w:left w:val="nil"/>
              <w:right w:val="nil"/>
            </w:tcBorders>
            <w:shd w:val="clear" w:color="auto" w:fill="auto"/>
            <w:vAlign w:val="bottom"/>
          </w:tcPr>
          <w:p w14:paraId="4E411BBF"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Cash flows from/(used in) financing activities</w:t>
            </w:r>
          </w:p>
        </w:tc>
        <w:tc>
          <w:tcPr>
            <w:tcW w:w="437" w:type="pct"/>
            <w:tcBorders>
              <w:top w:val="nil"/>
              <w:left w:val="nil"/>
              <w:right w:val="nil"/>
            </w:tcBorders>
            <w:shd w:val="clear" w:color="auto" w:fill="auto"/>
            <w:vAlign w:val="bottom"/>
          </w:tcPr>
          <w:p w14:paraId="32D2562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nil"/>
              <w:left w:val="nil"/>
              <w:right w:val="nil"/>
            </w:tcBorders>
            <w:shd w:val="pct15" w:color="auto" w:fill="auto"/>
            <w:vAlign w:val="bottom"/>
          </w:tcPr>
          <w:p w14:paraId="4A4052B0"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22" w:type="pct"/>
            <w:tcBorders>
              <w:top w:val="nil"/>
              <w:left w:val="nil"/>
              <w:right w:val="nil"/>
            </w:tcBorders>
            <w:shd w:val="clear" w:color="auto" w:fill="auto"/>
            <w:vAlign w:val="bottom"/>
          </w:tcPr>
          <w:p w14:paraId="20B10414"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723" w:type="pct"/>
            <w:tcBorders>
              <w:top w:val="nil"/>
              <w:left w:val="nil"/>
              <w:right w:val="nil"/>
            </w:tcBorders>
            <w:shd w:val="clear" w:color="auto" w:fill="auto"/>
            <w:vAlign w:val="bottom"/>
          </w:tcPr>
          <w:p w14:paraId="41F63A73"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2330A3C5" w14:textId="77777777" w:rsidTr="00D1524E">
        <w:trPr>
          <w:trHeight w:val="255"/>
        </w:trPr>
        <w:tc>
          <w:tcPr>
            <w:tcW w:w="2911" w:type="pct"/>
            <w:tcBorders>
              <w:top w:val="nil"/>
              <w:left w:val="nil"/>
              <w:right w:val="nil"/>
            </w:tcBorders>
            <w:shd w:val="clear" w:color="auto" w:fill="auto"/>
            <w:vAlign w:val="bottom"/>
          </w:tcPr>
          <w:p w14:paraId="42CC074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Cash transferred in -Machinery of Government Changes</w:t>
            </w:r>
          </w:p>
        </w:tc>
        <w:tc>
          <w:tcPr>
            <w:tcW w:w="437" w:type="pct"/>
            <w:tcBorders>
              <w:top w:val="nil"/>
              <w:left w:val="nil"/>
              <w:right w:val="nil"/>
            </w:tcBorders>
            <w:shd w:val="clear" w:color="auto" w:fill="auto"/>
            <w:vAlign w:val="bottom"/>
          </w:tcPr>
          <w:p w14:paraId="2840D2A4"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nil"/>
              <w:left w:val="nil"/>
              <w:right w:val="nil"/>
            </w:tcBorders>
            <w:shd w:val="pct15" w:color="auto" w:fill="auto"/>
            <w:vAlign w:val="bottom"/>
          </w:tcPr>
          <w:p w14:paraId="59DDA3DC"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19,859</w:t>
            </w:r>
          </w:p>
        </w:tc>
        <w:tc>
          <w:tcPr>
            <w:tcW w:w="122" w:type="pct"/>
            <w:tcBorders>
              <w:top w:val="nil"/>
              <w:left w:val="nil"/>
              <w:right w:val="nil"/>
            </w:tcBorders>
            <w:shd w:val="clear" w:color="auto" w:fill="auto"/>
            <w:vAlign w:val="bottom"/>
          </w:tcPr>
          <w:p w14:paraId="26E4174D"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nil"/>
              <w:left w:val="nil"/>
              <w:right w:val="nil"/>
            </w:tcBorders>
            <w:shd w:val="clear" w:color="auto" w:fill="auto"/>
            <w:vAlign w:val="bottom"/>
          </w:tcPr>
          <w:p w14:paraId="175E996D"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w:t>
            </w:r>
          </w:p>
        </w:tc>
      </w:tr>
      <w:tr w:rsidR="00F46260" w:rsidRPr="00F46260" w14:paraId="6A09F3FD" w14:textId="77777777" w:rsidTr="00D1524E">
        <w:trPr>
          <w:trHeight w:val="255"/>
        </w:trPr>
        <w:tc>
          <w:tcPr>
            <w:tcW w:w="2911" w:type="pct"/>
            <w:tcBorders>
              <w:top w:val="nil"/>
              <w:left w:val="nil"/>
              <w:right w:val="nil"/>
            </w:tcBorders>
            <w:shd w:val="clear" w:color="auto" w:fill="auto"/>
            <w:vAlign w:val="bottom"/>
          </w:tcPr>
          <w:p w14:paraId="1C0786B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Repayment of leases</w:t>
            </w:r>
          </w:p>
        </w:tc>
        <w:tc>
          <w:tcPr>
            <w:tcW w:w="437" w:type="pct"/>
            <w:tcBorders>
              <w:top w:val="nil"/>
              <w:left w:val="nil"/>
              <w:right w:val="nil"/>
            </w:tcBorders>
            <w:shd w:val="clear" w:color="auto" w:fill="auto"/>
            <w:vAlign w:val="bottom"/>
          </w:tcPr>
          <w:p w14:paraId="67C9207B"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nil"/>
              <w:left w:val="nil"/>
              <w:right w:val="nil"/>
            </w:tcBorders>
            <w:shd w:val="pct15" w:color="auto" w:fill="auto"/>
            <w:vAlign w:val="bottom"/>
          </w:tcPr>
          <w:p w14:paraId="29EFF96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(13,801)</w:t>
            </w:r>
          </w:p>
        </w:tc>
        <w:tc>
          <w:tcPr>
            <w:tcW w:w="122" w:type="pct"/>
            <w:tcBorders>
              <w:top w:val="nil"/>
              <w:left w:val="nil"/>
              <w:right w:val="nil"/>
            </w:tcBorders>
            <w:shd w:val="clear" w:color="auto" w:fill="auto"/>
            <w:vAlign w:val="bottom"/>
          </w:tcPr>
          <w:p w14:paraId="763EF14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nil"/>
              <w:left w:val="nil"/>
              <w:right w:val="nil"/>
            </w:tcBorders>
            <w:shd w:val="clear" w:color="auto" w:fill="auto"/>
            <w:vAlign w:val="bottom"/>
          </w:tcPr>
          <w:p w14:paraId="67BA1D7B"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(209,858)</w:t>
            </w:r>
          </w:p>
        </w:tc>
      </w:tr>
      <w:tr w:rsidR="00F46260" w:rsidRPr="00F46260" w14:paraId="4CEF8541" w14:textId="77777777" w:rsidTr="00D1524E">
        <w:trPr>
          <w:trHeight w:val="270"/>
        </w:trPr>
        <w:tc>
          <w:tcPr>
            <w:tcW w:w="2911" w:type="pct"/>
            <w:tcBorders>
              <w:top w:val="single" w:sz="2" w:space="0" w:color="auto"/>
              <w:left w:val="nil"/>
              <w:bottom w:val="single" w:sz="12" w:space="0" w:color="auto"/>
              <w:right w:val="nil"/>
            </w:tcBorders>
            <w:shd w:val="clear" w:color="auto" w:fill="auto"/>
            <w:vAlign w:val="bottom"/>
          </w:tcPr>
          <w:p w14:paraId="1AE217DD"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Net cash flows from/(used in) financing activities</w:t>
            </w:r>
          </w:p>
        </w:tc>
        <w:tc>
          <w:tcPr>
            <w:tcW w:w="437" w:type="pct"/>
            <w:tcBorders>
              <w:top w:val="single" w:sz="2" w:space="0" w:color="auto"/>
              <w:left w:val="nil"/>
              <w:bottom w:val="single" w:sz="12" w:space="0" w:color="auto"/>
              <w:right w:val="nil"/>
            </w:tcBorders>
            <w:shd w:val="clear" w:color="auto" w:fill="auto"/>
            <w:vAlign w:val="bottom"/>
          </w:tcPr>
          <w:p w14:paraId="6EBA42C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single" w:sz="2" w:space="0" w:color="auto"/>
              <w:left w:val="nil"/>
              <w:bottom w:val="single" w:sz="12" w:space="0" w:color="auto"/>
              <w:right w:val="nil"/>
            </w:tcBorders>
            <w:shd w:val="pct15" w:color="auto" w:fill="auto"/>
            <w:vAlign w:val="bottom"/>
          </w:tcPr>
          <w:p w14:paraId="7AA1207D"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6,058</w:t>
            </w:r>
          </w:p>
        </w:tc>
        <w:tc>
          <w:tcPr>
            <w:tcW w:w="122" w:type="pct"/>
            <w:tcBorders>
              <w:top w:val="single" w:sz="2" w:space="0" w:color="auto"/>
              <w:left w:val="nil"/>
              <w:bottom w:val="single" w:sz="12" w:space="0" w:color="auto"/>
              <w:right w:val="nil"/>
            </w:tcBorders>
            <w:shd w:val="clear" w:color="auto" w:fill="auto"/>
            <w:vAlign w:val="bottom"/>
          </w:tcPr>
          <w:p w14:paraId="126844D6"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723" w:type="pct"/>
            <w:tcBorders>
              <w:top w:val="single" w:sz="2" w:space="0" w:color="auto"/>
              <w:left w:val="nil"/>
              <w:bottom w:val="single" w:sz="12" w:space="0" w:color="auto"/>
              <w:right w:val="nil"/>
            </w:tcBorders>
            <w:shd w:val="clear" w:color="auto" w:fill="auto"/>
            <w:vAlign w:val="bottom"/>
          </w:tcPr>
          <w:p w14:paraId="45258F19"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(209,858)</w:t>
            </w:r>
          </w:p>
        </w:tc>
      </w:tr>
      <w:tr w:rsidR="00F46260" w:rsidRPr="00F46260" w14:paraId="484CA48C" w14:textId="77777777" w:rsidTr="00D1524E">
        <w:trPr>
          <w:trHeight w:val="255"/>
        </w:trPr>
        <w:tc>
          <w:tcPr>
            <w:tcW w:w="2911" w:type="pct"/>
            <w:tcBorders>
              <w:top w:val="single" w:sz="12" w:space="0" w:color="auto"/>
              <w:left w:val="nil"/>
              <w:bottom w:val="nil"/>
              <w:right w:val="nil"/>
            </w:tcBorders>
            <w:shd w:val="clear" w:color="auto" w:fill="auto"/>
            <w:vAlign w:val="bottom"/>
          </w:tcPr>
          <w:p w14:paraId="1BD7D9EB"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Net increase/(decrease) in cash held</w:t>
            </w:r>
          </w:p>
        </w:tc>
        <w:tc>
          <w:tcPr>
            <w:tcW w:w="437" w:type="pct"/>
            <w:tcBorders>
              <w:top w:val="single" w:sz="12" w:space="0" w:color="auto"/>
              <w:left w:val="nil"/>
              <w:bottom w:val="nil"/>
              <w:right w:val="nil"/>
            </w:tcBorders>
            <w:shd w:val="clear" w:color="auto" w:fill="auto"/>
            <w:vAlign w:val="bottom"/>
          </w:tcPr>
          <w:p w14:paraId="42CFD4E7"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single" w:sz="12" w:space="0" w:color="auto"/>
              <w:left w:val="nil"/>
              <w:bottom w:val="nil"/>
              <w:right w:val="nil"/>
            </w:tcBorders>
            <w:shd w:val="pct15" w:color="auto" w:fill="auto"/>
            <w:vAlign w:val="bottom"/>
          </w:tcPr>
          <w:p w14:paraId="3A27752A"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(600)</w:t>
            </w:r>
          </w:p>
        </w:tc>
        <w:tc>
          <w:tcPr>
            <w:tcW w:w="122" w:type="pct"/>
            <w:tcBorders>
              <w:top w:val="single" w:sz="12" w:space="0" w:color="auto"/>
              <w:left w:val="nil"/>
              <w:bottom w:val="nil"/>
              <w:right w:val="nil"/>
            </w:tcBorders>
            <w:shd w:val="clear" w:color="auto" w:fill="auto"/>
            <w:vAlign w:val="bottom"/>
          </w:tcPr>
          <w:p w14:paraId="16C69E88"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723" w:type="pct"/>
            <w:tcBorders>
              <w:top w:val="single" w:sz="12" w:space="0" w:color="auto"/>
              <w:left w:val="nil"/>
              <w:bottom w:val="nil"/>
              <w:right w:val="nil"/>
            </w:tcBorders>
            <w:shd w:val="clear" w:color="auto" w:fill="auto"/>
            <w:vAlign w:val="bottom"/>
          </w:tcPr>
          <w:p w14:paraId="5CBC8BD0"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w:t>
            </w:r>
          </w:p>
        </w:tc>
      </w:tr>
      <w:tr w:rsidR="00F46260" w:rsidRPr="00F46260" w14:paraId="0628BF93" w14:textId="77777777" w:rsidTr="00D1524E">
        <w:trPr>
          <w:trHeight w:val="255"/>
        </w:trPr>
        <w:tc>
          <w:tcPr>
            <w:tcW w:w="2911" w:type="pct"/>
            <w:tcBorders>
              <w:top w:val="nil"/>
              <w:left w:val="nil"/>
              <w:bottom w:val="single" w:sz="2" w:space="0" w:color="auto"/>
              <w:right w:val="nil"/>
            </w:tcBorders>
            <w:shd w:val="clear" w:color="auto" w:fill="auto"/>
            <w:vAlign w:val="bottom"/>
          </w:tcPr>
          <w:p w14:paraId="3F515D9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Cash at the start of the year</w:t>
            </w:r>
          </w:p>
        </w:tc>
        <w:tc>
          <w:tcPr>
            <w:tcW w:w="437" w:type="pct"/>
            <w:tcBorders>
              <w:top w:val="nil"/>
              <w:left w:val="nil"/>
              <w:bottom w:val="single" w:sz="2" w:space="0" w:color="auto"/>
              <w:right w:val="nil"/>
            </w:tcBorders>
            <w:shd w:val="clear" w:color="auto" w:fill="auto"/>
            <w:vAlign w:val="bottom"/>
          </w:tcPr>
          <w:p w14:paraId="2F80FFD7"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nil"/>
              <w:left w:val="nil"/>
              <w:bottom w:val="single" w:sz="2" w:space="0" w:color="auto"/>
              <w:right w:val="nil"/>
            </w:tcBorders>
            <w:shd w:val="pct15" w:color="auto" w:fill="auto"/>
            <w:vAlign w:val="bottom"/>
          </w:tcPr>
          <w:p w14:paraId="02E3B09A" w14:textId="77777777" w:rsidR="00F46260" w:rsidRPr="00F46260" w:rsidRDefault="00F46260" w:rsidP="00F46260">
            <w:pPr>
              <w:spacing w:after="0" w:line="240" w:lineRule="auto"/>
              <w:jc w:val="center"/>
              <w:rPr>
                <w:rFonts w:ascii="Arial" w:eastAsia="Times New Roman" w:hAnsi="Arial" w:cs="Arial"/>
                <w:bCs/>
                <w:sz w:val="20"/>
                <w:szCs w:val="20"/>
                <w:lang w:eastAsia="en-AU"/>
              </w:rPr>
            </w:pPr>
            <w:r w:rsidRPr="00F46260">
              <w:rPr>
                <w:rFonts w:ascii="Arial" w:eastAsia="Times New Roman" w:hAnsi="Arial" w:cs="Arial"/>
                <w:bCs/>
                <w:sz w:val="20"/>
                <w:szCs w:val="20"/>
                <w:lang w:eastAsia="en-AU"/>
              </w:rPr>
              <w:t xml:space="preserve">                 600</w:t>
            </w:r>
          </w:p>
        </w:tc>
        <w:tc>
          <w:tcPr>
            <w:tcW w:w="122" w:type="pct"/>
            <w:tcBorders>
              <w:top w:val="nil"/>
              <w:left w:val="nil"/>
              <w:bottom w:val="single" w:sz="2" w:space="0" w:color="auto"/>
              <w:right w:val="nil"/>
            </w:tcBorders>
            <w:shd w:val="clear" w:color="auto" w:fill="auto"/>
            <w:vAlign w:val="bottom"/>
          </w:tcPr>
          <w:p w14:paraId="73FAC115"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723" w:type="pct"/>
            <w:tcBorders>
              <w:top w:val="nil"/>
              <w:left w:val="nil"/>
              <w:bottom w:val="single" w:sz="2" w:space="0" w:color="auto"/>
              <w:right w:val="nil"/>
            </w:tcBorders>
            <w:shd w:val="clear" w:color="auto" w:fill="auto"/>
            <w:vAlign w:val="bottom"/>
          </w:tcPr>
          <w:p w14:paraId="75CE4B39"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600</w:t>
            </w:r>
          </w:p>
        </w:tc>
      </w:tr>
      <w:tr w:rsidR="00F46260" w:rsidRPr="00F46260" w14:paraId="6B1FBD97" w14:textId="77777777" w:rsidTr="00D1524E">
        <w:trPr>
          <w:trHeight w:val="270"/>
        </w:trPr>
        <w:tc>
          <w:tcPr>
            <w:tcW w:w="2911" w:type="pct"/>
            <w:tcBorders>
              <w:top w:val="single" w:sz="2" w:space="0" w:color="auto"/>
              <w:left w:val="nil"/>
              <w:bottom w:val="single" w:sz="12" w:space="0" w:color="auto"/>
              <w:right w:val="nil"/>
            </w:tcBorders>
            <w:shd w:val="clear" w:color="auto" w:fill="auto"/>
            <w:vAlign w:val="bottom"/>
          </w:tcPr>
          <w:p w14:paraId="644A133D"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Cash at the end of the year</w:t>
            </w:r>
          </w:p>
        </w:tc>
        <w:tc>
          <w:tcPr>
            <w:tcW w:w="437" w:type="pct"/>
            <w:tcBorders>
              <w:top w:val="single" w:sz="2" w:space="0" w:color="auto"/>
              <w:left w:val="nil"/>
              <w:bottom w:val="single" w:sz="12" w:space="0" w:color="auto"/>
              <w:right w:val="nil"/>
            </w:tcBorders>
            <w:shd w:val="clear" w:color="auto" w:fill="auto"/>
            <w:vAlign w:val="bottom"/>
          </w:tcPr>
          <w:p w14:paraId="08D0E4C7"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single" w:sz="2" w:space="0" w:color="auto"/>
              <w:left w:val="nil"/>
              <w:bottom w:val="single" w:sz="12" w:space="0" w:color="auto"/>
              <w:right w:val="nil"/>
            </w:tcBorders>
            <w:shd w:val="pct15" w:color="auto" w:fill="auto"/>
            <w:vAlign w:val="bottom"/>
          </w:tcPr>
          <w:p w14:paraId="50E5630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w:t>
            </w:r>
          </w:p>
        </w:tc>
        <w:tc>
          <w:tcPr>
            <w:tcW w:w="122" w:type="pct"/>
            <w:tcBorders>
              <w:top w:val="single" w:sz="2" w:space="0" w:color="auto"/>
              <w:left w:val="nil"/>
              <w:bottom w:val="single" w:sz="12" w:space="0" w:color="auto"/>
              <w:right w:val="nil"/>
            </w:tcBorders>
            <w:shd w:val="clear" w:color="auto" w:fill="auto"/>
            <w:vAlign w:val="bottom"/>
          </w:tcPr>
          <w:p w14:paraId="0B161C35"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723" w:type="pct"/>
            <w:tcBorders>
              <w:top w:val="single" w:sz="2" w:space="0" w:color="auto"/>
              <w:left w:val="nil"/>
              <w:bottom w:val="single" w:sz="12" w:space="0" w:color="auto"/>
              <w:right w:val="nil"/>
            </w:tcBorders>
            <w:shd w:val="clear" w:color="auto" w:fill="auto"/>
            <w:vAlign w:val="bottom"/>
          </w:tcPr>
          <w:p w14:paraId="6A44C3FD"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600</w:t>
            </w:r>
          </w:p>
        </w:tc>
      </w:tr>
      <w:tr w:rsidR="00F46260" w:rsidRPr="00F46260" w14:paraId="4CB70430" w14:textId="77777777" w:rsidTr="00D1524E">
        <w:trPr>
          <w:trHeight w:val="270"/>
        </w:trPr>
        <w:tc>
          <w:tcPr>
            <w:tcW w:w="2911" w:type="pct"/>
            <w:tcBorders>
              <w:top w:val="single" w:sz="12" w:space="0" w:color="auto"/>
              <w:left w:val="nil"/>
              <w:bottom w:val="nil"/>
              <w:right w:val="nil"/>
            </w:tcBorders>
            <w:shd w:val="clear" w:color="auto" w:fill="auto"/>
            <w:vAlign w:val="bottom"/>
          </w:tcPr>
          <w:p w14:paraId="3BB92D49"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37" w:type="pct"/>
            <w:tcBorders>
              <w:top w:val="single" w:sz="12" w:space="0" w:color="auto"/>
              <w:left w:val="nil"/>
              <w:bottom w:val="nil"/>
              <w:right w:val="nil"/>
            </w:tcBorders>
            <w:shd w:val="clear" w:color="auto" w:fill="auto"/>
            <w:vAlign w:val="bottom"/>
          </w:tcPr>
          <w:p w14:paraId="4A0B24DB"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807" w:type="pct"/>
            <w:tcBorders>
              <w:top w:val="single" w:sz="12" w:space="0" w:color="auto"/>
              <w:left w:val="nil"/>
              <w:bottom w:val="nil"/>
              <w:right w:val="nil"/>
            </w:tcBorders>
            <w:vAlign w:val="bottom"/>
          </w:tcPr>
          <w:p w14:paraId="2891CF8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22" w:type="pct"/>
            <w:tcBorders>
              <w:top w:val="single" w:sz="12" w:space="0" w:color="auto"/>
              <w:left w:val="nil"/>
              <w:bottom w:val="nil"/>
              <w:right w:val="nil"/>
            </w:tcBorders>
            <w:shd w:val="clear" w:color="auto" w:fill="auto"/>
            <w:vAlign w:val="bottom"/>
          </w:tcPr>
          <w:p w14:paraId="7CD281EB"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723" w:type="pct"/>
            <w:tcBorders>
              <w:top w:val="single" w:sz="12" w:space="0" w:color="auto"/>
              <w:left w:val="nil"/>
              <w:bottom w:val="nil"/>
              <w:right w:val="nil"/>
            </w:tcBorders>
            <w:shd w:val="clear" w:color="auto" w:fill="auto"/>
            <w:vAlign w:val="bottom"/>
          </w:tcPr>
          <w:p w14:paraId="32CF1074"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bl>
    <w:p w14:paraId="24287B4F" w14:textId="77777777" w:rsidR="00F46260" w:rsidRPr="00F46260" w:rsidRDefault="00F46260" w:rsidP="00F46260">
      <w:pPr>
        <w:spacing w:after="0" w:line="240" w:lineRule="auto"/>
        <w:rPr>
          <w:rFonts w:ascii="Arial" w:eastAsia="Times New Roman" w:hAnsi="Arial" w:cs="Arial"/>
          <w:sz w:val="16"/>
          <w:szCs w:val="16"/>
          <w:lang w:eastAsia="en-AU"/>
        </w:rPr>
      </w:pPr>
      <w:r w:rsidRPr="00F46260">
        <w:rPr>
          <w:rFonts w:ascii="Arial" w:eastAsia="Times New Roman" w:hAnsi="Arial" w:cs="Arial"/>
          <w:sz w:val="16"/>
          <w:szCs w:val="16"/>
          <w:lang w:eastAsia="en-AU"/>
        </w:rPr>
        <w:t>The accompanying notes form part of these financial statements.</w:t>
      </w:r>
    </w:p>
    <w:p w14:paraId="400F3F52" w14:textId="77777777" w:rsidR="00F46260" w:rsidRPr="00F46260" w:rsidRDefault="00F46260" w:rsidP="00F46260">
      <w:pPr>
        <w:tabs>
          <w:tab w:val="left" w:pos="1384"/>
        </w:tabs>
        <w:spacing w:after="0" w:line="240" w:lineRule="auto"/>
        <w:ind w:left="1384" w:hanging="1384"/>
        <w:rPr>
          <w:rFonts w:ascii="Arial" w:eastAsia="Times New Roman" w:hAnsi="Arial" w:cs="Arial"/>
          <w:b/>
          <w:sz w:val="20"/>
          <w:szCs w:val="20"/>
          <w:lang w:eastAsia="en-AU"/>
        </w:rPr>
        <w:sectPr w:rsidR="00F46260" w:rsidRPr="00F46260" w:rsidSect="00F46260">
          <w:headerReference w:type="even" r:id="rId48"/>
          <w:headerReference w:type="default" r:id="rId49"/>
          <w:footerReference w:type="even" r:id="rId50"/>
          <w:footerReference w:type="default" r:id="rId51"/>
          <w:headerReference w:type="first" r:id="rId52"/>
          <w:footerReference w:type="first" r:id="rId53"/>
          <w:pgSz w:w="11906" w:h="16838"/>
          <w:pgMar w:top="1440" w:right="1276" w:bottom="1440" w:left="1276" w:header="708" w:footer="708" w:gutter="0"/>
          <w:cols w:space="720"/>
          <w:titlePg/>
          <w:docGrid w:linePitch="272"/>
        </w:sectPr>
      </w:pPr>
    </w:p>
    <w:p w14:paraId="23FCFA6B" w14:textId="77777777" w:rsidR="00F46260" w:rsidRPr="00F46260" w:rsidRDefault="00F46260" w:rsidP="00F46260">
      <w:pPr>
        <w:spacing w:after="0" w:line="240" w:lineRule="auto"/>
        <w:rPr>
          <w:rFonts w:ascii="Arial" w:eastAsia="Times New Roman" w:hAnsi="Arial" w:cs="Arial"/>
          <w:b/>
          <w:sz w:val="24"/>
          <w:szCs w:val="24"/>
          <w:lang w:eastAsia="en-AU"/>
        </w:rPr>
      </w:pPr>
      <w:r w:rsidRPr="00F46260">
        <w:rPr>
          <w:rFonts w:ascii="Arial" w:eastAsia="Times New Roman" w:hAnsi="Arial" w:cs="Arial"/>
          <w:b/>
          <w:sz w:val="24"/>
          <w:szCs w:val="24"/>
          <w:lang w:eastAsia="en-AU"/>
        </w:rPr>
        <w:lastRenderedPageBreak/>
        <w:t>Statement of changes in equity</w:t>
      </w:r>
    </w:p>
    <w:p w14:paraId="3B1F953E" w14:textId="77777777" w:rsidR="00F46260" w:rsidRPr="00F46260" w:rsidRDefault="00F46260" w:rsidP="00F46260">
      <w:pPr>
        <w:keepNext/>
        <w:spacing w:after="0" w:line="240" w:lineRule="auto"/>
        <w:outlineLvl w:val="1"/>
        <w:rPr>
          <w:rFonts w:ascii="Arial" w:eastAsia="Times New Roman" w:hAnsi="Arial" w:cs="Arial"/>
          <w:b/>
          <w:i/>
          <w:sz w:val="20"/>
          <w:szCs w:val="24"/>
          <w:lang w:eastAsia="en-AU"/>
        </w:rPr>
      </w:pPr>
      <w:r w:rsidRPr="00F46260">
        <w:rPr>
          <w:rFonts w:ascii="Arial" w:eastAsia="Times New Roman" w:hAnsi="Arial" w:cs="Arial"/>
          <w:b/>
          <w:sz w:val="20"/>
          <w:szCs w:val="24"/>
          <w:lang w:eastAsia="en-AU"/>
        </w:rPr>
        <w:t>For the financial year ended 30 June 2021</w:t>
      </w:r>
    </w:p>
    <w:p w14:paraId="45AD321B" w14:textId="77777777" w:rsidR="00F46260" w:rsidRPr="00F46260" w:rsidRDefault="00F46260" w:rsidP="00F46260">
      <w:pPr>
        <w:spacing w:after="0" w:line="240" w:lineRule="auto"/>
        <w:rPr>
          <w:rFonts w:ascii="Arial" w:eastAsia="Times New Roman" w:hAnsi="Arial" w:cs="Arial"/>
          <w:sz w:val="20"/>
          <w:szCs w:val="20"/>
          <w:lang w:eastAsia="en-AU"/>
        </w:rPr>
      </w:pPr>
    </w:p>
    <w:tbl>
      <w:tblPr>
        <w:tblW w:w="5000" w:type="pct"/>
        <w:tblInd w:w="-108" w:type="dxa"/>
        <w:tblLook w:val="0000" w:firstRow="0" w:lastRow="0" w:firstColumn="0" w:lastColumn="0" w:noHBand="0" w:noVBand="0"/>
      </w:tblPr>
      <w:tblGrid>
        <w:gridCol w:w="4846"/>
        <w:gridCol w:w="223"/>
        <w:gridCol w:w="363"/>
        <w:gridCol w:w="988"/>
        <w:gridCol w:w="943"/>
        <w:gridCol w:w="529"/>
        <w:gridCol w:w="1239"/>
        <w:gridCol w:w="223"/>
      </w:tblGrid>
      <w:tr w:rsidR="00D1524E" w:rsidRPr="00F46260" w14:paraId="5D9C29DE" w14:textId="77777777" w:rsidTr="006B755E">
        <w:trPr>
          <w:gridAfter w:val="1"/>
          <w:wAfter w:w="119" w:type="pct"/>
          <w:trHeight w:val="255"/>
        </w:trPr>
        <w:tc>
          <w:tcPr>
            <w:tcW w:w="2591" w:type="pct"/>
            <w:tcBorders>
              <w:top w:val="nil"/>
              <w:left w:val="nil"/>
              <w:bottom w:val="nil"/>
              <w:right w:val="nil"/>
            </w:tcBorders>
            <w:shd w:val="clear" w:color="auto" w:fill="auto"/>
            <w:noWrap/>
            <w:vAlign w:val="bottom"/>
          </w:tcPr>
          <w:p w14:paraId="206813B2" w14:textId="77777777" w:rsidR="00D1524E" w:rsidRPr="00F46260" w:rsidRDefault="00D1524E" w:rsidP="00F46260">
            <w:pPr>
              <w:spacing w:after="0" w:line="240" w:lineRule="auto"/>
              <w:rPr>
                <w:rFonts w:ascii="Arial" w:eastAsia="Times New Roman" w:hAnsi="Arial" w:cs="Arial"/>
                <w:sz w:val="20"/>
                <w:szCs w:val="20"/>
                <w:lang w:eastAsia="en-AU"/>
              </w:rPr>
            </w:pPr>
          </w:p>
        </w:tc>
        <w:tc>
          <w:tcPr>
            <w:tcW w:w="119" w:type="pct"/>
            <w:tcBorders>
              <w:top w:val="nil"/>
              <w:left w:val="nil"/>
              <w:bottom w:val="nil"/>
              <w:right w:val="nil"/>
            </w:tcBorders>
            <w:shd w:val="clear" w:color="auto" w:fill="auto"/>
            <w:noWrap/>
            <w:vAlign w:val="bottom"/>
          </w:tcPr>
          <w:p w14:paraId="53C85DFE"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722" w:type="pct"/>
            <w:gridSpan w:val="2"/>
            <w:tcBorders>
              <w:top w:val="nil"/>
              <w:left w:val="nil"/>
              <w:bottom w:val="nil"/>
              <w:right w:val="nil"/>
            </w:tcBorders>
            <w:shd w:val="clear" w:color="auto" w:fill="auto"/>
            <w:vAlign w:val="center"/>
          </w:tcPr>
          <w:p w14:paraId="48CABA4E" w14:textId="77777777" w:rsidR="00D1524E" w:rsidRPr="00F46260" w:rsidRDefault="00D1524E" w:rsidP="00D1524E">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sz w:val="20"/>
                <w:szCs w:val="20"/>
                <w:lang w:eastAsia="en-AU"/>
              </w:rPr>
              <w:t>Contributed capital</w:t>
            </w:r>
          </w:p>
        </w:tc>
        <w:tc>
          <w:tcPr>
            <w:tcW w:w="787" w:type="pct"/>
            <w:gridSpan w:val="2"/>
            <w:tcBorders>
              <w:top w:val="nil"/>
              <w:left w:val="nil"/>
              <w:bottom w:val="nil"/>
              <w:right w:val="nil"/>
            </w:tcBorders>
            <w:shd w:val="clear" w:color="auto" w:fill="auto"/>
            <w:vAlign w:val="center"/>
          </w:tcPr>
          <w:p w14:paraId="31424D26" w14:textId="77777777" w:rsidR="00D1524E" w:rsidRPr="00F46260" w:rsidRDefault="00D1524E" w:rsidP="00D1524E">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Accumulated surplus/ (deficit)</w:t>
            </w:r>
          </w:p>
        </w:tc>
        <w:tc>
          <w:tcPr>
            <w:tcW w:w="662" w:type="pct"/>
            <w:tcBorders>
              <w:top w:val="nil"/>
              <w:left w:val="nil"/>
              <w:bottom w:val="nil"/>
              <w:right w:val="nil"/>
            </w:tcBorders>
            <w:shd w:val="clear" w:color="auto" w:fill="auto"/>
            <w:vAlign w:val="center"/>
          </w:tcPr>
          <w:p w14:paraId="4251F7CC" w14:textId="77777777" w:rsidR="00D1524E" w:rsidRPr="00F46260" w:rsidRDefault="00D1524E" w:rsidP="00D1524E">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Total</w:t>
            </w:r>
          </w:p>
        </w:tc>
      </w:tr>
      <w:tr w:rsidR="00D1524E" w:rsidRPr="00F46260" w14:paraId="3F30C5A9" w14:textId="77777777" w:rsidTr="006B755E">
        <w:trPr>
          <w:gridAfter w:val="1"/>
          <w:wAfter w:w="119" w:type="pct"/>
          <w:trHeight w:val="255"/>
        </w:trPr>
        <w:tc>
          <w:tcPr>
            <w:tcW w:w="2591" w:type="pct"/>
            <w:tcBorders>
              <w:top w:val="nil"/>
              <w:left w:val="nil"/>
              <w:bottom w:val="nil"/>
              <w:right w:val="nil"/>
            </w:tcBorders>
            <w:shd w:val="clear" w:color="auto" w:fill="auto"/>
            <w:noWrap/>
            <w:vAlign w:val="bottom"/>
          </w:tcPr>
          <w:p w14:paraId="4AFF24E8" w14:textId="77777777" w:rsidR="00D1524E" w:rsidRPr="00F46260" w:rsidRDefault="00D1524E" w:rsidP="00F46260">
            <w:pPr>
              <w:spacing w:after="0" w:line="240" w:lineRule="auto"/>
              <w:rPr>
                <w:rFonts w:ascii="Arial" w:eastAsia="Times New Roman" w:hAnsi="Arial" w:cs="Arial"/>
                <w:sz w:val="20"/>
                <w:szCs w:val="20"/>
                <w:lang w:eastAsia="en-AU"/>
              </w:rPr>
            </w:pPr>
          </w:p>
        </w:tc>
        <w:tc>
          <w:tcPr>
            <w:tcW w:w="119" w:type="pct"/>
            <w:tcBorders>
              <w:top w:val="nil"/>
              <w:left w:val="nil"/>
              <w:bottom w:val="nil"/>
              <w:right w:val="nil"/>
            </w:tcBorders>
            <w:shd w:val="clear" w:color="auto" w:fill="auto"/>
            <w:noWrap/>
            <w:vAlign w:val="bottom"/>
          </w:tcPr>
          <w:p w14:paraId="3937AA67"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722" w:type="pct"/>
            <w:gridSpan w:val="2"/>
            <w:tcBorders>
              <w:top w:val="nil"/>
              <w:left w:val="nil"/>
              <w:bottom w:val="nil"/>
              <w:right w:val="nil"/>
            </w:tcBorders>
            <w:shd w:val="clear" w:color="auto" w:fill="auto"/>
          </w:tcPr>
          <w:p w14:paraId="27910E42" w14:textId="77777777" w:rsidR="00D1524E" w:rsidRPr="00F46260" w:rsidRDefault="00D1524E"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w:t>
            </w:r>
          </w:p>
        </w:tc>
        <w:tc>
          <w:tcPr>
            <w:tcW w:w="787" w:type="pct"/>
            <w:gridSpan w:val="2"/>
            <w:tcBorders>
              <w:top w:val="nil"/>
              <w:left w:val="nil"/>
              <w:bottom w:val="nil"/>
              <w:right w:val="nil"/>
            </w:tcBorders>
            <w:shd w:val="clear" w:color="auto" w:fill="auto"/>
          </w:tcPr>
          <w:p w14:paraId="6744A952" w14:textId="77777777" w:rsidR="00D1524E" w:rsidRPr="00F46260" w:rsidRDefault="00D1524E"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w:t>
            </w:r>
          </w:p>
        </w:tc>
        <w:tc>
          <w:tcPr>
            <w:tcW w:w="662" w:type="pct"/>
            <w:tcBorders>
              <w:top w:val="nil"/>
              <w:left w:val="nil"/>
              <w:bottom w:val="nil"/>
              <w:right w:val="nil"/>
            </w:tcBorders>
            <w:shd w:val="clear" w:color="auto" w:fill="auto"/>
            <w:vAlign w:val="bottom"/>
          </w:tcPr>
          <w:p w14:paraId="0BA7CB59" w14:textId="77777777" w:rsidR="00D1524E" w:rsidRPr="00F46260" w:rsidRDefault="00D1524E" w:rsidP="00F46260">
            <w:pPr>
              <w:spacing w:after="0" w:line="240" w:lineRule="auto"/>
              <w:jc w:val="center"/>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w:t>
            </w:r>
          </w:p>
        </w:tc>
      </w:tr>
      <w:tr w:rsidR="00D1524E" w:rsidRPr="00F46260" w14:paraId="36E1031A" w14:textId="77777777" w:rsidTr="006B755E">
        <w:trPr>
          <w:gridAfter w:val="1"/>
          <w:wAfter w:w="119" w:type="pct"/>
          <w:trHeight w:val="270"/>
        </w:trPr>
        <w:tc>
          <w:tcPr>
            <w:tcW w:w="2591" w:type="pct"/>
            <w:tcBorders>
              <w:left w:val="nil"/>
              <w:right w:val="nil"/>
            </w:tcBorders>
            <w:shd w:val="clear" w:color="auto" w:fill="auto"/>
            <w:noWrap/>
            <w:vAlign w:val="bottom"/>
          </w:tcPr>
          <w:p w14:paraId="4D1BC44D" w14:textId="77777777" w:rsidR="00D1524E" w:rsidRPr="00F46260" w:rsidRDefault="00D1524E"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Balance at 1 July 2019</w:t>
            </w:r>
          </w:p>
        </w:tc>
        <w:tc>
          <w:tcPr>
            <w:tcW w:w="119" w:type="pct"/>
            <w:tcBorders>
              <w:left w:val="nil"/>
              <w:right w:val="nil"/>
            </w:tcBorders>
            <w:shd w:val="clear" w:color="auto" w:fill="auto"/>
            <w:noWrap/>
            <w:vAlign w:val="bottom"/>
          </w:tcPr>
          <w:p w14:paraId="3D46AAFE"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722" w:type="pct"/>
            <w:gridSpan w:val="2"/>
            <w:tcBorders>
              <w:left w:val="nil"/>
              <w:right w:val="nil"/>
            </w:tcBorders>
            <w:shd w:val="clear" w:color="auto" w:fill="auto"/>
            <w:noWrap/>
            <w:vAlign w:val="bottom"/>
          </w:tcPr>
          <w:p w14:paraId="5B1AB720" w14:textId="77777777" w:rsidR="00D1524E" w:rsidRPr="00F46260" w:rsidRDefault="00D1524E"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4,261,306</w:t>
            </w:r>
          </w:p>
        </w:tc>
        <w:tc>
          <w:tcPr>
            <w:tcW w:w="787" w:type="pct"/>
            <w:gridSpan w:val="2"/>
            <w:tcBorders>
              <w:left w:val="nil"/>
              <w:right w:val="nil"/>
            </w:tcBorders>
            <w:shd w:val="clear" w:color="auto" w:fill="auto"/>
            <w:noWrap/>
            <w:vAlign w:val="bottom"/>
          </w:tcPr>
          <w:p w14:paraId="5BE8E692" w14:textId="77777777" w:rsidR="00D1524E" w:rsidRPr="00F46260" w:rsidRDefault="00D1524E" w:rsidP="00F46260">
            <w:pPr>
              <w:spacing w:after="0" w:line="240" w:lineRule="auto"/>
              <w:jc w:val="right"/>
              <w:rPr>
                <w:rFonts w:ascii="Arial" w:eastAsia="Times New Roman" w:hAnsi="Arial" w:cs="Arial"/>
                <w:bCs/>
                <w:color w:val="000000"/>
                <w:sz w:val="20"/>
                <w:szCs w:val="20"/>
                <w:lang w:eastAsia="en-AU"/>
              </w:rPr>
            </w:pPr>
            <w:r w:rsidRPr="00F46260">
              <w:rPr>
                <w:rFonts w:ascii="Arial" w:eastAsia="Times New Roman" w:hAnsi="Arial" w:cs="Arial"/>
                <w:bCs/>
                <w:sz w:val="20"/>
                <w:szCs w:val="20"/>
                <w:lang w:eastAsia="en-AU"/>
              </w:rPr>
              <w:t>3,876,880</w:t>
            </w:r>
          </w:p>
        </w:tc>
        <w:tc>
          <w:tcPr>
            <w:tcW w:w="662" w:type="pct"/>
            <w:tcBorders>
              <w:left w:val="nil"/>
              <w:right w:val="nil"/>
            </w:tcBorders>
            <w:shd w:val="clear" w:color="auto" w:fill="auto"/>
            <w:noWrap/>
            <w:vAlign w:val="bottom"/>
          </w:tcPr>
          <w:p w14:paraId="54D6289D" w14:textId="77777777" w:rsidR="00D1524E" w:rsidRPr="00F46260" w:rsidRDefault="00D1524E" w:rsidP="00F46260">
            <w:pPr>
              <w:spacing w:after="0" w:line="240" w:lineRule="auto"/>
              <w:jc w:val="right"/>
              <w:rPr>
                <w:rFonts w:ascii="Arial" w:eastAsia="Times New Roman" w:hAnsi="Arial" w:cs="Arial"/>
                <w:bCs/>
                <w:color w:val="000000"/>
                <w:sz w:val="20"/>
                <w:szCs w:val="20"/>
                <w:lang w:eastAsia="en-AU"/>
              </w:rPr>
            </w:pPr>
            <w:r w:rsidRPr="00F46260">
              <w:rPr>
                <w:rFonts w:ascii="Arial" w:eastAsia="Times New Roman" w:hAnsi="Arial" w:cs="Arial"/>
                <w:bCs/>
                <w:sz w:val="20"/>
                <w:szCs w:val="20"/>
                <w:lang w:eastAsia="en-AU"/>
              </w:rPr>
              <w:t>8,138,186</w:t>
            </w:r>
          </w:p>
        </w:tc>
      </w:tr>
      <w:tr w:rsidR="00D1524E" w:rsidRPr="00F46260" w14:paraId="6342A972" w14:textId="77777777" w:rsidTr="006B755E">
        <w:trPr>
          <w:gridAfter w:val="1"/>
          <w:wAfter w:w="119" w:type="pct"/>
          <w:trHeight w:val="255"/>
        </w:trPr>
        <w:tc>
          <w:tcPr>
            <w:tcW w:w="2591" w:type="pct"/>
            <w:tcBorders>
              <w:top w:val="nil"/>
              <w:left w:val="nil"/>
              <w:right w:val="nil"/>
            </w:tcBorders>
            <w:shd w:val="clear" w:color="auto" w:fill="auto"/>
            <w:noWrap/>
            <w:vAlign w:val="bottom"/>
          </w:tcPr>
          <w:p w14:paraId="7140BDC8" w14:textId="77777777" w:rsidR="00D1524E" w:rsidRPr="00F46260" w:rsidRDefault="00D1524E"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Administrative Restructure- Net assets transferred</w:t>
            </w:r>
          </w:p>
        </w:tc>
        <w:tc>
          <w:tcPr>
            <w:tcW w:w="119" w:type="pct"/>
            <w:tcBorders>
              <w:top w:val="nil"/>
              <w:left w:val="nil"/>
              <w:right w:val="nil"/>
            </w:tcBorders>
            <w:shd w:val="clear" w:color="auto" w:fill="auto"/>
            <w:noWrap/>
            <w:vAlign w:val="bottom"/>
          </w:tcPr>
          <w:p w14:paraId="5BBD8A7B"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722" w:type="pct"/>
            <w:gridSpan w:val="2"/>
            <w:tcBorders>
              <w:top w:val="nil"/>
              <w:left w:val="nil"/>
              <w:right w:val="nil"/>
            </w:tcBorders>
            <w:shd w:val="clear" w:color="auto" w:fill="auto"/>
            <w:noWrap/>
            <w:vAlign w:val="bottom"/>
          </w:tcPr>
          <w:p w14:paraId="11766F05" w14:textId="77777777" w:rsidR="00D1524E" w:rsidRPr="00F46260" w:rsidRDefault="00D1524E"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6,362</w:t>
            </w:r>
          </w:p>
        </w:tc>
        <w:tc>
          <w:tcPr>
            <w:tcW w:w="787" w:type="pct"/>
            <w:gridSpan w:val="2"/>
            <w:tcBorders>
              <w:top w:val="nil"/>
              <w:left w:val="nil"/>
              <w:right w:val="nil"/>
            </w:tcBorders>
            <w:shd w:val="clear" w:color="auto" w:fill="auto"/>
            <w:noWrap/>
            <w:vAlign w:val="bottom"/>
          </w:tcPr>
          <w:p w14:paraId="68EDEF86" w14:textId="77777777" w:rsidR="00D1524E" w:rsidRPr="00F46260" w:rsidRDefault="00D1524E"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w:t>
            </w:r>
          </w:p>
        </w:tc>
        <w:tc>
          <w:tcPr>
            <w:tcW w:w="662" w:type="pct"/>
            <w:tcBorders>
              <w:top w:val="nil"/>
              <w:left w:val="nil"/>
              <w:right w:val="nil"/>
            </w:tcBorders>
            <w:shd w:val="clear" w:color="auto" w:fill="auto"/>
            <w:noWrap/>
            <w:vAlign w:val="bottom"/>
          </w:tcPr>
          <w:p w14:paraId="384FAA3D" w14:textId="77777777" w:rsidR="00D1524E" w:rsidRPr="00F46260" w:rsidRDefault="00D1524E"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6,362</w:t>
            </w:r>
          </w:p>
        </w:tc>
      </w:tr>
      <w:tr w:rsidR="00D1524E" w:rsidRPr="00F46260" w14:paraId="47CB5347" w14:textId="77777777" w:rsidTr="006B755E">
        <w:trPr>
          <w:gridAfter w:val="1"/>
          <w:wAfter w:w="119" w:type="pct"/>
          <w:trHeight w:val="255"/>
        </w:trPr>
        <w:tc>
          <w:tcPr>
            <w:tcW w:w="2591" w:type="pct"/>
            <w:tcBorders>
              <w:left w:val="nil"/>
              <w:bottom w:val="single" w:sz="4" w:space="0" w:color="auto"/>
              <w:right w:val="nil"/>
            </w:tcBorders>
            <w:shd w:val="clear" w:color="auto" w:fill="auto"/>
            <w:noWrap/>
            <w:vAlign w:val="bottom"/>
          </w:tcPr>
          <w:p w14:paraId="0F6B589A" w14:textId="77777777" w:rsidR="00D1524E" w:rsidRPr="00F46260" w:rsidRDefault="00D1524E"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Net result for the year</w:t>
            </w:r>
          </w:p>
        </w:tc>
        <w:tc>
          <w:tcPr>
            <w:tcW w:w="119" w:type="pct"/>
            <w:tcBorders>
              <w:left w:val="nil"/>
              <w:bottom w:val="single" w:sz="4" w:space="0" w:color="auto"/>
              <w:right w:val="nil"/>
            </w:tcBorders>
            <w:shd w:val="clear" w:color="auto" w:fill="auto"/>
            <w:noWrap/>
            <w:vAlign w:val="bottom"/>
          </w:tcPr>
          <w:p w14:paraId="2432CBC9"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722" w:type="pct"/>
            <w:gridSpan w:val="2"/>
            <w:tcBorders>
              <w:left w:val="nil"/>
              <w:bottom w:val="single" w:sz="4" w:space="0" w:color="auto"/>
              <w:right w:val="nil"/>
            </w:tcBorders>
            <w:shd w:val="clear" w:color="auto" w:fill="auto"/>
            <w:noWrap/>
            <w:vAlign w:val="bottom"/>
          </w:tcPr>
          <w:p w14:paraId="4BC0AE91" w14:textId="77777777" w:rsidR="00D1524E" w:rsidRPr="00F46260" w:rsidRDefault="00D1524E"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w:t>
            </w:r>
          </w:p>
        </w:tc>
        <w:tc>
          <w:tcPr>
            <w:tcW w:w="787" w:type="pct"/>
            <w:gridSpan w:val="2"/>
            <w:tcBorders>
              <w:left w:val="nil"/>
              <w:bottom w:val="single" w:sz="4" w:space="0" w:color="auto"/>
              <w:right w:val="nil"/>
            </w:tcBorders>
            <w:shd w:val="clear" w:color="auto" w:fill="auto"/>
            <w:noWrap/>
            <w:vAlign w:val="bottom"/>
          </w:tcPr>
          <w:p w14:paraId="26EB0A2B" w14:textId="77777777" w:rsidR="00D1524E" w:rsidRPr="00F46260" w:rsidRDefault="00D1524E"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(186,143)</w:t>
            </w:r>
          </w:p>
        </w:tc>
        <w:tc>
          <w:tcPr>
            <w:tcW w:w="662" w:type="pct"/>
            <w:tcBorders>
              <w:left w:val="nil"/>
              <w:bottom w:val="single" w:sz="4" w:space="0" w:color="auto"/>
              <w:right w:val="nil"/>
            </w:tcBorders>
            <w:shd w:val="clear" w:color="auto" w:fill="auto"/>
            <w:noWrap/>
            <w:vAlign w:val="bottom"/>
          </w:tcPr>
          <w:p w14:paraId="563B9B8D" w14:textId="77777777" w:rsidR="00D1524E" w:rsidRPr="00F46260" w:rsidRDefault="00D1524E"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(186,143)</w:t>
            </w:r>
          </w:p>
        </w:tc>
      </w:tr>
      <w:tr w:rsidR="00D1524E" w:rsidRPr="00F46260" w14:paraId="07E4AE3E" w14:textId="77777777" w:rsidTr="006B755E">
        <w:trPr>
          <w:gridAfter w:val="1"/>
          <w:wAfter w:w="119" w:type="pct"/>
          <w:trHeight w:val="270"/>
        </w:trPr>
        <w:tc>
          <w:tcPr>
            <w:tcW w:w="2591" w:type="pct"/>
            <w:tcBorders>
              <w:top w:val="single" w:sz="4" w:space="0" w:color="auto"/>
              <w:left w:val="nil"/>
              <w:bottom w:val="single" w:sz="2" w:space="0" w:color="auto"/>
              <w:right w:val="nil"/>
            </w:tcBorders>
            <w:shd w:val="clear" w:color="auto" w:fill="auto"/>
            <w:noWrap/>
            <w:vAlign w:val="bottom"/>
          </w:tcPr>
          <w:p w14:paraId="5E46A993" w14:textId="77777777" w:rsidR="00D1524E" w:rsidRPr="00F46260" w:rsidRDefault="00D1524E"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Balance at 30 June 2020</w:t>
            </w:r>
          </w:p>
        </w:tc>
        <w:tc>
          <w:tcPr>
            <w:tcW w:w="119" w:type="pct"/>
            <w:tcBorders>
              <w:top w:val="single" w:sz="4" w:space="0" w:color="auto"/>
              <w:left w:val="nil"/>
              <w:bottom w:val="single" w:sz="2" w:space="0" w:color="auto"/>
              <w:right w:val="nil"/>
            </w:tcBorders>
            <w:shd w:val="clear" w:color="auto" w:fill="auto"/>
            <w:noWrap/>
            <w:vAlign w:val="bottom"/>
          </w:tcPr>
          <w:p w14:paraId="57E463FD"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722" w:type="pct"/>
            <w:gridSpan w:val="2"/>
            <w:tcBorders>
              <w:top w:val="single" w:sz="4" w:space="0" w:color="auto"/>
              <w:left w:val="nil"/>
              <w:bottom w:val="single" w:sz="2" w:space="0" w:color="auto"/>
              <w:right w:val="nil"/>
            </w:tcBorders>
            <w:shd w:val="clear" w:color="auto" w:fill="auto"/>
            <w:noWrap/>
            <w:vAlign w:val="bottom"/>
          </w:tcPr>
          <w:p w14:paraId="6FDCB6DA" w14:textId="77777777" w:rsidR="00D1524E" w:rsidRPr="00F46260" w:rsidRDefault="00D1524E"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sz w:val="20"/>
                <w:szCs w:val="20"/>
                <w:lang w:eastAsia="en-AU"/>
              </w:rPr>
              <w:t>4,267,668</w:t>
            </w:r>
          </w:p>
        </w:tc>
        <w:tc>
          <w:tcPr>
            <w:tcW w:w="787" w:type="pct"/>
            <w:gridSpan w:val="2"/>
            <w:tcBorders>
              <w:top w:val="single" w:sz="4" w:space="0" w:color="auto"/>
              <w:left w:val="nil"/>
              <w:bottom w:val="single" w:sz="2" w:space="0" w:color="auto"/>
              <w:right w:val="nil"/>
            </w:tcBorders>
            <w:shd w:val="clear" w:color="auto" w:fill="auto"/>
            <w:noWrap/>
            <w:vAlign w:val="bottom"/>
          </w:tcPr>
          <w:p w14:paraId="4EF56B75" w14:textId="77777777" w:rsidR="00D1524E" w:rsidRPr="00F46260" w:rsidRDefault="00D1524E" w:rsidP="00F46260">
            <w:pPr>
              <w:spacing w:after="0" w:line="240" w:lineRule="auto"/>
              <w:jc w:val="right"/>
              <w:rPr>
                <w:rFonts w:ascii="Arial" w:eastAsia="Times New Roman" w:hAnsi="Arial" w:cs="Arial"/>
                <w:b/>
                <w:bCs/>
                <w:color w:val="000000"/>
                <w:sz w:val="20"/>
                <w:szCs w:val="20"/>
                <w:lang w:eastAsia="en-AU"/>
              </w:rPr>
            </w:pPr>
            <w:r w:rsidRPr="00F46260">
              <w:rPr>
                <w:rFonts w:ascii="Arial" w:eastAsia="Times New Roman" w:hAnsi="Arial" w:cs="Arial"/>
                <w:b/>
                <w:sz w:val="20"/>
                <w:szCs w:val="20"/>
                <w:lang w:eastAsia="en-AU"/>
              </w:rPr>
              <w:t>3,690,737</w:t>
            </w:r>
          </w:p>
        </w:tc>
        <w:tc>
          <w:tcPr>
            <w:tcW w:w="662" w:type="pct"/>
            <w:tcBorders>
              <w:top w:val="single" w:sz="4" w:space="0" w:color="auto"/>
              <w:left w:val="nil"/>
              <w:bottom w:val="single" w:sz="2" w:space="0" w:color="auto"/>
              <w:right w:val="nil"/>
            </w:tcBorders>
            <w:shd w:val="clear" w:color="auto" w:fill="auto"/>
            <w:noWrap/>
            <w:vAlign w:val="bottom"/>
          </w:tcPr>
          <w:p w14:paraId="7E8D2580" w14:textId="77777777" w:rsidR="00D1524E" w:rsidRPr="00F46260" w:rsidRDefault="00D1524E" w:rsidP="00F46260">
            <w:pPr>
              <w:spacing w:after="0" w:line="240" w:lineRule="auto"/>
              <w:jc w:val="right"/>
              <w:rPr>
                <w:rFonts w:ascii="Arial" w:eastAsia="Times New Roman" w:hAnsi="Arial" w:cs="Arial"/>
                <w:b/>
                <w:bCs/>
                <w:color w:val="000000"/>
                <w:sz w:val="20"/>
                <w:szCs w:val="20"/>
                <w:lang w:eastAsia="en-AU"/>
              </w:rPr>
            </w:pPr>
            <w:r w:rsidRPr="00F46260">
              <w:rPr>
                <w:rFonts w:ascii="Arial" w:eastAsia="Times New Roman" w:hAnsi="Arial" w:cs="Arial"/>
                <w:b/>
                <w:sz w:val="20"/>
                <w:szCs w:val="20"/>
                <w:lang w:eastAsia="en-AU"/>
              </w:rPr>
              <w:t>7,958,405</w:t>
            </w:r>
          </w:p>
        </w:tc>
      </w:tr>
      <w:tr w:rsidR="00D1524E" w:rsidRPr="00F46260" w14:paraId="5E9CE654" w14:textId="77777777" w:rsidTr="006B755E">
        <w:trPr>
          <w:gridAfter w:val="1"/>
          <w:wAfter w:w="119" w:type="pct"/>
          <w:trHeight w:val="270"/>
        </w:trPr>
        <w:tc>
          <w:tcPr>
            <w:tcW w:w="2591" w:type="pct"/>
            <w:tcBorders>
              <w:top w:val="nil"/>
              <w:left w:val="nil"/>
              <w:bottom w:val="nil"/>
              <w:right w:val="nil"/>
            </w:tcBorders>
            <w:shd w:val="clear" w:color="auto" w:fill="auto"/>
            <w:noWrap/>
            <w:vAlign w:val="bottom"/>
          </w:tcPr>
          <w:p w14:paraId="6AFD350C" w14:textId="77777777" w:rsidR="00D1524E" w:rsidRPr="00F46260" w:rsidRDefault="00D1524E"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Administrative Restructure- Net assets transferred</w:t>
            </w:r>
          </w:p>
        </w:tc>
        <w:tc>
          <w:tcPr>
            <w:tcW w:w="119" w:type="pct"/>
            <w:tcBorders>
              <w:top w:val="nil"/>
              <w:left w:val="nil"/>
              <w:bottom w:val="nil"/>
              <w:right w:val="nil"/>
            </w:tcBorders>
            <w:shd w:val="clear" w:color="auto" w:fill="auto"/>
            <w:noWrap/>
            <w:vAlign w:val="bottom"/>
          </w:tcPr>
          <w:p w14:paraId="0EE8F3DD"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722" w:type="pct"/>
            <w:gridSpan w:val="2"/>
            <w:tcBorders>
              <w:top w:val="single" w:sz="2" w:space="0" w:color="auto"/>
              <w:left w:val="nil"/>
              <w:right w:val="nil"/>
            </w:tcBorders>
            <w:shd w:val="pct15" w:color="auto" w:fill="auto"/>
            <w:noWrap/>
            <w:vAlign w:val="bottom"/>
          </w:tcPr>
          <w:p w14:paraId="19E02B59" w14:textId="77777777" w:rsidR="00D1524E" w:rsidRPr="00F46260" w:rsidRDefault="00D1524E"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19,859</w:t>
            </w:r>
          </w:p>
        </w:tc>
        <w:tc>
          <w:tcPr>
            <w:tcW w:w="787" w:type="pct"/>
            <w:gridSpan w:val="2"/>
            <w:tcBorders>
              <w:top w:val="single" w:sz="2" w:space="0" w:color="auto"/>
              <w:left w:val="nil"/>
              <w:right w:val="nil"/>
            </w:tcBorders>
            <w:shd w:val="pct15" w:color="auto" w:fill="auto"/>
            <w:noWrap/>
            <w:vAlign w:val="bottom"/>
          </w:tcPr>
          <w:p w14:paraId="35C389DD" w14:textId="77777777" w:rsidR="00D1524E" w:rsidRPr="00F46260" w:rsidRDefault="00D1524E"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662" w:type="pct"/>
            <w:tcBorders>
              <w:top w:val="single" w:sz="2" w:space="0" w:color="auto"/>
              <w:left w:val="nil"/>
              <w:right w:val="nil"/>
            </w:tcBorders>
            <w:shd w:val="pct15" w:color="auto" w:fill="auto"/>
            <w:noWrap/>
            <w:vAlign w:val="bottom"/>
          </w:tcPr>
          <w:p w14:paraId="17EF9E69" w14:textId="77777777" w:rsidR="00D1524E" w:rsidRPr="00F46260" w:rsidRDefault="00D1524E"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19,859</w:t>
            </w:r>
          </w:p>
        </w:tc>
      </w:tr>
      <w:tr w:rsidR="00D1524E" w:rsidRPr="00F46260" w14:paraId="507B6C3C" w14:textId="77777777" w:rsidTr="006B755E">
        <w:trPr>
          <w:trHeight w:val="270"/>
        </w:trPr>
        <w:tc>
          <w:tcPr>
            <w:tcW w:w="2591" w:type="pct"/>
            <w:tcBorders>
              <w:top w:val="nil"/>
              <w:left w:val="nil"/>
              <w:bottom w:val="nil"/>
              <w:right w:val="nil"/>
            </w:tcBorders>
            <w:shd w:val="clear" w:color="auto" w:fill="auto"/>
            <w:noWrap/>
            <w:vAlign w:val="bottom"/>
          </w:tcPr>
          <w:p w14:paraId="443D0998" w14:textId="77777777" w:rsidR="00D1524E" w:rsidRPr="00F46260" w:rsidRDefault="00D1524E"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Net result for the year</w:t>
            </w:r>
          </w:p>
        </w:tc>
        <w:tc>
          <w:tcPr>
            <w:tcW w:w="119" w:type="pct"/>
            <w:tcBorders>
              <w:top w:val="nil"/>
              <w:left w:val="nil"/>
              <w:bottom w:val="nil"/>
              <w:right w:val="nil"/>
            </w:tcBorders>
            <w:shd w:val="clear" w:color="auto" w:fill="auto"/>
            <w:noWrap/>
            <w:vAlign w:val="bottom"/>
          </w:tcPr>
          <w:p w14:paraId="74A5E754"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722" w:type="pct"/>
            <w:gridSpan w:val="2"/>
            <w:tcBorders>
              <w:left w:val="nil"/>
              <w:bottom w:val="single" w:sz="2" w:space="0" w:color="auto"/>
              <w:right w:val="nil"/>
            </w:tcBorders>
            <w:shd w:val="pct15" w:color="auto" w:fill="auto"/>
            <w:noWrap/>
            <w:vAlign w:val="bottom"/>
          </w:tcPr>
          <w:p w14:paraId="1BA87CED" w14:textId="77777777" w:rsidR="00D1524E" w:rsidRPr="00F46260" w:rsidRDefault="00D1524E"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787" w:type="pct"/>
            <w:gridSpan w:val="2"/>
            <w:tcBorders>
              <w:left w:val="nil"/>
              <w:bottom w:val="single" w:sz="2" w:space="0" w:color="auto"/>
              <w:right w:val="nil"/>
            </w:tcBorders>
            <w:shd w:val="pct15" w:color="auto" w:fill="auto"/>
            <w:noWrap/>
            <w:vAlign w:val="bottom"/>
          </w:tcPr>
          <w:p w14:paraId="4397A536" w14:textId="77777777" w:rsidR="00D1524E" w:rsidRPr="00F46260" w:rsidRDefault="00D1524E"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(2,242,454)</w:t>
            </w:r>
          </w:p>
        </w:tc>
        <w:tc>
          <w:tcPr>
            <w:tcW w:w="662" w:type="pct"/>
            <w:tcBorders>
              <w:left w:val="nil"/>
              <w:bottom w:val="single" w:sz="2" w:space="0" w:color="auto"/>
              <w:right w:val="nil"/>
            </w:tcBorders>
            <w:shd w:val="pct15" w:color="auto" w:fill="auto"/>
            <w:noWrap/>
            <w:vAlign w:val="bottom"/>
          </w:tcPr>
          <w:p w14:paraId="2F2DB681" w14:textId="77777777" w:rsidR="00D1524E" w:rsidRPr="00F46260" w:rsidRDefault="00D1524E"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(2,242,454)</w:t>
            </w:r>
          </w:p>
        </w:tc>
        <w:tc>
          <w:tcPr>
            <w:tcW w:w="119" w:type="pct"/>
            <w:vAlign w:val="bottom"/>
          </w:tcPr>
          <w:p w14:paraId="07BF49B5" w14:textId="77777777" w:rsidR="00D1524E" w:rsidRPr="00F46260" w:rsidRDefault="00D1524E" w:rsidP="00F46260">
            <w:pPr>
              <w:spacing w:after="0" w:line="240" w:lineRule="auto"/>
              <w:rPr>
                <w:rFonts w:ascii="Times New Roman" w:eastAsia="Times New Roman" w:hAnsi="Times New Roman"/>
                <w:sz w:val="20"/>
                <w:szCs w:val="20"/>
                <w:lang w:eastAsia="en-AU"/>
              </w:rPr>
            </w:pPr>
          </w:p>
        </w:tc>
      </w:tr>
      <w:tr w:rsidR="00D1524E" w:rsidRPr="00F46260" w14:paraId="5875B5A0" w14:textId="77777777" w:rsidTr="006B755E">
        <w:trPr>
          <w:gridAfter w:val="1"/>
          <w:wAfter w:w="119" w:type="pct"/>
          <w:trHeight w:val="270"/>
        </w:trPr>
        <w:tc>
          <w:tcPr>
            <w:tcW w:w="2591" w:type="pct"/>
            <w:tcBorders>
              <w:top w:val="single" w:sz="2" w:space="0" w:color="auto"/>
              <w:left w:val="nil"/>
              <w:bottom w:val="single" w:sz="12" w:space="0" w:color="auto"/>
              <w:right w:val="nil"/>
            </w:tcBorders>
            <w:shd w:val="clear" w:color="auto" w:fill="auto"/>
            <w:noWrap/>
            <w:vAlign w:val="bottom"/>
          </w:tcPr>
          <w:p w14:paraId="29F41E94" w14:textId="77777777" w:rsidR="00D1524E" w:rsidRPr="00F46260" w:rsidRDefault="00D1524E"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Balance at 30 June 2021</w:t>
            </w:r>
          </w:p>
        </w:tc>
        <w:tc>
          <w:tcPr>
            <w:tcW w:w="119" w:type="pct"/>
            <w:tcBorders>
              <w:top w:val="single" w:sz="2" w:space="0" w:color="auto"/>
              <w:left w:val="nil"/>
              <w:bottom w:val="single" w:sz="12" w:space="0" w:color="auto"/>
              <w:right w:val="nil"/>
            </w:tcBorders>
            <w:shd w:val="clear" w:color="auto" w:fill="auto"/>
            <w:noWrap/>
            <w:vAlign w:val="bottom"/>
          </w:tcPr>
          <w:p w14:paraId="1545D302"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722" w:type="pct"/>
            <w:gridSpan w:val="2"/>
            <w:tcBorders>
              <w:top w:val="single" w:sz="2" w:space="0" w:color="auto"/>
              <w:left w:val="nil"/>
              <w:bottom w:val="single" w:sz="12" w:space="0" w:color="auto"/>
              <w:right w:val="nil"/>
            </w:tcBorders>
            <w:shd w:val="pct15" w:color="auto" w:fill="auto"/>
            <w:noWrap/>
            <w:vAlign w:val="bottom"/>
          </w:tcPr>
          <w:p w14:paraId="32BCB2E4" w14:textId="77777777" w:rsidR="00D1524E" w:rsidRPr="00F46260" w:rsidRDefault="00D1524E"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4,287,527</w:t>
            </w:r>
          </w:p>
        </w:tc>
        <w:tc>
          <w:tcPr>
            <w:tcW w:w="787" w:type="pct"/>
            <w:gridSpan w:val="2"/>
            <w:tcBorders>
              <w:top w:val="single" w:sz="2" w:space="0" w:color="auto"/>
              <w:left w:val="nil"/>
              <w:bottom w:val="single" w:sz="12" w:space="0" w:color="auto"/>
              <w:right w:val="nil"/>
            </w:tcBorders>
            <w:shd w:val="pct15" w:color="auto" w:fill="auto"/>
            <w:noWrap/>
            <w:vAlign w:val="bottom"/>
          </w:tcPr>
          <w:p w14:paraId="6A19BFA5" w14:textId="77777777" w:rsidR="00D1524E" w:rsidRPr="00F46260" w:rsidRDefault="00D1524E"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1,448,283</w:t>
            </w:r>
          </w:p>
        </w:tc>
        <w:tc>
          <w:tcPr>
            <w:tcW w:w="662" w:type="pct"/>
            <w:tcBorders>
              <w:top w:val="single" w:sz="2" w:space="0" w:color="auto"/>
              <w:left w:val="nil"/>
              <w:bottom w:val="single" w:sz="12" w:space="0" w:color="auto"/>
              <w:right w:val="nil"/>
            </w:tcBorders>
            <w:shd w:val="pct15" w:color="auto" w:fill="auto"/>
            <w:noWrap/>
            <w:vAlign w:val="bottom"/>
          </w:tcPr>
          <w:p w14:paraId="5E21F9B6" w14:textId="77777777" w:rsidR="00D1524E" w:rsidRPr="00F46260" w:rsidRDefault="00D1524E"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5,735,810</w:t>
            </w:r>
          </w:p>
        </w:tc>
      </w:tr>
      <w:tr w:rsidR="00D1524E" w:rsidRPr="00F46260" w14:paraId="3B8302A8" w14:textId="77777777" w:rsidTr="006B755E">
        <w:trPr>
          <w:gridAfter w:val="3"/>
          <w:wAfter w:w="1064" w:type="pct"/>
          <w:trHeight w:val="270"/>
        </w:trPr>
        <w:tc>
          <w:tcPr>
            <w:tcW w:w="2591" w:type="pct"/>
            <w:tcBorders>
              <w:top w:val="single" w:sz="12" w:space="0" w:color="auto"/>
              <w:left w:val="nil"/>
              <w:bottom w:val="nil"/>
              <w:right w:val="nil"/>
            </w:tcBorders>
            <w:shd w:val="clear" w:color="auto" w:fill="auto"/>
            <w:noWrap/>
            <w:vAlign w:val="bottom"/>
          </w:tcPr>
          <w:p w14:paraId="36C5944A" w14:textId="77777777" w:rsidR="00D1524E" w:rsidRPr="00F46260" w:rsidRDefault="00D1524E" w:rsidP="00F46260">
            <w:pPr>
              <w:spacing w:after="0" w:line="240" w:lineRule="auto"/>
              <w:rPr>
                <w:rFonts w:ascii="Arial" w:eastAsia="Times New Roman" w:hAnsi="Arial" w:cs="Arial"/>
                <w:b/>
                <w:sz w:val="20"/>
                <w:szCs w:val="20"/>
                <w:lang w:eastAsia="en-AU"/>
              </w:rPr>
            </w:pPr>
          </w:p>
        </w:tc>
        <w:tc>
          <w:tcPr>
            <w:tcW w:w="119" w:type="pct"/>
            <w:tcBorders>
              <w:top w:val="single" w:sz="12" w:space="0" w:color="auto"/>
              <w:left w:val="nil"/>
              <w:bottom w:val="nil"/>
              <w:right w:val="nil"/>
            </w:tcBorders>
            <w:shd w:val="clear" w:color="auto" w:fill="auto"/>
            <w:noWrap/>
            <w:vAlign w:val="bottom"/>
          </w:tcPr>
          <w:p w14:paraId="54D6BA91" w14:textId="77777777" w:rsidR="00D1524E" w:rsidRPr="00F46260" w:rsidRDefault="00D1524E" w:rsidP="00F46260">
            <w:pPr>
              <w:spacing w:after="0" w:line="240" w:lineRule="auto"/>
              <w:jc w:val="center"/>
              <w:rPr>
                <w:rFonts w:ascii="Arial" w:eastAsia="Times New Roman" w:hAnsi="Arial" w:cs="Arial"/>
                <w:sz w:val="20"/>
                <w:szCs w:val="20"/>
                <w:lang w:eastAsia="en-AU"/>
              </w:rPr>
            </w:pPr>
          </w:p>
        </w:tc>
        <w:tc>
          <w:tcPr>
            <w:tcW w:w="194" w:type="pct"/>
            <w:tcBorders>
              <w:top w:val="single" w:sz="12" w:space="0" w:color="auto"/>
              <w:left w:val="nil"/>
              <w:bottom w:val="nil"/>
              <w:right w:val="nil"/>
            </w:tcBorders>
            <w:shd w:val="clear" w:color="auto" w:fill="auto"/>
            <w:noWrap/>
            <w:vAlign w:val="center"/>
          </w:tcPr>
          <w:p w14:paraId="16F5E785" w14:textId="77777777" w:rsidR="00D1524E" w:rsidRPr="00F46260" w:rsidRDefault="00D1524E" w:rsidP="00F46260">
            <w:pPr>
              <w:spacing w:after="0" w:line="240" w:lineRule="auto"/>
              <w:rPr>
                <w:rFonts w:ascii="Arial" w:eastAsia="Times New Roman" w:hAnsi="Arial" w:cs="Arial"/>
                <w:b/>
                <w:bCs/>
                <w:sz w:val="20"/>
                <w:szCs w:val="20"/>
                <w:lang w:eastAsia="en-AU"/>
              </w:rPr>
            </w:pPr>
          </w:p>
        </w:tc>
        <w:tc>
          <w:tcPr>
            <w:tcW w:w="1032" w:type="pct"/>
            <w:gridSpan w:val="2"/>
            <w:tcBorders>
              <w:top w:val="single" w:sz="12" w:space="0" w:color="auto"/>
              <w:left w:val="nil"/>
              <w:right w:val="nil"/>
            </w:tcBorders>
            <w:shd w:val="clear" w:color="auto" w:fill="auto"/>
            <w:noWrap/>
            <w:vAlign w:val="center"/>
          </w:tcPr>
          <w:p w14:paraId="72BF99FA" w14:textId="77777777" w:rsidR="00D1524E" w:rsidRPr="00F46260" w:rsidRDefault="00D1524E" w:rsidP="00F46260">
            <w:pPr>
              <w:spacing w:after="0" w:line="240" w:lineRule="auto"/>
              <w:jc w:val="right"/>
              <w:rPr>
                <w:rFonts w:ascii="Arial" w:eastAsia="Times New Roman" w:hAnsi="Arial" w:cs="Arial"/>
                <w:b/>
                <w:bCs/>
                <w:color w:val="000000"/>
                <w:sz w:val="20"/>
                <w:szCs w:val="20"/>
                <w:lang w:eastAsia="en-AU"/>
              </w:rPr>
            </w:pPr>
          </w:p>
        </w:tc>
      </w:tr>
    </w:tbl>
    <w:p w14:paraId="2C09C42B" w14:textId="77777777" w:rsidR="00F46260" w:rsidRPr="00F46260" w:rsidRDefault="00F46260" w:rsidP="00F46260">
      <w:pPr>
        <w:spacing w:after="0" w:line="240" w:lineRule="auto"/>
        <w:rPr>
          <w:rFonts w:ascii="Arial" w:eastAsia="Times New Roman" w:hAnsi="Arial" w:cs="Arial"/>
          <w:sz w:val="16"/>
          <w:szCs w:val="16"/>
          <w:lang w:eastAsia="en-AU"/>
        </w:rPr>
      </w:pPr>
      <w:r w:rsidRPr="00F46260">
        <w:rPr>
          <w:rFonts w:ascii="Arial" w:eastAsia="Times New Roman" w:hAnsi="Arial" w:cs="Arial"/>
          <w:sz w:val="16"/>
          <w:szCs w:val="16"/>
          <w:lang w:eastAsia="en-AU"/>
        </w:rPr>
        <w:t>The accompanying notes form part of these financial statements.</w:t>
      </w:r>
    </w:p>
    <w:p w14:paraId="0DB776FF" w14:textId="77777777" w:rsidR="00F46260" w:rsidRPr="00F46260" w:rsidRDefault="00F46260" w:rsidP="00F46260">
      <w:pPr>
        <w:spacing w:after="0" w:line="240" w:lineRule="auto"/>
        <w:rPr>
          <w:rFonts w:ascii="Arial" w:eastAsia="Times New Roman" w:hAnsi="Arial" w:cs="Arial"/>
          <w:sz w:val="20"/>
          <w:szCs w:val="20"/>
          <w:lang w:eastAsia="en-AU"/>
        </w:rPr>
      </w:pPr>
    </w:p>
    <w:p w14:paraId="525CD227" w14:textId="77777777" w:rsidR="00F46260" w:rsidRPr="00F46260" w:rsidRDefault="00F46260" w:rsidP="00F46260">
      <w:pPr>
        <w:spacing w:after="0" w:line="240" w:lineRule="auto"/>
        <w:rPr>
          <w:rFonts w:ascii="Arial" w:eastAsia="Times New Roman" w:hAnsi="Arial" w:cs="Arial"/>
          <w:sz w:val="20"/>
          <w:szCs w:val="20"/>
          <w:lang w:eastAsia="en-AU"/>
        </w:rPr>
        <w:sectPr w:rsidR="00F46260" w:rsidRPr="00F46260" w:rsidSect="00F46260">
          <w:headerReference w:type="even" r:id="rId54"/>
          <w:headerReference w:type="default" r:id="rId55"/>
          <w:footerReference w:type="even" r:id="rId56"/>
          <w:footerReference w:type="default" r:id="rId57"/>
          <w:headerReference w:type="first" r:id="rId58"/>
          <w:footerReference w:type="first" r:id="rId59"/>
          <w:pgSz w:w="11906" w:h="16838"/>
          <w:pgMar w:top="1440" w:right="1276" w:bottom="1440" w:left="1276" w:header="708" w:footer="708" w:gutter="0"/>
          <w:cols w:space="720"/>
          <w:titlePg/>
          <w:docGrid w:linePitch="272"/>
        </w:sectPr>
      </w:pPr>
    </w:p>
    <w:p w14:paraId="4DF700E0" w14:textId="77777777" w:rsidR="00F46260" w:rsidRPr="00F46260" w:rsidRDefault="00F46260" w:rsidP="00F46260">
      <w:pPr>
        <w:pBdr>
          <w:bottom w:val="single" w:sz="12" w:space="1" w:color="auto"/>
        </w:pBdr>
        <w:tabs>
          <w:tab w:val="left" w:pos="1384"/>
        </w:tabs>
        <w:spacing w:after="0" w:line="240" w:lineRule="auto"/>
        <w:ind w:left="1384" w:hanging="1384"/>
        <w:rPr>
          <w:rFonts w:ascii="Arial" w:eastAsia="Times New Roman" w:hAnsi="Arial" w:cs="Arial"/>
          <w:b/>
          <w:sz w:val="24"/>
          <w:szCs w:val="24"/>
          <w:lang w:eastAsia="en-AU"/>
        </w:rPr>
      </w:pPr>
      <w:bookmarkStart w:id="42" w:name="_Toc420672825"/>
      <w:bookmarkStart w:id="43" w:name="_Toc492305464"/>
      <w:r w:rsidRPr="00F46260">
        <w:rPr>
          <w:rFonts w:ascii="Arial" w:eastAsia="Times New Roman" w:hAnsi="Arial" w:cs="Arial"/>
          <w:b/>
          <w:sz w:val="24"/>
          <w:szCs w:val="24"/>
          <w:lang w:eastAsia="en-AU"/>
        </w:rPr>
        <w:lastRenderedPageBreak/>
        <w:t xml:space="preserve">1. </w:t>
      </w:r>
      <w:bookmarkEnd w:id="42"/>
      <w:r w:rsidRPr="00F46260">
        <w:rPr>
          <w:rFonts w:ascii="Arial" w:eastAsia="Times New Roman" w:hAnsi="Arial" w:cs="Arial"/>
          <w:b/>
          <w:sz w:val="24"/>
          <w:szCs w:val="24"/>
          <w:lang w:eastAsia="en-AU"/>
        </w:rPr>
        <w:t>About this report</w:t>
      </w:r>
      <w:bookmarkEnd w:id="43"/>
    </w:p>
    <w:p w14:paraId="17E981FF"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tbl>
      <w:tblPr>
        <w:tblStyle w:val="CVtable1"/>
        <w:tblW w:w="138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4621"/>
      </w:tblGrid>
      <w:tr w:rsidR="00F46260" w:rsidRPr="00F46260" w14:paraId="08EE7837" w14:textId="77777777" w:rsidTr="00D1524E">
        <w:tc>
          <w:tcPr>
            <w:tcW w:w="9180" w:type="dxa"/>
          </w:tcPr>
          <w:p w14:paraId="742CC756" w14:textId="77777777" w:rsidR="00F46260" w:rsidRPr="00F46260" w:rsidRDefault="00F46260" w:rsidP="00D1524E">
            <w:pPr>
              <w:spacing w:after="0" w:line="240" w:lineRule="auto"/>
              <w:rPr>
                <w:rFonts w:ascii="Arial" w:hAnsi="Arial" w:cs="Arial"/>
              </w:rPr>
            </w:pPr>
            <w:r w:rsidRPr="00F46260">
              <w:rPr>
                <w:rFonts w:ascii="Arial" w:hAnsi="Arial" w:cs="Arial"/>
              </w:rPr>
              <w:t xml:space="preserve">The Victorian Public Sector Commission (the Commission) was established on 1 April 2014 through an amendment to the </w:t>
            </w:r>
            <w:r w:rsidRPr="00F46260">
              <w:rPr>
                <w:rFonts w:ascii="Arial" w:hAnsi="Arial" w:cs="Arial"/>
                <w:i/>
              </w:rPr>
              <w:t>Public Administration Act 2004</w:t>
            </w:r>
            <w:r w:rsidRPr="00F46260">
              <w:rPr>
                <w:rFonts w:ascii="Arial" w:hAnsi="Arial" w:cs="Arial"/>
              </w:rPr>
              <w:t xml:space="preserve"> (the Act) and replaced the State Services Authority which was abolished pursuant to clause 3 of Schedule 3 of the Act.</w:t>
            </w:r>
          </w:p>
          <w:p w14:paraId="74E814D1" w14:textId="77777777" w:rsidR="00F46260" w:rsidRPr="00F46260" w:rsidRDefault="00F46260" w:rsidP="00D1524E">
            <w:pPr>
              <w:spacing w:after="0" w:line="240" w:lineRule="auto"/>
              <w:rPr>
                <w:rFonts w:ascii="Arial" w:hAnsi="Arial" w:cs="Arial"/>
                <w:b/>
              </w:rPr>
            </w:pPr>
          </w:p>
          <w:p w14:paraId="06738965" w14:textId="77777777" w:rsidR="00F46260" w:rsidRPr="00F46260" w:rsidRDefault="00F46260" w:rsidP="00D1524E">
            <w:pPr>
              <w:spacing w:after="0" w:line="240" w:lineRule="auto"/>
              <w:rPr>
                <w:rFonts w:ascii="Arial" w:hAnsi="Arial" w:cs="Arial"/>
              </w:rPr>
            </w:pPr>
            <w:r w:rsidRPr="00F46260">
              <w:rPr>
                <w:rFonts w:ascii="Arial" w:hAnsi="Arial" w:cs="Arial"/>
              </w:rPr>
              <w:t>The Commission’s principal address is:</w:t>
            </w:r>
          </w:p>
          <w:p w14:paraId="196A97B9" w14:textId="77777777" w:rsidR="00F46260" w:rsidRPr="00F46260" w:rsidRDefault="00F46260" w:rsidP="00D1524E">
            <w:pPr>
              <w:spacing w:after="0" w:line="240" w:lineRule="auto"/>
              <w:rPr>
                <w:rFonts w:ascii="Arial" w:hAnsi="Arial" w:cs="Arial"/>
              </w:rPr>
            </w:pPr>
            <w:r w:rsidRPr="00F46260">
              <w:rPr>
                <w:rFonts w:ascii="Arial" w:hAnsi="Arial" w:cs="Arial"/>
              </w:rPr>
              <w:t xml:space="preserve">       </w:t>
            </w:r>
          </w:p>
          <w:p w14:paraId="294B583E" w14:textId="6F3927A1" w:rsidR="00F46260" w:rsidRPr="00F46260" w:rsidRDefault="00F46260" w:rsidP="00D1524E">
            <w:pPr>
              <w:spacing w:after="0" w:line="240" w:lineRule="auto"/>
              <w:rPr>
                <w:rFonts w:ascii="Arial" w:hAnsi="Arial" w:cs="Arial"/>
              </w:rPr>
            </w:pPr>
            <w:r w:rsidRPr="00F46260">
              <w:rPr>
                <w:rFonts w:ascii="Arial" w:hAnsi="Arial" w:cs="Arial"/>
              </w:rPr>
              <w:t xml:space="preserve">3 Treasury Place </w:t>
            </w:r>
          </w:p>
          <w:p w14:paraId="4A8519AA" w14:textId="33CDC5D1" w:rsidR="00F46260" w:rsidRPr="00F46260" w:rsidRDefault="00F46260" w:rsidP="00D1524E">
            <w:pPr>
              <w:spacing w:after="0" w:line="240" w:lineRule="auto"/>
              <w:rPr>
                <w:rFonts w:ascii="Arial" w:hAnsi="Arial" w:cs="Arial"/>
              </w:rPr>
            </w:pPr>
            <w:r w:rsidRPr="00F46260">
              <w:rPr>
                <w:rFonts w:ascii="Arial" w:hAnsi="Arial" w:cs="Arial"/>
              </w:rPr>
              <w:t>East Melbourne Victoria 3002</w:t>
            </w:r>
          </w:p>
          <w:p w14:paraId="6F36721C" w14:textId="77777777" w:rsidR="00F46260" w:rsidRPr="00F46260" w:rsidRDefault="00F46260" w:rsidP="00D1524E">
            <w:pPr>
              <w:spacing w:after="0" w:line="240" w:lineRule="auto"/>
              <w:rPr>
                <w:rFonts w:ascii="Arial" w:hAnsi="Arial" w:cs="Arial"/>
              </w:rPr>
            </w:pPr>
          </w:p>
          <w:p w14:paraId="16C496D5" w14:textId="77777777" w:rsidR="00F46260" w:rsidRPr="00F46260" w:rsidRDefault="00F46260" w:rsidP="00D1524E">
            <w:pPr>
              <w:spacing w:after="0" w:line="240" w:lineRule="auto"/>
              <w:rPr>
                <w:rFonts w:ascii="Arial" w:hAnsi="Arial" w:cs="Arial"/>
                <w:b/>
              </w:rPr>
            </w:pPr>
            <w:r w:rsidRPr="00F46260">
              <w:rPr>
                <w:rFonts w:ascii="Arial" w:hAnsi="Arial" w:cs="Arial"/>
              </w:rPr>
              <w:t xml:space="preserve">A description of the nature of the principal services is included in the </w:t>
            </w:r>
            <w:r w:rsidRPr="00F46260">
              <w:rPr>
                <w:rFonts w:ascii="Arial" w:hAnsi="Arial" w:cs="Arial"/>
                <w:b/>
              </w:rPr>
              <w:t>“Report of operations”</w:t>
            </w:r>
            <w:r w:rsidRPr="00F46260">
              <w:rPr>
                <w:rFonts w:ascii="Arial" w:hAnsi="Arial" w:cs="Arial"/>
              </w:rPr>
              <w:t xml:space="preserve"> of the Annual Report which does not form part of these financial statements.</w:t>
            </w:r>
          </w:p>
        </w:tc>
        <w:tc>
          <w:tcPr>
            <w:tcW w:w="4621" w:type="dxa"/>
            <w:tcBorders>
              <w:left w:val="nil"/>
            </w:tcBorders>
          </w:tcPr>
          <w:p w14:paraId="0EDB2A32" w14:textId="77777777" w:rsidR="00F46260" w:rsidRPr="00F46260" w:rsidRDefault="00F46260" w:rsidP="00F46260">
            <w:pPr>
              <w:spacing w:after="0" w:line="240" w:lineRule="auto"/>
              <w:rPr>
                <w:rFonts w:ascii="Arial" w:hAnsi="Arial" w:cs="Arial"/>
                <w:b/>
              </w:rPr>
            </w:pPr>
          </w:p>
        </w:tc>
      </w:tr>
    </w:tbl>
    <w:p w14:paraId="3F86845D" w14:textId="77777777" w:rsidR="00F46260" w:rsidRPr="00F46260" w:rsidRDefault="00F46260" w:rsidP="00F46260">
      <w:pPr>
        <w:spacing w:after="0" w:line="240" w:lineRule="auto"/>
        <w:rPr>
          <w:rFonts w:ascii="Arial" w:eastAsia="Times New Roman" w:hAnsi="Arial" w:cs="Arial"/>
          <w:sz w:val="20"/>
          <w:szCs w:val="20"/>
          <w:lang w:eastAsia="en-AU"/>
        </w:rPr>
      </w:pPr>
    </w:p>
    <w:p w14:paraId="2690A7F9"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Basis of preparation</w:t>
      </w:r>
    </w:p>
    <w:p w14:paraId="1688BA2D" w14:textId="77777777" w:rsidR="00F46260" w:rsidRPr="00F46260" w:rsidRDefault="00F46260" w:rsidP="00F46260">
      <w:pPr>
        <w:spacing w:after="0" w:line="240" w:lineRule="auto"/>
        <w:rPr>
          <w:rFonts w:ascii="Arial" w:eastAsia="Times New Roman" w:hAnsi="Arial" w:cs="Arial"/>
          <w:sz w:val="20"/>
          <w:szCs w:val="20"/>
          <w:lang w:eastAsia="en-AU"/>
        </w:rPr>
      </w:pPr>
    </w:p>
    <w:p w14:paraId="165B051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These financial statements are prepared in Australian dollars and the historical cost convention is used unless a different measurement basis is specifically disclosed in the note associated with the item measured on a different basis.</w:t>
      </w:r>
    </w:p>
    <w:p w14:paraId="3CDF6520" w14:textId="77777777" w:rsidR="00F46260" w:rsidRPr="00F46260" w:rsidRDefault="00F46260" w:rsidP="00F46260">
      <w:pPr>
        <w:spacing w:after="0" w:line="240" w:lineRule="auto"/>
        <w:rPr>
          <w:rFonts w:ascii="Arial" w:eastAsia="Times New Roman" w:hAnsi="Arial" w:cs="Arial"/>
          <w:sz w:val="20"/>
          <w:szCs w:val="20"/>
          <w:lang w:eastAsia="en-AU"/>
        </w:rPr>
      </w:pPr>
    </w:p>
    <w:p w14:paraId="61375CA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23EB7A2C" w14:textId="77777777" w:rsidR="00F46260" w:rsidRPr="00F46260" w:rsidRDefault="00F46260" w:rsidP="00F46260">
      <w:pPr>
        <w:spacing w:after="0" w:line="240" w:lineRule="auto"/>
        <w:rPr>
          <w:rFonts w:ascii="Arial" w:eastAsia="Times New Roman" w:hAnsi="Arial" w:cs="Arial"/>
          <w:sz w:val="20"/>
          <w:szCs w:val="20"/>
          <w:lang w:eastAsia="en-AU"/>
        </w:rPr>
      </w:pPr>
    </w:p>
    <w:p w14:paraId="1BBAA03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Consistent with the requirements of AASB 1004 </w:t>
      </w:r>
      <w:r w:rsidRPr="00F46260">
        <w:rPr>
          <w:rFonts w:ascii="Arial" w:eastAsia="Times New Roman" w:hAnsi="Arial" w:cs="Arial"/>
          <w:i/>
          <w:sz w:val="20"/>
          <w:szCs w:val="20"/>
          <w:lang w:eastAsia="en-AU"/>
        </w:rPr>
        <w:t>Contributions</w:t>
      </w:r>
      <w:r w:rsidRPr="00F46260">
        <w:rPr>
          <w:rFonts w:ascii="Arial" w:eastAsia="Times New Roman" w:hAnsi="Arial" w:cs="Arial"/>
          <w:sz w:val="20"/>
          <w:szCs w:val="20"/>
          <w:lang w:eastAsia="en-AU"/>
        </w:rPr>
        <w:t>, contributions by owners (that is, contributed capital and its repayment) are treated as equity transactions and, therefore, do not form part of the income and expenses of the Commission.</w:t>
      </w:r>
    </w:p>
    <w:p w14:paraId="61A1E4C1" w14:textId="77777777" w:rsidR="00F46260" w:rsidRPr="00F46260" w:rsidRDefault="00F46260" w:rsidP="00F46260">
      <w:pPr>
        <w:spacing w:after="0" w:line="240" w:lineRule="auto"/>
        <w:rPr>
          <w:rFonts w:ascii="Arial" w:eastAsia="Times New Roman" w:hAnsi="Arial" w:cs="Arial"/>
          <w:sz w:val="20"/>
          <w:szCs w:val="20"/>
          <w:lang w:eastAsia="en-AU"/>
        </w:rPr>
      </w:pPr>
    </w:p>
    <w:p w14:paraId="1AD19A7B"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w:t>
      </w:r>
    </w:p>
    <w:p w14:paraId="76201667" w14:textId="77777777" w:rsidR="00F46260" w:rsidRPr="00F46260" w:rsidRDefault="00F46260" w:rsidP="00F46260">
      <w:pPr>
        <w:spacing w:after="0" w:line="240" w:lineRule="auto"/>
        <w:rPr>
          <w:rFonts w:ascii="Arial" w:eastAsia="Times New Roman" w:hAnsi="Arial" w:cs="Arial"/>
          <w:sz w:val="20"/>
          <w:szCs w:val="20"/>
          <w:lang w:eastAsia="en-AU"/>
        </w:rPr>
      </w:pPr>
    </w:p>
    <w:p w14:paraId="480876B0"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These judgements and assumptions made by management in applying Australian Accounting Standards (AASs) that have significant effects on the financial statements and estimates are disclosed in the notes to which they relate. Actual results may differ from these estimates.  </w:t>
      </w:r>
    </w:p>
    <w:p w14:paraId="07BE0ECA" w14:textId="77777777" w:rsidR="00F46260" w:rsidRPr="00F46260" w:rsidRDefault="00F46260" w:rsidP="00F46260">
      <w:pPr>
        <w:spacing w:after="0" w:line="240" w:lineRule="auto"/>
        <w:rPr>
          <w:rFonts w:ascii="Arial" w:eastAsia="Times New Roman" w:hAnsi="Arial" w:cs="Arial"/>
          <w:sz w:val="20"/>
          <w:szCs w:val="20"/>
          <w:lang w:eastAsia="en-AU"/>
        </w:rPr>
      </w:pPr>
    </w:p>
    <w:p w14:paraId="214A0E7C" w14:textId="77777777" w:rsidR="00F46260" w:rsidRPr="00F46260" w:rsidRDefault="00F46260" w:rsidP="00F46260">
      <w:pPr>
        <w:spacing w:after="120" w:line="240" w:lineRule="atLeast"/>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Revisions to accounting estimates are recognised in the period in which the estimate is revised and in future periods that are affected by the revision.  </w:t>
      </w:r>
    </w:p>
    <w:p w14:paraId="311A803E" w14:textId="77777777" w:rsidR="00F46260" w:rsidRPr="00F46260" w:rsidRDefault="00F46260" w:rsidP="00F46260">
      <w:pPr>
        <w:spacing w:after="240" w:line="240" w:lineRule="atLeast"/>
        <w:rPr>
          <w:rFonts w:ascii="Arial" w:eastAsia="Times New Roman" w:hAnsi="Arial" w:cs="Arial"/>
          <w:sz w:val="20"/>
          <w:szCs w:val="20"/>
          <w:lang w:eastAsia="en-AU"/>
        </w:rPr>
      </w:pPr>
      <w:r w:rsidRPr="00F46260">
        <w:rPr>
          <w:rFonts w:ascii="Arial" w:eastAsia="Times New Roman" w:hAnsi="Arial" w:cs="Arial"/>
          <w:sz w:val="20"/>
          <w:szCs w:val="20"/>
          <w:lang w:eastAsia="en-AU"/>
        </w:rPr>
        <w:t>These financial statements cover the Commission as an individual reporting entity and include all the controlled activities of the Commission.</w:t>
      </w:r>
    </w:p>
    <w:p w14:paraId="60B69227"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Compliance</w:t>
      </w:r>
    </w:p>
    <w:p w14:paraId="5711D4E2" w14:textId="77777777" w:rsidR="00F46260" w:rsidRPr="00F46260" w:rsidRDefault="00F46260" w:rsidP="00F46260">
      <w:pPr>
        <w:spacing w:after="0" w:line="240" w:lineRule="auto"/>
        <w:rPr>
          <w:rFonts w:ascii="Arial" w:eastAsia="Times New Roman" w:hAnsi="Arial" w:cs="Arial"/>
          <w:sz w:val="20"/>
          <w:szCs w:val="20"/>
          <w:lang w:eastAsia="en-AU"/>
        </w:rPr>
      </w:pPr>
    </w:p>
    <w:p w14:paraId="6220BF7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These general-purpose financial statements have been prepared on a going concern basis in accordance with the </w:t>
      </w:r>
      <w:r w:rsidRPr="00F46260">
        <w:rPr>
          <w:rFonts w:ascii="Arial" w:eastAsia="Times New Roman" w:hAnsi="Arial" w:cs="Arial"/>
          <w:i/>
          <w:sz w:val="20"/>
          <w:szCs w:val="20"/>
          <w:lang w:eastAsia="en-AU"/>
        </w:rPr>
        <w:t>Financial Management Act 1994</w:t>
      </w:r>
      <w:r w:rsidRPr="00F46260">
        <w:rPr>
          <w:rFonts w:ascii="Arial" w:eastAsia="Times New Roman" w:hAnsi="Arial" w:cs="Arial"/>
          <w:sz w:val="20"/>
          <w:szCs w:val="20"/>
          <w:lang w:eastAsia="en-AU"/>
        </w:rPr>
        <w:t xml:space="preserve"> and applicable Australian Accounting Standards (AASs) including Interpretations, issued by the Australian Accounting Standards Board (AASB). In particular, they are presented in a manner consistent with the requirements of AASB 1049 </w:t>
      </w:r>
      <w:r w:rsidRPr="00F46260">
        <w:rPr>
          <w:rFonts w:ascii="Arial" w:eastAsia="Times New Roman" w:hAnsi="Arial" w:cs="Arial"/>
          <w:i/>
          <w:sz w:val="20"/>
          <w:szCs w:val="20"/>
          <w:lang w:eastAsia="en-AU"/>
        </w:rPr>
        <w:t>Whole of Government and General Government Sector Financial Reporting</w:t>
      </w:r>
      <w:r w:rsidRPr="00F46260">
        <w:rPr>
          <w:rFonts w:ascii="Arial" w:eastAsia="Times New Roman" w:hAnsi="Arial" w:cs="Arial"/>
          <w:sz w:val="20"/>
          <w:szCs w:val="20"/>
          <w:lang w:eastAsia="en-AU"/>
        </w:rPr>
        <w:t xml:space="preserve">. </w:t>
      </w:r>
    </w:p>
    <w:p w14:paraId="1D5DF826" w14:textId="77777777" w:rsidR="00F46260" w:rsidRPr="00F46260" w:rsidRDefault="00F46260" w:rsidP="00F46260">
      <w:pPr>
        <w:spacing w:after="0" w:line="240" w:lineRule="auto"/>
        <w:rPr>
          <w:rFonts w:ascii="Arial" w:eastAsia="Times New Roman" w:hAnsi="Arial" w:cs="Arial"/>
          <w:sz w:val="20"/>
          <w:szCs w:val="20"/>
          <w:lang w:eastAsia="en-AU"/>
        </w:rPr>
      </w:pPr>
    </w:p>
    <w:p w14:paraId="39057AF5"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are reported.</w:t>
      </w:r>
    </w:p>
    <w:p w14:paraId="224AE8D7" w14:textId="77777777" w:rsidR="00F46260" w:rsidRPr="00F46260" w:rsidRDefault="00F46260" w:rsidP="00F46260">
      <w:pPr>
        <w:spacing w:after="0" w:line="240" w:lineRule="auto"/>
        <w:rPr>
          <w:rFonts w:ascii="Arial" w:eastAsia="Times New Roman" w:hAnsi="Arial" w:cs="Arial"/>
          <w:sz w:val="20"/>
          <w:szCs w:val="20"/>
          <w:lang w:eastAsia="en-AU"/>
        </w:rPr>
      </w:pPr>
    </w:p>
    <w:p w14:paraId="2ED33FC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Other accounting policies</w:t>
      </w:r>
    </w:p>
    <w:p w14:paraId="794337B8" w14:textId="77777777" w:rsidR="00F46260" w:rsidRPr="00F46260" w:rsidRDefault="00F46260" w:rsidP="00F46260">
      <w:pPr>
        <w:spacing w:after="0" w:line="240" w:lineRule="auto"/>
        <w:rPr>
          <w:rFonts w:ascii="Arial" w:eastAsia="Times New Roman" w:hAnsi="Arial" w:cs="Arial"/>
          <w:sz w:val="20"/>
          <w:szCs w:val="20"/>
          <w:lang w:eastAsia="en-AU"/>
        </w:rPr>
        <w:sectPr w:rsidR="00F46260" w:rsidRPr="00F46260" w:rsidSect="00F46260">
          <w:headerReference w:type="even" r:id="rId60"/>
          <w:headerReference w:type="default" r:id="rId61"/>
          <w:footerReference w:type="even" r:id="rId62"/>
          <w:footerReference w:type="default" r:id="rId63"/>
          <w:headerReference w:type="first" r:id="rId64"/>
          <w:footerReference w:type="first" r:id="rId65"/>
          <w:pgSz w:w="11906" w:h="16838"/>
          <w:pgMar w:top="1440" w:right="1276" w:bottom="1440" w:left="1276" w:header="708" w:footer="708" w:gutter="0"/>
          <w:cols w:space="720"/>
          <w:titlePg/>
          <w:docGrid w:linePitch="272"/>
        </w:sectPr>
      </w:pPr>
      <w:r w:rsidRPr="00F46260">
        <w:rPr>
          <w:rFonts w:ascii="Arial" w:eastAsia="Times New Roman" w:hAnsi="Arial" w:cs="Arial"/>
          <w:sz w:val="20"/>
          <w:szCs w:val="20"/>
          <w:lang w:eastAsia="en-AU"/>
        </w:rPr>
        <w:t>Significant and other accounting policies that summarise the recognition and measurement basis used and are relevant to an understanding of the financial statements are provided throughout the notes to the financial statements.</w:t>
      </w:r>
    </w:p>
    <w:p w14:paraId="22BD7A0B" w14:textId="77777777" w:rsidR="00F46260" w:rsidRPr="00F46260" w:rsidRDefault="00F46260" w:rsidP="00F46260">
      <w:pPr>
        <w:pBdr>
          <w:bottom w:val="single" w:sz="12" w:space="1" w:color="auto"/>
        </w:pBdr>
        <w:tabs>
          <w:tab w:val="left" w:pos="1384"/>
        </w:tabs>
        <w:spacing w:after="0" w:line="240" w:lineRule="auto"/>
        <w:rPr>
          <w:rFonts w:ascii="Arial" w:eastAsia="Times New Roman" w:hAnsi="Arial" w:cs="Arial"/>
          <w:b/>
          <w:bCs/>
          <w:sz w:val="24"/>
          <w:szCs w:val="24"/>
          <w:lang w:eastAsia="en-AU"/>
        </w:rPr>
      </w:pPr>
      <w:bookmarkStart w:id="45" w:name="_Toc492305465"/>
      <w:r w:rsidRPr="00F46260">
        <w:rPr>
          <w:rFonts w:ascii="Arial" w:eastAsia="Times New Roman" w:hAnsi="Arial" w:cs="Arial"/>
          <w:b/>
          <w:bCs/>
          <w:sz w:val="24"/>
          <w:szCs w:val="24"/>
          <w:lang w:eastAsia="en-AU"/>
        </w:rPr>
        <w:lastRenderedPageBreak/>
        <w:t>2. Funding of our services</w:t>
      </w:r>
      <w:bookmarkEnd w:id="45"/>
    </w:p>
    <w:p w14:paraId="59FFB68F" w14:textId="77777777" w:rsidR="00F46260" w:rsidRPr="00F46260" w:rsidRDefault="00F46260" w:rsidP="00F46260">
      <w:pPr>
        <w:tabs>
          <w:tab w:val="left" w:pos="1384"/>
        </w:tabs>
        <w:spacing w:after="0" w:line="240" w:lineRule="auto"/>
        <w:ind w:left="1384" w:hanging="1384"/>
        <w:rPr>
          <w:rFonts w:ascii="Arial" w:eastAsia="Times New Roman" w:hAnsi="Arial" w:cs="Arial"/>
          <w:bCs/>
          <w:sz w:val="20"/>
          <w:szCs w:val="20"/>
          <w:lang w:eastAsia="en-AU"/>
        </w:rPr>
      </w:pPr>
    </w:p>
    <w:tbl>
      <w:tblPr>
        <w:tblStyle w:val="CVtable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856"/>
      </w:tblGrid>
      <w:tr w:rsidR="00F46260" w:rsidRPr="00F46260" w14:paraId="2113C228" w14:textId="77777777" w:rsidTr="00F46260">
        <w:tc>
          <w:tcPr>
            <w:tcW w:w="4608" w:type="dxa"/>
            <w:tcBorders>
              <w:right w:val="single" w:sz="4" w:space="0" w:color="auto"/>
            </w:tcBorders>
          </w:tcPr>
          <w:p w14:paraId="420B7F7D" w14:textId="77777777" w:rsidR="00F46260" w:rsidRPr="00F46260" w:rsidRDefault="00F46260" w:rsidP="00F46260">
            <w:pPr>
              <w:spacing w:after="0" w:line="240" w:lineRule="auto"/>
              <w:rPr>
                <w:rFonts w:ascii="Arial" w:hAnsi="Arial" w:cs="Arial"/>
                <w:b/>
              </w:rPr>
            </w:pPr>
            <w:r w:rsidRPr="00F46260">
              <w:rPr>
                <w:rFonts w:ascii="Arial" w:hAnsi="Arial" w:cs="Arial"/>
                <w:b/>
              </w:rPr>
              <w:t>Introduction</w:t>
            </w:r>
          </w:p>
          <w:p w14:paraId="4E26BBB2" w14:textId="77777777" w:rsidR="00F46260" w:rsidRPr="00F46260" w:rsidRDefault="00F46260" w:rsidP="00F46260">
            <w:pPr>
              <w:spacing w:after="0" w:line="240" w:lineRule="auto"/>
              <w:rPr>
                <w:rFonts w:ascii="Arial" w:hAnsi="Arial" w:cs="Arial"/>
              </w:rPr>
            </w:pPr>
          </w:p>
          <w:p w14:paraId="3EFB7AF9" w14:textId="77777777" w:rsidR="00F46260" w:rsidRPr="00F46260" w:rsidRDefault="00F46260" w:rsidP="00F46260">
            <w:pPr>
              <w:spacing w:after="0" w:line="240" w:lineRule="auto"/>
              <w:rPr>
                <w:rFonts w:ascii="Arial" w:hAnsi="Arial" w:cs="Arial"/>
              </w:rPr>
            </w:pPr>
            <w:r w:rsidRPr="00F46260">
              <w:rPr>
                <w:rFonts w:ascii="Arial" w:hAnsi="Arial" w:cs="Arial"/>
              </w:rPr>
              <w:t>The Commission’s services include:</w:t>
            </w:r>
          </w:p>
          <w:p w14:paraId="50A97E18" w14:textId="77777777" w:rsidR="00F46260" w:rsidRPr="00F46260" w:rsidRDefault="00F46260" w:rsidP="00F8706A">
            <w:pPr>
              <w:numPr>
                <w:ilvl w:val="0"/>
                <w:numId w:val="26"/>
              </w:numPr>
              <w:spacing w:after="0" w:line="240" w:lineRule="auto"/>
              <w:rPr>
                <w:rFonts w:ascii="Arial" w:hAnsi="Arial" w:cs="Arial"/>
              </w:rPr>
            </w:pPr>
            <w:r w:rsidRPr="00F46260">
              <w:rPr>
                <w:rFonts w:ascii="Arial" w:hAnsi="Arial" w:cs="Arial"/>
              </w:rPr>
              <w:t>strengthening the efficiency, effectiveness, and capability of the public sector in order to meet existing and emerging needs and deliver high quality services; and</w:t>
            </w:r>
          </w:p>
          <w:p w14:paraId="11573E2E" w14:textId="77777777" w:rsidR="00F46260" w:rsidRPr="00F46260" w:rsidRDefault="00F46260" w:rsidP="00F8706A">
            <w:pPr>
              <w:numPr>
                <w:ilvl w:val="0"/>
                <w:numId w:val="26"/>
              </w:numPr>
              <w:spacing w:after="0" w:line="240" w:lineRule="auto"/>
              <w:rPr>
                <w:rFonts w:ascii="Arial" w:hAnsi="Arial" w:cs="Arial"/>
              </w:rPr>
            </w:pPr>
            <w:r w:rsidRPr="00F46260">
              <w:rPr>
                <w:rFonts w:ascii="Arial" w:hAnsi="Arial" w:cs="Arial"/>
              </w:rPr>
              <w:t>maintaining, and advocating for, public sector professionalism and integrity.</w:t>
            </w:r>
          </w:p>
          <w:p w14:paraId="5AF92DEC" w14:textId="77777777" w:rsidR="00F46260" w:rsidRPr="00F46260" w:rsidRDefault="00F46260" w:rsidP="00D1524E">
            <w:pPr>
              <w:autoSpaceDE w:val="0"/>
              <w:autoSpaceDN w:val="0"/>
              <w:adjustRightInd w:val="0"/>
              <w:spacing w:after="0" w:line="240" w:lineRule="auto"/>
              <w:contextualSpacing/>
              <w:rPr>
                <w:rFonts w:ascii="Arial" w:hAnsi="Arial" w:cs="Arial"/>
                <w:color w:val="000000"/>
              </w:rPr>
            </w:pPr>
          </w:p>
          <w:p w14:paraId="24638DF4" w14:textId="77777777" w:rsidR="00F46260" w:rsidRPr="00F46260" w:rsidRDefault="00F46260" w:rsidP="00F46260">
            <w:pPr>
              <w:spacing w:after="0" w:line="240" w:lineRule="auto"/>
              <w:rPr>
                <w:rFonts w:ascii="Arial" w:hAnsi="Arial" w:cs="Arial"/>
                <w:color w:val="000000"/>
              </w:rPr>
            </w:pPr>
            <w:r w:rsidRPr="00F46260">
              <w:rPr>
                <w:rFonts w:ascii="Arial" w:hAnsi="Arial" w:cs="Arial"/>
                <w:lang w:val="en-GB"/>
              </w:rPr>
              <w:t xml:space="preserve">The Commission is predominantly funded by Parliamentary appropriations for the provision of outputs. The Parliamentary appropriations are received by the Department of Premier and Cabinet (DPC) and on-forwarded to the Commission in the form of grants. Other than grants from DPC the Commission also receives grants and fee for service income from other Victorian Government agencies. </w:t>
            </w:r>
          </w:p>
        </w:tc>
        <w:tc>
          <w:tcPr>
            <w:tcW w:w="4856" w:type="dxa"/>
            <w:tcBorders>
              <w:left w:val="single" w:sz="4" w:space="0" w:color="auto"/>
            </w:tcBorders>
          </w:tcPr>
          <w:p w14:paraId="1A498D9A" w14:textId="77777777" w:rsidR="00F46260" w:rsidRPr="00F46260" w:rsidRDefault="00F46260" w:rsidP="00D1524E">
            <w:pPr>
              <w:spacing w:after="0" w:line="240" w:lineRule="auto"/>
              <w:ind w:left="360"/>
              <w:contextualSpacing/>
              <w:rPr>
                <w:rFonts w:ascii="Arial" w:hAnsi="Arial" w:cs="Arial"/>
                <w:b/>
              </w:rPr>
            </w:pPr>
            <w:r w:rsidRPr="00F46260">
              <w:rPr>
                <w:rFonts w:ascii="Arial" w:hAnsi="Arial" w:cs="Arial"/>
                <w:b/>
              </w:rPr>
              <w:t>Structure</w:t>
            </w:r>
          </w:p>
          <w:p w14:paraId="12CA1D1F" w14:textId="77777777" w:rsidR="00F46260" w:rsidRPr="00F46260" w:rsidRDefault="00F46260" w:rsidP="00D1524E">
            <w:pPr>
              <w:spacing w:after="0" w:line="240" w:lineRule="auto"/>
              <w:ind w:left="360"/>
              <w:contextualSpacing/>
              <w:rPr>
                <w:rFonts w:ascii="Arial" w:hAnsi="Arial" w:cs="Arial"/>
              </w:rPr>
            </w:pPr>
          </w:p>
          <w:p w14:paraId="6ECBEF5F" w14:textId="77777777" w:rsidR="00F46260" w:rsidRPr="00F46260" w:rsidRDefault="00F46260" w:rsidP="00F8706A">
            <w:pPr>
              <w:numPr>
                <w:ilvl w:val="0"/>
                <w:numId w:val="38"/>
              </w:numPr>
              <w:spacing w:after="0" w:line="240" w:lineRule="auto"/>
              <w:contextualSpacing/>
              <w:rPr>
                <w:rFonts w:ascii="Arial" w:hAnsi="Arial" w:cs="Arial"/>
              </w:rPr>
            </w:pPr>
            <w:r w:rsidRPr="00F46260">
              <w:rPr>
                <w:rFonts w:ascii="Arial" w:hAnsi="Arial" w:cs="Arial"/>
              </w:rPr>
              <w:t>Income that funds the delivery of our services</w:t>
            </w:r>
          </w:p>
          <w:p w14:paraId="20AB09CC" w14:textId="77777777" w:rsidR="00F46260" w:rsidRPr="00F46260" w:rsidRDefault="00F46260" w:rsidP="00F8706A">
            <w:pPr>
              <w:numPr>
                <w:ilvl w:val="0"/>
                <w:numId w:val="38"/>
              </w:numPr>
              <w:spacing w:after="0" w:line="240" w:lineRule="auto"/>
              <w:contextualSpacing/>
              <w:rPr>
                <w:rFonts w:ascii="Arial" w:hAnsi="Arial" w:cs="Arial"/>
              </w:rPr>
            </w:pPr>
            <w:r w:rsidRPr="00F46260">
              <w:rPr>
                <w:rFonts w:ascii="Arial" w:hAnsi="Arial" w:cs="Arial"/>
              </w:rPr>
              <w:t>Grants</w:t>
            </w:r>
          </w:p>
          <w:p w14:paraId="0B8C5133" w14:textId="7FB46860" w:rsidR="00F46260" w:rsidRPr="00D1524E" w:rsidRDefault="00F46260" w:rsidP="00F8706A">
            <w:pPr>
              <w:numPr>
                <w:ilvl w:val="0"/>
                <w:numId w:val="38"/>
              </w:numPr>
              <w:spacing w:after="0" w:line="240" w:lineRule="auto"/>
              <w:contextualSpacing/>
              <w:rPr>
                <w:rFonts w:ascii="Arial" w:hAnsi="Arial" w:cs="Arial"/>
              </w:rPr>
            </w:pPr>
            <w:r w:rsidRPr="00F46260">
              <w:rPr>
                <w:rFonts w:ascii="Arial" w:hAnsi="Arial" w:cs="Arial"/>
              </w:rPr>
              <w:t>Provision of services</w:t>
            </w:r>
          </w:p>
        </w:tc>
      </w:tr>
    </w:tbl>
    <w:p w14:paraId="0E0C4DF4"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09173FD1"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2.1 Income that funds the delivery of our services</w:t>
      </w:r>
    </w:p>
    <w:tbl>
      <w:tblPr>
        <w:tblW w:w="5000" w:type="pct"/>
        <w:tblInd w:w="-108" w:type="dxa"/>
        <w:tblLook w:val="0000" w:firstRow="0" w:lastRow="0" w:firstColumn="0" w:lastColumn="0" w:noHBand="0" w:noVBand="0"/>
      </w:tblPr>
      <w:tblGrid>
        <w:gridCol w:w="5726"/>
        <w:gridCol w:w="838"/>
        <w:gridCol w:w="1257"/>
        <w:gridCol w:w="279"/>
        <w:gridCol w:w="1255"/>
      </w:tblGrid>
      <w:tr w:rsidR="00F46260" w:rsidRPr="00F46260" w14:paraId="684165BC" w14:textId="77777777" w:rsidTr="00D1524E">
        <w:trPr>
          <w:trHeight w:val="255"/>
        </w:trPr>
        <w:tc>
          <w:tcPr>
            <w:tcW w:w="3060" w:type="pct"/>
            <w:tcBorders>
              <w:top w:val="nil"/>
              <w:right w:val="nil"/>
            </w:tcBorders>
            <w:shd w:val="clear" w:color="auto" w:fill="auto"/>
            <w:vAlign w:val="bottom"/>
          </w:tcPr>
          <w:p w14:paraId="5BF7F4E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8" w:type="pct"/>
            <w:tcBorders>
              <w:top w:val="nil"/>
              <w:right w:val="nil"/>
            </w:tcBorders>
          </w:tcPr>
          <w:p w14:paraId="527B937E"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672" w:type="pct"/>
            <w:tcBorders>
              <w:top w:val="nil"/>
              <w:left w:val="nil"/>
              <w:right w:val="nil"/>
            </w:tcBorders>
            <w:shd w:val="clear" w:color="auto" w:fill="auto"/>
            <w:vAlign w:val="bottom"/>
          </w:tcPr>
          <w:p w14:paraId="69D6247C"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49" w:type="pct"/>
            <w:tcBorders>
              <w:top w:val="nil"/>
              <w:left w:val="nil"/>
              <w:right w:val="nil"/>
            </w:tcBorders>
            <w:shd w:val="clear" w:color="auto" w:fill="auto"/>
            <w:vAlign w:val="bottom"/>
          </w:tcPr>
          <w:p w14:paraId="57428F79"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71" w:type="pct"/>
            <w:tcBorders>
              <w:top w:val="nil"/>
              <w:left w:val="nil"/>
            </w:tcBorders>
            <w:shd w:val="clear" w:color="auto" w:fill="auto"/>
            <w:vAlign w:val="bottom"/>
          </w:tcPr>
          <w:p w14:paraId="2F86FA69"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7EA2DBF8" w14:textId="77777777" w:rsidTr="00D1524E">
        <w:trPr>
          <w:trHeight w:val="255"/>
        </w:trPr>
        <w:tc>
          <w:tcPr>
            <w:tcW w:w="3060" w:type="pct"/>
            <w:tcBorders>
              <w:top w:val="nil"/>
              <w:bottom w:val="nil"/>
              <w:right w:val="nil"/>
            </w:tcBorders>
            <w:shd w:val="pct50" w:color="auto" w:fill="auto"/>
            <w:vAlign w:val="bottom"/>
          </w:tcPr>
          <w:p w14:paraId="2FE8C41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8" w:type="pct"/>
            <w:tcBorders>
              <w:top w:val="nil"/>
              <w:bottom w:val="nil"/>
              <w:right w:val="nil"/>
            </w:tcBorders>
            <w:shd w:val="pct50" w:color="auto" w:fill="auto"/>
            <w:vAlign w:val="bottom"/>
          </w:tcPr>
          <w:p w14:paraId="0FB7D504"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Notes</w:t>
            </w:r>
          </w:p>
        </w:tc>
        <w:tc>
          <w:tcPr>
            <w:tcW w:w="672" w:type="pct"/>
            <w:tcBorders>
              <w:top w:val="nil"/>
              <w:left w:val="nil"/>
              <w:right w:val="nil"/>
            </w:tcBorders>
            <w:shd w:val="pct50" w:color="auto" w:fill="auto"/>
            <w:vAlign w:val="bottom"/>
          </w:tcPr>
          <w:p w14:paraId="1A73BD71"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65375A5C"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c>
          <w:tcPr>
            <w:tcW w:w="149" w:type="pct"/>
            <w:tcBorders>
              <w:top w:val="nil"/>
              <w:left w:val="nil"/>
              <w:bottom w:val="nil"/>
              <w:right w:val="nil"/>
            </w:tcBorders>
            <w:shd w:val="pct50" w:color="auto" w:fill="auto"/>
            <w:vAlign w:val="bottom"/>
          </w:tcPr>
          <w:p w14:paraId="1792721C"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1" w:type="pct"/>
            <w:tcBorders>
              <w:top w:val="nil"/>
              <w:left w:val="nil"/>
              <w:bottom w:val="nil"/>
            </w:tcBorders>
            <w:shd w:val="pct50" w:color="auto" w:fill="auto"/>
            <w:vAlign w:val="bottom"/>
          </w:tcPr>
          <w:p w14:paraId="68306B38"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248E3563"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646E1534" w14:textId="77777777" w:rsidTr="00D1524E">
        <w:trPr>
          <w:trHeight w:val="255"/>
        </w:trPr>
        <w:tc>
          <w:tcPr>
            <w:tcW w:w="3060" w:type="pct"/>
            <w:tcBorders>
              <w:top w:val="nil"/>
              <w:bottom w:val="nil"/>
              <w:right w:val="nil"/>
            </w:tcBorders>
            <w:shd w:val="clear" w:color="auto" w:fill="auto"/>
            <w:vAlign w:val="bottom"/>
          </w:tcPr>
          <w:p w14:paraId="48DDC476" w14:textId="77777777" w:rsidR="00F46260" w:rsidRPr="00F46260" w:rsidRDefault="00F46260" w:rsidP="00F46260">
            <w:pPr>
              <w:tabs>
                <w:tab w:val="left" w:pos="284"/>
              </w:tabs>
              <w:spacing w:after="0" w:line="240" w:lineRule="auto"/>
              <w:ind w:left="284" w:hanging="284"/>
              <w:rPr>
                <w:rFonts w:ascii="Arial" w:eastAsia="Times New Roman" w:hAnsi="Arial" w:cs="Arial"/>
                <w:b/>
                <w:sz w:val="20"/>
                <w:szCs w:val="20"/>
                <w:lang w:eastAsia="en-AU"/>
              </w:rPr>
            </w:pPr>
            <w:r w:rsidRPr="00F46260">
              <w:rPr>
                <w:rFonts w:ascii="Arial" w:eastAsia="Times New Roman" w:hAnsi="Arial" w:cs="Arial"/>
                <w:b/>
                <w:sz w:val="20"/>
                <w:szCs w:val="20"/>
                <w:lang w:eastAsia="en-AU"/>
              </w:rPr>
              <w:t xml:space="preserve">Income from transactions </w:t>
            </w:r>
          </w:p>
        </w:tc>
        <w:tc>
          <w:tcPr>
            <w:tcW w:w="448" w:type="pct"/>
            <w:tcBorders>
              <w:top w:val="nil"/>
              <w:bottom w:val="nil"/>
              <w:right w:val="nil"/>
            </w:tcBorders>
          </w:tcPr>
          <w:p w14:paraId="7EC6B702"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tcBorders>
              <w:top w:val="nil"/>
              <w:left w:val="nil"/>
              <w:right w:val="nil"/>
            </w:tcBorders>
            <w:shd w:val="pct15" w:color="auto" w:fill="auto"/>
          </w:tcPr>
          <w:p w14:paraId="2867C742"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149" w:type="pct"/>
            <w:tcBorders>
              <w:top w:val="nil"/>
              <w:left w:val="nil"/>
              <w:bottom w:val="nil"/>
              <w:right w:val="nil"/>
            </w:tcBorders>
            <w:shd w:val="clear" w:color="auto" w:fill="auto"/>
          </w:tcPr>
          <w:p w14:paraId="3053E873"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1" w:type="pct"/>
            <w:tcBorders>
              <w:top w:val="nil"/>
              <w:left w:val="nil"/>
              <w:bottom w:val="nil"/>
            </w:tcBorders>
            <w:shd w:val="clear" w:color="auto" w:fill="auto"/>
            <w:vAlign w:val="bottom"/>
          </w:tcPr>
          <w:p w14:paraId="1E094378"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00862F69" w14:textId="77777777" w:rsidTr="00D1524E">
        <w:trPr>
          <w:trHeight w:val="255"/>
        </w:trPr>
        <w:tc>
          <w:tcPr>
            <w:tcW w:w="3060" w:type="pct"/>
            <w:tcBorders>
              <w:top w:val="nil"/>
              <w:right w:val="nil"/>
            </w:tcBorders>
            <w:shd w:val="clear" w:color="auto" w:fill="auto"/>
            <w:vAlign w:val="bottom"/>
          </w:tcPr>
          <w:p w14:paraId="6E305816" w14:textId="77777777" w:rsidR="00F46260" w:rsidRPr="00F46260" w:rsidRDefault="00F46260" w:rsidP="00F46260">
            <w:pPr>
              <w:tabs>
                <w:tab w:val="left" w:pos="34"/>
              </w:tabs>
              <w:spacing w:after="0" w:line="240" w:lineRule="auto"/>
              <w:ind w:left="284" w:hanging="284"/>
              <w:rPr>
                <w:rFonts w:ascii="Arial" w:eastAsia="Times New Roman" w:hAnsi="Arial" w:cs="Arial"/>
                <w:sz w:val="20"/>
                <w:szCs w:val="20"/>
                <w:lang w:eastAsia="en-AU"/>
              </w:rPr>
            </w:pPr>
            <w:r w:rsidRPr="00F46260">
              <w:rPr>
                <w:rFonts w:ascii="Arial" w:eastAsia="Times New Roman" w:hAnsi="Arial" w:cs="Arial"/>
                <w:sz w:val="20"/>
                <w:szCs w:val="20"/>
                <w:lang w:eastAsia="en-AU"/>
              </w:rPr>
              <w:t>Grants</w:t>
            </w:r>
          </w:p>
        </w:tc>
        <w:tc>
          <w:tcPr>
            <w:tcW w:w="448" w:type="pct"/>
            <w:tcBorders>
              <w:top w:val="nil"/>
              <w:right w:val="nil"/>
            </w:tcBorders>
          </w:tcPr>
          <w:p w14:paraId="4FB028E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2.2</w:t>
            </w:r>
          </w:p>
        </w:tc>
        <w:tc>
          <w:tcPr>
            <w:tcW w:w="672" w:type="pct"/>
            <w:tcBorders>
              <w:top w:val="nil"/>
              <w:left w:val="nil"/>
              <w:right w:val="nil"/>
            </w:tcBorders>
            <w:shd w:val="pct15" w:color="auto" w:fill="auto"/>
            <w:vAlign w:val="bottom"/>
          </w:tcPr>
          <w:p w14:paraId="341EB2FD"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12,871,414</w:t>
            </w:r>
          </w:p>
        </w:tc>
        <w:tc>
          <w:tcPr>
            <w:tcW w:w="149" w:type="pct"/>
            <w:tcBorders>
              <w:top w:val="nil"/>
              <w:left w:val="nil"/>
              <w:right w:val="nil"/>
            </w:tcBorders>
            <w:shd w:val="clear" w:color="auto" w:fill="auto"/>
            <w:vAlign w:val="bottom"/>
          </w:tcPr>
          <w:p w14:paraId="18C551CE"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right w:val="nil"/>
            </w:tcBorders>
            <w:shd w:val="clear" w:color="auto" w:fill="auto"/>
            <w:vAlign w:val="bottom"/>
          </w:tcPr>
          <w:p w14:paraId="64E000A9"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14,466,528</w:t>
            </w:r>
          </w:p>
        </w:tc>
      </w:tr>
      <w:tr w:rsidR="00F46260" w:rsidRPr="00F46260" w14:paraId="77CFE69B" w14:textId="77777777" w:rsidTr="00D1524E">
        <w:trPr>
          <w:trHeight w:val="255"/>
        </w:trPr>
        <w:tc>
          <w:tcPr>
            <w:tcW w:w="3060" w:type="pct"/>
            <w:tcBorders>
              <w:top w:val="nil"/>
              <w:right w:val="nil"/>
            </w:tcBorders>
            <w:shd w:val="clear" w:color="auto" w:fill="auto"/>
            <w:vAlign w:val="bottom"/>
          </w:tcPr>
          <w:p w14:paraId="36D584B8"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Provision of services</w:t>
            </w:r>
          </w:p>
        </w:tc>
        <w:tc>
          <w:tcPr>
            <w:tcW w:w="448" w:type="pct"/>
            <w:tcBorders>
              <w:top w:val="nil"/>
              <w:right w:val="nil"/>
            </w:tcBorders>
          </w:tcPr>
          <w:p w14:paraId="38515BD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2.3</w:t>
            </w:r>
          </w:p>
        </w:tc>
        <w:tc>
          <w:tcPr>
            <w:tcW w:w="672" w:type="pct"/>
            <w:tcBorders>
              <w:top w:val="nil"/>
              <w:left w:val="nil"/>
              <w:right w:val="nil"/>
            </w:tcBorders>
            <w:shd w:val="pct15" w:color="auto" w:fill="auto"/>
            <w:vAlign w:val="bottom"/>
          </w:tcPr>
          <w:p w14:paraId="243C1F1E"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5,054,447</w:t>
            </w:r>
          </w:p>
        </w:tc>
        <w:tc>
          <w:tcPr>
            <w:tcW w:w="149" w:type="pct"/>
            <w:tcBorders>
              <w:top w:val="nil"/>
              <w:left w:val="nil"/>
              <w:right w:val="nil"/>
            </w:tcBorders>
            <w:shd w:val="clear" w:color="auto" w:fill="auto"/>
            <w:vAlign w:val="bottom"/>
          </w:tcPr>
          <w:p w14:paraId="31829299"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right w:val="nil"/>
            </w:tcBorders>
            <w:shd w:val="clear" w:color="auto" w:fill="auto"/>
            <w:vAlign w:val="bottom"/>
          </w:tcPr>
          <w:p w14:paraId="793EC31B"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5,465,614</w:t>
            </w:r>
          </w:p>
        </w:tc>
      </w:tr>
      <w:tr w:rsidR="00F46260" w:rsidRPr="00F46260" w14:paraId="709F7F78" w14:textId="77777777" w:rsidTr="00D1524E">
        <w:trPr>
          <w:trHeight w:val="255"/>
        </w:trPr>
        <w:tc>
          <w:tcPr>
            <w:tcW w:w="3060" w:type="pct"/>
            <w:tcBorders>
              <w:top w:val="single" w:sz="2" w:space="0" w:color="auto"/>
              <w:bottom w:val="single" w:sz="12" w:space="0" w:color="auto"/>
              <w:right w:val="nil"/>
            </w:tcBorders>
            <w:shd w:val="clear" w:color="auto" w:fill="auto"/>
            <w:vAlign w:val="bottom"/>
          </w:tcPr>
          <w:p w14:paraId="7DCEB5A0" w14:textId="77777777" w:rsidR="00F46260" w:rsidRPr="00F46260" w:rsidRDefault="00F46260" w:rsidP="00F46260">
            <w:pPr>
              <w:tabs>
                <w:tab w:val="left" w:pos="284"/>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income</w:t>
            </w:r>
          </w:p>
        </w:tc>
        <w:tc>
          <w:tcPr>
            <w:tcW w:w="448" w:type="pct"/>
            <w:tcBorders>
              <w:top w:val="single" w:sz="2" w:space="0" w:color="auto"/>
              <w:bottom w:val="single" w:sz="12" w:space="0" w:color="auto"/>
              <w:right w:val="nil"/>
            </w:tcBorders>
          </w:tcPr>
          <w:p w14:paraId="7E1ABBEC"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72" w:type="pct"/>
            <w:tcBorders>
              <w:top w:val="single" w:sz="2" w:space="0" w:color="auto"/>
              <w:left w:val="nil"/>
              <w:bottom w:val="single" w:sz="12" w:space="0" w:color="auto"/>
              <w:right w:val="nil"/>
            </w:tcBorders>
            <w:shd w:val="pct15" w:color="auto" w:fill="auto"/>
            <w:vAlign w:val="bottom"/>
          </w:tcPr>
          <w:p w14:paraId="62A8563A"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17,925,861</w:t>
            </w:r>
          </w:p>
        </w:tc>
        <w:tc>
          <w:tcPr>
            <w:tcW w:w="149" w:type="pct"/>
            <w:tcBorders>
              <w:top w:val="single" w:sz="2" w:space="0" w:color="auto"/>
              <w:left w:val="nil"/>
              <w:bottom w:val="single" w:sz="12" w:space="0" w:color="auto"/>
              <w:right w:val="nil"/>
            </w:tcBorders>
            <w:shd w:val="clear" w:color="auto" w:fill="auto"/>
            <w:vAlign w:val="bottom"/>
          </w:tcPr>
          <w:p w14:paraId="6F00D4E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single" w:sz="2" w:space="0" w:color="auto"/>
              <w:left w:val="nil"/>
              <w:bottom w:val="single" w:sz="12" w:space="0" w:color="auto"/>
              <w:right w:val="nil"/>
            </w:tcBorders>
            <w:shd w:val="clear" w:color="auto" w:fill="auto"/>
            <w:vAlign w:val="bottom"/>
          </w:tcPr>
          <w:p w14:paraId="0DF44FA1"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19,932,142</w:t>
            </w:r>
          </w:p>
        </w:tc>
      </w:tr>
    </w:tbl>
    <w:p w14:paraId="31EA1056" w14:textId="77777777" w:rsidR="00F46260" w:rsidRPr="00F46260" w:rsidRDefault="00F46260" w:rsidP="00F46260">
      <w:pPr>
        <w:spacing w:after="0" w:line="240" w:lineRule="auto"/>
        <w:rPr>
          <w:rFonts w:ascii="Arial" w:eastAsia="Times New Roman" w:hAnsi="Arial" w:cs="Arial"/>
          <w:sz w:val="20"/>
          <w:szCs w:val="20"/>
          <w:lang w:eastAsia="en-AU"/>
        </w:rPr>
      </w:pPr>
    </w:p>
    <w:p w14:paraId="7B8182E3" w14:textId="77777777" w:rsidR="00F46260" w:rsidRPr="00F46260" w:rsidRDefault="00F46260" w:rsidP="00F46260">
      <w:pPr>
        <w:spacing w:after="0" w:line="240" w:lineRule="auto"/>
        <w:rPr>
          <w:rFonts w:ascii="Arial" w:eastAsia="Times New Roman" w:hAnsi="Arial" w:cs="Arial"/>
          <w:sz w:val="20"/>
          <w:szCs w:val="20"/>
          <w:lang w:eastAsia="en-AU"/>
        </w:rPr>
      </w:pPr>
    </w:p>
    <w:p w14:paraId="328741E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2.2 Grants</w:t>
      </w:r>
    </w:p>
    <w:tbl>
      <w:tblPr>
        <w:tblW w:w="5000" w:type="pct"/>
        <w:tblInd w:w="-108" w:type="dxa"/>
        <w:tblLook w:val="0000" w:firstRow="0" w:lastRow="0" w:firstColumn="0" w:lastColumn="0" w:noHBand="0" w:noVBand="0"/>
      </w:tblPr>
      <w:tblGrid>
        <w:gridCol w:w="5726"/>
        <w:gridCol w:w="838"/>
        <w:gridCol w:w="1257"/>
        <w:gridCol w:w="279"/>
        <w:gridCol w:w="1255"/>
      </w:tblGrid>
      <w:tr w:rsidR="00F46260" w:rsidRPr="00F46260" w14:paraId="304258E6" w14:textId="77777777" w:rsidTr="00D1524E">
        <w:trPr>
          <w:trHeight w:val="255"/>
        </w:trPr>
        <w:tc>
          <w:tcPr>
            <w:tcW w:w="3508" w:type="pct"/>
            <w:gridSpan w:val="2"/>
            <w:tcBorders>
              <w:top w:val="nil"/>
              <w:bottom w:val="nil"/>
              <w:right w:val="nil"/>
            </w:tcBorders>
            <w:shd w:val="clear" w:color="auto" w:fill="auto"/>
            <w:vAlign w:val="bottom"/>
          </w:tcPr>
          <w:p w14:paraId="09F79263"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tcBorders>
              <w:top w:val="nil"/>
              <w:left w:val="nil"/>
              <w:right w:val="nil"/>
            </w:tcBorders>
            <w:shd w:val="clear" w:color="auto" w:fill="auto"/>
            <w:vAlign w:val="bottom"/>
          </w:tcPr>
          <w:p w14:paraId="79B7892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49" w:type="pct"/>
            <w:tcBorders>
              <w:top w:val="nil"/>
              <w:left w:val="nil"/>
              <w:bottom w:val="nil"/>
              <w:right w:val="nil"/>
            </w:tcBorders>
            <w:shd w:val="clear" w:color="auto" w:fill="auto"/>
            <w:vAlign w:val="bottom"/>
          </w:tcPr>
          <w:p w14:paraId="1116597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bottom w:val="nil"/>
            </w:tcBorders>
            <w:shd w:val="clear" w:color="auto" w:fill="auto"/>
            <w:vAlign w:val="bottom"/>
          </w:tcPr>
          <w:p w14:paraId="217212A7"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38AB6D66" w14:textId="77777777" w:rsidTr="00D1524E">
        <w:trPr>
          <w:trHeight w:val="255"/>
        </w:trPr>
        <w:tc>
          <w:tcPr>
            <w:tcW w:w="3060" w:type="pct"/>
            <w:tcBorders>
              <w:top w:val="nil"/>
              <w:bottom w:val="nil"/>
              <w:right w:val="nil"/>
            </w:tcBorders>
            <w:shd w:val="pct50" w:color="auto" w:fill="auto"/>
            <w:vAlign w:val="bottom"/>
          </w:tcPr>
          <w:p w14:paraId="7C594D49"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8" w:type="pct"/>
            <w:tcBorders>
              <w:top w:val="nil"/>
              <w:bottom w:val="nil"/>
              <w:right w:val="nil"/>
            </w:tcBorders>
            <w:shd w:val="pct50" w:color="auto" w:fill="auto"/>
            <w:vAlign w:val="bottom"/>
          </w:tcPr>
          <w:p w14:paraId="08F6F2A4" w14:textId="77777777" w:rsidR="00F46260" w:rsidRPr="00F46260" w:rsidRDefault="00F46260" w:rsidP="00F46260">
            <w:pPr>
              <w:spacing w:after="0" w:line="240" w:lineRule="auto"/>
              <w:jc w:val="center"/>
              <w:rPr>
                <w:rFonts w:ascii="Arial" w:eastAsia="Times New Roman" w:hAnsi="Arial" w:cs="Arial"/>
                <w:bCs/>
                <w:color w:val="FFFFFF"/>
                <w:sz w:val="20"/>
                <w:szCs w:val="20"/>
                <w:lang w:eastAsia="en-AU"/>
              </w:rPr>
            </w:pPr>
          </w:p>
        </w:tc>
        <w:tc>
          <w:tcPr>
            <w:tcW w:w="672" w:type="pct"/>
            <w:tcBorders>
              <w:top w:val="nil"/>
              <w:left w:val="nil"/>
              <w:bottom w:val="nil"/>
              <w:right w:val="nil"/>
            </w:tcBorders>
            <w:shd w:val="pct50" w:color="auto" w:fill="auto"/>
            <w:vAlign w:val="bottom"/>
          </w:tcPr>
          <w:p w14:paraId="04C740A5"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6B079CDB"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c>
          <w:tcPr>
            <w:tcW w:w="149" w:type="pct"/>
            <w:tcBorders>
              <w:top w:val="nil"/>
              <w:left w:val="nil"/>
              <w:bottom w:val="nil"/>
              <w:right w:val="nil"/>
            </w:tcBorders>
            <w:shd w:val="pct50" w:color="auto" w:fill="auto"/>
            <w:vAlign w:val="bottom"/>
          </w:tcPr>
          <w:p w14:paraId="1E197020"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1" w:type="pct"/>
            <w:tcBorders>
              <w:top w:val="nil"/>
              <w:left w:val="nil"/>
              <w:bottom w:val="nil"/>
            </w:tcBorders>
            <w:shd w:val="pct50" w:color="auto" w:fill="auto"/>
            <w:vAlign w:val="bottom"/>
          </w:tcPr>
          <w:p w14:paraId="50EF4B20"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0721D9C1"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2CFEB1C8" w14:textId="77777777" w:rsidTr="00D1524E">
        <w:trPr>
          <w:trHeight w:val="255"/>
        </w:trPr>
        <w:tc>
          <w:tcPr>
            <w:tcW w:w="3508" w:type="pct"/>
            <w:gridSpan w:val="2"/>
            <w:tcBorders>
              <w:top w:val="nil"/>
              <w:bottom w:val="nil"/>
              <w:right w:val="nil"/>
            </w:tcBorders>
            <w:shd w:val="clear" w:color="auto" w:fill="auto"/>
            <w:vAlign w:val="bottom"/>
          </w:tcPr>
          <w:p w14:paraId="2390A2F2"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Grants from Department of Premier and Cabinet</w:t>
            </w:r>
          </w:p>
        </w:tc>
        <w:tc>
          <w:tcPr>
            <w:tcW w:w="672" w:type="pct"/>
            <w:tcBorders>
              <w:top w:val="nil"/>
              <w:left w:val="nil"/>
              <w:bottom w:val="nil"/>
              <w:right w:val="nil"/>
            </w:tcBorders>
            <w:shd w:val="pct15" w:color="auto" w:fill="auto"/>
            <w:vAlign w:val="bottom"/>
          </w:tcPr>
          <w:p w14:paraId="7EC7DCE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11,774,728</w:t>
            </w:r>
          </w:p>
        </w:tc>
        <w:tc>
          <w:tcPr>
            <w:tcW w:w="149" w:type="pct"/>
            <w:tcBorders>
              <w:top w:val="nil"/>
              <w:left w:val="nil"/>
              <w:bottom w:val="nil"/>
              <w:right w:val="nil"/>
            </w:tcBorders>
            <w:shd w:val="clear" w:color="auto" w:fill="auto"/>
            <w:vAlign w:val="bottom"/>
          </w:tcPr>
          <w:p w14:paraId="5473671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bottom w:val="nil"/>
              <w:right w:val="nil"/>
            </w:tcBorders>
            <w:shd w:val="clear" w:color="auto" w:fill="auto"/>
            <w:vAlign w:val="bottom"/>
          </w:tcPr>
          <w:p w14:paraId="6A467B8D"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9,866,554</w:t>
            </w:r>
          </w:p>
        </w:tc>
      </w:tr>
      <w:tr w:rsidR="00F46260" w:rsidRPr="00F46260" w14:paraId="52081154" w14:textId="77777777" w:rsidTr="00D1524E">
        <w:trPr>
          <w:trHeight w:val="255"/>
        </w:trPr>
        <w:tc>
          <w:tcPr>
            <w:tcW w:w="3508" w:type="pct"/>
            <w:gridSpan w:val="2"/>
            <w:tcBorders>
              <w:top w:val="nil"/>
              <w:bottom w:val="single" w:sz="2" w:space="0" w:color="auto"/>
              <w:right w:val="nil"/>
            </w:tcBorders>
            <w:shd w:val="clear" w:color="auto" w:fill="auto"/>
            <w:vAlign w:val="bottom"/>
          </w:tcPr>
          <w:p w14:paraId="41F70C2A"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Other grants from Victorian Government agencies</w:t>
            </w:r>
          </w:p>
        </w:tc>
        <w:tc>
          <w:tcPr>
            <w:tcW w:w="672" w:type="pct"/>
            <w:tcBorders>
              <w:top w:val="nil"/>
              <w:left w:val="nil"/>
              <w:bottom w:val="single" w:sz="2" w:space="0" w:color="auto"/>
              <w:right w:val="nil"/>
            </w:tcBorders>
            <w:shd w:val="pct15" w:color="auto" w:fill="auto"/>
            <w:vAlign w:val="bottom"/>
          </w:tcPr>
          <w:p w14:paraId="3D9A7E2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1,096,686</w:t>
            </w:r>
          </w:p>
        </w:tc>
        <w:tc>
          <w:tcPr>
            <w:tcW w:w="149" w:type="pct"/>
            <w:tcBorders>
              <w:top w:val="nil"/>
              <w:left w:val="nil"/>
              <w:bottom w:val="single" w:sz="2" w:space="0" w:color="auto"/>
              <w:right w:val="nil"/>
            </w:tcBorders>
            <w:shd w:val="clear" w:color="auto" w:fill="auto"/>
            <w:vAlign w:val="bottom"/>
          </w:tcPr>
          <w:p w14:paraId="6AE752C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bottom w:val="single" w:sz="2" w:space="0" w:color="auto"/>
              <w:right w:val="nil"/>
            </w:tcBorders>
            <w:shd w:val="clear" w:color="auto" w:fill="auto"/>
            <w:vAlign w:val="bottom"/>
          </w:tcPr>
          <w:p w14:paraId="47603CC4"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4,599,974</w:t>
            </w:r>
          </w:p>
        </w:tc>
      </w:tr>
      <w:tr w:rsidR="00F46260" w:rsidRPr="00F46260" w14:paraId="4C7990EB" w14:textId="77777777" w:rsidTr="00D1524E">
        <w:trPr>
          <w:trHeight w:val="255"/>
        </w:trPr>
        <w:tc>
          <w:tcPr>
            <w:tcW w:w="3508" w:type="pct"/>
            <w:gridSpan w:val="2"/>
            <w:tcBorders>
              <w:top w:val="single" w:sz="2" w:space="0" w:color="auto"/>
              <w:bottom w:val="single" w:sz="12" w:space="0" w:color="auto"/>
              <w:right w:val="nil"/>
            </w:tcBorders>
            <w:shd w:val="clear" w:color="auto" w:fill="auto"/>
            <w:vAlign w:val="bottom"/>
          </w:tcPr>
          <w:p w14:paraId="1A8DB376" w14:textId="77777777" w:rsidR="00F46260" w:rsidRPr="00F46260" w:rsidRDefault="00F46260" w:rsidP="00F46260">
            <w:pPr>
              <w:tabs>
                <w:tab w:val="left" w:pos="284"/>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grants</w:t>
            </w:r>
          </w:p>
        </w:tc>
        <w:tc>
          <w:tcPr>
            <w:tcW w:w="672" w:type="pct"/>
            <w:tcBorders>
              <w:top w:val="single" w:sz="2" w:space="0" w:color="auto"/>
              <w:left w:val="nil"/>
              <w:bottom w:val="single" w:sz="12" w:space="0" w:color="auto"/>
              <w:right w:val="nil"/>
            </w:tcBorders>
            <w:shd w:val="pct15" w:color="auto" w:fill="auto"/>
            <w:vAlign w:val="bottom"/>
          </w:tcPr>
          <w:p w14:paraId="492A7794"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12,871,414</w:t>
            </w:r>
          </w:p>
        </w:tc>
        <w:tc>
          <w:tcPr>
            <w:tcW w:w="149" w:type="pct"/>
            <w:tcBorders>
              <w:top w:val="single" w:sz="2" w:space="0" w:color="auto"/>
              <w:left w:val="nil"/>
              <w:bottom w:val="single" w:sz="12" w:space="0" w:color="auto"/>
              <w:right w:val="nil"/>
            </w:tcBorders>
            <w:shd w:val="clear" w:color="auto" w:fill="auto"/>
            <w:vAlign w:val="bottom"/>
          </w:tcPr>
          <w:p w14:paraId="7D3A4E11"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single" w:sz="2" w:space="0" w:color="auto"/>
              <w:left w:val="nil"/>
              <w:bottom w:val="single" w:sz="12" w:space="0" w:color="auto"/>
              <w:right w:val="nil"/>
            </w:tcBorders>
            <w:shd w:val="clear" w:color="auto" w:fill="auto"/>
            <w:vAlign w:val="bottom"/>
          </w:tcPr>
          <w:p w14:paraId="40D1D232"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sz w:val="20"/>
                <w:szCs w:val="20"/>
                <w:lang w:eastAsia="en-AU"/>
              </w:rPr>
              <w:t>14,466,528</w:t>
            </w:r>
          </w:p>
        </w:tc>
      </w:tr>
    </w:tbl>
    <w:p w14:paraId="6EB96F85" w14:textId="77777777" w:rsidR="00F46260" w:rsidRPr="00F46260" w:rsidRDefault="00F46260" w:rsidP="00F46260">
      <w:pPr>
        <w:spacing w:after="0" w:line="240" w:lineRule="auto"/>
        <w:rPr>
          <w:rFonts w:ascii="Arial" w:eastAsia="Times New Roman" w:hAnsi="Arial" w:cs="Arial"/>
          <w:sz w:val="20"/>
          <w:szCs w:val="20"/>
          <w:lang w:eastAsia="en-AU"/>
        </w:rPr>
      </w:pPr>
    </w:p>
    <w:p w14:paraId="5AF82D96" w14:textId="77777777" w:rsidR="00F46260" w:rsidRPr="00F46260" w:rsidRDefault="00F46260" w:rsidP="00F46260">
      <w:pPr>
        <w:spacing w:after="0" w:line="240" w:lineRule="auto"/>
        <w:rPr>
          <w:rFonts w:ascii="Arial" w:eastAsia="Times New Roman" w:hAnsi="Arial" w:cs="Arial"/>
          <w:sz w:val="20"/>
          <w:szCs w:val="20"/>
          <w:lang w:val="en-GB" w:eastAsia="en-AU"/>
        </w:rPr>
      </w:pPr>
      <w:r w:rsidRPr="00F46260">
        <w:rPr>
          <w:rFonts w:ascii="Arial" w:eastAsia="Times New Roman" w:hAnsi="Arial" w:cs="Arial"/>
          <w:sz w:val="20"/>
          <w:szCs w:val="20"/>
          <w:lang w:val="en-GB" w:eastAsia="en-AU"/>
        </w:rPr>
        <w:t>Income from grants (other than contribution by owners) is recognised when the Commission obtains control over the contribution. The Commission has determined that this grant income is recognised as income of not-for-profit entities in accordance with AASB 1058, except for grants that are reciprocal in nature (i.e. equal value is given back by the recipient of the grant to the provider) and are enforceable with sufficiently specific performance obligations, they are accounted for as revenue from contracts with customers in accordance with AASB 15.</w:t>
      </w:r>
    </w:p>
    <w:p w14:paraId="7DF9BF76" w14:textId="77777777" w:rsidR="00F46260" w:rsidRPr="00F46260" w:rsidRDefault="00F46260" w:rsidP="00F46260">
      <w:pPr>
        <w:spacing w:after="0" w:line="240" w:lineRule="auto"/>
        <w:rPr>
          <w:rFonts w:ascii="Arial" w:eastAsia="Times New Roman" w:hAnsi="Arial" w:cs="Arial"/>
          <w:sz w:val="20"/>
          <w:szCs w:val="20"/>
          <w:lang w:val="en-GB" w:eastAsia="en-AU"/>
        </w:rPr>
      </w:pPr>
    </w:p>
    <w:p w14:paraId="71330840" w14:textId="77777777" w:rsidR="00F46260" w:rsidRPr="00F46260" w:rsidRDefault="00F46260" w:rsidP="00F46260">
      <w:pPr>
        <w:spacing w:after="0" w:line="240" w:lineRule="auto"/>
        <w:rPr>
          <w:rFonts w:ascii="Arial" w:eastAsia="Times New Roman" w:hAnsi="Arial" w:cs="Arial"/>
          <w:sz w:val="20"/>
          <w:szCs w:val="20"/>
          <w:lang w:val="en-GB" w:eastAsia="en-AU"/>
        </w:rPr>
      </w:pPr>
      <w:r w:rsidRPr="00F46260">
        <w:rPr>
          <w:rFonts w:ascii="Arial" w:eastAsia="Times New Roman" w:hAnsi="Arial" w:cs="Arial"/>
          <w:sz w:val="20"/>
          <w:szCs w:val="20"/>
          <w:lang w:val="en-GB" w:eastAsia="en-AU"/>
        </w:rPr>
        <w:t xml:space="preserve">Income from grants that are enforceable and with sufficiently specific performance obligations and accounted for as revenue from contracts with customers. </w:t>
      </w:r>
    </w:p>
    <w:p w14:paraId="4DD07F27" w14:textId="77777777" w:rsidR="00F46260" w:rsidRPr="00F46260" w:rsidRDefault="00F46260" w:rsidP="00F46260">
      <w:pPr>
        <w:spacing w:after="0" w:line="240" w:lineRule="auto"/>
        <w:rPr>
          <w:rFonts w:ascii="Arial" w:eastAsia="Times New Roman" w:hAnsi="Arial" w:cs="Arial"/>
          <w:sz w:val="20"/>
          <w:szCs w:val="20"/>
          <w:lang w:val="en-GB" w:eastAsia="en-AU"/>
        </w:rPr>
      </w:pPr>
    </w:p>
    <w:p w14:paraId="52AAD767" w14:textId="77777777" w:rsidR="00F46260" w:rsidRPr="00F46260" w:rsidRDefault="00F46260" w:rsidP="00F46260">
      <w:pPr>
        <w:spacing w:after="0" w:line="240" w:lineRule="auto"/>
        <w:rPr>
          <w:rFonts w:ascii="Arial" w:eastAsia="Times New Roman" w:hAnsi="Arial" w:cs="Arial"/>
          <w:sz w:val="20"/>
          <w:szCs w:val="20"/>
          <w:lang w:val="en-GB" w:eastAsia="en-AU"/>
        </w:rPr>
      </w:pPr>
      <w:r w:rsidRPr="00F46260">
        <w:rPr>
          <w:rFonts w:ascii="Arial" w:eastAsia="Times New Roman" w:hAnsi="Arial" w:cs="Arial"/>
          <w:sz w:val="20"/>
          <w:szCs w:val="20"/>
          <w:lang w:val="en-GB" w:eastAsia="en-AU"/>
        </w:rPr>
        <w:t xml:space="preserve">Income from grants without any sufficiently specific performance obligations, or that are not enforceable, is recognised when the Commission has an unconditional right to receive cash which usually coincides with raising of invoices by the Commission. In the situation of grants from the Department of Premier and Cabinet, income is recognised when the grants are transferred to the Commission. </w:t>
      </w:r>
    </w:p>
    <w:p w14:paraId="7F167B42" w14:textId="77777777" w:rsidR="00F46260" w:rsidRPr="00F46260" w:rsidRDefault="00F46260" w:rsidP="00F46260">
      <w:pPr>
        <w:spacing w:after="0" w:line="240" w:lineRule="auto"/>
        <w:rPr>
          <w:rFonts w:ascii="Arial" w:eastAsia="Times New Roman" w:hAnsi="Arial" w:cs="Arial"/>
          <w:sz w:val="20"/>
          <w:szCs w:val="20"/>
          <w:lang w:eastAsia="en-AU"/>
        </w:rPr>
      </w:pPr>
    </w:p>
    <w:p w14:paraId="1C8381F3" w14:textId="77777777" w:rsidR="00F46260" w:rsidRPr="00F46260" w:rsidRDefault="00F46260" w:rsidP="00F46260">
      <w:pPr>
        <w:spacing w:after="0" w:line="240" w:lineRule="auto"/>
        <w:rPr>
          <w:rFonts w:ascii="Arial" w:eastAsia="Times New Roman" w:hAnsi="Arial" w:cs="Arial"/>
          <w:sz w:val="20"/>
          <w:szCs w:val="20"/>
          <w:lang w:eastAsia="en-AU"/>
        </w:rPr>
      </w:pPr>
    </w:p>
    <w:p w14:paraId="7C1CFB33" w14:textId="77777777" w:rsidR="00F46260" w:rsidRPr="00F46260" w:rsidRDefault="00F46260" w:rsidP="00F46260">
      <w:pPr>
        <w:spacing w:after="0" w:line="240" w:lineRule="auto"/>
        <w:rPr>
          <w:rFonts w:ascii="Arial" w:eastAsia="Times New Roman" w:hAnsi="Arial" w:cs="Arial"/>
          <w:sz w:val="20"/>
          <w:szCs w:val="20"/>
          <w:lang w:eastAsia="en-AU"/>
        </w:rPr>
      </w:pPr>
    </w:p>
    <w:p w14:paraId="7EDDCF01" w14:textId="77777777" w:rsidR="00F46260" w:rsidRPr="00F46260" w:rsidRDefault="00F46260" w:rsidP="00F46260">
      <w:pPr>
        <w:spacing w:after="0" w:line="240" w:lineRule="auto"/>
        <w:rPr>
          <w:rFonts w:ascii="Arial" w:eastAsia="Times New Roman" w:hAnsi="Arial" w:cs="Arial"/>
          <w:sz w:val="20"/>
          <w:szCs w:val="20"/>
          <w:lang w:eastAsia="en-AU"/>
        </w:rPr>
      </w:pPr>
    </w:p>
    <w:p w14:paraId="1E5B66C1"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lastRenderedPageBreak/>
        <w:t>2.3 Provision of services</w:t>
      </w:r>
    </w:p>
    <w:tbl>
      <w:tblPr>
        <w:tblW w:w="5000" w:type="pct"/>
        <w:tblInd w:w="-108" w:type="dxa"/>
        <w:tblLook w:val="0000" w:firstRow="0" w:lastRow="0" w:firstColumn="0" w:lastColumn="0" w:noHBand="0" w:noVBand="0"/>
      </w:tblPr>
      <w:tblGrid>
        <w:gridCol w:w="5726"/>
        <w:gridCol w:w="838"/>
        <w:gridCol w:w="1257"/>
        <w:gridCol w:w="279"/>
        <w:gridCol w:w="1255"/>
      </w:tblGrid>
      <w:tr w:rsidR="00F46260" w:rsidRPr="00F46260" w14:paraId="5683F57F" w14:textId="77777777" w:rsidTr="00D1524E">
        <w:trPr>
          <w:trHeight w:val="255"/>
        </w:trPr>
        <w:tc>
          <w:tcPr>
            <w:tcW w:w="3060" w:type="pct"/>
            <w:tcBorders>
              <w:top w:val="nil"/>
              <w:bottom w:val="nil"/>
              <w:right w:val="nil"/>
            </w:tcBorders>
            <w:shd w:val="clear" w:color="auto" w:fill="auto"/>
            <w:vAlign w:val="bottom"/>
          </w:tcPr>
          <w:p w14:paraId="3381CAA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8" w:type="pct"/>
            <w:tcBorders>
              <w:top w:val="nil"/>
              <w:bottom w:val="nil"/>
              <w:right w:val="nil"/>
            </w:tcBorders>
            <w:shd w:val="clear" w:color="auto" w:fill="auto"/>
            <w:vAlign w:val="bottom"/>
          </w:tcPr>
          <w:p w14:paraId="1548995A" w14:textId="77777777" w:rsidR="00F46260" w:rsidRPr="00F46260" w:rsidRDefault="00F46260" w:rsidP="00F46260">
            <w:pPr>
              <w:spacing w:after="0" w:line="240" w:lineRule="auto"/>
              <w:jc w:val="center"/>
              <w:rPr>
                <w:rFonts w:ascii="Arial" w:eastAsia="Times New Roman" w:hAnsi="Arial" w:cs="Arial"/>
                <w:bCs/>
                <w:color w:val="FFFFFF"/>
                <w:sz w:val="20"/>
                <w:szCs w:val="20"/>
                <w:lang w:eastAsia="en-AU"/>
              </w:rPr>
            </w:pPr>
          </w:p>
        </w:tc>
        <w:tc>
          <w:tcPr>
            <w:tcW w:w="672" w:type="pct"/>
            <w:tcBorders>
              <w:top w:val="nil"/>
              <w:left w:val="nil"/>
              <w:bottom w:val="nil"/>
              <w:right w:val="nil"/>
            </w:tcBorders>
            <w:shd w:val="clear" w:color="auto" w:fill="auto"/>
            <w:vAlign w:val="bottom"/>
          </w:tcPr>
          <w:p w14:paraId="1D2FD103"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p>
        </w:tc>
        <w:tc>
          <w:tcPr>
            <w:tcW w:w="149" w:type="pct"/>
            <w:tcBorders>
              <w:top w:val="nil"/>
              <w:left w:val="nil"/>
              <w:bottom w:val="nil"/>
              <w:right w:val="nil"/>
            </w:tcBorders>
            <w:shd w:val="clear" w:color="auto" w:fill="auto"/>
            <w:vAlign w:val="bottom"/>
          </w:tcPr>
          <w:p w14:paraId="4E722639"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1" w:type="pct"/>
            <w:tcBorders>
              <w:top w:val="nil"/>
              <w:left w:val="nil"/>
              <w:bottom w:val="nil"/>
            </w:tcBorders>
            <w:shd w:val="clear" w:color="auto" w:fill="auto"/>
            <w:vAlign w:val="bottom"/>
          </w:tcPr>
          <w:p w14:paraId="0C313326"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p>
        </w:tc>
      </w:tr>
      <w:tr w:rsidR="00F46260" w:rsidRPr="00F46260" w14:paraId="264FFC3C" w14:textId="77777777" w:rsidTr="00D1524E">
        <w:trPr>
          <w:trHeight w:val="255"/>
        </w:trPr>
        <w:tc>
          <w:tcPr>
            <w:tcW w:w="3060" w:type="pct"/>
            <w:tcBorders>
              <w:top w:val="nil"/>
              <w:bottom w:val="nil"/>
              <w:right w:val="nil"/>
            </w:tcBorders>
            <w:shd w:val="pct50" w:color="auto" w:fill="auto"/>
            <w:vAlign w:val="bottom"/>
          </w:tcPr>
          <w:p w14:paraId="1F6DE7EC"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48" w:type="pct"/>
            <w:tcBorders>
              <w:top w:val="nil"/>
              <w:bottom w:val="nil"/>
              <w:right w:val="nil"/>
            </w:tcBorders>
            <w:shd w:val="pct50" w:color="auto" w:fill="auto"/>
            <w:vAlign w:val="bottom"/>
          </w:tcPr>
          <w:p w14:paraId="566719F5" w14:textId="77777777" w:rsidR="00F46260" w:rsidRPr="00F46260" w:rsidRDefault="00F46260" w:rsidP="00F46260">
            <w:pPr>
              <w:spacing w:after="0" w:line="240" w:lineRule="auto"/>
              <w:jc w:val="center"/>
              <w:rPr>
                <w:rFonts w:ascii="Arial" w:eastAsia="Times New Roman" w:hAnsi="Arial" w:cs="Arial"/>
                <w:bCs/>
                <w:color w:val="FFFFFF"/>
                <w:sz w:val="20"/>
                <w:szCs w:val="20"/>
                <w:lang w:eastAsia="en-AU"/>
              </w:rPr>
            </w:pPr>
          </w:p>
        </w:tc>
        <w:tc>
          <w:tcPr>
            <w:tcW w:w="672" w:type="pct"/>
            <w:tcBorders>
              <w:top w:val="nil"/>
              <w:left w:val="nil"/>
              <w:bottom w:val="nil"/>
              <w:right w:val="nil"/>
            </w:tcBorders>
            <w:shd w:val="pct50" w:color="auto" w:fill="auto"/>
            <w:vAlign w:val="bottom"/>
          </w:tcPr>
          <w:p w14:paraId="4C5BA1F2"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7260A7DD"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c>
          <w:tcPr>
            <w:tcW w:w="149" w:type="pct"/>
            <w:tcBorders>
              <w:top w:val="nil"/>
              <w:left w:val="nil"/>
              <w:bottom w:val="nil"/>
              <w:right w:val="nil"/>
            </w:tcBorders>
            <w:shd w:val="pct50" w:color="auto" w:fill="auto"/>
            <w:vAlign w:val="bottom"/>
          </w:tcPr>
          <w:p w14:paraId="0114B928"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1" w:type="pct"/>
            <w:tcBorders>
              <w:top w:val="nil"/>
              <w:left w:val="nil"/>
              <w:bottom w:val="nil"/>
            </w:tcBorders>
            <w:shd w:val="pct50" w:color="auto" w:fill="auto"/>
            <w:vAlign w:val="bottom"/>
          </w:tcPr>
          <w:p w14:paraId="130FEE5A"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6537BCB9"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4E297ADB" w14:textId="77777777" w:rsidTr="00D1524E">
        <w:trPr>
          <w:trHeight w:val="255"/>
        </w:trPr>
        <w:tc>
          <w:tcPr>
            <w:tcW w:w="3508" w:type="pct"/>
            <w:gridSpan w:val="2"/>
            <w:tcBorders>
              <w:top w:val="nil"/>
              <w:bottom w:val="nil"/>
              <w:right w:val="nil"/>
            </w:tcBorders>
            <w:shd w:val="clear" w:color="auto" w:fill="auto"/>
            <w:vAlign w:val="bottom"/>
          </w:tcPr>
          <w:p w14:paraId="658C3EB2"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Training income</w:t>
            </w:r>
          </w:p>
        </w:tc>
        <w:tc>
          <w:tcPr>
            <w:tcW w:w="672" w:type="pct"/>
            <w:tcBorders>
              <w:top w:val="nil"/>
              <w:left w:val="nil"/>
              <w:right w:val="nil"/>
            </w:tcBorders>
            <w:shd w:val="pct15" w:color="auto" w:fill="auto"/>
            <w:vAlign w:val="bottom"/>
          </w:tcPr>
          <w:p w14:paraId="504E15A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1,513,667</w:t>
            </w:r>
          </w:p>
        </w:tc>
        <w:tc>
          <w:tcPr>
            <w:tcW w:w="149" w:type="pct"/>
            <w:tcBorders>
              <w:top w:val="nil"/>
              <w:left w:val="nil"/>
              <w:right w:val="nil"/>
            </w:tcBorders>
            <w:shd w:val="clear" w:color="auto" w:fill="auto"/>
            <w:vAlign w:val="bottom"/>
          </w:tcPr>
          <w:p w14:paraId="5EA132C1"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right w:val="nil"/>
            </w:tcBorders>
            <w:shd w:val="clear" w:color="auto" w:fill="auto"/>
            <w:vAlign w:val="bottom"/>
          </w:tcPr>
          <w:p w14:paraId="692511D1"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1,403,373</w:t>
            </w:r>
          </w:p>
        </w:tc>
      </w:tr>
      <w:tr w:rsidR="00F46260" w:rsidRPr="00F46260" w14:paraId="5DCBFCE3" w14:textId="77777777" w:rsidTr="00D1524E">
        <w:trPr>
          <w:trHeight w:val="255"/>
        </w:trPr>
        <w:tc>
          <w:tcPr>
            <w:tcW w:w="3508" w:type="pct"/>
            <w:gridSpan w:val="2"/>
            <w:tcBorders>
              <w:top w:val="nil"/>
              <w:bottom w:val="single" w:sz="2" w:space="0" w:color="auto"/>
              <w:right w:val="nil"/>
            </w:tcBorders>
            <w:shd w:val="clear" w:color="auto" w:fill="auto"/>
            <w:vAlign w:val="bottom"/>
          </w:tcPr>
          <w:p w14:paraId="285B0E09"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Other services</w:t>
            </w:r>
          </w:p>
        </w:tc>
        <w:tc>
          <w:tcPr>
            <w:tcW w:w="672" w:type="pct"/>
            <w:tcBorders>
              <w:left w:val="nil"/>
              <w:bottom w:val="single" w:sz="2" w:space="0" w:color="auto"/>
              <w:right w:val="nil"/>
            </w:tcBorders>
            <w:shd w:val="pct15" w:color="auto" w:fill="auto"/>
            <w:vAlign w:val="bottom"/>
          </w:tcPr>
          <w:p w14:paraId="48362704"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3,540,780</w:t>
            </w:r>
          </w:p>
        </w:tc>
        <w:tc>
          <w:tcPr>
            <w:tcW w:w="149" w:type="pct"/>
            <w:tcBorders>
              <w:left w:val="nil"/>
              <w:bottom w:val="single" w:sz="2" w:space="0" w:color="auto"/>
              <w:right w:val="nil"/>
            </w:tcBorders>
            <w:shd w:val="clear" w:color="auto" w:fill="auto"/>
            <w:vAlign w:val="bottom"/>
          </w:tcPr>
          <w:p w14:paraId="6083A3A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left w:val="nil"/>
              <w:bottom w:val="single" w:sz="2" w:space="0" w:color="auto"/>
              <w:right w:val="nil"/>
            </w:tcBorders>
            <w:shd w:val="clear" w:color="auto" w:fill="auto"/>
            <w:vAlign w:val="bottom"/>
          </w:tcPr>
          <w:p w14:paraId="352B6B9C"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4,062,241</w:t>
            </w:r>
          </w:p>
        </w:tc>
      </w:tr>
      <w:tr w:rsidR="00F46260" w:rsidRPr="00F46260" w14:paraId="15C45AEA" w14:textId="77777777" w:rsidTr="00D1524E">
        <w:trPr>
          <w:trHeight w:val="255"/>
        </w:trPr>
        <w:tc>
          <w:tcPr>
            <w:tcW w:w="3508" w:type="pct"/>
            <w:gridSpan w:val="2"/>
            <w:tcBorders>
              <w:top w:val="single" w:sz="2" w:space="0" w:color="auto"/>
              <w:bottom w:val="single" w:sz="12" w:space="0" w:color="auto"/>
              <w:right w:val="nil"/>
            </w:tcBorders>
            <w:shd w:val="clear" w:color="auto" w:fill="auto"/>
            <w:vAlign w:val="bottom"/>
          </w:tcPr>
          <w:p w14:paraId="75B179A9" w14:textId="77777777" w:rsidR="00F46260" w:rsidRPr="00F46260" w:rsidRDefault="00F46260" w:rsidP="00F46260">
            <w:pPr>
              <w:tabs>
                <w:tab w:val="left" w:pos="284"/>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provision of services</w:t>
            </w:r>
          </w:p>
        </w:tc>
        <w:tc>
          <w:tcPr>
            <w:tcW w:w="672" w:type="pct"/>
            <w:tcBorders>
              <w:top w:val="single" w:sz="2" w:space="0" w:color="auto"/>
              <w:left w:val="nil"/>
              <w:bottom w:val="single" w:sz="12" w:space="0" w:color="auto"/>
              <w:right w:val="nil"/>
            </w:tcBorders>
            <w:shd w:val="pct15" w:color="auto" w:fill="auto"/>
            <w:vAlign w:val="bottom"/>
          </w:tcPr>
          <w:p w14:paraId="3495497F"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5,054,447</w:t>
            </w:r>
          </w:p>
        </w:tc>
        <w:tc>
          <w:tcPr>
            <w:tcW w:w="149" w:type="pct"/>
            <w:tcBorders>
              <w:top w:val="single" w:sz="2" w:space="0" w:color="auto"/>
              <w:left w:val="nil"/>
              <w:bottom w:val="single" w:sz="12" w:space="0" w:color="auto"/>
              <w:right w:val="nil"/>
            </w:tcBorders>
            <w:shd w:val="clear" w:color="auto" w:fill="auto"/>
            <w:vAlign w:val="bottom"/>
          </w:tcPr>
          <w:p w14:paraId="5E3165C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single" w:sz="2" w:space="0" w:color="auto"/>
              <w:left w:val="nil"/>
              <w:bottom w:val="single" w:sz="12" w:space="0" w:color="auto"/>
              <w:right w:val="nil"/>
            </w:tcBorders>
            <w:shd w:val="clear" w:color="auto" w:fill="auto"/>
            <w:vAlign w:val="bottom"/>
          </w:tcPr>
          <w:p w14:paraId="281A589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sz w:val="20"/>
                <w:szCs w:val="20"/>
                <w:lang w:eastAsia="en-AU"/>
              </w:rPr>
              <w:t>5,465,614</w:t>
            </w:r>
          </w:p>
        </w:tc>
      </w:tr>
    </w:tbl>
    <w:p w14:paraId="28E08B3E" w14:textId="77777777" w:rsidR="00F46260" w:rsidRPr="00F46260" w:rsidRDefault="00F46260" w:rsidP="00F46260">
      <w:pPr>
        <w:spacing w:after="0" w:line="240" w:lineRule="auto"/>
        <w:rPr>
          <w:rFonts w:ascii="Arial" w:eastAsia="Times New Roman" w:hAnsi="Arial" w:cs="Arial"/>
          <w:sz w:val="20"/>
          <w:szCs w:val="20"/>
          <w:lang w:eastAsia="en-AU"/>
        </w:rPr>
      </w:pPr>
    </w:p>
    <w:p w14:paraId="494A80E5"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bookmarkStart w:id="46" w:name="_Toc518808270"/>
      <w:bookmarkStart w:id="47" w:name="_Toc420672827"/>
    </w:p>
    <w:p w14:paraId="4A3FB3F2"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 xml:space="preserve">The Provision of service income includes transactions that the Commission has determined to be classified as revenue from contracts with customers in accordance with AASB 15. </w:t>
      </w:r>
    </w:p>
    <w:p w14:paraId="08E73431"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28C9F725"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Performance obligations and revenue recognition policies</w:t>
      </w:r>
    </w:p>
    <w:p w14:paraId="671B1AE2" w14:textId="77777777" w:rsidR="00F46260" w:rsidRPr="00F46260" w:rsidRDefault="00F46260" w:rsidP="00F46260">
      <w:pPr>
        <w:spacing w:after="0" w:line="240" w:lineRule="auto"/>
        <w:rPr>
          <w:rFonts w:ascii="Arial" w:eastAsia="Times New Roman" w:hAnsi="Arial" w:cs="Arial"/>
          <w:b/>
          <w:sz w:val="20"/>
          <w:szCs w:val="20"/>
          <w:lang w:eastAsia="en-AU"/>
        </w:rPr>
      </w:pPr>
    </w:p>
    <w:p w14:paraId="4AE04547" w14:textId="0746F6B5" w:rsidR="00F46260" w:rsidRDefault="00F46260" w:rsidP="00D1524E">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Revenue is measured based on the consideration specified in the contract with the customer. The Commission recognises revenue when it transfers control of a service to the customer, i.e. when, or as, the performance obligations for the provision of services to the customer are satisfied.</w:t>
      </w:r>
    </w:p>
    <w:p w14:paraId="48732A30" w14:textId="77777777" w:rsidR="00D1524E" w:rsidRPr="00D1524E" w:rsidRDefault="00D1524E" w:rsidP="00D1524E">
      <w:pPr>
        <w:spacing w:after="0" w:line="240" w:lineRule="auto"/>
        <w:rPr>
          <w:rFonts w:ascii="Arial" w:eastAsia="Times New Roman" w:hAnsi="Arial" w:cs="Arial"/>
          <w:color w:val="000000"/>
          <w:sz w:val="20"/>
          <w:szCs w:val="20"/>
          <w:lang w:eastAsia="en-AU"/>
        </w:rPr>
      </w:pPr>
    </w:p>
    <w:p w14:paraId="18CE8E69"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 xml:space="preserve">For services rendered, where customers simultaneously receive and consume the services as it is provided, revenue is recognised progressively as contract assets until the customer is subsequently invoiced in accordance with the terms of the service agreement. For other customers that are only able to consume the services when they have been completed, revenue is only recognised upon completion and delivery of the services. In rare circumstance where there may be a change in the scope of services provided, the customer will be provided with a new contract for the additional services to be rendered and revenue is recognised consistent with accounting policy above. </w:t>
      </w:r>
    </w:p>
    <w:p w14:paraId="473A0EE9" w14:textId="77777777" w:rsidR="00F46260" w:rsidRPr="00F46260" w:rsidRDefault="00F46260" w:rsidP="00F46260">
      <w:pPr>
        <w:spacing w:after="0" w:line="240" w:lineRule="auto"/>
        <w:rPr>
          <w:rFonts w:ascii="Arial" w:eastAsia="Times New Roman" w:hAnsi="Arial" w:cs="Arial"/>
          <w:color w:val="000000"/>
          <w:sz w:val="20"/>
          <w:szCs w:val="20"/>
          <w:lang w:eastAsia="en-AU"/>
        </w:rPr>
      </w:pPr>
    </w:p>
    <w:p w14:paraId="195AE666"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Consideration received in advance of recognising the associated revenue from the customer is recorded as a contract liability. Where the performance obligations are satisfied but not yet billed, a contract asset is recorded.</w:t>
      </w:r>
    </w:p>
    <w:p w14:paraId="4F45A428" w14:textId="77777777" w:rsidR="00F46260" w:rsidRPr="00F46260" w:rsidRDefault="00F46260" w:rsidP="00F46260">
      <w:pPr>
        <w:spacing w:after="0" w:line="240" w:lineRule="auto"/>
        <w:rPr>
          <w:rFonts w:ascii="Arial" w:eastAsia="Times New Roman" w:hAnsi="Arial" w:cs="Arial"/>
          <w:color w:val="000000"/>
          <w:sz w:val="20"/>
          <w:szCs w:val="20"/>
          <w:lang w:eastAsia="en-AU"/>
        </w:rPr>
      </w:pPr>
    </w:p>
    <w:p w14:paraId="3DB768D9"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403E3043"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2CCE559B"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02B6D7EE"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3B8676EA"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308CC45B"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23559D45"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267F1B1D"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753FE01A"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2E854AF8"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4A99D9F2"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0B4AE831"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53BA5A05"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2F1C50D4"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6C5594C7"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2A39863D"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7BDF9405"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4B3E770E" w14:textId="77777777" w:rsidR="00F46260" w:rsidRPr="00F46260" w:rsidRDefault="00F46260" w:rsidP="00F46260">
      <w:pPr>
        <w:spacing w:after="0" w:line="240" w:lineRule="auto"/>
        <w:rPr>
          <w:rFonts w:ascii="Arial" w:eastAsia="Times New Roman" w:hAnsi="Arial" w:cs="Arial"/>
          <w:b/>
          <w:color w:val="000000"/>
          <w:sz w:val="24"/>
          <w:szCs w:val="24"/>
          <w:lang w:eastAsia="en-AU"/>
        </w:rPr>
      </w:pPr>
    </w:p>
    <w:p w14:paraId="366A3C03" w14:textId="77777777" w:rsidR="00F46260" w:rsidRPr="00F46260" w:rsidRDefault="00F46260" w:rsidP="00F46260">
      <w:pPr>
        <w:spacing w:after="0" w:line="240" w:lineRule="auto"/>
        <w:rPr>
          <w:rFonts w:ascii="Arial" w:eastAsia="Times New Roman" w:hAnsi="Arial" w:cs="Arial"/>
          <w:b/>
          <w:sz w:val="20"/>
          <w:szCs w:val="20"/>
          <w:lang w:eastAsia="en-AU"/>
        </w:rPr>
      </w:pPr>
    </w:p>
    <w:p w14:paraId="248D1675"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53A35866"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3C832F5A"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0FBC5190"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4691A7D3"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5CE0316D"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75AC51CB" w14:textId="77777777" w:rsidR="00D1524E" w:rsidRDefault="00D1524E">
      <w:pPr>
        <w:spacing w:after="0" w:line="240" w:lineRule="auto"/>
        <w:rPr>
          <w:rFonts w:ascii="Arial" w:eastAsia="Times New Roman" w:hAnsi="Arial" w:cs="Arial"/>
          <w:b/>
          <w:sz w:val="24"/>
          <w:szCs w:val="24"/>
          <w:lang w:eastAsia="en-AU"/>
        </w:rPr>
      </w:pPr>
      <w:bookmarkStart w:id="48" w:name="_Toc492305466"/>
      <w:r>
        <w:rPr>
          <w:rFonts w:ascii="Arial" w:eastAsia="Times New Roman" w:hAnsi="Arial" w:cs="Arial"/>
          <w:b/>
          <w:sz w:val="24"/>
          <w:szCs w:val="24"/>
          <w:lang w:eastAsia="en-AU"/>
        </w:rPr>
        <w:br w:type="page"/>
      </w:r>
    </w:p>
    <w:p w14:paraId="1FD51265" w14:textId="006D218A" w:rsidR="00F46260" w:rsidRPr="00F46260" w:rsidRDefault="00F46260" w:rsidP="00F46260">
      <w:pPr>
        <w:pBdr>
          <w:bottom w:val="single" w:sz="12" w:space="1" w:color="auto"/>
        </w:pBdr>
        <w:tabs>
          <w:tab w:val="left" w:pos="1384"/>
        </w:tabs>
        <w:spacing w:after="0" w:line="240" w:lineRule="auto"/>
        <w:rPr>
          <w:rFonts w:ascii="Arial" w:eastAsia="Times New Roman" w:hAnsi="Arial" w:cs="Arial"/>
          <w:b/>
          <w:sz w:val="24"/>
          <w:szCs w:val="24"/>
          <w:lang w:eastAsia="en-AU"/>
        </w:rPr>
      </w:pPr>
      <w:r w:rsidRPr="00F46260">
        <w:rPr>
          <w:rFonts w:ascii="Arial" w:eastAsia="Times New Roman" w:hAnsi="Arial" w:cs="Arial"/>
          <w:b/>
          <w:sz w:val="24"/>
          <w:szCs w:val="24"/>
          <w:lang w:eastAsia="en-AU"/>
        </w:rPr>
        <w:lastRenderedPageBreak/>
        <w:t>3. Cost of delivering our services</w:t>
      </w:r>
      <w:bookmarkEnd w:id="48"/>
    </w:p>
    <w:p w14:paraId="4C2F6077" w14:textId="77777777" w:rsidR="00F46260" w:rsidRPr="00F46260" w:rsidRDefault="00F46260" w:rsidP="00F46260">
      <w:pPr>
        <w:tabs>
          <w:tab w:val="left" w:pos="1384"/>
        </w:tabs>
        <w:spacing w:after="0" w:line="240" w:lineRule="auto"/>
        <w:ind w:left="1384" w:hanging="1384"/>
        <w:rPr>
          <w:rFonts w:ascii="Arial" w:eastAsia="Times New Roman" w:hAnsi="Arial" w:cs="Arial"/>
          <w:sz w:val="20"/>
          <w:szCs w:val="20"/>
          <w:lang w:eastAsia="en-AU"/>
        </w:rPr>
      </w:pPr>
    </w:p>
    <w:tbl>
      <w:tblPr>
        <w:tblStyle w:val="CVtable1"/>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F46260" w:rsidRPr="00F46260" w14:paraId="07AFF180" w14:textId="77777777" w:rsidTr="00D1524E">
        <w:tc>
          <w:tcPr>
            <w:tcW w:w="2500" w:type="pct"/>
            <w:tcBorders>
              <w:right w:val="single" w:sz="4" w:space="0" w:color="auto"/>
            </w:tcBorders>
          </w:tcPr>
          <w:p w14:paraId="5094A2C6" w14:textId="77777777" w:rsidR="00F46260" w:rsidRPr="00F46260" w:rsidRDefault="00F46260" w:rsidP="00D1524E">
            <w:pPr>
              <w:autoSpaceDE w:val="0"/>
              <w:autoSpaceDN w:val="0"/>
              <w:adjustRightInd w:val="0"/>
              <w:spacing w:after="0" w:line="240" w:lineRule="auto"/>
              <w:contextualSpacing/>
              <w:rPr>
                <w:rFonts w:ascii="Arial" w:hAnsi="Arial" w:cs="Arial"/>
                <w:b/>
              </w:rPr>
            </w:pPr>
            <w:r w:rsidRPr="00F46260">
              <w:rPr>
                <w:rFonts w:ascii="Arial" w:hAnsi="Arial" w:cs="Arial"/>
                <w:b/>
              </w:rPr>
              <w:t>Introduction</w:t>
            </w:r>
          </w:p>
          <w:p w14:paraId="38A53C6C" w14:textId="77777777" w:rsidR="00D1524E" w:rsidRDefault="00D1524E" w:rsidP="00D1524E">
            <w:pPr>
              <w:autoSpaceDE w:val="0"/>
              <w:autoSpaceDN w:val="0"/>
              <w:adjustRightInd w:val="0"/>
              <w:spacing w:after="0" w:line="240" w:lineRule="auto"/>
              <w:contextualSpacing/>
              <w:rPr>
                <w:rFonts w:ascii="Arial" w:hAnsi="Arial" w:cs="Arial"/>
              </w:rPr>
            </w:pPr>
          </w:p>
          <w:p w14:paraId="2ADDF541" w14:textId="6BABCB5A" w:rsidR="00F46260" w:rsidRPr="00D1524E" w:rsidRDefault="00F46260" w:rsidP="00D1524E">
            <w:pPr>
              <w:autoSpaceDE w:val="0"/>
              <w:autoSpaceDN w:val="0"/>
              <w:adjustRightInd w:val="0"/>
              <w:spacing w:after="0" w:line="240" w:lineRule="auto"/>
              <w:contextualSpacing/>
              <w:rPr>
                <w:rFonts w:ascii="Arial" w:hAnsi="Arial" w:cs="Arial"/>
              </w:rPr>
            </w:pPr>
            <w:r w:rsidRPr="00D1524E">
              <w:rPr>
                <w:rFonts w:ascii="Arial" w:hAnsi="Arial" w:cs="Arial"/>
              </w:rPr>
              <w:t>This section provides an account of the expenses incurred by the Commission in delivering its services.</w:t>
            </w:r>
            <w:r w:rsidRPr="00D1524E">
              <w:t xml:space="preserve"> </w:t>
            </w:r>
            <w:r w:rsidRPr="00D1524E">
              <w:rPr>
                <w:rFonts w:ascii="Arial" w:hAnsi="Arial" w:cs="Arial"/>
              </w:rPr>
              <w:t>The funds that enable the provision of the services were disclosed in Note 2.</w:t>
            </w:r>
          </w:p>
        </w:tc>
        <w:tc>
          <w:tcPr>
            <w:tcW w:w="2500" w:type="pct"/>
            <w:tcBorders>
              <w:left w:val="single" w:sz="4" w:space="0" w:color="auto"/>
            </w:tcBorders>
          </w:tcPr>
          <w:p w14:paraId="20167C48" w14:textId="77777777" w:rsidR="00F46260" w:rsidRPr="00F46260" w:rsidRDefault="00F46260" w:rsidP="00F46260">
            <w:pPr>
              <w:spacing w:after="0" w:line="240" w:lineRule="auto"/>
              <w:rPr>
                <w:rFonts w:ascii="Arial" w:hAnsi="Arial" w:cs="Arial"/>
                <w:b/>
              </w:rPr>
            </w:pPr>
            <w:r w:rsidRPr="00F46260">
              <w:rPr>
                <w:rFonts w:ascii="Arial" w:hAnsi="Arial" w:cs="Arial"/>
                <w:b/>
              </w:rPr>
              <w:t>Structure</w:t>
            </w:r>
          </w:p>
          <w:p w14:paraId="19AA9C71" w14:textId="77777777" w:rsidR="00F46260" w:rsidRPr="00F46260" w:rsidRDefault="00F46260" w:rsidP="00F46260">
            <w:pPr>
              <w:spacing w:after="0" w:line="240" w:lineRule="auto"/>
              <w:rPr>
                <w:rFonts w:ascii="Arial" w:hAnsi="Arial" w:cs="Arial"/>
              </w:rPr>
            </w:pPr>
          </w:p>
          <w:p w14:paraId="41405D10" w14:textId="77777777" w:rsidR="00F46260" w:rsidRPr="00F46260" w:rsidRDefault="00F46260" w:rsidP="00F8706A">
            <w:pPr>
              <w:numPr>
                <w:ilvl w:val="1"/>
                <w:numId w:val="27"/>
              </w:numPr>
              <w:spacing w:after="0" w:line="240" w:lineRule="auto"/>
              <w:ind w:left="714" w:hanging="357"/>
              <w:contextualSpacing/>
              <w:rPr>
                <w:rFonts w:ascii="Arial" w:hAnsi="Arial" w:cs="Arial"/>
              </w:rPr>
            </w:pPr>
            <w:r w:rsidRPr="00F46260">
              <w:rPr>
                <w:rFonts w:ascii="Arial" w:hAnsi="Arial" w:cs="Arial"/>
              </w:rPr>
              <w:t>Expenses incurred in the delivery of services</w:t>
            </w:r>
          </w:p>
          <w:p w14:paraId="5D3F09A0" w14:textId="77777777" w:rsidR="00F46260" w:rsidRPr="00F46260" w:rsidRDefault="00F46260" w:rsidP="00F8706A">
            <w:pPr>
              <w:numPr>
                <w:ilvl w:val="1"/>
                <w:numId w:val="27"/>
              </w:numPr>
              <w:spacing w:after="0" w:line="240" w:lineRule="auto"/>
              <w:ind w:left="714" w:hanging="357"/>
              <w:contextualSpacing/>
              <w:rPr>
                <w:rFonts w:ascii="Arial" w:hAnsi="Arial" w:cs="Arial"/>
              </w:rPr>
            </w:pPr>
            <w:r w:rsidRPr="00F46260">
              <w:rPr>
                <w:rFonts w:ascii="Arial" w:hAnsi="Arial" w:cs="Arial"/>
              </w:rPr>
              <w:t>Employee benefits</w:t>
            </w:r>
          </w:p>
          <w:p w14:paraId="56611EA8" w14:textId="77777777" w:rsidR="00F46260" w:rsidRPr="00F46260" w:rsidRDefault="00F46260" w:rsidP="00F8706A">
            <w:pPr>
              <w:numPr>
                <w:ilvl w:val="1"/>
                <w:numId w:val="27"/>
              </w:numPr>
              <w:spacing w:after="0" w:line="240" w:lineRule="auto"/>
              <w:ind w:left="714" w:hanging="357"/>
              <w:contextualSpacing/>
              <w:rPr>
                <w:rFonts w:ascii="Arial" w:hAnsi="Arial" w:cs="Arial"/>
              </w:rPr>
            </w:pPr>
            <w:r w:rsidRPr="00F46260">
              <w:rPr>
                <w:rFonts w:ascii="Arial" w:hAnsi="Arial" w:cs="Arial"/>
              </w:rPr>
              <w:t>Capital asset charge</w:t>
            </w:r>
          </w:p>
          <w:p w14:paraId="66E20392" w14:textId="77777777" w:rsidR="00F46260" w:rsidRPr="00F46260" w:rsidRDefault="00F46260" w:rsidP="00F8706A">
            <w:pPr>
              <w:numPr>
                <w:ilvl w:val="1"/>
                <w:numId w:val="27"/>
              </w:numPr>
              <w:spacing w:after="0" w:line="240" w:lineRule="auto"/>
              <w:ind w:left="714" w:hanging="357"/>
              <w:contextualSpacing/>
              <w:rPr>
                <w:rFonts w:ascii="Arial" w:hAnsi="Arial" w:cs="Arial"/>
                <w:color w:val="000000"/>
              </w:rPr>
            </w:pPr>
            <w:r w:rsidRPr="00F46260">
              <w:rPr>
                <w:rFonts w:ascii="Arial" w:hAnsi="Arial" w:cs="Arial"/>
              </w:rPr>
              <w:t>Other operating expenses</w:t>
            </w:r>
          </w:p>
        </w:tc>
      </w:tr>
    </w:tbl>
    <w:p w14:paraId="03D07FD7" w14:textId="77777777" w:rsidR="00F46260" w:rsidRPr="00F46260" w:rsidRDefault="00F46260" w:rsidP="00F46260">
      <w:pPr>
        <w:spacing w:after="0" w:line="240" w:lineRule="auto"/>
        <w:rPr>
          <w:rFonts w:ascii="Arial" w:eastAsia="Times New Roman" w:hAnsi="Arial" w:cs="Arial"/>
          <w:sz w:val="20"/>
          <w:szCs w:val="20"/>
          <w:lang w:eastAsia="en-AU"/>
        </w:rPr>
      </w:pPr>
    </w:p>
    <w:p w14:paraId="70C5016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3.1 Expenses incurred in the delivery of services</w:t>
      </w:r>
    </w:p>
    <w:tbl>
      <w:tblPr>
        <w:tblW w:w="5000" w:type="pct"/>
        <w:tblInd w:w="-108" w:type="dxa"/>
        <w:tblLook w:val="0000" w:firstRow="0" w:lastRow="0" w:firstColumn="0" w:lastColumn="0" w:noHBand="0" w:noVBand="0"/>
      </w:tblPr>
      <w:tblGrid>
        <w:gridCol w:w="5637"/>
        <w:gridCol w:w="986"/>
        <w:gridCol w:w="1257"/>
        <w:gridCol w:w="238"/>
        <w:gridCol w:w="1237"/>
      </w:tblGrid>
      <w:tr w:rsidR="00F46260" w:rsidRPr="00F46260" w14:paraId="0951185B" w14:textId="77777777" w:rsidTr="00D1524E">
        <w:trPr>
          <w:trHeight w:val="255"/>
        </w:trPr>
        <w:tc>
          <w:tcPr>
            <w:tcW w:w="3013" w:type="pct"/>
            <w:tcBorders>
              <w:top w:val="nil"/>
              <w:right w:val="nil"/>
            </w:tcBorders>
            <w:shd w:val="clear" w:color="auto" w:fill="auto"/>
            <w:vAlign w:val="bottom"/>
          </w:tcPr>
          <w:p w14:paraId="50D35290"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527" w:type="pct"/>
            <w:tcBorders>
              <w:top w:val="nil"/>
              <w:right w:val="nil"/>
            </w:tcBorders>
          </w:tcPr>
          <w:p w14:paraId="56133441"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c>
          <w:tcPr>
            <w:tcW w:w="672" w:type="pct"/>
            <w:tcBorders>
              <w:top w:val="nil"/>
              <w:left w:val="nil"/>
              <w:right w:val="nil"/>
            </w:tcBorders>
            <w:shd w:val="clear" w:color="auto" w:fill="auto"/>
            <w:vAlign w:val="bottom"/>
          </w:tcPr>
          <w:p w14:paraId="39C88891"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27" w:type="pct"/>
            <w:tcBorders>
              <w:top w:val="nil"/>
              <w:left w:val="nil"/>
              <w:right w:val="nil"/>
            </w:tcBorders>
            <w:shd w:val="clear" w:color="auto" w:fill="auto"/>
            <w:vAlign w:val="bottom"/>
          </w:tcPr>
          <w:p w14:paraId="5D2BEC2E"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61" w:type="pct"/>
            <w:tcBorders>
              <w:top w:val="nil"/>
              <w:left w:val="nil"/>
            </w:tcBorders>
            <w:shd w:val="clear" w:color="auto" w:fill="auto"/>
            <w:vAlign w:val="bottom"/>
          </w:tcPr>
          <w:p w14:paraId="791081D1"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0EB5E1EF" w14:textId="77777777" w:rsidTr="00D1524E">
        <w:trPr>
          <w:trHeight w:val="255"/>
        </w:trPr>
        <w:tc>
          <w:tcPr>
            <w:tcW w:w="3013" w:type="pct"/>
            <w:tcBorders>
              <w:top w:val="nil"/>
              <w:bottom w:val="nil"/>
              <w:right w:val="nil"/>
            </w:tcBorders>
            <w:shd w:val="pct50" w:color="auto" w:fill="auto"/>
            <w:vAlign w:val="bottom"/>
          </w:tcPr>
          <w:p w14:paraId="071FFE0E" w14:textId="77777777" w:rsidR="00F46260" w:rsidRPr="00F46260" w:rsidRDefault="00F46260" w:rsidP="00F46260">
            <w:pPr>
              <w:spacing w:after="0" w:line="240" w:lineRule="auto"/>
              <w:rPr>
                <w:rFonts w:ascii="Arial" w:eastAsia="Times New Roman" w:hAnsi="Arial" w:cs="Arial"/>
                <w:i/>
                <w:sz w:val="20"/>
                <w:szCs w:val="20"/>
                <w:lang w:eastAsia="en-AU"/>
              </w:rPr>
            </w:pPr>
          </w:p>
        </w:tc>
        <w:tc>
          <w:tcPr>
            <w:tcW w:w="527" w:type="pct"/>
            <w:tcBorders>
              <w:top w:val="nil"/>
              <w:bottom w:val="nil"/>
              <w:right w:val="nil"/>
            </w:tcBorders>
            <w:shd w:val="pct50" w:color="auto" w:fill="auto"/>
            <w:vAlign w:val="bottom"/>
          </w:tcPr>
          <w:p w14:paraId="71620BE4"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Notes</w:t>
            </w:r>
          </w:p>
        </w:tc>
        <w:tc>
          <w:tcPr>
            <w:tcW w:w="672" w:type="pct"/>
            <w:tcBorders>
              <w:top w:val="nil"/>
              <w:left w:val="nil"/>
              <w:bottom w:val="nil"/>
              <w:right w:val="nil"/>
            </w:tcBorders>
            <w:shd w:val="pct50" w:color="auto" w:fill="auto"/>
            <w:vAlign w:val="bottom"/>
          </w:tcPr>
          <w:p w14:paraId="596F1B7E"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167E9FBF"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bCs/>
                <w:color w:val="FFFFFF"/>
                <w:sz w:val="20"/>
                <w:szCs w:val="20"/>
                <w:lang w:eastAsia="en-AU"/>
              </w:rPr>
              <w:t>$</w:t>
            </w:r>
          </w:p>
        </w:tc>
        <w:tc>
          <w:tcPr>
            <w:tcW w:w="127" w:type="pct"/>
            <w:tcBorders>
              <w:top w:val="nil"/>
              <w:left w:val="nil"/>
              <w:bottom w:val="nil"/>
              <w:right w:val="nil"/>
            </w:tcBorders>
            <w:shd w:val="pct50" w:color="auto" w:fill="auto"/>
            <w:vAlign w:val="bottom"/>
          </w:tcPr>
          <w:p w14:paraId="12C3163D"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p>
        </w:tc>
        <w:tc>
          <w:tcPr>
            <w:tcW w:w="661" w:type="pct"/>
            <w:tcBorders>
              <w:top w:val="nil"/>
              <w:left w:val="nil"/>
              <w:bottom w:val="nil"/>
            </w:tcBorders>
            <w:shd w:val="pct50" w:color="auto" w:fill="auto"/>
            <w:vAlign w:val="bottom"/>
          </w:tcPr>
          <w:p w14:paraId="6138F04F"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6067F1D8"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6E31882A" w14:textId="77777777" w:rsidTr="00D1524E">
        <w:trPr>
          <w:trHeight w:val="255"/>
        </w:trPr>
        <w:tc>
          <w:tcPr>
            <w:tcW w:w="3013" w:type="pct"/>
            <w:tcBorders>
              <w:top w:val="nil"/>
              <w:bottom w:val="nil"/>
              <w:right w:val="nil"/>
            </w:tcBorders>
            <w:shd w:val="clear" w:color="auto" w:fill="auto"/>
            <w:vAlign w:val="bottom"/>
          </w:tcPr>
          <w:p w14:paraId="72A947F7"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Employee benefits</w:t>
            </w:r>
          </w:p>
        </w:tc>
        <w:tc>
          <w:tcPr>
            <w:tcW w:w="527" w:type="pct"/>
            <w:tcBorders>
              <w:top w:val="nil"/>
              <w:bottom w:val="nil"/>
              <w:right w:val="nil"/>
            </w:tcBorders>
            <w:vAlign w:val="bottom"/>
          </w:tcPr>
          <w:p w14:paraId="633ACD22"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3.2.1</w:t>
            </w:r>
          </w:p>
        </w:tc>
        <w:tc>
          <w:tcPr>
            <w:tcW w:w="672" w:type="pct"/>
            <w:tcBorders>
              <w:top w:val="nil"/>
              <w:left w:val="nil"/>
              <w:bottom w:val="nil"/>
              <w:right w:val="nil"/>
            </w:tcBorders>
            <w:shd w:val="pct15" w:color="auto" w:fill="auto"/>
            <w:vAlign w:val="bottom"/>
          </w:tcPr>
          <w:p w14:paraId="61DC7BA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14,376,757</w:t>
            </w:r>
          </w:p>
        </w:tc>
        <w:tc>
          <w:tcPr>
            <w:tcW w:w="127" w:type="pct"/>
            <w:tcBorders>
              <w:top w:val="nil"/>
              <w:left w:val="nil"/>
              <w:bottom w:val="nil"/>
              <w:right w:val="nil"/>
            </w:tcBorders>
            <w:shd w:val="clear" w:color="auto" w:fill="auto"/>
            <w:vAlign w:val="bottom"/>
          </w:tcPr>
          <w:p w14:paraId="62816C0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61" w:type="pct"/>
            <w:tcBorders>
              <w:top w:val="nil"/>
              <w:left w:val="nil"/>
              <w:bottom w:val="nil"/>
              <w:right w:val="nil"/>
            </w:tcBorders>
            <w:shd w:val="clear" w:color="auto" w:fill="auto"/>
            <w:vAlign w:val="bottom"/>
          </w:tcPr>
          <w:p w14:paraId="1A19E34C"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13,052,291</w:t>
            </w:r>
          </w:p>
        </w:tc>
      </w:tr>
      <w:tr w:rsidR="00F46260" w:rsidRPr="00F46260" w14:paraId="1A0FA3C4" w14:textId="77777777" w:rsidTr="00D1524E">
        <w:trPr>
          <w:trHeight w:val="255"/>
        </w:trPr>
        <w:tc>
          <w:tcPr>
            <w:tcW w:w="3013" w:type="pct"/>
            <w:tcBorders>
              <w:top w:val="nil"/>
              <w:bottom w:val="nil"/>
              <w:right w:val="nil"/>
            </w:tcBorders>
            <w:shd w:val="clear" w:color="auto" w:fill="auto"/>
            <w:vAlign w:val="bottom"/>
          </w:tcPr>
          <w:p w14:paraId="7D419DE1"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Capital asset charge</w:t>
            </w:r>
          </w:p>
        </w:tc>
        <w:tc>
          <w:tcPr>
            <w:tcW w:w="527" w:type="pct"/>
            <w:tcBorders>
              <w:right w:val="nil"/>
            </w:tcBorders>
            <w:vAlign w:val="bottom"/>
          </w:tcPr>
          <w:p w14:paraId="5952ACD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3.3</w:t>
            </w:r>
          </w:p>
        </w:tc>
        <w:tc>
          <w:tcPr>
            <w:tcW w:w="672" w:type="pct"/>
            <w:tcBorders>
              <w:left w:val="nil"/>
              <w:right w:val="nil"/>
            </w:tcBorders>
            <w:shd w:val="pct15" w:color="auto" w:fill="auto"/>
            <w:vAlign w:val="bottom"/>
          </w:tcPr>
          <w:p w14:paraId="53BE51F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13,508</w:t>
            </w:r>
          </w:p>
        </w:tc>
        <w:tc>
          <w:tcPr>
            <w:tcW w:w="127" w:type="pct"/>
            <w:tcBorders>
              <w:top w:val="nil"/>
              <w:left w:val="nil"/>
              <w:bottom w:val="nil"/>
              <w:right w:val="nil"/>
            </w:tcBorders>
            <w:shd w:val="clear" w:color="auto" w:fill="auto"/>
            <w:vAlign w:val="bottom"/>
          </w:tcPr>
          <w:p w14:paraId="475AFC4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61" w:type="pct"/>
            <w:tcBorders>
              <w:left w:val="nil"/>
              <w:right w:val="nil"/>
            </w:tcBorders>
            <w:shd w:val="clear" w:color="auto" w:fill="auto"/>
            <w:vAlign w:val="bottom"/>
          </w:tcPr>
          <w:p w14:paraId="088CBBDC"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13,500</w:t>
            </w:r>
          </w:p>
        </w:tc>
      </w:tr>
      <w:tr w:rsidR="00F46260" w:rsidRPr="00F46260" w14:paraId="7CEBCF96" w14:textId="77777777" w:rsidTr="00D1524E">
        <w:trPr>
          <w:trHeight w:val="255"/>
        </w:trPr>
        <w:tc>
          <w:tcPr>
            <w:tcW w:w="3013" w:type="pct"/>
            <w:tcBorders>
              <w:top w:val="nil"/>
              <w:bottom w:val="single" w:sz="2" w:space="0" w:color="auto"/>
              <w:right w:val="nil"/>
            </w:tcBorders>
            <w:shd w:val="clear" w:color="auto" w:fill="auto"/>
            <w:vAlign w:val="bottom"/>
          </w:tcPr>
          <w:p w14:paraId="650A5C8F"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Other operating expenses</w:t>
            </w:r>
          </w:p>
        </w:tc>
        <w:tc>
          <w:tcPr>
            <w:tcW w:w="527" w:type="pct"/>
            <w:tcBorders>
              <w:bottom w:val="single" w:sz="2" w:space="0" w:color="auto"/>
              <w:right w:val="nil"/>
            </w:tcBorders>
            <w:vAlign w:val="bottom"/>
          </w:tcPr>
          <w:p w14:paraId="598DC94B"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3.4</w:t>
            </w:r>
          </w:p>
        </w:tc>
        <w:tc>
          <w:tcPr>
            <w:tcW w:w="672" w:type="pct"/>
            <w:tcBorders>
              <w:left w:val="nil"/>
              <w:bottom w:val="single" w:sz="2" w:space="0" w:color="auto"/>
              <w:right w:val="nil"/>
            </w:tcBorders>
            <w:shd w:val="pct15" w:color="auto" w:fill="auto"/>
            <w:vAlign w:val="bottom"/>
          </w:tcPr>
          <w:p w14:paraId="2F7018F1"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5,688,520</w:t>
            </w:r>
          </w:p>
        </w:tc>
        <w:tc>
          <w:tcPr>
            <w:tcW w:w="127" w:type="pct"/>
            <w:tcBorders>
              <w:top w:val="nil"/>
              <w:left w:val="nil"/>
              <w:bottom w:val="single" w:sz="2" w:space="0" w:color="auto"/>
              <w:right w:val="nil"/>
            </w:tcBorders>
            <w:shd w:val="clear" w:color="auto" w:fill="auto"/>
            <w:vAlign w:val="bottom"/>
          </w:tcPr>
          <w:p w14:paraId="7A798F18"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61" w:type="pct"/>
            <w:tcBorders>
              <w:left w:val="nil"/>
              <w:bottom w:val="single" w:sz="2" w:space="0" w:color="auto"/>
              <w:right w:val="nil"/>
            </w:tcBorders>
            <w:shd w:val="clear" w:color="auto" w:fill="auto"/>
            <w:vAlign w:val="bottom"/>
          </w:tcPr>
          <w:p w14:paraId="247378BE"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6,442,677</w:t>
            </w:r>
          </w:p>
        </w:tc>
      </w:tr>
      <w:tr w:rsidR="00F46260" w:rsidRPr="00F46260" w14:paraId="3D8E4E9F" w14:textId="77777777" w:rsidTr="00D1524E">
        <w:trPr>
          <w:trHeight w:val="255"/>
        </w:trPr>
        <w:tc>
          <w:tcPr>
            <w:tcW w:w="3013" w:type="pct"/>
            <w:tcBorders>
              <w:top w:val="single" w:sz="2" w:space="0" w:color="auto"/>
              <w:bottom w:val="single" w:sz="12" w:space="0" w:color="auto"/>
              <w:right w:val="nil"/>
            </w:tcBorders>
            <w:shd w:val="clear" w:color="auto" w:fill="auto"/>
            <w:vAlign w:val="bottom"/>
          </w:tcPr>
          <w:p w14:paraId="7D87A107" w14:textId="77777777" w:rsidR="00F46260" w:rsidRPr="00F46260" w:rsidRDefault="00F46260" w:rsidP="00F46260">
            <w:pPr>
              <w:tabs>
                <w:tab w:val="left" w:pos="284"/>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expenses incurred in the delivery of services</w:t>
            </w:r>
          </w:p>
        </w:tc>
        <w:tc>
          <w:tcPr>
            <w:tcW w:w="527" w:type="pct"/>
            <w:tcBorders>
              <w:top w:val="single" w:sz="2" w:space="0" w:color="auto"/>
              <w:bottom w:val="single" w:sz="12" w:space="0" w:color="auto"/>
              <w:right w:val="nil"/>
            </w:tcBorders>
          </w:tcPr>
          <w:p w14:paraId="57398D57"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c>
          <w:tcPr>
            <w:tcW w:w="672" w:type="pct"/>
            <w:tcBorders>
              <w:top w:val="single" w:sz="2" w:space="0" w:color="auto"/>
              <w:left w:val="nil"/>
              <w:bottom w:val="single" w:sz="12" w:space="0" w:color="auto"/>
              <w:right w:val="nil"/>
            </w:tcBorders>
            <w:shd w:val="pct15" w:color="auto" w:fill="auto"/>
            <w:vAlign w:val="bottom"/>
          </w:tcPr>
          <w:p w14:paraId="55F02FED"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20,078,785</w:t>
            </w:r>
          </w:p>
        </w:tc>
        <w:tc>
          <w:tcPr>
            <w:tcW w:w="127" w:type="pct"/>
            <w:tcBorders>
              <w:top w:val="single" w:sz="2" w:space="0" w:color="auto"/>
              <w:left w:val="nil"/>
              <w:bottom w:val="single" w:sz="12" w:space="0" w:color="auto"/>
              <w:right w:val="nil"/>
            </w:tcBorders>
            <w:shd w:val="clear" w:color="auto" w:fill="auto"/>
            <w:vAlign w:val="bottom"/>
          </w:tcPr>
          <w:p w14:paraId="7A6B717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61" w:type="pct"/>
            <w:tcBorders>
              <w:top w:val="single" w:sz="2" w:space="0" w:color="auto"/>
              <w:left w:val="nil"/>
              <w:bottom w:val="single" w:sz="12" w:space="0" w:color="auto"/>
              <w:right w:val="nil"/>
            </w:tcBorders>
            <w:shd w:val="clear" w:color="auto" w:fill="auto"/>
            <w:vAlign w:val="bottom"/>
          </w:tcPr>
          <w:p w14:paraId="06EC97F5"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19,508,468</w:t>
            </w:r>
          </w:p>
        </w:tc>
      </w:tr>
    </w:tbl>
    <w:p w14:paraId="176B0195" w14:textId="77777777" w:rsidR="00F46260" w:rsidRPr="00F46260" w:rsidRDefault="00F46260" w:rsidP="00F46260">
      <w:pPr>
        <w:spacing w:after="0" w:line="240" w:lineRule="auto"/>
        <w:rPr>
          <w:rFonts w:ascii="Arial" w:eastAsia="Times New Roman" w:hAnsi="Arial" w:cs="Arial"/>
          <w:sz w:val="20"/>
          <w:szCs w:val="20"/>
          <w:lang w:eastAsia="en-AU"/>
        </w:rPr>
      </w:pPr>
    </w:p>
    <w:p w14:paraId="7F28601B"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 xml:space="preserve">3.2 Employee benefits </w:t>
      </w:r>
    </w:p>
    <w:p w14:paraId="4AFBE7BD" w14:textId="77777777" w:rsidR="00F46260" w:rsidRPr="00F46260" w:rsidRDefault="00F46260" w:rsidP="00F46260">
      <w:pPr>
        <w:spacing w:after="0" w:line="240" w:lineRule="auto"/>
        <w:rPr>
          <w:rFonts w:ascii="Arial" w:eastAsia="Times New Roman" w:hAnsi="Arial" w:cs="Arial"/>
          <w:sz w:val="20"/>
          <w:szCs w:val="20"/>
          <w:lang w:eastAsia="en-AU"/>
        </w:rPr>
      </w:pPr>
    </w:p>
    <w:p w14:paraId="3CF62849"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3.2.1 Employee benefits in the comprehensive operating statement</w:t>
      </w:r>
    </w:p>
    <w:p w14:paraId="4A743E3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 xml:space="preserve"> </w:t>
      </w:r>
    </w:p>
    <w:tbl>
      <w:tblPr>
        <w:tblW w:w="5000" w:type="pct"/>
        <w:tblInd w:w="-108" w:type="dxa"/>
        <w:tblLook w:val="0000" w:firstRow="0" w:lastRow="0" w:firstColumn="0" w:lastColumn="0" w:noHBand="0" w:noVBand="0"/>
      </w:tblPr>
      <w:tblGrid>
        <w:gridCol w:w="5626"/>
        <w:gridCol w:w="984"/>
        <w:gridCol w:w="21"/>
        <w:gridCol w:w="1233"/>
        <w:gridCol w:w="22"/>
        <w:gridCol w:w="215"/>
        <w:gridCol w:w="19"/>
        <w:gridCol w:w="1216"/>
        <w:gridCol w:w="19"/>
      </w:tblGrid>
      <w:tr w:rsidR="00F46260" w:rsidRPr="00F46260" w14:paraId="130EB8AC" w14:textId="77777777" w:rsidTr="00D1524E">
        <w:trPr>
          <w:gridAfter w:val="1"/>
          <w:wAfter w:w="10" w:type="pct"/>
          <w:trHeight w:val="255"/>
        </w:trPr>
        <w:tc>
          <w:tcPr>
            <w:tcW w:w="3007" w:type="pct"/>
            <w:tcBorders>
              <w:top w:val="nil"/>
              <w:bottom w:val="nil"/>
              <w:right w:val="nil"/>
            </w:tcBorders>
            <w:shd w:val="pct50" w:color="auto" w:fill="auto"/>
            <w:vAlign w:val="bottom"/>
          </w:tcPr>
          <w:p w14:paraId="688327E1" w14:textId="77777777" w:rsidR="00F46260" w:rsidRPr="00F46260" w:rsidRDefault="00F46260" w:rsidP="00F46260">
            <w:pPr>
              <w:spacing w:after="0" w:line="240" w:lineRule="auto"/>
              <w:rPr>
                <w:rFonts w:ascii="Arial" w:eastAsia="Times New Roman" w:hAnsi="Arial" w:cs="Arial"/>
                <w:i/>
                <w:sz w:val="20"/>
                <w:szCs w:val="20"/>
                <w:lang w:eastAsia="en-AU"/>
              </w:rPr>
            </w:pPr>
          </w:p>
        </w:tc>
        <w:tc>
          <w:tcPr>
            <w:tcW w:w="526" w:type="pct"/>
            <w:tcBorders>
              <w:top w:val="nil"/>
              <w:bottom w:val="nil"/>
              <w:right w:val="nil"/>
            </w:tcBorders>
            <w:shd w:val="pct50" w:color="auto" w:fill="auto"/>
            <w:vAlign w:val="bottom"/>
          </w:tcPr>
          <w:p w14:paraId="0A9DDE86"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670" w:type="pct"/>
            <w:gridSpan w:val="2"/>
            <w:tcBorders>
              <w:top w:val="nil"/>
              <w:left w:val="nil"/>
              <w:bottom w:val="nil"/>
              <w:right w:val="nil"/>
            </w:tcBorders>
            <w:shd w:val="pct50" w:color="auto" w:fill="auto"/>
            <w:vAlign w:val="bottom"/>
          </w:tcPr>
          <w:p w14:paraId="656E70DA"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58EC418C"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bCs/>
                <w:color w:val="FFFFFF"/>
                <w:sz w:val="20"/>
                <w:szCs w:val="20"/>
                <w:lang w:eastAsia="en-AU"/>
              </w:rPr>
              <w:t>$</w:t>
            </w:r>
          </w:p>
        </w:tc>
        <w:tc>
          <w:tcPr>
            <w:tcW w:w="127" w:type="pct"/>
            <w:gridSpan w:val="2"/>
            <w:tcBorders>
              <w:top w:val="nil"/>
              <w:left w:val="nil"/>
              <w:bottom w:val="nil"/>
              <w:right w:val="nil"/>
            </w:tcBorders>
            <w:shd w:val="pct50" w:color="auto" w:fill="auto"/>
            <w:vAlign w:val="bottom"/>
          </w:tcPr>
          <w:p w14:paraId="7A9B7657"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p>
        </w:tc>
        <w:tc>
          <w:tcPr>
            <w:tcW w:w="660" w:type="pct"/>
            <w:gridSpan w:val="2"/>
            <w:tcBorders>
              <w:top w:val="nil"/>
              <w:left w:val="nil"/>
              <w:bottom w:val="nil"/>
            </w:tcBorders>
            <w:shd w:val="pct50" w:color="auto" w:fill="auto"/>
            <w:vAlign w:val="bottom"/>
          </w:tcPr>
          <w:p w14:paraId="3917E9AF"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656C9EA3"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bCs/>
                <w:color w:val="FFFFFF"/>
                <w:sz w:val="20"/>
                <w:szCs w:val="20"/>
                <w:lang w:eastAsia="en-AU"/>
              </w:rPr>
              <w:t>$</w:t>
            </w:r>
          </w:p>
        </w:tc>
      </w:tr>
      <w:bookmarkEnd w:id="46"/>
      <w:bookmarkEnd w:id="47"/>
      <w:tr w:rsidR="00F46260" w:rsidRPr="00F46260" w14:paraId="4C76F59D" w14:textId="77777777" w:rsidTr="00D1524E">
        <w:trPr>
          <w:trHeight w:val="255"/>
        </w:trPr>
        <w:tc>
          <w:tcPr>
            <w:tcW w:w="3544" w:type="pct"/>
            <w:gridSpan w:val="3"/>
            <w:tcBorders>
              <w:top w:val="nil"/>
              <w:bottom w:val="nil"/>
              <w:right w:val="nil"/>
            </w:tcBorders>
            <w:shd w:val="clear" w:color="auto" w:fill="auto"/>
            <w:vAlign w:val="bottom"/>
          </w:tcPr>
          <w:p w14:paraId="36CF4FB7"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Salaries and wages, annual leave and long service leave</w:t>
            </w:r>
          </w:p>
        </w:tc>
        <w:tc>
          <w:tcPr>
            <w:tcW w:w="671" w:type="pct"/>
            <w:gridSpan w:val="2"/>
            <w:tcBorders>
              <w:top w:val="nil"/>
              <w:left w:val="nil"/>
              <w:right w:val="nil"/>
            </w:tcBorders>
            <w:shd w:val="pct15" w:color="auto" w:fill="auto"/>
            <w:vAlign w:val="bottom"/>
          </w:tcPr>
          <w:p w14:paraId="4A31DFEB"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13,233,613</w:t>
            </w:r>
          </w:p>
        </w:tc>
        <w:tc>
          <w:tcPr>
            <w:tcW w:w="125" w:type="pct"/>
            <w:gridSpan w:val="2"/>
            <w:tcBorders>
              <w:top w:val="nil"/>
              <w:left w:val="nil"/>
              <w:right w:val="nil"/>
            </w:tcBorders>
            <w:shd w:val="clear" w:color="auto" w:fill="auto"/>
            <w:vAlign w:val="bottom"/>
          </w:tcPr>
          <w:p w14:paraId="76681C4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60" w:type="pct"/>
            <w:gridSpan w:val="2"/>
            <w:tcBorders>
              <w:top w:val="nil"/>
              <w:left w:val="nil"/>
            </w:tcBorders>
            <w:shd w:val="clear" w:color="auto" w:fill="auto"/>
            <w:vAlign w:val="bottom"/>
          </w:tcPr>
          <w:p w14:paraId="13129F53"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12,048,885</w:t>
            </w:r>
          </w:p>
        </w:tc>
      </w:tr>
      <w:tr w:rsidR="00F46260" w:rsidRPr="00F46260" w14:paraId="2B1FF96C" w14:textId="77777777" w:rsidTr="00D1524E">
        <w:trPr>
          <w:trHeight w:val="255"/>
        </w:trPr>
        <w:tc>
          <w:tcPr>
            <w:tcW w:w="3544" w:type="pct"/>
            <w:gridSpan w:val="3"/>
            <w:tcBorders>
              <w:top w:val="nil"/>
              <w:bottom w:val="nil"/>
              <w:right w:val="nil"/>
            </w:tcBorders>
            <w:shd w:val="clear" w:color="auto" w:fill="auto"/>
            <w:vAlign w:val="bottom"/>
          </w:tcPr>
          <w:p w14:paraId="0AB9664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Defined contribution superannuation expense</w:t>
            </w:r>
          </w:p>
        </w:tc>
        <w:tc>
          <w:tcPr>
            <w:tcW w:w="671" w:type="pct"/>
            <w:gridSpan w:val="2"/>
            <w:tcBorders>
              <w:top w:val="nil"/>
              <w:left w:val="nil"/>
              <w:right w:val="nil"/>
            </w:tcBorders>
            <w:shd w:val="pct15" w:color="auto" w:fill="auto"/>
            <w:vAlign w:val="bottom"/>
          </w:tcPr>
          <w:p w14:paraId="0596386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1,069,092</w:t>
            </w:r>
          </w:p>
        </w:tc>
        <w:tc>
          <w:tcPr>
            <w:tcW w:w="125" w:type="pct"/>
            <w:gridSpan w:val="2"/>
            <w:tcBorders>
              <w:top w:val="nil"/>
              <w:left w:val="nil"/>
              <w:right w:val="nil"/>
            </w:tcBorders>
            <w:shd w:val="clear" w:color="auto" w:fill="auto"/>
            <w:vAlign w:val="bottom"/>
          </w:tcPr>
          <w:p w14:paraId="6EFF2D4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60" w:type="pct"/>
            <w:gridSpan w:val="2"/>
            <w:tcBorders>
              <w:top w:val="nil"/>
              <w:left w:val="nil"/>
            </w:tcBorders>
            <w:shd w:val="clear" w:color="auto" w:fill="auto"/>
            <w:vAlign w:val="bottom"/>
          </w:tcPr>
          <w:p w14:paraId="4E79A0F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940,901</w:t>
            </w:r>
          </w:p>
        </w:tc>
      </w:tr>
      <w:tr w:rsidR="00F46260" w:rsidRPr="00F46260" w14:paraId="056E8203" w14:textId="77777777" w:rsidTr="00D1524E">
        <w:trPr>
          <w:trHeight w:val="255"/>
        </w:trPr>
        <w:tc>
          <w:tcPr>
            <w:tcW w:w="3544" w:type="pct"/>
            <w:gridSpan w:val="3"/>
            <w:tcBorders>
              <w:top w:val="nil"/>
              <w:bottom w:val="single" w:sz="2" w:space="0" w:color="auto"/>
              <w:right w:val="nil"/>
            </w:tcBorders>
            <w:shd w:val="clear" w:color="auto" w:fill="auto"/>
            <w:vAlign w:val="bottom"/>
          </w:tcPr>
          <w:p w14:paraId="04B05CB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Defined benefit superannuation expense</w:t>
            </w:r>
          </w:p>
        </w:tc>
        <w:tc>
          <w:tcPr>
            <w:tcW w:w="671" w:type="pct"/>
            <w:gridSpan w:val="2"/>
            <w:tcBorders>
              <w:top w:val="nil"/>
              <w:left w:val="nil"/>
              <w:bottom w:val="single" w:sz="2" w:space="0" w:color="auto"/>
              <w:right w:val="nil"/>
            </w:tcBorders>
            <w:shd w:val="pct15" w:color="auto" w:fill="auto"/>
            <w:vAlign w:val="bottom"/>
          </w:tcPr>
          <w:p w14:paraId="7CE24A1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74,052</w:t>
            </w:r>
          </w:p>
        </w:tc>
        <w:tc>
          <w:tcPr>
            <w:tcW w:w="125" w:type="pct"/>
            <w:gridSpan w:val="2"/>
            <w:tcBorders>
              <w:top w:val="nil"/>
              <w:left w:val="nil"/>
              <w:bottom w:val="single" w:sz="2" w:space="0" w:color="auto"/>
              <w:right w:val="nil"/>
            </w:tcBorders>
            <w:shd w:val="clear" w:color="auto" w:fill="auto"/>
            <w:vAlign w:val="bottom"/>
          </w:tcPr>
          <w:p w14:paraId="10427F73"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60" w:type="pct"/>
            <w:gridSpan w:val="2"/>
            <w:tcBorders>
              <w:top w:val="nil"/>
              <w:left w:val="nil"/>
              <w:bottom w:val="single" w:sz="2" w:space="0" w:color="auto"/>
            </w:tcBorders>
            <w:shd w:val="clear" w:color="auto" w:fill="auto"/>
            <w:vAlign w:val="bottom"/>
          </w:tcPr>
          <w:p w14:paraId="62201FB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62,505</w:t>
            </w:r>
          </w:p>
        </w:tc>
      </w:tr>
      <w:tr w:rsidR="00F46260" w:rsidRPr="00F46260" w14:paraId="2225BC66" w14:textId="77777777" w:rsidTr="00D1524E">
        <w:trPr>
          <w:trHeight w:val="270"/>
        </w:trPr>
        <w:tc>
          <w:tcPr>
            <w:tcW w:w="3544" w:type="pct"/>
            <w:gridSpan w:val="3"/>
            <w:tcBorders>
              <w:top w:val="single" w:sz="2" w:space="0" w:color="auto"/>
              <w:bottom w:val="single" w:sz="12" w:space="0" w:color="auto"/>
              <w:right w:val="nil"/>
            </w:tcBorders>
            <w:shd w:val="clear" w:color="auto" w:fill="auto"/>
            <w:vAlign w:val="bottom"/>
          </w:tcPr>
          <w:p w14:paraId="7B7E533A"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employee benefits</w:t>
            </w:r>
          </w:p>
        </w:tc>
        <w:tc>
          <w:tcPr>
            <w:tcW w:w="671" w:type="pct"/>
            <w:gridSpan w:val="2"/>
            <w:tcBorders>
              <w:top w:val="single" w:sz="2" w:space="0" w:color="auto"/>
              <w:left w:val="nil"/>
              <w:bottom w:val="single" w:sz="12" w:space="0" w:color="auto"/>
              <w:right w:val="nil"/>
            </w:tcBorders>
            <w:shd w:val="pct15" w:color="auto" w:fill="auto"/>
            <w:vAlign w:val="bottom"/>
          </w:tcPr>
          <w:p w14:paraId="384BC35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14,376,757</w:t>
            </w:r>
          </w:p>
        </w:tc>
        <w:tc>
          <w:tcPr>
            <w:tcW w:w="125" w:type="pct"/>
            <w:gridSpan w:val="2"/>
            <w:tcBorders>
              <w:top w:val="single" w:sz="2" w:space="0" w:color="auto"/>
              <w:left w:val="nil"/>
              <w:bottom w:val="single" w:sz="12" w:space="0" w:color="auto"/>
              <w:right w:val="nil"/>
            </w:tcBorders>
            <w:shd w:val="clear" w:color="auto" w:fill="auto"/>
            <w:vAlign w:val="bottom"/>
          </w:tcPr>
          <w:p w14:paraId="4D92CB2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60" w:type="pct"/>
            <w:gridSpan w:val="2"/>
            <w:tcBorders>
              <w:top w:val="single" w:sz="2" w:space="0" w:color="auto"/>
              <w:left w:val="nil"/>
              <w:bottom w:val="single" w:sz="12" w:space="0" w:color="auto"/>
            </w:tcBorders>
            <w:shd w:val="clear" w:color="auto" w:fill="auto"/>
            <w:vAlign w:val="bottom"/>
          </w:tcPr>
          <w:p w14:paraId="1389A258"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13,052,291</w:t>
            </w:r>
          </w:p>
        </w:tc>
      </w:tr>
    </w:tbl>
    <w:p w14:paraId="1CB951E6" w14:textId="77777777" w:rsidR="00F46260" w:rsidRPr="00F46260" w:rsidRDefault="00F46260" w:rsidP="00F46260">
      <w:pPr>
        <w:spacing w:after="0" w:line="240" w:lineRule="auto"/>
        <w:rPr>
          <w:rFonts w:ascii="Arial" w:eastAsia="Times New Roman" w:hAnsi="Arial" w:cs="Arial"/>
          <w:sz w:val="20"/>
          <w:szCs w:val="20"/>
          <w:lang w:eastAsia="en-AU"/>
        </w:rPr>
      </w:pPr>
    </w:p>
    <w:p w14:paraId="0C87AAE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Employee benefits include all costs related to employment including salaries and wages, superannuation, fringe benefits tax, leave entitlements, termination payments and WorkCover premiums.</w:t>
      </w:r>
    </w:p>
    <w:p w14:paraId="4BB49BFD" w14:textId="77777777" w:rsidR="00F46260" w:rsidRPr="00F46260" w:rsidRDefault="00F46260" w:rsidP="00F46260">
      <w:pPr>
        <w:spacing w:after="0" w:line="240" w:lineRule="auto"/>
        <w:rPr>
          <w:rFonts w:ascii="Arial" w:eastAsia="Times New Roman" w:hAnsi="Arial" w:cs="Arial"/>
          <w:sz w:val="20"/>
          <w:szCs w:val="20"/>
          <w:lang w:eastAsia="en-AU"/>
        </w:rPr>
      </w:pPr>
    </w:p>
    <w:p w14:paraId="6AD10F9A"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3.2.2 Employee benefits in the balance sheet</w:t>
      </w:r>
    </w:p>
    <w:p w14:paraId="715066DA" w14:textId="77777777" w:rsidR="00F46260" w:rsidRPr="00F46260" w:rsidRDefault="00F46260" w:rsidP="00F46260">
      <w:pPr>
        <w:spacing w:after="0" w:line="240" w:lineRule="auto"/>
        <w:rPr>
          <w:rFonts w:ascii="Arial" w:eastAsia="Times New Roman" w:hAnsi="Arial" w:cs="Arial"/>
          <w:b/>
          <w:sz w:val="20"/>
          <w:szCs w:val="20"/>
          <w:lang w:eastAsia="en-AU"/>
        </w:rPr>
      </w:pPr>
    </w:p>
    <w:p w14:paraId="3486A638"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Provision is made for benefits accruing to employees in respect of annual leave and long service leave for services rendered up to the reporting date and recorded as an expense during the period the services are delivered.</w:t>
      </w:r>
    </w:p>
    <w:tbl>
      <w:tblPr>
        <w:tblW w:w="5000" w:type="pct"/>
        <w:tblInd w:w="-108" w:type="dxa"/>
        <w:tblLook w:val="0000" w:firstRow="0" w:lastRow="0" w:firstColumn="0" w:lastColumn="0" w:noHBand="0" w:noVBand="0"/>
      </w:tblPr>
      <w:tblGrid>
        <w:gridCol w:w="6564"/>
        <w:gridCol w:w="1257"/>
        <w:gridCol w:w="279"/>
        <w:gridCol w:w="1255"/>
      </w:tblGrid>
      <w:tr w:rsidR="00F46260" w:rsidRPr="00F46260" w14:paraId="77EE6FC0" w14:textId="77777777" w:rsidTr="00D1524E">
        <w:trPr>
          <w:trHeight w:val="255"/>
        </w:trPr>
        <w:tc>
          <w:tcPr>
            <w:tcW w:w="3508" w:type="pct"/>
            <w:tcBorders>
              <w:top w:val="nil"/>
              <w:right w:val="nil"/>
            </w:tcBorders>
            <w:shd w:val="clear" w:color="auto" w:fill="auto"/>
            <w:vAlign w:val="bottom"/>
          </w:tcPr>
          <w:p w14:paraId="2CA370E9"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tcBorders>
              <w:top w:val="nil"/>
              <w:left w:val="nil"/>
              <w:right w:val="nil"/>
            </w:tcBorders>
            <w:shd w:val="clear" w:color="auto" w:fill="auto"/>
            <w:vAlign w:val="bottom"/>
          </w:tcPr>
          <w:p w14:paraId="152F67D3"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49" w:type="pct"/>
            <w:tcBorders>
              <w:top w:val="nil"/>
              <w:left w:val="nil"/>
              <w:right w:val="nil"/>
            </w:tcBorders>
            <w:shd w:val="clear" w:color="auto" w:fill="auto"/>
            <w:vAlign w:val="bottom"/>
          </w:tcPr>
          <w:p w14:paraId="56AEC093"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71" w:type="pct"/>
            <w:tcBorders>
              <w:top w:val="nil"/>
              <w:left w:val="nil"/>
            </w:tcBorders>
            <w:shd w:val="clear" w:color="auto" w:fill="auto"/>
            <w:vAlign w:val="bottom"/>
          </w:tcPr>
          <w:p w14:paraId="091EA6B7"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16328979" w14:textId="77777777" w:rsidTr="00D1524E">
        <w:trPr>
          <w:trHeight w:val="255"/>
        </w:trPr>
        <w:tc>
          <w:tcPr>
            <w:tcW w:w="3508" w:type="pct"/>
            <w:tcBorders>
              <w:top w:val="nil"/>
              <w:bottom w:val="nil"/>
              <w:right w:val="nil"/>
            </w:tcBorders>
            <w:shd w:val="pct50" w:color="auto" w:fill="auto"/>
            <w:vAlign w:val="bottom"/>
          </w:tcPr>
          <w:p w14:paraId="11421E93"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tcBorders>
              <w:top w:val="nil"/>
              <w:left w:val="nil"/>
              <w:right w:val="nil"/>
            </w:tcBorders>
            <w:shd w:val="pct50" w:color="auto" w:fill="auto"/>
            <w:vAlign w:val="bottom"/>
          </w:tcPr>
          <w:p w14:paraId="309BB0C4"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5FD90DFE"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c>
          <w:tcPr>
            <w:tcW w:w="149" w:type="pct"/>
            <w:tcBorders>
              <w:top w:val="nil"/>
              <w:left w:val="nil"/>
              <w:bottom w:val="nil"/>
              <w:right w:val="nil"/>
            </w:tcBorders>
            <w:shd w:val="pct50" w:color="auto" w:fill="auto"/>
            <w:vAlign w:val="bottom"/>
          </w:tcPr>
          <w:p w14:paraId="24FAAB5B"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1" w:type="pct"/>
            <w:tcBorders>
              <w:top w:val="nil"/>
              <w:left w:val="nil"/>
              <w:bottom w:val="nil"/>
            </w:tcBorders>
            <w:shd w:val="pct50" w:color="auto" w:fill="auto"/>
            <w:vAlign w:val="bottom"/>
          </w:tcPr>
          <w:p w14:paraId="3F8C92FB"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0EEF879F"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594E6F4B" w14:textId="77777777" w:rsidTr="00D1524E">
        <w:tc>
          <w:tcPr>
            <w:tcW w:w="3508" w:type="pct"/>
            <w:tcBorders>
              <w:top w:val="nil"/>
              <w:left w:val="nil"/>
              <w:bottom w:val="nil"/>
              <w:right w:val="nil"/>
            </w:tcBorders>
            <w:shd w:val="clear" w:color="auto" w:fill="auto"/>
            <w:vAlign w:val="bottom"/>
          </w:tcPr>
          <w:p w14:paraId="2BD0AEF7" w14:textId="77777777" w:rsidR="00F46260" w:rsidRPr="00F46260" w:rsidRDefault="00F46260" w:rsidP="00F46260">
            <w:pPr>
              <w:spacing w:after="0" w:line="240" w:lineRule="auto"/>
              <w:rPr>
                <w:rFonts w:ascii="Arial" w:eastAsia="Times New Roman" w:hAnsi="Arial" w:cs="Arial"/>
                <w:b/>
                <w:bCs/>
                <w:color w:val="000000"/>
                <w:sz w:val="20"/>
                <w:szCs w:val="20"/>
                <w:lang w:eastAsia="en-AU"/>
              </w:rPr>
            </w:pPr>
            <w:r w:rsidRPr="00F46260">
              <w:rPr>
                <w:rFonts w:ascii="Arial" w:eastAsia="Times New Roman" w:hAnsi="Arial" w:cs="Arial"/>
                <w:b/>
                <w:bCs/>
                <w:color w:val="000000"/>
                <w:sz w:val="20"/>
                <w:szCs w:val="20"/>
                <w:lang w:eastAsia="en-AU"/>
              </w:rPr>
              <w:t>Current provisions:</w:t>
            </w:r>
          </w:p>
        </w:tc>
        <w:tc>
          <w:tcPr>
            <w:tcW w:w="672" w:type="pct"/>
            <w:tcBorders>
              <w:top w:val="nil"/>
              <w:left w:val="nil"/>
              <w:bottom w:val="nil"/>
              <w:right w:val="nil"/>
            </w:tcBorders>
            <w:shd w:val="pct15" w:color="auto" w:fill="auto"/>
            <w:vAlign w:val="bottom"/>
          </w:tcPr>
          <w:p w14:paraId="7FD5028F" w14:textId="77777777" w:rsidR="00F46260" w:rsidRPr="00F46260" w:rsidRDefault="00F46260" w:rsidP="00F46260">
            <w:pPr>
              <w:spacing w:after="0" w:line="240" w:lineRule="auto"/>
              <w:jc w:val="right"/>
              <w:rPr>
                <w:rFonts w:ascii="Arial" w:eastAsia="Times New Roman" w:hAnsi="Arial" w:cs="Arial"/>
                <w:color w:val="000000"/>
                <w:sz w:val="20"/>
                <w:szCs w:val="20"/>
                <w:lang w:eastAsia="en-AU"/>
              </w:rPr>
            </w:pPr>
          </w:p>
        </w:tc>
        <w:tc>
          <w:tcPr>
            <w:tcW w:w="149" w:type="pct"/>
            <w:tcBorders>
              <w:top w:val="nil"/>
              <w:left w:val="nil"/>
              <w:bottom w:val="nil"/>
              <w:right w:val="nil"/>
            </w:tcBorders>
            <w:shd w:val="clear" w:color="auto" w:fill="auto"/>
            <w:vAlign w:val="bottom"/>
          </w:tcPr>
          <w:p w14:paraId="29D01712" w14:textId="77777777" w:rsidR="00F46260" w:rsidRPr="00F46260" w:rsidRDefault="00F46260" w:rsidP="00F46260">
            <w:pPr>
              <w:spacing w:after="0" w:line="240" w:lineRule="auto"/>
              <w:jc w:val="right"/>
              <w:rPr>
                <w:rFonts w:ascii="Arial" w:eastAsia="Times New Roman" w:hAnsi="Arial" w:cs="Arial"/>
                <w:color w:val="000000"/>
                <w:sz w:val="20"/>
                <w:szCs w:val="20"/>
                <w:lang w:eastAsia="en-AU"/>
              </w:rPr>
            </w:pPr>
          </w:p>
        </w:tc>
        <w:tc>
          <w:tcPr>
            <w:tcW w:w="671" w:type="pct"/>
            <w:tcBorders>
              <w:top w:val="nil"/>
              <w:left w:val="nil"/>
              <w:bottom w:val="nil"/>
              <w:right w:val="nil"/>
            </w:tcBorders>
            <w:shd w:val="clear" w:color="auto" w:fill="auto"/>
            <w:vAlign w:val="bottom"/>
          </w:tcPr>
          <w:p w14:paraId="2F11CF67" w14:textId="77777777" w:rsidR="00F46260" w:rsidRPr="00F46260" w:rsidRDefault="00F46260" w:rsidP="00F46260">
            <w:pPr>
              <w:spacing w:after="0" w:line="240" w:lineRule="auto"/>
              <w:jc w:val="right"/>
              <w:rPr>
                <w:rFonts w:ascii="Arial" w:eastAsia="Times New Roman" w:hAnsi="Arial" w:cs="Arial"/>
                <w:color w:val="000000"/>
                <w:sz w:val="20"/>
                <w:szCs w:val="20"/>
                <w:lang w:eastAsia="en-AU"/>
              </w:rPr>
            </w:pPr>
          </w:p>
        </w:tc>
      </w:tr>
      <w:tr w:rsidR="00F46260" w:rsidRPr="00F46260" w14:paraId="78063F4A" w14:textId="77777777" w:rsidTr="00D1524E">
        <w:tc>
          <w:tcPr>
            <w:tcW w:w="3508" w:type="pct"/>
            <w:tcBorders>
              <w:top w:val="nil"/>
              <w:left w:val="nil"/>
              <w:bottom w:val="nil"/>
              <w:right w:val="nil"/>
            </w:tcBorders>
            <w:shd w:val="clear" w:color="auto" w:fill="auto"/>
            <w:vAlign w:val="bottom"/>
          </w:tcPr>
          <w:p w14:paraId="31107806"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Annual leave</w:t>
            </w:r>
          </w:p>
        </w:tc>
        <w:tc>
          <w:tcPr>
            <w:tcW w:w="672" w:type="pct"/>
            <w:tcBorders>
              <w:top w:val="nil"/>
              <w:left w:val="nil"/>
              <w:right w:val="nil"/>
            </w:tcBorders>
            <w:shd w:val="pct15" w:color="auto" w:fill="auto"/>
            <w:vAlign w:val="bottom"/>
          </w:tcPr>
          <w:p w14:paraId="5FD9479C" w14:textId="77777777" w:rsidR="00F46260" w:rsidRPr="00F46260" w:rsidRDefault="00F46260" w:rsidP="00F46260">
            <w:pPr>
              <w:spacing w:after="0" w:line="240" w:lineRule="auto"/>
              <w:jc w:val="right"/>
              <w:rPr>
                <w:rFonts w:ascii="Arial" w:eastAsia="Times New Roman" w:hAnsi="Arial" w:cs="Arial"/>
                <w:bCs/>
                <w:color w:val="000000"/>
                <w:sz w:val="20"/>
                <w:szCs w:val="20"/>
                <w:lang w:eastAsia="en-AU"/>
              </w:rPr>
            </w:pPr>
            <w:r w:rsidRPr="00F46260">
              <w:rPr>
                <w:rFonts w:ascii="Arial" w:eastAsia="Times New Roman" w:hAnsi="Arial" w:cs="Arial"/>
                <w:bCs/>
                <w:color w:val="000000"/>
                <w:sz w:val="20"/>
                <w:szCs w:val="20"/>
                <w:lang w:eastAsia="en-AU"/>
              </w:rPr>
              <w:t>1,409,644</w:t>
            </w:r>
          </w:p>
        </w:tc>
        <w:tc>
          <w:tcPr>
            <w:tcW w:w="149" w:type="pct"/>
            <w:tcBorders>
              <w:top w:val="nil"/>
              <w:left w:val="nil"/>
              <w:bottom w:val="nil"/>
              <w:right w:val="nil"/>
            </w:tcBorders>
            <w:shd w:val="clear" w:color="auto" w:fill="auto"/>
            <w:vAlign w:val="bottom"/>
          </w:tcPr>
          <w:p w14:paraId="2D9D05D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bottom w:val="nil"/>
              <w:right w:val="nil"/>
            </w:tcBorders>
            <w:shd w:val="clear" w:color="auto" w:fill="auto"/>
            <w:vAlign w:val="bottom"/>
          </w:tcPr>
          <w:p w14:paraId="7BF4C3BE" w14:textId="77777777" w:rsidR="00F46260" w:rsidRPr="00F46260" w:rsidRDefault="00F46260" w:rsidP="00F46260">
            <w:pPr>
              <w:spacing w:after="0" w:line="240" w:lineRule="auto"/>
              <w:jc w:val="right"/>
              <w:rPr>
                <w:rFonts w:ascii="Arial" w:eastAsia="Times New Roman" w:hAnsi="Arial" w:cs="Arial"/>
                <w:bCs/>
                <w:color w:val="000000"/>
                <w:sz w:val="20"/>
                <w:szCs w:val="20"/>
                <w:lang w:eastAsia="en-AU"/>
              </w:rPr>
            </w:pPr>
            <w:r w:rsidRPr="00F46260">
              <w:rPr>
                <w:rFonts w:ascii="Arial" w:eastAsia="Times New Roman" w:hAnsi="Arial" w:cs="Arial"/>
                <w:bCs/>
                <w:color w:val="000000"/>
                <w:sz w:val="20"/>
                <w:szCs w:val="20"/>
                <w:lang w:eastAsia="en-AU"/>
              </w:rPr>
              <w:t>938,381</w:t>
            </w:r>
          </w:p>
        </w:tc>
      </w:tr>
      <w:tr w:rsidR="00F46260" w:rsidRPr="00F46260" w14:paraId="7F30E97D" w14:textId="77777777" w:rsidTr="00D1524E">
        <w:tc>
          <w:tcPr>
            <w:tcW w:w="3508" w:type="pct"/>
            <w:tcBorders>
              <w:top w:val="nil"/>
              <w:left w:val="nil"/>
              <w:bottom w:val="nil"/>
              <w:right w:val="nil"/>
            </w:tcBorders>
            <w:shd w:val="clear" w:color="auto" w:fill="auto"/>
            <w:vAlign w:val="bottom"/>
          </w:tcPr>
          <w:p w14:paraId="22B6F00C"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Long service leave</w:t>
            </w:r>
          </w:p>
        </w:tc>
        <w:tc>
          <w:tcPr>
            <w:tcW w:w="672" w:type="pct"/>
            <w:tcBorders>
              <w:top w:val="nil"/>
              <w:left w:val="nil"/>
              <w:bottom w:val="nil"/>
              <w:right w:val="nil"/>
            </w:tcBorders>
            <w:shd w:val="pct15" w:color="auto" w:fill="auto"/>
            <w:vAlign w:val="bottom"/>
          </w:tcPr>
          <w:p w14:paraId="5F23C111" w14:textId="77777777" w:rsidR="00F46260" w:rsidRPr="00F46260" w:rsidRDefault="00F46260" w:rsidP="00F46260">
            <w:pPr>
              <w:spacing w:after="0" w:line="240" w:lineRule="auto"/>
              <w:jc w:val="right"/>
              <w:rPr>
                <w:rFonts w:ascii="Arial" w:eastAsia="Times New Roman" w:hAnsi="Arial" w:cs="Arial"/>
                <w:bCs/>
                <w:color w:val="000000"/>
                <w:sz w:val="20"/>
                <w:szCs w:val="20"/>
                <w:lang w:eastAsia="en-AU"/>
              </w:rPr>
            </w:pPr>
            <w:r w:rsidRPr="00F46260">
              <w:rPr>
                <w:rFonts w:ascii="Arial" w:eastAsia="Times New Roman" w:hAnsi="Arial" w:cs="Arial"/>
                <w:bCs/>
                <w:color w:val="000000"/>
                <w:sz w:val="20"/>
                <w:szCs w:val="20"/>
                <w:lang w:eastAsia="en-AU"/>
              </w:rPr>
              <w:t>1,650,978</w:t>
            </w:r>
          </w:p>
        </w:tc>
        <w:tc>
          <w:tcPr>
            <w:tcW w:w="149" w:type="pct"/>
            <w:tcBorders>
              <w:top w:val="nil"/>
              <w:left w:val="nil"/>
              <w:bottom w:val="nil"/>
              <w:right w:val="nil"/>
            </w:tcBorders>
            <w:shd w:val="clear" w:color="auto" w:fill="auto"/>
            <w:vAlign w:val="bottom"/>
          </w:tcPr>
          <w:p w14:paraId="79B298AA"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bottom w:val="nil"/>
              <w:right w:val="nil"/>
            </w:tcBorders>
            <w:shd w:val="clear" w:color="auto" w:fill="auto"/>
            <w:vAlign w:val="bottom"/>
          </w:tcPr>
          <w:p w14:paraId="5397BCC0" w14:textId="77777777" w:rsidR="00F46260" w:rsidRPr="00F46260" w:rsidRDefault="00F46260" w:rsidP="00F46260">
            <w:pPr>
              <w:spacing w:after="0" w:line="240" w:lineRule="auto"/>
              <w:jc w:val="right"/>
              <w:rPr>
                <w:rFonts w:ascii="Arial" w:eastAsia="Times New Roman" w:hAnsi="Arial" w:cs="Arial"/>
                <w:bCs/>
                <w:color w:val="000000"/>
                <w:sz w:val="20"/>
                <w:szCs w:val="20"/>
                <w:lang w:eastAsia="en-AU"/>
              </w:rPr>
            </w:pPr>
            <w:r w:rsidRPr="00F46260">
              <w:rPr>
                <w:rFonts w:ascii="Arial" w:eastAsia="Times New Roman" w:hAnsi="Arial" w:cs="Arial"/>
                <w:bCs/>
                <w:color w:val="000000"/>
                <w:sz w:val="20"/>
                <w:szCs w:val="20"/>
                <w:lang w:eastAsia="en-AU"/>
              </w:rPr>
              <w:t>1,198,069</w:t>
            </w:r>
          </w:p>
        </w:tc>
      </w:tr>
      <w:tr w:rsidR="00F46260" w:rsidRPr="00F46260" w14:paraId="1DBA02A4" w14:textId="77777777" w:rsidTr="00D1524E">
        <w:tc>
          <w:tcPr>
            <w:tcW w:w="3508" w:type="pct"/>
            <w:tcBorders>
              <w:top w:val="single" w:sz="2" w:space="0" w:color="auto"/>
              <w:left w:val="nil"/>
              <w:right w:val="nil"/>
            </w:tcBorders>
            <w:shd w:val="clear" w:color="auto" w:fill="auto"/>
            <w:vAlign w:val="bottom"/>
          </w:tcPr>
          <w:p w14:paraId="127A5527" w14:textId="77777777" w:rsidR="00F46260" w:rsidRPr="00F46260" w:rsidRDefault="00F46260" w:rsidP="00F46260">
            <w:pPr>
              <w:spacing w:after="0" w:line="240" w:lineRule="auto"/>
              <w:rPr>
                <w:rFonts w:ascii="Arial" w:eastAsia="Times New Roman" w:hAnsi="Arial" w:cs="Arial"/>
                <w:b/>
                <w:color w:val="000000"/>
                <w:sz w:val="20"/>
                <w:szCs w:val="20"/>
                <w:lang w:eastAsia="en-AU"/>
              </w:rPr>
            </w:pPr>
            <w:r w:rsidRPr="00F46260">
              <w:rPr>
                <w:rFonts w:ascii="Arial" w:eastAsia="Times New Roman" w:hAnsi="Arial" w:cs="Arial"/>
                <w:b/>
                <w:color w:val="000000"/>
                <w:sz w:val="20"/>
                <w:szCs w:val="20"/>
                <w:lang w:eastAsia="en-AU"/>
              </w:rPr>
              <w:t>Total current provisions</w:t>
            </w:r>
          </w:p>
        </w:tc>
        <w:tc>
          <w:tcPr>
            <w:tcW w:w="672" w:type="pct"/>
            <w:tcBorders>
              <w:top w:val="single" w:sz="2" w:space="0" w:color="auto"/>
              <w:left w:val="nil"/>
              <w:right w:val="nil"/>
            </w:tcBorders>
            <w:shd w:val="pct15" w:color="auto" w:fill="auto"/>
            <w:vAlign w:val="bottom"/>
          </w:tcPr>
          <w:p w14:paraId="7A216CA4"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3,060,622</w:t>
            </w:r>
          </w:p>
        </w:tc>
        <w:tc>
          <w:tcPr>
            <w:tcW w:w="149" w:type="pct"/>
            <w:tcBorders>
              <w:top w:val="single" w:sz="2" w:space="0" w:color="auto"/>
              <w:left w:val="nil"/>
              <w:right w:val="nil"/>
            </w:tcBorders>
            <w:shd w:val="clear" w:color="auto" w:fill="auto"/>
            <w:vAlign w:val="bottom"/>
          </w:tcPr>
          <w:p w14:paraId="6F51C79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single" w:sz="2" w:space="0" w:color="auto"/>
              <w:left w:val="nil"/>
              <w:right w:val="nil"/>
            </w:tcBorders>
            <w:shd w:val="clear" w:color="auto" w:fill="auto"/>
            <w:vAlign w:val="bottom"/>
          </w:tcPr>
          <w:p w14:paraId="2F63AB93"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2,136,450</w:t>
            </w:r>
          </w:p>
        </w:tc>
      </w:tr>
      <w:tr w:rsidR="00F46260" w:rsidRPr="00F46260" w14:paraId="6FA81368" w14:textId="77777777" w:rsidTr="00D1524E">
        <w:tc>
          <w:tcPr>
            <w:tcW w:w="3508" w:type="pct"/>
            <w:tcBorders>
              <w:left w:val="nil"/>
              <w:bottom w:val="nil"/>
              <w:right w:val="nil"/>
            </w:tcBorders>
            <w:shd w:val="clear" w:color="auto" w:fill="auto"/>
            <w:vAlign w:val="bottom"/>
          </w:tcPr>
          <w:p w14:paraId="04041810" w14:textId="77777777" w:rsidR="00F46260" w:rsidRPr="00F46260" w:rsidRDefault="00F46260" w:rsidP="00F46260">
            <w:pPr>
              <w:spacing w:after="0" w:line="240" w:lineRule="auto"/>
              <w:rPr>
                <w:rFonts w:ascii="Arial" w:eastAsia="Times New Roman" w:hAnsi="Arial" w:cs="Arial"/>
                <w:b/>
                <w:bCs/>
                <w:color w:val="000000"/>
                <w:sz w:val="20"/>
                <w:szCs w:val="20"/>
                <w:lang w:eastAsia="en-AU"/>
              </w:rPr>
            </w:pPr>
            <w:r w:rsidRPr="00F46260">
              <w:rPr>
                <w:rFonts w:ascii="Arial" w:eastAsia="Times New Roman" w:hAnsi="Arial" w:cs="Arial"/>
                <w:b/>
                <w:bCs/>
                <w:color w:val="000000"/>
                <w:sz w:val="20"/>
                <w:szCs w:val="20"/>
                <w:lang w:eastAsia="en-AU"/>
              </w:rPr>
              <w:t xml:space="preserve">Non-current provision: </w:t>
            </w:r>
          </w:p>
        </w:tc>
        <w:tc>
          <w:tcPr>
            <w:tcW w:w="672" w:type="pct"/>
            <w:tcBorders>
              <w:left w:val="nil"/>
              <w:right w:val="nil"/>
            </w:tcBorders>
            <w:shd w:val="pct15" w:color="auto" w:fill="auto"/>
            <w:vAlign w:val="bottom"/>
          </w:tcPr>
          <w:p w14:paraId="2C1BC00E"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49" w:type="pct"/>
            <w:tcBorders>
              <w:left w:val="nil"/>
              <w:bottom w:val="nil"/>
              <w:right w:val="nil"/>
            </w:tcBorders>
            <w:shd w:val="clear" w:color="auto" w:fill="auto"/>
            <w:vAlign w:val="bottom"/>
          </w:tcPr>
          <w:p w14:paraId="3FA3B34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left w:val="nil"/>
              <w:right w:val="nil"/>
            </w:tcBorders>
            <w:shd w:val="clear" w:color="auto" w:fill="auto"/>
            <w:vAlign w:val="bottom"/>
          </w:tcPr>
          <w:p w14:paraId="06225F2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7CAFAEAA" w14:textId="77777777" w:rsidTr="00D1524E">
        <w:tc>
          <w:tcPr>
            <w:tcW w:w="3508" w:type="pct"/>
            <w:tcBorders>
              <w:top w:val="nil"/>
              <w:left w:val="nil"/>
              <w:bottom w:val="single" w:sz="2" w:space="0" w:color="auto"/>
              <w:right w:val="nil"/>
            </w:tcBorders>
            <w:shd w:val="clear" w:color="auto" w:fill="auto"/>
            <w:vAlign w:val="bottom"/>
          </w:tcPr>
          <w:p w14:paraId="1DFD733F"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Long service leave</w:t>
            </w:r>
          </w:p>
        </w:tc>
        <w:tc>
          <w:tcPr>
            <w:tcW w:w="672" w:type="pct"/>
            <w:tcBorders>
              <w:top w:val="nil"/>
              <w:left w:val="nil"/>
              <w:bottom w:val="single" w:sz="2" w:space="0" w:color="auto"/>
              <w:right w:val="nil"/>
            </w:tcBorders>
            <w:shd w:val="pct15" w:color="auto" w:fill="auto"/>
            <w:vAlign w:val="bottom"/>
          </w:tcPr>
          <w:p w14:paraId="1F3AF21C"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356,699</w:t>
            </w:r>
          </w:p>
        </w:tc>
        <w:tc>
          <w:tcPr>
            <w:tcW w:w="149" w:type="pct"/>
            <w:tcBorders>
              <w:top w:val="nil"/>
              <w:left w:val="nil"/>
              <w:bottom w:val="single" w:sz="2" w:space="0" w:color="auto"/>
              <w:right w:val="nil"/>
            </w:tcBorders>
            <w:shd w:val="clear" w:color="auto" w:fill="auto"/>
            <w:vAlign w:val="bottom"/>
          </w:tcPr>
          <w:p w14:paraId="3366D4D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bottom w:val="single" w:sz="2" w:space="0" w:color="auto"/>
              <w:right w:val="nil"/>
            </w:tcBorders>
            <w:shd w:val="clear" w:color="auto" w:fill="auto"/>
            <w:vAlign w:val="bottom"/>
          </w:tcPr>
          <w:p w14:paraId="0AFF3C0E"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381,174</w:t>
            </w:r>
          </w:p>
        </w:tc>
      </w:tr>
      <w:tr w:rsidR="00F46260" w:rsidRPr="00F46260" w14:paraId="613FC5CF" w14:textId="77777777" w:rsidTr="00D1524E">
        <w:tc>
          <w:tcPr>
            <w:tcW w:w="3508" w:type="pct"/>
            <w:tcBorders>
              <w:top w:val="single" w:sz="2" w:space="0" w:color="auto"/>
              <w:left w:val="nil"/>
              <w:bottom w:val="single" w:sz="12" w:space="0" w:color="auto"/>
              <w:right w:val="nil"/>
            </w:tcBorders>
            <w:shd w:val="clear" w:color="auto" w:fill="auto"/>
            <w:vAlign w:val="bottom"/>
          </w:tcPr>
          <w:p w14:paraId="7ACC97D4" w14:textId="77777777" w:rsidR="00F46260" w:rsidRPr="00F46260" w:rsidRDefault="00F46260" w:rsidP="00F46260">
            <w:pPr>
              <w:spacing w:after="0" w:line="240" w:lineRule="auto"/>
              <w:rPr>
                <w:rFonts w:ascii="Arial" w:eastAsia="Times New Roman" w:hAnsi="Arial" w:cs="Arial"/>
                <w:b/>
                <w:color w:val="000000"/>
                <w:sz w:val="20"/>
                <w:szCs w:val="20"/>
                <w:lang w:eastAsia="en-AU"/>
              </w:rPr>
            </w:pPr>
            <w:r w:rsidRPr="00F46260">
              <w:rPr>
                <w:rFonts w:ascii="Arial" w:eastAsia="Times New Roman" w:hAnsi="Arial" w:cs="Arial"/>
                <w:b/>
                <w:color w:val="000000"/>
                <w:sz w:val="20"/>
                <w:szCs w:val="20"/>
                <w:lang w:eastAsia="en-AU"/>
              </w:rPr>
              <w:t>Total employee benefits</w:t>
            </w:r>
          </w:p>
        </w:tc>
        <w:tc>
          <w:tcPr>
            <w:tcW w:w="672" w:type="pct"/>
            <w:tcBorders>
              <w:top w:val="single" w:sz="2" w:space="0" w:color="auto"/>
              <w:left w:val="nil"/>
              <w:bottom w:val="single" w:sz="12" w:space="0" w:color="auto"/>
              <w:right w:val="nil"/>
            </w:tcBorders>
            <w:shd w:val="pct15" w:color="auto" w:fill="auto"/>
            <w:vAlign w:val="bottom"/>
          </w:tcPr>
          <w:p w14:paraId="15E9ABC3" w14:textId="77777777" w:rsidR="00F46260" w:rsidRPr="00F46260" w:rsidRDefault="00F46260" w:rsidP="00F46260">
            <w:pPr>
              <w:spacing w:after="0" w:line="240" w:lineRule="auto"/>
              <w:jc w:val="right"/>
              <w:rPr>
                <w:rFonts w:ascii="Arial" w:eastAsia="Times New Roman" w:hAnsi="Arial" w:cs="Arial"/>
                <w:b/>
                <w:bCs/>
                <w:color w:val="000000"/>
                <w:sz w:val="20"/>
                <w:szCs w:val="20"/>
                <w:lang w:eastAsia="en-AU"/>
              </w:rPr>
            </w:pPr>
            <w:r w:rsidRPr="00F46260">
              <w:rPr>
                <w:rFonts w:ascii="Arial" w:eastAsia="Times New Roman" w:hAnsi="Arial" w:cs="Arial"/>
                <w:b/>
                <w:bCs/>
                <w:color w:val="000000"/>
                <w:sz w:val="20"/>
                <w:szCs w:val="20"/>
                <w:lang w:eastAsia="en-AU"/>
              </w:rPr>
              <w:t>3,417,321</w:t>
            </w:r>
          </w:p>
        </w:tc>
        <w:tc>
          <w:tcPr>
            <w:tcW w:w="149" w:type="pct"/>
            <w:tcBorders>
              <w:top w:val="single" w:sz="2" w:space="0" w:color="auto"/>
              <w:left w:val="nil"/>
              <w:bottom w:val="single" w:sz="12" w:space="0" w:color="auto"/>
              <w:right w:val="nil"/>
            </w:tcBorders>
            <w:shd w:val="clear" w:color="auto" w:fill="auto"/>
            <w:vAlign w:val="bottom"/>
          </w:tcPr>
          <w:p w14:paraId="406F022D"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71" w:type="pct"/>
            <w:tcBorders>
              <w:top w:val="single" w:sz="2" w:space="0" w:color="auto"/>
              <w:left w:val="nil"/>
              <w:bottom w:val="single" w:sz="12" w:space="0" w:color="auto"/>
              <w:right w:val="nil"/>
            </w:tcBorders>
            <w:shd w:val="clear" w:color="auto" w:fill="auto"/>
            <w:vAlign w:val="bottom"/>
          </w:tcPr>
          <w:p w14:paraId="7DB343DF" w14:textId="77777777" w:rsidR="00F46260" w:rsidRPr="00F46260" w:rsidRDefault="00F46260" w:rsidP="00F46260">
            <w:pPr>
              <w:spacing w:after="0" w:line="240" w:lineRule="auto"/>
              <w:jc w:val="right"/>
              <w:rPr>
                <w:rFonts w:ascii="Arial" w:eastAsia="Times New Roman" w:hAnsi="Arial" w:cs="Arial"/>
                <w:b/>
                <w:bCs/>
                <w:color w:val="000000"/>
                <w:sz w:val="20"/>
                <w:szCs w:val="20"/>
                <w:lang w:eastAsia="en-AU"/>
              </w:rPr>
            </w:pPr>
            <w:r w:rsidRPr="00F46260">
              <w:rPr>
                <w:rFonts w:ascii="Arial" w:eastAsia="Times New Roman" w:hAnsi="Arial" w:cs="Arial"/>
                <w:b/>
                <w:bCs/>
                <w:color w:val="000000"/>
                <w:sz w:val="20"/>
                <w:szCs w:val="20"/>
                <w:lang w:eastAsia="en-AU"/>
              </w:rPr>
              <w:t>2,517,624</w:t>
            </w:r>
          </w:p>
        </w:tc>
      </w:tr>
    </w:tbl>
    <w:p w14:paraId="66948384" w14:textId="77777777" w:rsidR="00F46260" w:rsidRPr="00F46260" w:rsidRDefault="00F46260" w:rsidP="00F46260">
      <w:pPr>
        <w:spacing w:after="0" w:line="240" w:lineRule="auto"/>
        <w:rPr>
          <w:rFonts w:ascii="Arial" w:eastAsia="Times New Roman" w:hAnsi="Arial" w:cs="Arial"/>
          <w:b/>
          <w:sz w:val="20"/>
          <w:szCs w:val="20"/>
          <w:lang w:eastAsia="en-AU"/>
        </w:rPr>
      </w:pPr>
    </w:p>
    <w:p w14:paraId="6A865FAD" w14:textId="77777777" w:rsidR="00F46260" w:rsidRPr="00F46260" w:rsidRDefault="00F46260" w:rsidP="00F46260">
      <w:pPr>
        <w:spacing w:after="0" w:line="240" w:lineRule="auto"/>
        <w:rPr>
          <w:rFonts w:ascii="Arial" w:eastAsia="Times New Roman" w:hAnsi="Arial" w:cs="Arial"/>
          <w:b/>
          <w:sz w:val="20"/>
          <w:szCs w:val="20"/>
          <w:lang w:eastAsia="en-AU"/>
        </w:rPr>
      </w:pPr>
    </w:p>
    <w:p w14:paraId="4011724C" w14:textId="77777777" w:rsidR="00F46260" w:rsidRPr="00F46260" w:rsidRDefault="00F46260" w:rsidP="00F46260">
      <w:pPr>
        <w:spacing w:after="0" w:line="240" w:lineRule="auto"/>
        <w:rPr>
          <w:rFonts w:ascii="Arial" w:eastAsia="Times New Roman" w:hAnsi="Arial" w:cs="Arial"/>
          <w:b/>
          <w:sz w:val="20"/>
          <w:szCs w:val="20"/>
          <w:lang w:eastAsia="en-AU"/>
        </w:rPr>
      </w:pPr>
    </w:p>
    <w:p w14:paraId="785AB083" w14:textId="77777777" w:rsidR="00F46260" w:rsidRPr="00F46260" w:rsidRDefault="00F46260" w:rsidP="00F46260">
      <w:pPr>
        <w:spacing w:after="0" w:line="240" w:lineRule="auto"/>
        <w:rPr>
          <w:rFonts w:ascii="Arial" w:eastAsia="Times New Roman" w:hAnsi="Arial" w:cs="Arial"/>
          <w:b/>
          <w:sz w:val="20"/>
          <w:szCs w:val="20"/>
          <w:lang w:eastAsia="en-AU"/>
        </w:rPr>
      </w:pPr>
    </w:p>
    <w:p w14:paraId="4A3288CD" w14:textId="77777777" w:rsidR="00F46260" w:rsidRPr="00F46260" w:rsidRDefault="00F46260" w:rsidP="00F46260">
      <w:pPr>
        <w:spacing w:after="0" w:line="240" w:lineRule="auto"/>
        <w:rPr>
          <w:rFonts w:ascii="Arial" w:eastAsia="Times New Roman" w:hAnsi="Arial" w:cs="Arial"/>
          <w:b/>
          <w:sz w:val="20"/>
          <w:szCs w:val="20"/>
          <w:lang w:eastAsia="en-AU"/>
        </w:rPr>
      </w:pPr>
    </w:p>
    <w:p w14:paraId="0FB6FA04" w14:textId="77777777" w:rsidR="00F46260" w:rsidRPr="00F46260" w:rsidRDefault="00F46260" w:rsidP="00F46260">
      <w:pPr>
        <w:spacing w:after="0" w:line="240" w:lineRule="auto"/>
        <w:rPr>
          <w:rFonts w:ascii="Arial" w:eastAsia="Times New Roman" w:hAnsi="Arial" w:cs="Arial"/>
          <w:b/>
          <w:sz w:val="20"/>
          <w:szCs w:val="20"/>
          <w:lang w:eastAsia="en-AU"/>
        </w:rPr>
      </w:pPr>
    </w:p>
    <w:p w14:paraId="79A22140" w14:textId="77777777" w:rsidR="00F46260" w:rsidRPr="00F46260" w:rsidRDefault="00F46260" w:rsidP="00F46260">
      <w:pPr>
        <w:spacing w:after="0" w:line="240" w:lineRule="auto"/>
        <w:rPr>
          <w:rFonts w:ascii="Arial" w:eastAsia="Times New Roman" w:hAnsi="Arial" w:cs="Arial"/>
          <w:b/>
          <w:sz w:val="20"/>
          <w:szCs w:val="20"/>
          <w:lang w:eastAsia="en-AU"/>
        </w:rPr>
      </w:pPr>
    </w:p>
    <w:p w14:paraId="5BE27E1F" w14:textId="77777777" w:rsidR="00F46260" w:rsidRPr="00F46260" w:rsidRDefault="00F46260" w:rsidP="00F46260">
      <w:pPr>
        <w:spacing w:after="0" w:line="240" w:lineRule="auto"/>
        <w:rPr>
          <w:rFonts w:ascii="Arial" w:eastAsia="Times New Roman" w:hAnsi="Arial" w:cs="Arial"/>
          <w:b/>
          <w:sz w:val="20"/>
          <w:szCs w:val="20"/>
          <w:lang w:eastAsia="en-AU"/>
        </w:rPr>
      </w:pPr>
    </w:p>
    <w:p w14:paraId="1B0D5E6E" w14:textId="77777777" w:rsidR="00F46260" w:rsidRPr="00F46260" w:rsidRDefault="00F46260" w:rsidP="00F46260">
      <w:pPr>
        <w:spacing w:after="0" w:line="240" w:lineRule="auto"/>
        <w:rPr>
          <w:rFonts w:ascii="Arial" w:eastAsia="Times New Roman" w:hAnsi="Arial" w:cs="Arial"/>
          <w:b/>
          <w:sz w:val="20"/>
          <w:szCs w:val="20"/>
          <w:lang w:eastAsia="en-AU"/>
        </w:rPr>
      </w:pPr>
    </w:p>
    <w:p w14:paraId="6AEC5C67"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br w:type="page"/>
      </w:r>
    </w:p>
    <w:p w14:paraId="08A1CF56"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lastRenderedPageBreak/>
        <w:t>Current provisions</w:t>
      </w:r>
    </w:p>
    <w:p w14:paraId="429BC9B8" w14:textId="77777777" w:rsidR="00F46260" w:rsidRPr="00F46260" w:rsidRDefault="00F46260" w:rsidP="00F46260">
      <w:pPr>
        <w:spacing w:after="0" w:line="240" w:lineRule="auto"/>
        <w:rPr>
          <w:rFonts w:ascii="Arial" w:eastAsia="Times New Roman" w:hAnsi="Arial" w:cs="Arial"/>
          <w:sz w:val="20"/>
          <w:szCs w:val="20"/>
          <w:lang w:eastAsia="en-AU"/>
        </w:rPr>
      </w:pPr>
    </w:p>
    <w:p w14:paraId="6D966983"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annual leave liability is classified as a current liability as the Commission does not have an unconditional right to defer settlement of the liability for at least 12 months after the end of the reporting period.</w:t>
      </w:r>
    </w:p>
    <w:p w14:paraId="3E5AC658" w14:textId="77777777" w:rsidR="00F46260" w:rsidRPr="00F46260" w:rsidRDefault="00F46260" w:rsidP="00F46260">
      <w:pPr>
        <w:spacing w:after="0" w:line="240" w:lineRule="auto"/>
        <w:rPr>
          <w:rFonts w:ascii="Arial" w:eastAsia="Times New Roman" w:hAnsi="Arial" w:cs="Arial"/>
          <w:sz w:val="20"/>
          <w:szCs w:val="20"/>
          <w:lang w:eastAsia="en-AU"/>
        </w:rPr>
      </w:pPr>
    </w:p>
    <w:p w14:paraId="3B77EC45"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Unconditional long service leave is disclosed as a current liability; even where the Commission does not expect to settle the liability within 12 months because it will not have the unconditional right to defer the settlement of the entitlement should an employee take leave within 12 months.</w:t>
      </w:r>
    </w:p>
    <w:p w14:paraId="02AFE5CB" w14:textId="77777777" w:rsidR="00F46260" w:rsidRPr="00F46260" w:rsidRDefault="00F46260" w:rsidP="00F46260">
      <w:pPr>
        <w:spacing w:after="0" w:line="240" w:lineRule="auto"/>
        <w:rPr>
          <w:rFonts w:ascii="Arial" w:eastAsia="Times New Roman" w:hAnsi="Arial" w:cs="Arial"/>
          <w:sz w:val="20"/>
          <w:szCs w:val="20"/>
          <w:lang w:eastAsia="en-AU"/>
        </w:rPr>
      </w:pPr>
    </w:p>
    <w:p w14:paraId="310F3E3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30D38B6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 </w:t>
      </w:r>
    </w:p>
    <w:p w14:paraId="3E986FD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Employment on-costs such as payroll tax, workers compensation and superannuation are included as a component of the provision for employee benefits.</w:t>
      </w:r>
    </w:p>
    <w:p w14:paraId="79089C58" w14:textId="77777777" w:rsidR="00F46260" w:rsidRPr="00F46260" w:rsidRDefault="00F46260" w:rsidP="00F46260">
      <w:pPr>
        <w:spacing w:after="0" w:line="240" w:lineRule="auto"/>
        <w:rPr>
          <w:rFonts w:ascii="Arial" w:eastAsia="Times New Roman" w:hAnsi="Arial" w:cs="Arial"/>
          <w:sz w:val="20"/>
          <w:szCs w:val="20"/>
          <w:lang w:eastAsia="en-AU"/>
        </w:rPr>
      </w:pPr>
    </w:p>
    <w:p w14:paraId="5A62D01B"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Non-current provisions</w:t>
      </w:r>
    </w:p>
    <w:p w14:paraId="1BD68AA1" w14:textId="77777777" w:rsidR="00F46260" w:rsidRPr="00F46260" w:rsidRDefault="00F46260" w:rsidP="00F46260">
      <w:pPr>
        <w:spacing w:after="0" w:line="240" w:lineRule="auto"/>
        <w:rPr>
          <w:rFonts w:ascii="Arial" w:eastAsia="Times New Roman" w:hAnsi="Arial" w:cs="Arial"/>
          <w:sz w:val="20"/>
          <w:szCs w:val="20"/>
          <w:lang w:eastAsia="en-AU"/>
        </w:rPr>
      </w:pPr>
    </w:p>
    <w:p w14:paraId="10910EC5"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Conditional long service leave is disclosed as a non-current liability where there is an unconditional right to defer the settlement of the entitlement until the employee has completed the requisite years of service. This non-current long service leave is measured at present value.</w:t>
      </w:r>
    </w:p>
    <w:p w14:paraId="27F04B99" w14:textId="77777777" w:rsidR="00F46260" w:rsidRPr="00F46260" w:rsidRDefault="00F46260" w:rsidP="00F46260">
      <w:pPr>
        <w:spacing w:after="0" w:line="240" w:lineRule="auto"/>
        <w:rPr>
          <w:rFonts w:ascii="Arial" w:eastAsia="Times New Roman" w:hAnsi="Arial" w:cs="Arial"/>
          <w:sz w:val="20"/>
          <w:szCs w:val="20"/>
          <w:lang w:eastAsia="en-AU"/>
        </w:rPr>
      </w:pPr>
    </w:p>
    <w:p w14:paraId="4890F09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Any gain or loss following revaluation of the present value of non-current long service leave liability is recognised as a transaction, except to the extent that a gain or loss arises due to changes in bond interest rates for which it is then recognised as an ‘other economic flow’ in the net result.</w:t>
      </w:r>
    </w:p>
    <w:p w14:paraId="7B6BB489" w14:textId="77777777" w:rsidR="00F46260" w:rsidRPr="00F46260" w:rsidRDefault="00F46260" w:rsidP="00F46260">
      <w:pPr>
        <w:spacing w:after="0" w:line="240" w:lineRule="auto"/>
        <w:rPr>
          <w:rFonts w:ascii="Arial" w:eastAsia="Times New Roman" w:hAnsi="Arial" w:cs="Arial"/>
          <w:sz w:val="20"/>
          <w:szCs w:val="20"/>
          <w:lang w:eastAsia="en-AU"/>
        </w:rPr>
      </w:pPr>
    </w:p>
    <w:p w14:paraId="6DF9F57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Commission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294B90DB" w14:textId="77777777" w:rsidR="00F46260" w:rsidRPr="00F46260" w:rsidRDefault="00F46260" w:rsidP="00F46260">
      <w:pPr>
        <w:spacing w:after="0" w:line="240" w:lineRule="auto"/>
        <w:rPr>
          <w:rFonts w:ascii="Arial" w:eastAsia="Times New Roman" w:hAnsi="Arial" w:cs="Arial"/>
          <w:sz w:val="20"/>
          <w:szCs w:val="20"/>
          <w:lang w:eastAsia="en-AU"/>
        </w:rPr>
      </w:pPr>
    </w:p>
    <w:p w14:paraId="5300F04F" w14:textId="77777777" w:rsidR="00F46260" w:rsidRPr="00F46260" w:rsidRDefault="00F46260" w:rsidP="00F46260">
      <w:pPr>
        <w:spacing w:before="120"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3.3 Capital asset charge</w:t>
      </w:r>
    </w:p>
    <w:tbl>
      <w:tblPr>
        <w:tblW w:w="5000" w:type="pct"/>
        <w:tblInd w:w="-108" w:type="dxa"/>
        <w:tblLook w:val="0000" w:firstRow="0" w:lastRow="0" w:firstColumn="0" w:lastColumn="0" w:noHBand="0" w:noVBand="0"/>
      </w:tblPr>
      <w:tblGrid>
        <w:gridCol w:w="6564"/>
        <w:gridCol w:w="1257"/>
        <w:gridCol w:w="279"/>
        <w:gridCol w:w="1255"/>
      </w:tblGrid>
      <w:tr w:rsidR="00F46260" w:rsidRPr="00F46260" w14:paraId="5818EC48" w14:textId="77777777" w:rsidTr="00D1524E">
        <w:trPr>
          <w:trHeight w:val="255"/>
        </w:trPr>
        <w:tc>
          <w:tcPr>
            <w:tcW w:w="3508" w:type="pct"/>
            <w:tcBorders>
              <w:top w:val="nil"/>
              <w:right w:val="nil"/>
            </w:tcBorders>
            <w:shd w:val="clear" w:color="auto" w:fill="auto"/>
            <w:vAlign w:val="bottom"/>
          </w:tcPr>
          <w:p w14:paraId="660FDCDD"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tcBorders>
              <w:top w:val="nil"/>
              <w:left w:val="nil"/>
              <w:right w:val="nil"/>
            </w:tcBorders>
            <w:shd w:val="clear" w:color="auto" w:fill="auto"/>
            <w:vAlign w:val="bottom"/>
          </w:tcPr>
          <w:p w14:paraId="09990625"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c>
          <w:tcPr>
            <w:tcW w:w="149" w:type="pct"/>
            <w:tcBorders>
              <w:top w:val="nil"/>
              <w:left w:val="nil"/>
              <w:right w:val="nil"/>
            </w:tcBorders>
            <w:shd w:val="clear" w:color="auto" w:fill="auto"/>
            <w:vAlign w:val="bottom"/>
          </w:tcPr>
          <w:p w14:paraId="4E8D7695"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71" w:type="pct"/>
            <w:tcBorders>
              <w:top w:val="nil"/>
              <w:left w:val="nil"/>
            </w:tcBorders>
            <w:shd w:val="clear" w:color="auto" w:fill="auto"/>
            <w:vAlign w:val="bottom"/>
          </w:tcPr>
          <w:p w14:paraId="240B145D"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44F314C0" w14:textId="77777777" w:rsidTr="00D1524E">
        <w:trPr>
          <w:trHeight w:val="255"/>
        </w:trPr>
        <w:tc>
          <w:tcPr>
            <w:tcW w:w="3508" w:type="pct"/>
            <w:tcBorders>
              <w:top w:val="nil"/>
              <w:bottom w:val="nil"/>
              <w:right w:val="nil"/>
            </w:tcBorders>
            <w:shd w:val="pct50" w:color="auto" w:fill="auto"/>
            <w:vAlign w:val="bottom"/>
          </w:tcPr>
          <w:p w14:paraId="4F2D5E59"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tcBorders>
              <w:top w:val="nil"/>
              <w:left w:val="nil"/>
              <w:bottom w:val="nil"/>
              <w:right w:val="nil"/>
            </w:tcBorders>
            <w:shd w:val="pct50" w:color="auto" w:fill="auto"/>
            <w:vAlign w:val="bottom"/>
          </w:tcPr>
          <w:p w14:paraId="1A894E28"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2088157F"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bCs/>
                <w:color w:val="FFFFFF"/>
                <w:sz w:val="20"/>
                <w:szCs w:val="20"/>
                <w:lang w:eastAsia="en-AU"/>
              </w:rPr>
              <w:t>$</w:t>
            </w:r>
          </w:p>
        </w:tc>
        <w:tc>
          <w:tcPr>
            <w:tcW w:w="149" w:type="pct"/>
            <w:tcBorders>
              <w:top w:val="nil"/>
              <w:left w:val="nil"/>
              <w:bottom w:val="nil"/>
              <w:right w:val="nil"/>
            </w:tcBorders>
            <w:shd w:val="pct50" w:color="auto" w:fill="auto"/>
            <w:vAlign w:val="bottom"/>
          </w:tcPr>
          <w:p w14:paraId="1FAD6F1F"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1" w:type="pct"/>
            <w:tcBorders>
              <w:top w:val="nil"/>
              <w:left w:val="nil"/>
              <w:bottom w:val="nil"/>
            </w:tcBorders>
            <w:shd w:val="pct50" w:color="auto" w:fill="auto"/>
            <w:vAlign w:val="bottom"/>
          </w:tcPr>
          <w:p w14:paraId="5B8CC4C3"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42655823"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576D333A" w14:textId="77777777" w:rsidTr="00D1524E">
        <w:trPr>
          <w:trHeight w:val="255"/>
        </w:trPr>
        <w:tc>
          <w:tcPr>
            <w:tcW w:w="3508" w:type="pct"/>
            <w:tcBorders>
              <w:top w:val="nil"/>
              <w:bottom w:val="single" w:sz="12" w:space="0" w:color="auto"/>
              <w:right w:val="nil"/>
            </w:tcBorders>
            <w:shd w:val="clear" w:color="auto" w:fill="auto"/>
          </w:tcPr>
          <w:p w14:paraId="3C6FE204" w14:textId="77777777" w:rsidR="00F46260" w:rsidRPr="00F46260" w:rsidRDefault="00F46260" w:rsidP="00F46260">
            <w:pPr>
              <w:tabs>
                <w:tab w:val="left" w:pos="284"/>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 xml:space="preserve">Capital asset charge </w:t>
            </w:r>
          </w:p>
        </w:tc>
        <w:tc>
          <w:tcPr>
            <w:tcW w:w="672" w:type="pct"/>
            <w:tcBorders>
              <w:left w:val="nil"/>
              <w:bottom w:val="single" w:sz="12" w:space="0" w:color="auto"/>
              <w:right w:val="nil"/>
            </w:tcBorders>
            <w:shd w:val="pct15" w:color="auto" w:fill="auto"/>
            <w:vAlign w:val="bottom"/>
          </w:tcPr>
          <w:p w14:paraId="2B3E8C3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13,508</w:t>
            </w:r>
          </w:p>
        </w:tc>
        <w:tc>
          <w:tcPr>
            <w:tcW w:w="149" w:type="pct"/>
            <w:tcBorders>
              <w:top w:val="nil"/>
              <w:left w:val="nil"/>
              <w:bottom w:val="single" w:sz="12" w:space="0" w:color="auto"/>
              <w:right w:val="nil"/>
            </w:tcBorders>
            <w:shd w:val="clear" w:color="auto" w:fill="auto"/>
            <w:vAlign w:val="bottom"/>
          </w:tcPr>
          <w:p w14:paraId="199709BB"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71" w:type="pct"/>
            <w:tcBorders>
              <w:left w:val="nil"/>
              <w:bottom w:val="single" w:sz="12" w:space="0" w:color="auto"/>
              <w:right w:val="nil"/>
            </w:tcBorders>
            <w:shd w:val="clear" w:color="auto" w:fill="auto"/>
            <w:vAlign w:val="bottom"/>
          </w:tcPr>
          <w:p w14:paraId="525D114A"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13,500</w:t>
            </w:r>
          </w:p>
        </w:tc>
      </w:tr>
    </w:tbl>
    <w:p w14:paraId="13530EC4" w14:textId="77777777" w:rsidR="00F46260" w:rsidRPr="00F46260" w:rsidRDefault="00F46260" w:rsidP="00F46260">
      <w:pPr>
        <w:autoSpaceDE w:val="0"/>
        <w:autoSpaceDN w:val="0"/>
        <w:adjustRightInd w:val="0"/>
        <w:spacing w:after="0" w:line="240" w:lineRule="auto"/>
        <w:rPr>
          <w:rFonts w:ascii="Arial" w:eastAsia="Times New Roman" w:hAnsi="Arial" w:cs="Arial"/>
          <w:bCs/>
          <w:i/>
          <w:sz w:val="16"/>
          <w:szCs w:val="16"/>
          <w:lang w:eastAsia="en-AU"/>
        </w:rPr>
      </w:pPr>
    </w:p>
    <w:p w14:paraId="746A2EBF"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28904269"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 capital asset charge is a charge levied by the Department of Treasury and Finance (DTF) on the budgeted written down value of non-current physical assets in the Commission’s balance sheet which aims to attribute the opportunity cost of capital used in service delivery and provide incentives to the Commission to identify and dispose of underutilised or surplus assets in a timely manner. The capital asset charge is calculated on the budgeted carrying amount of applicable non-current physical assets.</w:t>
      </w:r>
    </w:p>
    <w:p w14:paraId="415074B6" w14:textId="77777777" w:rsidR="00F46260" w:rsidRPr="00F46260" w:rsidRDefault="00F46260" w:rsidP="00F46260">
      <w:pPr>
        <w:spacing w:after="0" w:line="240" w:lineRule="auto"/>
        <w:rPr>
          <w:rFonts w:ascii="Arial" w:eastAsia="Times New Roman" w:hAnsi="Arial" w:cs="Arial"/>
          <w:sz w:val="20"/>
          <w:szCs w:val="20"/>
          <w:lang w:eastAsia="en-AU"/>
        </w:rPr>
      </w:pPr>
    </w:p>
    <w:p w14:paraId="469A374B" w14:textId="77777777" w:rsidR="00F46260" w:rsidRPr="00F46260" w:rsidRDefault="00F46260" w:rsidP="00F46260">
      <w:pPr>
        <w:spacing w:after="0" w:line="240" w:lineRule="auto"/>
        <w:rPr>
          <w:rFonts w:ascii="Arial" w:eastAsia="Times New Roman" w:hAnsi="Arial" w:cs="Arial"/>
          <w:sz w:val="20"/>
          <w:szCs w:val="20"/>
          <w:lang w:eastAsia="en-AU"/>
        </w:rPr>
      </w:pPr>
    </w:p>
    <w:p w14:paraId="25481589" w14:textId="77777777" w:rsidR="00F46260" w:rsidRPr="00F46260" w:rsidRDefault="00F46260" w:rsidP="00F46260">
      <w:pPr>
        <w:spacing w:after="0" w:line="240" w:lineRule="auto"/>
        <w:rPr>
          <w:rFonts w:ascii="Arial" w:eastAsia="Times New Roman" w:hAnsi="Arial" w:cs="Arial"/>
          <w:sz w:val="20"/>
          <w:szCs w:val="20"/>
          <w:lang w:eastAsia="en-AU"/>
        </w:rPr>
      </w:pPr>
    </w:p>
    <w:p w14:paraId="596EE1B7" w14:textId="77777777" w:rsidR="00F46260" w:rsidRPr="00F46260" w:rsidRDefault="00F46260" w:rsidP="00F46260">
      <w:pPr>
        <w:spacing w:after="0" w:line="240" w:lineRule="auto"/>
        <w:rPr>
          <w:rFonts w:ascii="Arial" w:eastAsia="Times New Roman" w:hAnsi="Arial" w:cs="Arial"/>
          <w:sz w:val="20"/>
          <w:szCs w:val="20"/>
          <w:lang w:eastAsia="en-AU"/>
        </w:rPr>
      </w:pPr>
    </w:p>
    <w:p w14:paraId="0DD6051F" w14:textId="77777777" w:rsidR="00F46260" w:rsidRPr="00F46260" w:rsidRDefault="00F46260" w:rsidP="00F46260">
      <w:pPr>
        <w:spacing w:after="0" w:line="240" w:lineRule="auto"/>
        <w:rPr>
          <w:rFonts w:ascii="Arial" w:eastAsia="Times New Roman" w:hAnsi="Arial" w:cs="Arial"/>
          <w:sz w:val="20"/>
          <w:szCs w:val="20"/>
          <w:lang w:eastAsia="en-AU"/>
        </w:rPr>
      </w:pPr>
    </w:p>
    <w:p w14:paraId="668F2F5B" w14:textId="77777777" w:rsidR="00F46260" w:rsidRPr="00F46260" w:rsidRDefault="00F46260" w:rsidP="00F46260">
      <w:pPr>
        <w:spacing w:after="0" w:line="240" w:lineRule="auto"/>
        <w:rPr>
          <w:rFonts w:ascii="Arial" w:eastAsia="Times New Roman" w:hAnsi="Arial" w:cs="Arial"/>
          <w:sz w:val="20"/>
          <w:szCs w:val="20"/>
          <w:lang w:eastAsia="en-AU"/>
        </w:rPr>
      </w:pPr>
    </w:p>
    <w:p w14:paraId="1E189FA3" w14:textId="77777777" w:rsidR="00F46260" w:rsidRPr="00F46260" w:rsidRDefault="00F46260" w:rsidP="00F46260">
      <w:pPr>
        <w:spacing w:after="0" w:line="240" w:lineRule="auto"/>
        <w:rPr>
          <w:rFonts w:ascii="Arial" w:eastAsia="Times New Roman" w:hAnsi="Arial" w:cs="Arial"/>
          <w:sz w:val="20"/>
          <w:szCs w:val="20"/>
          <w:lang w:eastAsia="en-AU"/>
        </w:rPr>
      </w:pPr>
    </w:p>
    <w:p w14:paraId="31B0E112" w14:textId="77777777" w:rsidR="00F46260" w:rsidRPr="00F46260" w:rsidRDefault="00F46260" w:rsidP="00F46260">
      <w:pPr>
        <w:spacing w:after="0" w:line="240" w:lineRule="auto"/>
        <w:rPr>
          <w:rFonts w:ascii="Arial" w:eastAsia="Times New Roman" w:hAnsi="Arial" w:cs="Arial"/>
          <w:sz w:val="20"/>
          <w:szCs w:val="20"/>
          <w:lang w:eastAsia="en-AU"/>
        </w:rPr>
      </w:pPr>
    </w:p>
    <w:p w14:paraId="69B7337F" w14:textId="77777777" w:rsidR="00F46260" w:rsidRPr="00F46260" w:rsidRDefault="00F46260" w:rsidP="00F46260">
      <w:pPr>
        <w:spacing w:after="0" w:line="240" w:lineRule="auto"/>
        <w:rPr>
          <w:rFonts w:ascii="Arial" w:eastAsia="Times New Roman" w:hAnsi="Arial" w:cs="Arial"/>
          <w:sz w:val="20"/>
          <w:szCs w:val="20"/>
          <w:lang w:eastAsia="en-AU"/>
        </w:rPr>
      </w:pPr>
    </w:p>
    <w:p w14:paraId="343F85AD" w14:textId="77777777" w:rsidR="00F46260" w:rsidRPr="00F46260" w:rsidRDefault="00F46260" w:rsidP="00F46260">
      <w:pPr>
        <w:spacing w:after="0" w:line="240" w:lineRule="auto"/>
        <w:rPr>
          <w:rFonts w:ascii="Arial" w:eastAsia="Times New Roman" w:hAnsi="Arial" w:cs="Arial"/>
          <w:sz w:val="20"/>
          <w:szCs w:val="20"/>
          <w:lang w:eastAsia="en-AU"/>
        </w:rPr>
      </w:pPr>
    </w:p>
    <w:p w14:paraId="03F7FEF7" w14:textId="77777777" w:rsidR="00F46260" w:rsidRPr="00F46260" w:rsidRDefault="00F46260" w:rsidP="00F46260">
      <w:pPr>
        <w:spacing w:after="0" w:line="240" w:lineRule="auto"/>
        <w:rPr>
          <w:rFonts w:ascii="Arial" w:eastAsia="Times New Roman" w:hAnsi="Arial" w:cs="Arial"/>
          <w:sz w:val="20"/>
          <w:szCs w:val="20"/>
          <w:lang w:eastAsia="en-AU"/>
        </w:rPr>
      </w:pPr>
    </w:p>
    <w:p w14:paraId="5BFCF749" w14:textId="77777777" w:rsidR="00F46260" w:rsidRPr="00F46260" w:rsidRDefault="00F46260" w:rsidP="00F46260">
      <w:pPr>
        <w:spacing w:after="0" w:line="240" w:lineRule="auto"/>
        <w:rPr>
          <w:rFonts w:ascii="Arial" w:eastAsia="Times New Roman" w:hAnsi="Arial" w:cs="Arial"/>
          <w:sz w:val="20"/>
          <w:szCs w:val="20"/>
          <w:lang w:eastAsia="en-AU"/>
        </w:rPr>
      </w:pPr>
    </w:p>
    <w:p w14:paraId="12A79625" w14:textId="77777777" w:rsidR="00F46260" w:rsidRPr="00F46260" w:rsidRDefault="00F46260" w:rsidP="00F46260">
      <w:pPr>
        <w:spacing w:after="0" w:line="240" w:lineRule="auto"/>
        <w:rPr>
          <w:rFonts w:ascii="Arial" w:eastAsia="Times New Roman" w:hAnsi="Arial" w:cs="Arial"/>
          <w:sz w:val="20"/>
          <w:szCs w:val="20"/>
          <w:lang w:eastAsia="en-AU"/>
        </w:rPr>
      </w:pPr>
    </w:p>
    <w:p w14:paraId="4237CF20" w14:textId="77777777" w:rsidR="00F46260" w:rsidRPr="00F46260" w:rsidRDefault="00F46260" w:rsidP="00F46260">
      <w:pPr>
        <w:spacing w:after="0" w:line="240" w:lineRule="auto"/>
        <w:rPr>
          <w:rFonts w:ascii="Arial" w:eastAsia="Times New Roman" w:hAnsi="Arial" w:cs="Arial"/>
          <w:b/>
          <w:sz w:val="20"/>
          <w:szCs w:val="20"/>
          <w:lang w:eastAsia="en-AU"/>
        </w:rPr>
      </w:pPr>
    </w:p>
    <w:p w14:paraId="7211D59D" w14:textId="77777777" w:rsidR="00F46260" w:rsidRPr="00F46260" w:rsidRDefault="00F46260" w:rsidP="00F46260">
      <w:pPr>
        <w:spacing w:before="120"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lastRenderedPageBreak/>
        <w:t xml:space="preserve">3.4 Other operating expenses </w:t>
      </w:r>
    </w:p>
    <w:tbl>
      <w:tblPr>
        <w:tblW w:w="5000" w:type="pct"/>
        <w:tblInd w:w="-108" w:type="dxa"/>
        <w:tblLook w:val="0000" w:firstRow="0" w:lastRow="0" w:firstColumn="0" w:lastColumn="0" w:noHBand="0" w:noVBand="0"/>
      </w:tblPr>
      <w:tblGrid>
        <w:gridCol w:w="6564"/>
        <w:gridCol w:w="1257"/>
        <w:gridCol w:w="279"/>
        <w:gridCol w:w="1255"/>
      </w:tblGrid>
      <w:tr w:rsidR="00F46260" w:rsidRPr="00F46260" w14:paraId="2B8CD0BB" w14:textId="77777777" w:rsidTr="00D1524E">
        <w:trPr>
          <w:trHeight w:val="255"/>
        </w:trPr>
        <w:tc>
          <w:tcPr>
            <w:tcW w:w="3508" w:type="pct"/>
            <w:tcBorders>
              <w:top w:val="nil"/>
              <w:right w:val="nil"/>
            </w:tcBorders>
            <w:shd w:val="clear" w:color="auto" w:fill="auto"/>
            <w:vAlign w:val="bottom"/>
          </w:tcPr>
          <w:p w14:paraId="313CE3D1"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672" w:type="pct"/>
            <w:tcBorders>
              <w:top w:val="nil"/>
              <w:left w:val="nil"/>
              <w:right w:val="nil"/>
            </w:tcBorders>
            <w:shd w:val="clear" w:color="auto" w:fill="auto"/>
            <w:vAlign w:val="bottom"/>
          </w:tcPr>
          <w:p w14:paraId="07FCA577"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49" w:type="pct"/>
            <w:tcBorders>
              <w:top w:val="nil"/>
              <w:left w:val="nil"/>
              <w:right w:val="nil"/>
            </w:tcBorders>
            <w:shd w:val="clear" w:color="auto" w:fill="auto"/>
            <w:vAlign w:val="bottom"/>
          </w:tcPr>
          <w:p w14:paraId="02648639"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71" w:type="pct"/>
            <w:tcBorders>
              <w:top w:val="nil"/>
              <w:left w:val="nil"/>
            </w:tcBorders>
            <w:shd w:val="clear" w:color="auto" w:fill="auto"/>
            <w:vAlign w:val="bottom"/>
          </w:tcPr>
          <w:p w14:paraId="657DF0D4"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4F3D0CDE" w14:textId="77777777" w:rsidTr="00D1524E">
        <w:trPr>
          <w:trHeight w:val="255"/>
        </w:trPr>
        <w:tc>
          <w:tcPr>
            <w:tcW w:w="3508" w:type="pct"/>
            <w:tcBorders>
              <w:top w:val="nil"/>
              <w:bottom w:val="nil"/>
              <w:right w:val="nil"/>
            </w:tcBorders>
            <w:shd w:val="pct50" w:color="auto" w:fill="auto"/>
            <w:vAlign w:val="bottom"/>
          </w:tcPr>
          <w:p w14:paraId="54306D00"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672" w:type="pct"/>
            <w:tcBorders>
              <w:top w:val="nil"/>
              <w:left w:val="nil"/>
              <w:bottom w:val="nil"/>
              <w:right w:val="nil"/>
            </w:tcBorders>
            <w:shd w:val="pct50" w:color="auto" w:fill="auto"/>
            <w:vAlign w:val="bottom"/>
          </w:tcPr>
          <w:p w14:paraId="60D27563"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04EE2F62"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c>
          <w:tcPr>
            <w:tcW w:w="149" w:type="pct"/>
            <w:tcBorders>
              <w:top w:val="nil"/>
              <w:left w:val="nil"/>
              <w:bottom w:val="nil"/>
              <w:right w:val="nil"/>
            </w:tcBorders>
            <w:shd w:val="pct50" w:color="auto" w:fill="auto"/>
            <w:vAlign w:val="bottom"/>
          </w:tcPr>
          <w:p w14:paraId="409C82F7"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1" w:type="pct"/>
            <w:tcBorders>
              <w:top w:val="nil"/>
              <w:left w:val="nil"/>
              <w:bottom w:val="nil"/>
            </w:tcBorders>
            <w:shd w:val="pct50" w:color="auto" w:fill="auto"/>
            <w:vAlign w:val="bottom"/>
          </w:tcPr>
          <w:p w14:paraId="4F5918B1"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28152BC6"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47FD2003" w14:textId="77777777" w:rsidTr="00D1524E">
        <w:trPr>
          <w:trHeight w:val="255"/>
        </w:trPr>
        <w:tc>
          <w:tcPr>
            <w:tcW w:w="3508" w:type="pct"/>
            <w:tcBorders>
              <w:top w:val="nil"/>
              <w:bottom w:val="nil"/>
              <w:right w:val="nil"/>
            </w:tcBorders>
            <w:shd w:val="clear" w:color="auto" w:fill="auto"/>
            <w:vAlign w:val="bottom"/>
          </w:tcPr>
          <w:p w14:paraId="7423747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Supplies and services</w:t>
            </w:r>
          </w:p>
        </w:tc>
        <w:tc>
          <w:tcPr>
            <w:tcW w:w="672" w:type="pct"/>
            <w:tcBorders>
              <w:top w:val="nil"/>
              <w:left w:val="nil"/>
              <w:right w:val="nil"/>
            </w:tcBorders>
            <w:shd w:val="pct15" w:color="auto" w:fill="auto"/>
            <w:vAlign w:val="bottom"/>
          </w:tcPr>
          <w:p w14:paraId="0F38E96E"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1,534,461</w:t>
            </w:r>
          </w:p>
        </w:tc>
        <w:tc>
          <w:tcPr>
            <w:tcW w:w="149" w:type="pct"/>
            <w:tcBorders>
              <w:top w:val="nil"/>
              <w:left w:val="nil"/>
              <w:right w:val="nil"/>
            </w:tcBorders>
            <w:shd w:val="clear" w:color="auto" w:fill="auto"/>
            <w:vAlign w:val="bottom"/>
          </w:tcPr>
          <w:p w14:paraId="155FEAEB"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right w:val="nil"/>
            </w:tcBorders>
            <w:shd w:val="clear" w:color="auto" w:fill="auto"/>
            <w:vAlign w:val="bottom"/>
          </w:tcPr>
          <w:p w14:paraId="1BC3F79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1,303,597</w:t>
            </w:r>
          </w:p>
        </w:tc>
      </w:tr>
      <w:tr w:rsidR="00F46260" w:rsidRPr="00F46260" w14:paraId="4BB9CF86" w14:textId="77777777" w:rsidTr="00D1524E">
        <w:trPr>
          <w:trHeight w:val="255"/>
        </w:trPr>
        <w:tc>
          <w:tcPr>
            <w:tcW w:w="3508" w:type="pct"/>
            <w:tcBorders>
              <w:top w:val="nil"/>
              <w:bottom w:val="nil"/>
              <w:right w:val="nil"/>
            </w:tcBorders>
            <w:shd w:val="clear" w:color="auto" w:fill="auto"/>
            <w:vAlign w:val="bottom"/>
          </w:tcPr>
          <w:p w14:paraId="54C1DE9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Purchase of services</w:t>
            </w:r>
          </w:p>
        </w:tc>
        <w:tc>
          <w:tcPr>
            <w:tcW w:w="672" w:type="pct"/>
            <w:tcBorders>
              <w:top w:val="nil"/>
              <w:left w:val="nil"/>
              <w:right w:val="nil"/>
            </w:tcBorders>
            <w:shd w:val="pct15" w:color="auto" w:fill="auto"/>
            <w:vAlign w:val="bottom"/>
          </w:tcPr>
          <w:p w14:paraId="2C8630D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2,435,979</w:t>
            </w:r>
          </w:p>
        </w:tc>
        <w:tc>
          <w:tcPr>
            <w:tcW w:w="149" w:type="pct"/>
            <w:tcBorders>
              <w:top w:val="nil"/>
              <w:left w:val="nil"/>
              <w:right w:val="nil"/>
            </w:tcBorders>
            <w:shd w:val="clear" w:color="auto" w:fill="auto"/>
            <w:vAlign w:val="bottom"/>
          </w:tcPr>
          <w:p w14:paraId="330C48A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right w:val="nil"/>
            </w:tcBorders>
            <w:shd w:val="clear" w:color="auto" w:fill="auto"/>
            <w:vAlign w:val="bottom"/>
          </w:tcPr>
          <w:p w14:paraId="794AF584"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3,655,746</w:t>
            </w:r>
          </w:p>
        </w:tc>
      </w:tr>
      <w:tr w:rsidR="00F46260" w:rsidRPr="00F46260" w14:paraId="533BA5F4" w14:textId="77777777" w:rsidTr="00D1524E">
        <w:trPr>
          <w:trHeight w:val="255"/>
        </w:trPr>
        <w:tc>
          <w:tcPr>
            <w:tcW w:w="3508" w:type="pct"/>
            <w:tcBorders>
              <w:top w:val="nil"/>
              <w:bottom w:val="nil"/>
              <w:right w:val="nil"/>
            </w:tcBorders>
            <w:shd w:val="clear" w:color="auto" w:fill="auto"/>
            <w:vAlign w:val="bottom"/>
          </w:tcPr>
          <w:p w14:paraId="325B2A3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Information technology</w:t>
            </w:r>
          </w:p>
        </w:tc>
        <w:tc>
          <w:tcPr>
            <w:tcW w:w="672" w:type="pct"/>
            <w:tcBorders>
              <w:top w:val="nil"/>
              <w:left w:val="nil"/>
              <w:right w:val="nil"/>
            </w:tcBorders>
            <w:shd w:val="pct15" w:color="auto" w:fill="auto"/>
            <w:vAlign w:val="bottom"/>
          </w:tcPr>
          <w:p w14:paraId="6E6F2DF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1,718,080</w:t>
            </w:r>
          </w:p>
        </w:tc>
        <w:tc>
          <w:tcPr>
            <w:tcW w:w="149" w:type="pct"/>
            <w:tcBorders>
              <w:top w:val="nil"/>
              <w:left w:val="nil"/>
              <w:right w:val="nil"/>
            </w:tcBorders>
            <w:shd w:val="clear" w:color="auto" w:fill="auto"/>
            <w:vAlign w:val="bottom"/>
          </w:tcPr>
          <w:p w14:paraId="3A440A9E"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left w:val="nil"/>
              <w:right w:val="nil"/>
            </w:tcBorders>
            <w:shd w:val="clear" w:color="auto" w:fill="auto"/>
            <w:vAlign w:val="bottom"/>
          </w:tcPr>
          <w:p w14:paraId="5F5822CB"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1,483,334</w:t>
            </w:r>
          </w:p>
        </w:tc>
      </w:tr>
      <w:tr w:rsidR="00F46260" w:rsidRPr="00F46260" w14:paraId="4CA911EB" w14:textId="77777777" w:rsidTr="00D1524E">
        <w:trPr>
          <w:trHeight w:val="270"/>
        </w:trPr>
        <w:tc>
          <w:tcPr>
            <w:tcW w:w="3508" w:type="pct"/>
            <w:tcBorders>
              <w:top w:val="single" w:sz="2" w:space="0" w:color="auto"/>
              <w:bottom w:val="single" w:sz="12" w:space="0" w:color="auto"/>
              <w:right w:val="nil"/>
            </w:tcBorders>
            <w:shd w:val="clear" w:color="auto" w:fill="auto"/>
            <w:vAlign w:val="bottom"/>
          </w:tcPr>
          <w:p w14:paraId="325A642C"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other operating expenses</w:t>
            </w:r>
          </w:p>
        </w:tc>
        <w:tc>
          <w:tcPr>
            <w:tcW w:w="672" w:type="pct"/>
            <w:tcBorders>
              <w:top w:val="single" w:sz="2" w:space="0" w:color="auto"/>
              <w:left w:val="nil"/>
              <w:bottom w:val="single" w:sz="12" w:space="0" w:color="auto"/>
              <w:right w:val="nil"/>
            </w:tcBorders>
            <w:shd w:val="pct15" w:color="auto" w:fill="auto"/>
            <w:vAlign w:val="bottom"/>
          </w:tcPr>
          <w:p w14:paraId="50C1C05A"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5,688,520</w:t>
            </w:r>
          </w:p>
        </w:tc>
        <w:tc>
          <w:tcPr>
            <w:tcW w:w="149" w:type="pct"/>
            <w:tcBorders>
              <w:top w:val="single" w:sz="2" w:space="0" w:color="auto"/>
              <w:left w:val="nil"/>
              <w:bottom w:val="single" w:sz="12" w:space="0" w:color="auto"/>
              <w:right w:val="nil"/>
            </w:tcBorders>
            <w:shd w:val="clear" w:color="auto" w:fill="auto"/>
            <w:vAlign w:val="bottom"/>
          </w:tcPr>
          <w:p w14:paraId="33FD2AC4"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single" w:sz="2" w:space="0" w:color="auto"/>
              <w:left w:val="nil"/>
              <w:bottom w:val="single" w:sz="12" w:space="0" w:color="auto"/>
              <w:right w:val="nil"/>
            </w:tcBorders>
            <w:shd w:val="clear" w:color="auto" w:fill="auto"/>
            <w:vAlign w:val="bottom"/>
          </w:tcPr>
          <w:p w14:paraId="125E748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sz w:val="20"/>
                <w:szCs w:val="20"/>
                <w:lang w:eastAsia="en-AU"/>
              </w:rPr>
              <w:t>6,442,677</w:t>
            </w:r>
          </w:p>
        </w:tc>
      </w:tr>
      <w:tr w:rsidR="00F46260" w:rsidRPr="00F46260" w14:paraId="17AFAEE3" w14:textId="77777777" w:rsidTr="00D1524E">
        <w:trPr>
          <w:trHeight w:val="227"/>
        </w:trPr>
        <w:tc>
          <w:tcPr>
            <w:tcW w:w="3508" w:type="pct"/>
            <w:tcBorders>
              <w:top w:val="single" w:sz="12" w:space="0" w:color="auto"/>
              <w:bottom w:val="nil"/>
              <w:right w:val="nil"/>
            </w:tcBorders>
            <w:shd w:val="clear" w:color="auto" w:fill="auto"/>
            <w:vAlign w:val="bottom"/>
          </w:tcPr>
          <w:p w14:paraId="0D214B07"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672" w:type="pct"/>
            <w:tcBorders>
              <w:top w:val="single" w:sz="12" w:space="0" w:color="auto"/>
              <w:left w:val="nil"/>
              <w:right w:val="nil"/>
            </w:tcBorders>
            <w:shd w:val="clear" w:color="auto" w:fill="auto"/>
          </w:tcPr>
          <w:p w14:paraId="5147F92C"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49" w:type="pct"/>
            <w:tcBorders>
              <w:top w:val="single" w:sz="12" w:space="0" w:color="auto"/>
              <w:left w:val="nil"/>
              <w:bottom w:val="nil"/>
              <w:right w:val="nil"/>
            </w:tcBorders>
            <w:shd w:val="clear" w:color="auto" w:fill="auto"/>
          </w:tcPr>
          <w:p w14:paraId="512EFE93"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single" w:sz="12" w:space="0" w:color="auto"/>
              <w:left w:val="nil"/>
            </w:tcBorders>
            <w:shd w:val="clear" w:color="auto" w:fill="auto"/>
          </w:tcPr>
          <w:p w14:paraId="12E9355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bl>
    <w:p w14:paraId="49D4E5FF" w14:textId="77777777" w:rsidR="00F46260" w:rsidRPr="00F46260" w:rsidRDefault="00F46260" w:rsidP="00F46260">
      <w:pPr>
        <w:keepLines/>
        <w:spacing w:before="20" w:after="0" w:line="240" w:lineRule="auto"/>
        <w:contextualSpacing/>
        <w:rPr>
          <w:rFonts w:ascii="Arial" w:eastAsia="Calibri" w:hAnsi="Arial" w:cs="Arial"/>
          <w:b/>
          <w:i/>
          <w:iCs/>
          <w:spacing w:val="-2"/>
          <w:sz w:val="14"/>
          <w:szCs w:val="18"/>
          <w:lang w:eastAsia="en-AU"/>
        </w:rPr>
      </w:pPr>
    </w:p>
    <w:p w14:paraId="078855EF" w14:textId="77777777" w:rsidR="00F46260" w:rsidRPr="00F46260" w:rsidRDefault="00F46260" w:rsidP="00F46260">
      <w:pPr>
        <w:spacing w:after="0" w:line="240" w:lineRule="auto"/>
        <w:rPr>
          <w:rFonts w:ascii="Arial" w:eastAsia="Calibri" w:hAnsi="Arial" w:cs="Arial"/>
          <w:sz w:val="20"/>
          <w:szCs w:val="20"/>
          <w:lang w:eastAsia="en-AU"/>
        </w:rPr>
      </w:pPr>
      <w:r w:rsidRPr="00F46260">
        <w:rPr>
          <w:rFonts w:ascii="Arial" w:eastAsia="Calibri" w:hAnsi="Arial" w:cs="Arial"/>
          <w:sz w:val="20"/>
          <w:szCs w:val="20"/>
          <w:lang w:eastAsia="en-AU"/>
        </w:rPr>
        <w:t>Other operating expenses generally represent the day-to-day running costs incurred in delivering services of the Commission.</w:t>
      </w:r>
    </w:p>
    <w:p w14:paraId="145573B0" w14:textId="77777777" w:rsidR="00F46260" w:rsidRPr="00F46260" w:rsidRDefault="00F46260" w:rsidP="00F46260">
      <w:pPr>
        <w:spacing w:after="0" w:line="240" w:lineRule="auto"/>
        <w:rPr>
          <w:rFonts w:ascii="Arial" w:eastAsia="Calibri" w:hAnsi="Arial" w:cs="Arial"/>
          <w:sz w:val="20"/>
          <w:szCs w:val="20"/>
          <w:lang w:eastAsia="en-AU"/>
        </w:rPr>
      </w:pPr>
    </w:p>
    <w:p w14:paraId="2D43F3D1" w14:textId="77777777" w:rsidR="00F46260" w:rsidRPr="00F46260" w:rsidRDefault="00F46260" w:rsidP="00F46260">
      <w:pPr>
        <w:spacing w:after="0" w:line="240" w:lineRule="auto"/>
        <w:rPr>
          <w:rFonts w:ascii="Arial" w:eastAsia="Calibri" w:hAnsi="Arial" w:cs="Arial"/>
          <w:sz w:val="20"/>
          <w:szCs w:val="20"/>
          <w:lang w:eastAsia="en-AU"/>
        </w:rPr>
      </w:pPr>
      <w:r w:rsidRPr="00F46260">
        <w:rPr>
          <w:rFonts w:ascii="Arial" w:eastAsia="Calibri" w:hAnsi="Arial" w:cs="Arial"/>
          <w:bCs/>
          <w:sz w:val="20"/>
          <w:szCs w:val="20"/>
          <w:lang w:eastAsia="en-AU"/>
        </w:rPr>
        <w:t>Other operating</w:t>
      </w:r>
      <w:r w:rsidRPr="00F46260">
        <w:rPr>
          <w:rFonts w:ascii="Arial" w:eastAsia="Times New Roman" w:hAnsi="Arial" w:cs="Arial"/>
          <w:bCs/>
          <w:sz w:val="20"/>
          <w:szCs w:val="20"/>
          <w:lang w:eastAsia="en-AU"/>
        </w:rPr>
        <w:t xml:space="preserve"> expenses</w:t>
      </w:r>
      <w:r w:rsidRPr="00F46260">
        <w:rPr>
          <w:rFonts w:ascii="Arial" w:eastAsia="Times New Roman" w:hAnsi="Arial" w:cs="Arial"/>
          <w:b/>
          <w:sz w:val="20"/>
          <w:szCs w:val="20"/>
          <w:lang w:eastAsia="en-AU"/>
        </w:rPr>
        <w:t xml:space="preserve"> </w:t>
      </w:r>
      <w:r w:rsidRPr="00F46260">
        <w:rPr>
          <w:rFonts w:ascii="Arial" w:eastAsia="Calibri" w:hAnsi="Arial" w:cs="Arial"/>
          <w:sz w:val="20"/>
          <w:szCs w:val="20"/>
          <w:lang w:eastAsia="en-AU"/>
        </w:rPr>
        <w:t>are recognised as an expense in the reporting period in which they are incurred.</w:t>
      </w:r>
    </w:p>
    <w:p w14:paraId="22ED5A57" w14:textId="77777777" w:rsidR="00F46260" w:rsidRPr="00F46260" w:rsidRDefault="00F46260" w:rsidP="00F46260">
      <w:pPr>
        <w:spacing w:after="0" w:line="240" w:lineRule="auto"/>
        <w:rPr>
          <w:rFonts w:ascii="Arial" w:eastAsia="Calibri" w:hAnsi="Arial" w:cs="Arial"/>
          <w:sz w:val="20"/>
          <w:szCs w:val="20"/>
          <w:lang w:eastAsia="en-AU"/>
        </w:rPr>
      </w:pPr>
      <w:r w:rsidRPr="00F46260">
        <w:rPr>
          <w:rFonts w:ascii="Arial" w:eastAsia="Calibri" w:hAnsi="Arial" w:cs="Arial"/>
          <w:sz w:val="20"/>
          <w:szCs w:val="20"/>
          <w:lang w:eastAsia="en-AU"/>
        </w:rPr>
        <w:t xml:space="preserve">  </w:t>
      </w:r>
    </w:p>
    <w:p w14:paraId="06AF850A" w14:textId="77777777" w:rsidR="00F46260" w:rsidRPr="00F46260" w:rsidRDefault="00F46260" w:rsidP="00F46260">
      <w:pPr>
        <w:spacing w:after="0" w:line="240" w:lineRule="auto"/>
        <w:rPr>
          <w:rFonts w:ascii="Arial" w:eastAsia="Times New Roman" w:hAnsi="Arial" w:cs="Arial"/>
          <w:b/>
          <w:sz w:val="20"/>
          <w:szCs w:val="24"/>
          <w:lang w:eastAsia="en-AU"/>
        </w:rPr>
      </w:pPr>
      <w:bookmarkStart w:id="49" w:name="_Toc483824392"/>
    </w:p>
    <w:p w14:paraId="168F8469" w14:textId="77777777" w:rsidR="00F46260" w:rsidRPr="00F46260" w:rsidRDefault="00F46260" w:rsidP="00F46260">
      <w:pPr>
        <w:spacing w:after="0" w:line="240" w:lineRule="auto"/>
        <w:rPr>
          <w:rFonts w:ascii="Arial" w:eastAsia="Times New Roman" w:hAnsi="Arial" w:cs="Arial"/>
          <w:b/>
          <w:sz w:val="20"/>
          <w:szCs w:val="24"/>
          <w:lang w:eastAsia="en-AU"/>
        </w:rPr>
      </w:pPr>
    </w:p>
    <w:p w14:paraId="1AD77754" w14:textId="77777777" w:rsidR="00F46260" w:rsidRPr="00F46260" w:rsidRDefault="00F46260" w:rsidP="00F46260">
      <w:pPr>
        <w:spacing w:after="0" w:line="240" w:lineRule="auto"/>
        <w:rPr>
          <w:rFonts w:ascii="Arial" w:eastAsia="Times New Roman" w:hAnsi="Arial" w:cs="Arial"/>
          <w:b/>
          <w:sz w:val="20"/>
          <w:szCs w:val="24"/>
          <w:lang w:eastAsia="en-AU"/>
        </w:rPr>
      </w:pPr>
    </w:p>
    <w:p w14:paraId="57099A6B" w14:textId="77777777" w:rsidR="00F46260" w:rsidRPr="00F46260" w:rsidRDefault="00F46260" w:rsidP="00F46260">
      <w:pPr>
        <w:spacing w:after="0" w:line="240" w:lineRule="auto"/>
        <w:rPr>
          <w:rFonts w:ascii="Arial" w:eastAsia="Times New Roman" w:hAnsi="Arial" w:cs="Arial"/>
          <w:b/>
          <w:sz w:val="20"/>
          <w:szCs w:val="24"/>
          <w:lang w:eastAsia="en-AU"/>
        </w:rPr>
      </w:pPr>
    </w:p>
    <w:p w14:paraId="2675F0F6" w14:textId="77777777" w:rsidR="00F46260" w:rsidRPr="00F46260" w:rsidRDefault="00F46260" w:rsidP="00F46260">
      <w:pPr>
        <w:spacing w:after="0" w:line="240" w:lineRule="auto"/>
        <w:rPr>
          <w:rFonts w:ascii="Arial" w:eastAsia="Times New Roman" w:hAnsi="Arial" w:cs="Arial"/>
          <w:b/>
          <w:sz w:val="20"/>
          <w:szCs w:val="24"/>
          <w:lang w:eastAsia="en-AU"/>
        </w:rPr>
      </w:pPr>
    </w:p>
    <w:p w14:paraId="15A9CB09" w14:textId="77777777" w:rsidR="00F46260" w:rsidRPr="00F46260" w:rsidRDefault="00F46260" w:rsidP="00F46260">
      <w:pPr>
        <w:spacing w:after="0" w:line="240" w:lineRule="auto"/>
        <w:rPr>
          <w:rFonts w:ascii="Arial" w:eastAsia="Times New Roman" w:hAnsi="Arial" w:cs="Arial"/>
          <w:b/>
          <w:sz w:val="20"/>
          <w:szCs w:val="24"/>
          <w:lang w:eastAsia="en-AU"/>
        </w:rPr>
      </w:pPr>
    </w:p>
    <w:p w14:paraId="2DDEDE8E" w14:textId="77777777" w:rsidR="00F46260" w:rsidRPr="00F46260" w:rsidRDefault="00F46260" w:rsidP="00F46260">
      <w:pPr>
        <w:spacing w:after="0" w:line="240" w:lineRule="auto"/>
        <w:rPr>
          <w:rFonts w:ascii="Arial" w:eastAsia="Times New Roman" w:hAnsi="Arial" w:cs="Arial"/>
          <w:b/>
          <w:sz w:val="20"/>
          <w:szCs w:val="24"/>
          <w:lang w:eastAsia="en-AU"/>
        </w:rPr>
      </w:pPr>
    </w:p>
    <w:p w14:paraId="5A0CAF99" w14:textId="77777777" w:rsidR="00F46260" w:rsidRPr="00F46260" w:rsidRDefault="00F46260" w:rsidP="00F46260">
      <w:pPr>
        <w:spacing w:after="0" w:line="240" w:lineRule="auto"/>
        <w:rPr>
          <w:rFonts w:ascii="Arial" w:eastAsia="Times New Roman" w:hAnsi="Arial" w:cs="Arial"/>
          <w:b/>
          <w:sz w:val="20"/>
          <w:szCs w:val="24"/>
          <w:lang w:eastAsia="en-AU"/>
        </w:rPr>
      </w:pPr>
    </w:p>
    <w:p w14:paraId="33B95B65" w14:textId="77777777" w:rsidR="00F46260" w:rsidRPr="00F46260" w:rsidRDefault="00F46260" w:rsidP="00F46260">
      <w:pPr>
        <w:spacing w:after="0" w:line="240" w:lineRule="auto"/>
        <w:rPr>
          <w:rFonts w:ascii="Arial" w:eastAsia="Times New Roman" w:hAnsi="Arial" w:cs="Arial"/>
          <w:b/>
          <w:sz w:val="20"/>
          <w:szCs w:val="24"/>
          <w:lang w:eastAsia="en-AU"/>
        </w:rPr>
      </w:pPr>
    </w:p>
    <w:p w14:paraId="68F41139" w14:textId="77777777" w:rsidR="00F46260" w:rsidRPr="00F46260" w:rsidRDefault="00F46260" w:rsidP="00F46260">
      <w:pPr>
        <w:spacing w:after="0" w:line="240" w:lineRule="auto"/>
        <w:rPr>
          <w:rFonts w:ascii="Arial" w:eastAsia="Times New Roman" w:hAnsi="Arial" w:cs="Arial"/>
          <w:b/>
          <w:sz w:val="20"/>
          <w:szCs w:val="24"/>
          <w:lang w:eastAsia="en-AU"/>
        </w:rPr>
      </w:pPr>
    </w:p>
    <w:p w14:paraId="7645A83F" w14:textId="77777777" w:rsidR="00F46260" w:rsidRPr="00F46260" w:rsidRDefault="00F46260" w:rsidP="00F46260">
      <w:pPr>
        <w:spacing w:after="0" w:line="240" w:lineRule="auto"/>
        <w:rPr>
          <w:rFonts w:ascii="Arial" w:eastAsia="Times New Roman" w:hAnsi="Arial" w:cs="Arial"/>
          <w:b/>
          <w:sz w:val="20"/>
          <w:szCs w:val="24"/>
          <w:lang w:eastAsia="en-AU"/>
        </w:rPr>
      </w:pPr>
    </w:p>
    <w:p w14:paraId="69547258" w14:textId="77777777" w:rsidR="00F46260" w:rsidRPr="00F46260" w:rsidRDefault="00F46260" w:rsidP="00F46260">
      <w:pPr>
        <w:spacing w:after="0" w:line="240" w:lineRule="auto"/>
        <w:rPr>
          <w:rFonts w:ascii="Arial" w:eastAsia="Times New Roman" w:hAnsi="Arial" w:cs="Arial"/>
          <w:b/>
          <w:sz w:val="20"/>
          <w:szCs w:val="24"/>
          <w:lang w:eastAsia="en-AU"/>
        </w:rPr>
      </w:pPr>
    </w:p>
    <w:p w14:paraId="67B384BD" w14:textId="77777777" w:rsidR="00F46260" w:rsidRPr="00F46260" w:rsidRDefault="00F46260" w:rsidP="00F46260">
      <w:pPr>
        <w:spacing w:after="0" w:line="240" w:lineRule="auto"/>
        <w:rPr>
          <w:rFonts w:ascii="Arial" w:eastAsia="Times New Roman" w:hAnsi="Arial" w:cs="Arial"/>
          <w:b/>
          <w:sz w:val="20"/>
          <w:szCs w:val="24"/>
          <w:lang w:eastAsia="en-AU"/>
        </w:rPr>
      </w:pPr>
    </w:p>
    <w:p w14:paraId="6CF840A4" w14:textId="77777777" w:rsidR="00F46260" w:rsidRPr="00F46260" w:rsidRDefault="00F46260" w:rsidP="00F46260">
      <w:pPr>
        <w:spacing w:after="0" w:line="240" w:lineRule="auto"/>
        <w:rPr>
          <w:rFonts w:ascii="Arial" w:eastAsia="Times New Roman" w:hAnsi="Arial" w:cs="Arial"/>
          <w:b/>
          <w:sz w:val="20"/>
          <w:szCs w:val="24"/>
          <w:lang w:eastAsia="en-AU"/>
        </w:rPr>
      </w:pPr>
    </w:p>
    <w:p w14:paraId="0AD4C8B2" w14:textId="77777777" w:rsidR="00F46260" w:rsidRPr="00F46260" w:rsidRDefault="00F46260" w:rsidP="00F46260">
      <w:pPr>
        <w:spacing w:after="0" w:line="240" w:lineRule="auto"/>
        <w:rPr>
          <w:rFonts w:ascii="Arial" w:eastAsia="Times New Roman" w:hAnsi="Arial" w:cs="Arial"/>
          <w:b/>
          <w:sz w:val="20"/>
          <w:szCs w:val="24"/>
          <w:lang w:eastAsia="en-AU"/>
        </w:rPr>
      </w:pPr>
    </w:p>
    <w:p w14:paraId="2024048C" w14:textId="77777777" w:rsidR="00F46260" w:rsidRPr="00F46260" w:rsidRDefault="00F46260" w:rsidP="00F46260">
      <w:pPr>
        <w:spacing w:after="0" w:line="240" w:lineRule="auto"/>
        <w:rPr>
          <w:rFonts w:ascii="Arial" w:eastAsia="Times New Roman" w:hAnsi="Arial" w:cs="Arial"/>
          <w:b/>
          <w:sz w:val="20"/>
          <w:szCs w:val="24"/>
          <w:lang w:eastAsia="en-AU"/>
        </w:rPr>
      </w:pPr>
    </w:p>
    <w:p w14:paraId="20CF24F6" w14:textId="77777777" w:rsidR="00F46260" w:rsidRPr="00F46260" w:rsidRDefault="00F46260" w:rsidP="00F46260">
      <w:pPr>
        <w:spacing w:after="0" w:line="240" w:lineRule="auto"/>
        <w:rPr>
          <w:rFonts w:ascii="Arial" w:eastAsia="Times New Roman" w:hAnsi="Arial" w:cs="Arial"/>
          <w:b/>
          <w:sz w:val="20"/>
          <w:szCs w:val="24"/>
          <w:lang w:eastAsia="en-AU"/>
        </w:rPr>
      </w:pPr>
    </w:p>
    <w:p w14:paraId="45C9AA63" w14:textId="77777777" w:rsidR="00F46260" w:rsidRPr="00F46260" w:rsidRDefault="00F46260" w:rsidP="00F46260">
      <w:pPr>
        <w:spacing w:after="0" w:line="240" w:lineRule="auto"/>
        <w:rPr>
          <w:rFonts w:ascii="Arial" w:eastAsia="Times New Roman" w:hAnsi="Arial" w:cs="Arial"/>
          <w:b/>
          <w:sz w:val="20"/>
          <w:szCs w:val="24"/>
          <w:lang w:eastAsia="en-AU"/>
        </w:rPr>
      </w:pPr>
    </w:p>
    <w:p w14:paraId="649A7A92" w14:textId="77777777" w:rsidR="00F46260" w:rsidRPr="00F46260" w:rsidRDefault="00F46260" w:rsidP="00F46260">
      <w:pPr>
        <w:spacing w:after="0" w:line="240" w:lineRule="auto"/>
        <w:rPr>
          <w:rFonts w:ascii="Arial" w:eastAsia="Times New Roman" w:hAnsi="Arial" w:cs="Arial"/>
          <w:b/>
          <w:sz w:val="20"/>
          <w:szCs w:val="24"/>
          <w:lang w:eastAsia="en-AU"/>
        </w:rPr>
      </w:pPr>
    </w:p>
    <w:p w14:paraId="155D0E61" w14:textId="77777777" w:rsidR="00F46260" w:rsidRPr="00F46260" w:rsidRDefault="00F46260" w:rsidP="00F46260">
      <w:pPr>
        <w:spacing w:after="0" w:line="240" w:lineRule="auto"/>
        <w:rPr>
          <w:rFonts w:ascii="Arial" w:eastAsia="Times New Roman" w:hAnsi="Arial" w:cs="Arial"/>
          <w:b/>
          <w:sz w:val="20"/>
          <w:szCs w:val="24"/>
          <w:lang w:eastAsia="en-AU"/>
        </w:rPr>
      </w:pPr>
    </w:p>
    <w:p w14:paraId="2DFD62D3" w14:textId="77777777" w:rsidR="00F46260" w:rsidRPr="00F46260" w:rsidRDefault="00F46260" w:rsidP="00F46260">
      <w:pPr>
        <w:spacing w:after="0" w:line="240" w:lineRule="auto"/>
        <w:rPr>
          <w:rFonts w:ascii="Arial" w:eastAsia="Times New Roman" w:hAnsi="Arial" w:cs="Arial"/>
          <w:b/>
          <w:sz w:val="20"/>
          <w:szCs w:val="24"/>
          <w:lang w:eastAsia="en-AU"/>
        </w:rPr>
      </w:pPr>
    </w:p>
    <w:p w14:paraId="6CC50C58" w14:textId="77777777" w:rsidR="00F46260" w:rsidRPr="00F46260" w:rsidRDefault="00F46260" w:rsidP="00F46260">
      <w:pPr>
        <w:spacing w:after="0" w:line="240" w:lineRule="auto"/>
        <w:rPr>
          <w:rFonts w:ascii="Arial" w:eastAsia="Times New Roman" w:hAnsi="Arial" w:cs="Arial"/>
          <w:b/>
          <w:sz w:val="20"/>
          <w:szCs w:val="24"/>
          <w:lang w:eastAsia="en-AU"/>
        </w:rPr>
      </w:pPr>
    </w:p>
    <w:p w14:paraId="5E77880C" w14:textId="77777777" w:rsidR="00F46260" w:rsidRPr="00F46260" w:rsidRDefault="00F46260" w:rsidP="00F46260">
      <w:pPr>
        <w:spacing w:after="0" w:line="240" w:lineRule="auto"/>
        <w:rPr>
          <w:rFonts w:ascii="Arial" w:eastAsia="Times New Roman" w:hAnsi="Arial" w:cs="Arial"/>
          <w:b/>
          <w:sz w:val="20"/>
          <w:szCs w:val="24"/>
          <w:lang w:eastAsia="en-AU"/>
        </w:rPr>
      </w:pPr>
    </w:p>
    <w:p w14:paraId="2AAB2CC5" w14:textId="77777777" w:rsidR="00F46260" w:rsidRPr="00F46260" w:rsidRDefault="00F46260" w:rsidP="00F46260">
      <w:pPr>
        <w:spacing w:after="0" w:line="240" w:lineRule="auto"/>
        <w:rPr>
          <w:rFonts w:ascii="Arial" w:eastAsia="Times New Roman" w:hAnsi="Arial" w:cs="Arial"/>
          <w:b/>
          <w:sz w:val="20"/>
          <w:szCs w:val="24"/>
          <w:lang w:eastAsia="en-AU"/>
        </w:rPr>
      </w:pPr>
    </w:p>
    <w:p w14:paraId="03E15770" w14:textId="77777777" w:rsidR="00F46260" w:rsidRPr="00F46260" w:rsidRDefault="00F46260" w:rsidP="00F46260">
      <w:pPr>
        <w:spacing w:after="0" w:line="240" w:lineRule="auto"/>
        <w:rPr>
          <w:rFonts w:ascii="Arial" w:eastAsia="Times New Roman" w:hAnsi="Arial" w:cs="Arial"/>
          <w:b/>
          <w:sz w:val="20"/>
          <w:szCs w:val="24"/>
          <w:lang w:eastAsia="en-AU"/>
        </w:rPr>
      </w:pPr>
    </w:p>
    <w:p w14:paraId="76E41D4E" w14:textId="77777777" w:rsidR="00F46260" w:rsidRPr="00F46260" w:rsidRDefault="00F46260" w:rsidP="00F46260">
      <w:pPr>
        <w:spacing w:after="0" w:line="240" w:lineRule="auto"/>
        <w:rPr>
          <w:rFonts w:ascii="Arial" w:eastAsia="Times New Roman" w:hAnsi="Arial" w:cs="Arial"/>
          <w:b/>
          <w:sz w:val="20"/>
          <w:szCs w:val="24"/>
          <w:lang w:eastAsia="en-AU"/>
        </w:rPr>
      </w:pPr>
    </w:p>
    <w:p w14:paraId="28452D54" w14:textId="77777777" w:rsidR="00F46260" w:rsidRPr="00F46260" w:rsidRDefault="00F46260" w:rsidP="00F46260">
      <w:pPr>
        <w:spacing w:after="0" w:line="240" w:lineRule="auto"/>
        <w:rPr>
          <w:rFonts w:ascii="Arial" w:eastAsia="Times New Roman" w:hAnsi="Arial" w:cs="Arial"/>
          <w:b/>
          <w:sz w:val="20"/>
          <w:szCs w:val="24"/>
          <w:lang w:eastAsia="en-AU"/>
        </w:rPr>
      </w:pPr>
    </w:p>
    <w:p w14:paraId="00E8A9E4" w14:textId="77777777" w:rsidR="00F46260" w:rsidRPr="00F46260" w:rsidRDefault="00F46260" w:rsidP="00F46260">
      <w:pPr>
        <w:spacing w:after="0" w:line="240" w:lineRule="auto"/>
        <w:rPr>
          <w:rFonts w:ascii="Arial" w:eastAsia="Times New Roman" w:hAnsi="Arial" w:cs="Arial"/>
          <w:b/>
          <w:sz w:val="20"/>
          <w:szCs w:val="24"/>
          <w:lang w:eastAsia="en-AU"/>
        </w:rPr>
      </w:pPr>
    </w:p>
    <w:p w14:paraId="78CA300B" w14:textId="77777777" w:rsidR="00F46260" w:rsidRPr="00F46260" w:rsidRDefault="00F46260" w:rsidP="00F46260">
      <w:pPr>
        <w:spacing w:after="0" w:line="240" w:lineRule="auto"/>
        <w:rPr>
          <w:rFonts w:ascii="Arial" w:eastAsia="Times New Roman" w:hAnsi="Arial" w:cs="Arial"/>
          <w:b/>
          <w:sz w:val="20"/>
          <w:szCs w:val="24"/>
          <w:lang w:eastAsia="en-AU"/>
        </w:rPr>
      </w:pPr>
    </w:p>
    <w:p w14:paraId="7FA21A3E" w14:textId="77777777" w:rsidR="00F46260" w:rsidRPr="00F46260" w:rsidRDefault="00F46260" w:rsidP="00F46260">
      <w:pPr>
        <w:spacing w:after="0" w:line="240" w:lineRule="auto"/>
        <w:rPr>
          <w:rFonts w:ascii="Arial" w:eastAsia="Times New Roman" w:hAnsi="Arial" w:cs="Arial"/>
          <w:b/>
          <w:sz w:val="20"/>
          <w:szCs w:val="24"/>
          <w:lang w:eastAsia="en-AU"/>
        </w:rPr>
      </w:pPr>
    </w:p>
    <w:p w14:paraId="08D5B8D5" w14:textId="77777777" w:rsidR="00F46260" w:rsidRPr="00F46260" w:rsidRDefault="00F46260" w:rsidP="00F46260">
      <w:pPr>
        <w:spacing w:after="0" w:line="240" w:lineRule="auto"/>
        <w:rPr>
          <w:rFonts w:ascii="Arial" w:eastAsia="Times New Roman" w:hAnsi="Arial" w:cs="Arial"/>
          <w:b/>
          <w:sz w:val="20"/>
          <w:szCs w:val="24"/>
          <w:lang w:eastAsia="en-AU"/>
        </w:rPr>
      </w:pPr>
    </w:p>
    <w:p w14:paraId="0A20840C" w14:textId="77777777" w:rsidR="00F46260" w:rsidRPr="00F46260" w:rsidRDefault="00F46260" w:rsidP="00F46260">
      <w:pPr>
        <w:spacing w:after="0" w:line="240" w:lineRule="auto"/>
        <w:rPr>
          <w:rFonts w:ascii="Arial" w:eastAsia="Times New Roman" w:hAnsi="Arial" w:cs="Arial"/>
          <w:b/>
          <w:sz w:val="20"/>
          <w:szCs w:val="24"/>
          <w:lang w:eastAsia="en-AU"/>
        </w:rPr>
      </w:pPr>
    </w:p>
    <w:p w14:paraId="1C766A79" w14:textId="77777777" w:rsidR="00F46260" w:rsidRPr="00F46260" w:rsidRDefault="00F46260" w:rsidP="00F46260">
      <w:pPr>
        <w:spacing w:after="0" w:line="240" w:lineRule="auto"/>
        <w:rPr>
          <w:rFonts w:ascii="Arial" w:eastAsia="Times New Roman" w:hAnsi="Arial" w:cs="Arial"/>
          <w:b/>
          <w:sz w:val="20"/>
          <w:szCs w:val="24"/>
          <w:lang w:eastAsia="en-AU"/>
        </w:rPr>
      </w:pPr>
    </w:p>
    <w:p w14:paraId="05DF5A95" w14:textId="77777777" w:rsidR="00F46260" w:rsidRPr="00F46260" w:rsidRDefault="00F46260" w:rsidP="00F46260">
      <w:pPr>
        <w:spacing w:after="0" w:line="240" w:lineRule="auto"/>
        <w:rPr>
          <w:rFonts w:ascii="Arial" w:eastAsia="Times New Roman" w:hAnsi="Arial" w:cs="Arial"/>
          <w:b/>
          <w:sz w:val="20"/>
          <w:szCs w:val="24"/>
          <w:lang w:eastAsia="en-AU"/>
        </w:rPr>
      </w:pPr>
    </w:p>
    <w:p w14:paraId="64A2C990" w14:textId="77777777" w:rsidR="00F46260" w:rsidRPr="00F46260" w:rsidRDefault="00F46260" w:rsidP="00F46260">
      <w:pPr>
        <w:spacing w:after="0" w:line="240" w:lineRule="auto"/>
        <w:rPr>
          <w:rFonts w:ascii="Arial" w:eastAsia="Times New Roman" w:hAnsi="Arial" w:cs="Arial"/>
          <w:b/>
          <w:sz w:val="20"/>
          <w:szCs w:val="24"/>
          <w:lang w:eastAsia="en-AU"/>
        </w:rPr>
      </w:pPr>
    </w:p>
    <w:p w14:paraId="541B856F" w14:textId="77777777" w:rsidR="00F46260" w:rsidRPr="00F46260" w:rsidRDefault="00F46260" w:rsidP="00F46260">
      <w:pPr>
        <w:spacing w:after="0" w:line="240" w:lineRule="auto"/>
        <w:rPr>
          <w:rFonts w:ascii="Arial" w:eastAsia="Times New Roman" w:hAnsi="Arial" w:cs="Arial"/>
          <w:b/>
          <w:sz w:val="20"/>
          <w:szCs w:val="24"/>
          <w:lang w:eastAsia="en-AU"/>
        </w:rPr>
      </w:pPr>
    </w:p>
    <w:p w14:paraId="3EDAD149" w14:textId="77777777" w:rsidR="00F46260" w:rsidRPr="00F46260" w:rsidRDefault="00F46260" w:rsidP="00F46260">
      <w:pPr>
        <w:spacing w:after="0" w:line="240" w:lineRule="auto"/>
        <w:rPr>
          <w:rFonts w:ascii="Arial" w:eastAsia="Times New Roman" w:hAnsi="Arial" w:cs="Arial"/>
          <w:b/>
          <w:sz w:val="20"/>
          <w:szCs w:val="24"/>
          <w:lang w:eastAsia="en-AU"/>
        </w:rPr>
      </w:pPr>
    </w:p>
    <w:p w14:paraId="6B9BAED0" w14:textId="77777777" w:rsidR="00F46260" w:rsidRPr="00F46260" w:rsidRDefault="00F46260" w:rsidP="00F46260">
      <w:pPr>
        <w:spacing w:after="0" w:line="240" w:lineRule="auto"/>
        <w:rPr>
          <w:rFonts w:ascii="Arial" w:eastAsia="Times New Roman" w:hAnsi="Arial" w:cs="Arial"/>
          <w:b/>
          <w:sz w:val="20"/>
          <w:szCs w:val="24"/>
          <w:lang w:eastAsia="en-AU"/>
        </w:rPr>
      </w:pPr>
    </w:p>
    <w:p w14:paraId="4E8E64D6" w14:textId="77777777" w:rsidR="00F46260" w:rsidRPr="00F46260" w:rsidRDefault="00F46260" w:rsidP="00F46260">
      <w:pPr>
        <w:spacing w:after="0" w:line="240" w:lineRule="auto"/>
        <w:rPr>
          <w:rFonts w:ascii="Arial" w:eastAsia="Times New Roman" w:hAnsi="Arial" w:cs="Arial"/>
          <w:b/>
          <w:sz w:val="20"/>
          <w:szCs w:val="24"/>
          <w:lang w:eastAsia="en-AU"/>
        </w:rPr>
      </w:pPr>
    </w:p>
    <w:p w14:paraId="47BF4893" w14:textId="77777777" w:rsidR="00F46260" w:rsidRPr="00F46260" w:rsidRDefault="00F46260" w:rsidP="00F46260">
      <w:pPr>
        <w:spacing w:after="0" w:line="240" w:lineRule="auto"/>
        <w:rPr>
          <w:rFonts w:ascii="Arial" w:eastAsia="Times New Roman" w:hAnsi="Arial" w:cs="Arial"/>
          <w:b/>
          <w:sz w:val="20"/>
          <w:szCs w:val="24"/>
          <w:lang w:eastAsia="en-AU"/>
        </w:rPr>
      </w:pPr>
    </w:p>
    <w:p w14:paraId="104FF949" w14:textId="77777777" w:rsidR="00F46260" w:rsidRPr="00F46260" w:rsidRDefault="00F46260" w:rsidP="00F46260">
      <w:pPr>
        <w:spacing w:after="0" w:line="240" w:lineRule="auto"/>
        <w:rPr>
          <w:rFonts w:ascii="Arial" w:eastAsia="Times New Roman" w:hAnsi="Arial" w:cs="Arial"/>
          <w:b/>
          <w:sz w:val="20"/>
          <w:szCs w:val="24"/>
          <w:lang w:eastAsia="en-AU"/>
        </w:rPr>
      </w:pPr>
    </w:p>
    <w:p w14:paraId="671B1CBD" w14:textId="77777777" w:rsidR="00F46260" w:rsidRPr="00F46260" w:rsidRDefault="00F46260" w:rsidP="00F46260">
      <w:pPr>
        <w:spacing w:after="0" w:line="240" w:lineRule="auto"/>
        <w:rPr>
          <w:rFonts w:ascii="Arial" w:eastAsia="Times New Roman" w:hAnsi="Arial" w:cs="Arial"/>
          <w:b/>
          <w:sz w:val="20"/>
          <w:szCs w:val="24"/>
          <w:lang w:eastAsia="en-AU"/>
        </w:rPr>
      </w:pPr>
    </w:p>
    <w:p w14:paraId="162A79D8" w14:textId="77777777" w:rsidR="00F46260" w:rsidRPr="00F46260" w:rsidRDefault="00F46260" w:rsidP="00F46260">
      <w:pPr>
        <w:spacing w:after="0" w:line="240" w:lineRule="auto"/>
        <w:rPr>
          <w:rFonts w:ascii="Arial" w:eastAsia="Times New Roman" w:hAnsi="Arial" w:cs="Arial"/>
          <w:b/>
          <w:sz w:val="24"/>
          <w:szCs w:val="24"/>
          <w:lang w:eastAsia="en-AU"/>
        </w:rPr>
      </w:pPr>
      <w:bookmarkStart w:id="50" w:name="_Toc492305467"/>
      <w:r w:rsidRPr="00F46260">
        <w:rPr>
          <w:rFonts w:ascii="Arial" w:eastAsia="Times New Roman" w:hAnsi="Arial" w:cs="Arial"/>
          <w:sz w:val="24"/>
          <w:szCs w:val="24"/>
          <w:lang w:eastAsia="en-AU"/>
        </w:rPr>
        <w:br w:type="page"/>
      </w:r>
    </w:p>
    <w:p w14:paraId="76911E9E" w14:textId="77777777" w:rsidR="00F46260" w:rsidRPr="00F46260" w:rsidRDefault="00F46260" w:rsidP="00F46260">
      <w:pPr>
        <w:pBdr>
          <w:bottom w:val="single" w:sz="12" w:space="1" w:color="auto"/>
        </w:pBdr>
        <w:tabs>
          <w:tab w:val="left" w:pos="1384"/>
        </w:tabs>
        <w:spacing w:after="0" w:line="240" w:lineRule="auto"/>
        <w:ind w:left="1384" w:hanging="1384"/>
        <w:rPr>
          <w:rFonts w:ascii="Arial" w:eastAsia="Times New Roman" w:hAnsi="Arial" w:cs="Arial"/>
          <w:b/>
          <w:sz w:val="24"/>
          <w:szCs w:val="24"/>
          <w:lang w:eastAsia="en-AU"/>
        </w:rPr>
      </w:pPr>
      <w:r w:rsidRPr="00F46260">
        <w:rPr>
          <w:rFonts w:ascii="Arial" w:eastAsia="Times New Roman" w:hAnsi="Arial" w:cs="Arial"/>
          <w:b/>
          <w:sz w:val="24"/>
          <w:szCs w:val="24"/>
          <w:lang w:eastAsia="en-AU"/>
        </w:rPr>
        <w:lastRenderedPageBreak/>
        <w:t>4. Key assets available to support delivery of our services</w:t>
      </w:r>
      <w:bookmarkEnd w:id="49"/>
      <w:bookmarkEnd w:id="50"/>
    </w:p>
    <w:p w14:paraId="38509AB8" w14:textId="77777777" w:rsidR="00F46260" w:rsidRPr="00F46260" w:rsidRDefault="00F46260" w:rsidP="00F46260">
      <w:pPr>
        <w:tabs>
          <w:tab w:val="left" w:pos="1384"/>
        </w:tabs>
        <w:spacing w:after="0" w:line="240" w:lineRule="auto"/>
        <w:ind w:left="1384" w:hanging="1384"/>
        <w:rPr>
          <w:rFonts w:ascii="Arial" w:eastAsia="Times New Roman" w:hAnsi="Arial" w:cs="Arial"/>
          <w:i/>
          <w:sz w:val="20"/>
          <w:szCs w:val="20"/>
          <w:lang w:eastAsia="en-AU"/>
        </w:rPr>
      </w:pPr>
    </w:p>
    <w:tbl>
      <w:tblPr>
        <w:tblStyle w:val="CVtable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856"/>
      </w:tblGrid>
      <w:tr w:rsidR="00F46260" w:rsidRPr="00F46260" w14:paraId="7F00A39B" w14:textId="77777777" w:rsidTr="00F46260">
        <w:tc>
          <w:tcPr>
            <w:tcW w:w="4608" w:type="dxa"/>
            <w:tcBorders>
              <w:right w:val="single" w:sz="4" w:space="0" w:color="auto"/>
            </w:tcBorders>
          </w:tcPr>
          <w:p w14:paraId="074C607C" w14:textId="77777777" w:rsidR="00F46260" w:rsidRPr="00F46260" w:rsidRDefault="00F46260" w:rsidP="00F46260">
            <w:pPr>
              <w:autoSpaceDE w:val="0"/>
              <w:autoSpaceDN w:val="0"/>
              <w:adjustRightInd w:val="0"/>
              <w:spacing w:after="0" w:line="240" w:lineRule="auto"/>
              <w:rPr>
                <w:rFonts w:ascii="Arial" w:hAnsi="Arial" w:cs="Arial"/>
                <w:b/>
              </w:rPr>
            </w:pPr>
            <w:r w:rsidRPr="00F46260">
              <w:rPr>
                <w:rFonts w:ascii="Arial" w:hAnsi="Arial" w:cs="Arial"/>
                <w:b/>
              </w:rPr>
              <w:t>Introduction</w:t>
            </w:r>
          </w:p>
          <w:p w14:paraId="181E2E25" w14:textId="77777777" w:rsidR="00F46260" w:rsidRPr="00F46260" w:rsidRDefault="00F46260" w:rsidP="00F46260">
            <w:pPr>
              <w:autoSpaceDE w:val="0"/>
              <w:autoSpaceDN w:val="0"/>
              <w:adjustRightInd w:val="0"/>
              <w:spacing w:after="0" w:line="240" w:lineRule="auto"/>
              <w:rPr>
                <w:rFonts w:ascii="Arial" w:hAnsi="Arial" w:cs="Arial"/>
              </w:rPr>
            </w:pPr>
          </w:p>
          <w:p w14:paraId="320851E3" w14:textId="4AB5B3E3" w:rsidR="00F46260" w:rsidRPr="00D1524E" w:rsidRDefault="00F46260" w:rsidP="00D1524E">
            <w:pPr>
              <w:autoSpaceDE w:val="0"/>
              <w:autoSpaceDN w:val="0"/>
              <w:adjustRightInd w:val="0"/>
              <w:spacing w:after="0" w:line="240" w:lineRule="auto"/>
              <w:rPr>
                <w:rFonts w:ascii="Arial" w:hAnsi="Arial" w:cs="Arial"/>
              </w:rPr>
            </w:pPr>
            <w:r w:rsidRPr="00F46260">
              <w:rPr>
                <w:rFonts w:ascii="Arial" w:hAnsi="Arial" w:cs="Arial"/>
              </w:rPr>
              <w:t>The Commission controls property, plant and equipment in fulfilling its objectives and conducting its activities. These assets represent the key resources that the Commission uses for the delivery of these services.</w:t>
            </w:r>
          </w:p>
        </w:tc>
        <w:tc>
          <w:tcPr>
            <w:tcW w:w="4856" w:type="dxa"/>
            <w:tcBorders>
              <w:left w:val="single" w:sz="4" w:space="0" w:color="auto"/>
            </w:tcBorders>
          </w:tcPr>
          <w:p w14:paraId="043A356E" w14:textId="77777777" w:rsidR="00F46260" w:rsidRPr="00F46260" w:rsidRDefault="00F46260" w:rsidP="00F46260">
            <w:pPr>
              <w:spacing w:after="0" w:line="240" w:lineRule="auto"/>
              <w:rPr>
                <w:rFonts w:ascii="Arial" w:hAnsi="Arial" w:cs="Arial"/>
                <w:b/>
              </w:rPr>
            </w:pPr>
            <w:r w:rsidRPr="00F46260">
              <w:rPr>
                <w:rFonts w:ascii="Arial" w:hAnsi="Arial" w:cs="Arial"/>
                <w:b/>
              </w:rPr>
              <w:t>Structure</w:t>
            </w:r>
          </w:p>
          <w:p w14:paraId="482066C5" w14:textId="77777777" w:rsidR="00F46260" w:rsidRPr="00F46260" w:rsidRDefault="00F46260" w:rsidP="00D1524E">
            <w:pPr>
              <w:spacing w:after="0" w:line="240" w:lineRule="auto"/>
              <w:contextualSpacing/>
              <w:rPr>
                <w:rFonts w:ascii="Arial" w:hAnsi="Arial" w:cs="Arial"/>
              </w:rPr>
            </w:pPr>
          </w:p>
          <w:p w14:paraId="1E137B0B" w14:textId="77777777" w:rsidR="00F46260" w:rsidRPr="00F46260" w:rsidRDefault="00F46260" w:rsidP="00F8706A">
            <w:pPr>
              <w:numPr>
                <w:ilvl w:val="1"/>
                <w:numId w:val="28"/>
              </w:numPr>
              <w:spacing w:after="0" w:line="240" w:lineRule="auto"/>
              <w:ind w:left="714" w:hanging="357"/>
              <w:contextualSpacing/>
              <w:rPr>
                <w:rFonts w:ascii="Arial" w:hAnsi="Arial" w:cs="Arial"/>
              </w:rPr>
            </w:pPr>
            <w:r w:rsidRPr="00F46260">
              <w:rPr>
                <w:rFonts w:ascii="Arial" w:hAnsi="Arial" w:cs="Arial"/>
              </w:rPr>
              <w:t>Property, plant, and equipment</w:t>
            </w:r>
          </w:p>
          <w:p w14:paraId="6C6428EA" w14:textId="77777777" w:rsidR="00F46260" w:rsidRPr="00F46260" w:rsidRDefault="00F46260" w:rsidP="00F8706A">
            <w:pPr>
              <w:numPr>
                <w:ilvl w:val="1"/>
                <w:numId w:val="28"/>
              </w:numPr>
              <w:spacing w:after="0" w:line="240" w:lineRule="auto"/>
              <w:ind w:left="714" w:hanging="357"/>
              <w:contextualSpacing/>
              <w:rPr>
                <w:rFonts w:ascii="Arial" w:hAnsi="Arial" w:cs="Arial"/>
              </w:rPr>
            </w:pPr>
            <w:r w:rsidRPr="00F46260">
              <w:rPr>
                <w:rFonts w:ascii="Arial" w:hAnsi="Arial" w:cs="Arial"/>
              </w:rPr>
              <w:t>Intangible assets</w:t>
            </w:r>
          </w:p>
          <w:p w14:paraId="598283A1" w14:textId="77777777" w:rsidR="00F46260" w:rsidRPr="00F46260" w:rsidRDefault="00F46260" w:rsidP="00F8706A">
            <w:pPr>
              <w:numPr>
                <w:ilvl w:val="1"/>
                <w:numId w:val="28"/>
              </w:numPr>
              <w:spacing w:after="0" w:line="240" w:lineRule="auto"/>
              <w:ind w:left="714" w:hanging="357"/>
              <w:contextualSpacing/>
              <w:rPr>
                <w:rFonts w:ascii="Arial" w:hAnsi="Arial" w:cs="Arial"/>
              </w:rPr>
            </w:pPr>
            <w:r w:rsidRPr="00F46260">
              <w:rPr>
                <w:rFonts w:ascii="Arial" w:hAnsi="Arial" w:cs="Arial"/>
              </w:rPr>
              <w:t>Asset depreciation</w:t>
            </w:r>
          </w:p>
        </w:tc>
      </w:tr>
    </w:tbl>
    <w:p w14:paraId="569175A2" w14:textId="77777777" w:rsidR="00F46260" w:rsidRPr="00F46260" w:rsidRDefault="00F46260" w:rsidP="00F46260">
      <w:pPr>
        <w:spacing w:after="0" w:line="240" w:lineRule="auto"/>
        <w:rPr>
          <w:rFonts w:ascii="Arial" w:eastAsia="Times New Roman" w:hAnsi="Arial" w:cs="Arial"/>
          <w:sz w:val="20"/>
          <w:szCs w:val="20"/>
          <w:lang w:eastAsia="en-AU"/>
        </w:rPr>
      </w:pPr>
    </w:p>
    <w:p w14:paraId="255A994D"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4.1 Property, plant, and equipment</w:t>
      </w:r>
    </w:p>
    <w:tbl>
      <w:tblPr>
        <w:tblW w:w="5000" w:type="pct"/>
        <w:tblInd w:w="-17" w:type="dxa"/>
        <w:tblCellMar>
          <w:left w:w="17" w:type="dxa"/>
          <w:right w:w="17" w:type="dxa"/>
        </w:tblCellMar>
        <w:tblLook w:val="04A0" w:firstRow="1" w:lastRow="0" w:firstColumn="1" w:lastColumn="0" w:noHBand="0" w:noVBand="1"/>
      </w:tblPr>
      <w:tblGrid>
        <w:gridCol w:w="3676"/>
        <w:gridCol w:w="946"/>
        <w:gridCol w:w="947"/>
        <w:gridCol w:w="947"/>
        <w:gridCol w:w="947"/>
        <w:gridCol w:w="947"/>
        <w:gridCol w:w="945"/>
      </w:tblGrid>
      <w:tr w:rsidR="00F46260" w:rsidRPr="00F46260" w14:paraId="7EC49558" w14:textId="77777777" w:rsidTr="00D1524E">
        <w:trPr>
          <w:trHeight w:val="255"/>
        </w:trPr>
        <w:tc>
          <w:tcPr>
            <w:tcW w:w="1965" w:type="pct"/>
            <w:tcBorders>
              <w:left w:val="nil"/>
              <w:right w:val="nil"/>
            </w:tcBorders>
            <w:shd w:val="clear" w:color="auto" w:fill="auto"/>
          </w:tcPr>
          <w:p w14:paraId="1FB7E376" w14:textId="77777777" w:rsidR="00F46260" w:rsidRPr="00F46260" w:rsidRDefault="00F46260" w:rsidP="00F46260">
            <w:pPr>
              <w:spacing w:before="100" w:beforeAutospacing="1" w:after="100" w:afterAutospacing="1" w:line="240" w:lineRule="auto"/>
              <w:rPr>
                <w:rFonts w:ascii="Arial" w:eastAsia="Times New Roman" w:hAnsi="Arial" w:cs="Arial"/>
                <w:i/>
                <w:iCs/>
                <w:noProof/>
                <w:sz w:val="19"/>
                <w:szCs w:val="19"/>
                <w:lang w:eastAsia="en-AU"/>
              </w:rPr>
            </w:pPr>
          </w:p>
        </w:tc>
        <w:tc>
          <w:tcPr>
            <w:tcW w:w="3035" w:type="pct"/>
            <w:gridSpan w:val="6"/>
            <w:tcBorders>
              <w:left w:val="nil"/>
              <w:right w:val="nil"/>
            </w:tcBorders>
            <w:shd w:val="clear" w:color="auto" w:fill="FFFFFF"/>
          </w:tcPr>
          <w:p w14:paraId="6C9DDA17" w14:textId="77777777" w:rsidR="00F46260" w:rsidRPr="00F46260" w:rsidRDefault="00F46260" w:rsidP="00F46260">
            <w:pPr>
              <w:spacing w:before="100" w:beforeAutospacing="1" w:after="100" w:afterAutospacing="1" w:line="240" w:lineRule="auto"/>
              <w:jc w:val="center"/>
              <w:rPr>
                <w:rFonts w:ascii="Arial" w:eastAsia="Times New Roman" w:hAnsi="Arial" w:cs="Arial"/>
                <w:iCs/>
                <w:noProof/>
                <w:sz w:val="19"/>
                <w:szCs w:val="19"/>
                <w:lang w:eastAsia="en-AU"/>
              </w:rPr>
            </w:pPr>
          </w:p>
        </w:tc>
      </w:tr>
      <w:tr w:rsidR="00F46260" w:rsidRPr="00F46260" w14:paraId="64A89396" w14:textId="77777777" w:rsidTr="00D1524E">
        <w:trPr>
          <w:trHeight w:val="255"/>
        </w:trPr>
        <w:tc>
          <w:tcPr>
            <w:tcW w:w="1965" w:type="pct"/>
            <w:tcBorders>
              <w:left w:val="nil"/>
              <w:right w:val="nil"/>
            </w:tcBorders>
            <w:shd w:val="pct50" w:color="auto" w:fill="auto"/>
          </w:tcPr>
          <w:p w14:paraId="56A24DE0" w14:textId="77777777" w:rsidR="00F46260" w:rsidRPr="00F46260" w:rsidRDefault="00F46260" w:rsidP="00F46260">
            <w:pPr>
              <w:spacing w:before="100" w:beforeAutospacing="1" w:after="100" w:afterAutospacing="1" w:line="240" w:lineRule="auto"/>
              <w:rPr>
                <w:rFonts w:ascii="Arial" w:eastAsia="Times New Roman" w:hAnsi="Arial" w:cs="Arial"/>
                <w:i/>
                <w:iCs/>
                <w:noProof/>
                <w:sz w:val="19"/>
                <w:szCs w:val="19"/>
                <w:lang w:eastAsia="en-AU"/>
              </w:rPr>
            </w:pPr>
          </w:p>
        </w:tc>
        <w:tc>
          <w:tcPr>
            <w:tcW w:w="1012" w:type="pct"/>
            <w:gridSpan w:val="2"/>
            <w:tcBorders>
              <w:left w:val="nil"/>
              <w:right w:val="nil"/>
            </w:tcBorders>
            <w:shd w:val="pct50" w:color="auto" w:fill="auto"/>
          </w:tcPr>
          <w:p w14:paraId="2B925C6C" w14:textId="77777777" w:rsidR="00F46260" w:rsidRPr="00F46260" w:rsidRDefault="00F46260" w:rsidP="00F46260">
            <w:pPr>
              <w:spacing w:before="100" w:beforeAutospacing="1" w:after="100" w:afterAutospacing="1" w:line="240" w:lineRule="auto"/>
              <w:jc w:val="center"/>
              <w:rPr>
                <w:rFonts w:ascii="Arial" w:eastAsia="Times New Roman" w:hAnsi="Arial" w:cs="Arial"/>
                <w:b/>
                <w:i/>
                <w:iCs/>
                <w:noProof/>
                <w:color w:val="FFFFFF"/>
                <w:sz w:val="19"/>
                <w:szCs w:val="19"/>
                <w:lang w:eastAsia="en-AU"/>
              </w:rPr>
            </w:pPr>
            <w:r w:rsidRPr="00F46260">
              <w:rPr>
                <w:rFonts w:ascii="Arial" w:eastAsia="Times New Roman" w:hAnsi="Arial" w:cs="Arial"/>
                <w:b/>
                <w:i/>
                <w:iCs/>
                <w:noProof/>
                <w:color w:val="FFFFFF"/>
                <w:sz w:val="19"/>
                <w:szCs w:val="19"/>
                <w:lang w:eastAsia="en-AU"/>
              </w:rPr>
              <w:t>Gross carrying amount</w:t>
            </w:r>
          </w:p>
        </w:tc>
        <w:tc>
          <w:tcPr>
            <w:tcW w:w="1012" w:type="pct"/>
            <w:gridSpan w:val="2"/>
            <w:tcBorders>
              <w:left w:val="nil"/>
              <w:right w:val="nil"/>
            </w:tcBorders>
            <w:shd w:val="pct50" w:color="auto" w:fill="auto"/>
          </w:tcPr>
          <w:p w14:paraId="28F0711B" w14:textId="77777777" w:rsidR="00F46260" w:rsidRPr="00F46260" w:rsidRDefault="00F46260" w:rsidP="00F46260">
            <w:pPr>
              <w:spacing w:before="100" w:beforeAutospacing="1" w:after="100" w:afterAutospacing="1" w:line="240" w:lineRule="auto"/>
              <w:jc w:val="center"/>
              <w:rPr>
                <w:rFonts w:ascii="Arial" w:eastAsia="Times New Roman" w:hAnsi="Arial" w:cs="Arial"/>
                <w:b/>
                <w:i/>
                <w:iCs/>
                <w:noProof/>
                <w:color w:val="FFFFFF"/>
                <w:sz w:val="19"/>
                <w:szCs w:val="19"/>
                <w:lang w:eastAsia="en-AU"/>
              </w:rPr>
            </w:pPr>
            <w:r w:rsidRPr="00F46260">
              <w:rPr>
                <w:rFonts w:ascii="Arial" w:eastAsia="Times New Roman" w:hAnsi="Arial" w:cs="Arial"/>
                <w:b/>
                <w:i/>
                <w:iCs/>
                <w:noProof/>
                <w:color w:val="FFFFFF"/>
                <w:sz w:val="19"/>
                <w:szCs w:val="19"/>
                <w:lang w:eastAsia="en-AU"/>
              </w:rPr>
              <w:t>Accumulated depreciation</w:t>
            </w:r>
          </w:p>
        </w:tc>
        <w:tc>
          <w:tcPr>
            <w:tcW w:w="1011" w:type="pct"/>
            <w:gridSpan w:val="2"/>
            <w:tcBorders>
              <w:left w:val="nil"/>
              <w:right w:val="nil"/>
            </w:tcBorders>
            <w:shd w:val="pct50" w:color="auto" w:fill="auto"/>
            <w:noWrap/>
          </w:tcPr>
          <w:p w14:paraId="2B2FD26E" w14:textId="77777777" w:rsidR="00F46260" w:rsidRPr="00F46260" w:rsidRDefault="00F46260" w:rsidP="00F46260">
            <w:pPr>
              <w:spacing w:before="100" w:beforeAutospacing="1" w:after="100" w:afterAutospacing="1" w:line="240" w:lineRule="auto"/>
              <w:jc w:val="center"/>
              <w:rPr>
                <w:rFonts w:ascii="Arial" w:eastAsia="Times New Roman" w:hAnsi="Arial" w:cs="Arial"/>
                <w:b/>
                <w:i/>
                <w:iCs/>
                <w:noProof/>
                <w:color w:val="FFFFFF"/>
                <w:sz w:val="19"/>
                <w:szCs w:val="19"/>
                <w:lang w:eastAsia="en-AU"/>
              </w:rPr>
            </w:pPr>
            <w:r w:rsidRPr="00F46260">
              <w:rPr>
                <w:rFonts w:ascii="Arial" w:eastAsia="Times New Roman" w:hAnsi="Arial" w:cs="Arial"/>
                <w:b/>
                <w:i/>
                <w:iCs/>
                <w:noProof/>
                <w:color w:val="FFFFFF"/>
                <w:sz w:val="19"/>
                <w:szCs w:val="19"/>
                <w:lang w:eastAsia="en-AU"/>
              </w:rPr>
              <w:t>Net carrying amount</w:t>
            </w:r>
          </w:p>
        </w:tc>
      </w:tr>
      <w:tr w:rsidR="00F46260" w:rsidRPr="00F46260" w14:paraId="51832E1E" w14:textId="77777777" w:rsidTr="00D1524E">
        <w:trPr>
          <w:trHeight w:val="255"/>
        </w:trPr>
        <w:tc>
          <w:tcPr>
            <w:tcW w:w="1965" w:type="pct"/>
            <w:tcBorders>
              <w:left w:val="nil"/>
              <w:right w:val="nil"/>
            </w:tcBorders>
            <w:shd w:val="pct50" w:color="auto" w:fill="auto"/>
            <w:hideMark/>
          </w:tcPr>
          <w:p w14:paraId="3232C23A" w14:textId="77777777" w:rsidR="00F46260" w:rsidRPr="00F46260" w:rsidRDefault="00F46260" w:rsidP="00F46260">
            <w:pPr>
              <w:spacing w:before="100" w:beforeAutospacing="1" w:after="100" w:afterAutospacing="1" w:line="240" w:lineRule="auto"/>
              <w:jc w:val="right"/>
              <w:rPr>
                <w:rFonts w:ascii="Arial" w:eastAsia="Times New Roman" w:hAnsi="Arial" w:cs="Arial"/>
                <w:i/>
                <w:iCs/>
                <w:noProof/>
                <w:sz w:val="19"/>
                <w:szCs w:val="19"/>
                <w:lang w:eastAsia="en-AU"/>
              </w:rPr>
            </w:pPr>
            <w:r w:rsidRPr="00F46260">
              <w:rPr>
                <w:rFonts w:ascii="Arial" w:eastAsia="Times New Roman" w:hAnsi="Arial" w:cs="Arial"/>
                <w:i/>
                <w:iCs/>
                <w:noProof/>
                <w:sz w:val="19"/>
                <w:szCs w:val="19"/>
                <w:lang w:eastAsia="en-AU"/>
              </w:rPr>
              <w:t xml:space="preserve"> </w:t>
            </w:r>
          </w:p>
        </w:tc>
        <w:tc>
          <w:tcPr>
            <w:tcW w:w="506" w:type="pct"/>
            <w:tcBorders>
              <w:left w:val="nil"/>
              <w:right w:val="nil"/>
            </w:tcBorders>
            <w:shd w:val="pct50" w:color="auto" w:fill="auto"/>
          </w:tcPr>
          <w:p w14:paraId="6051F1A7"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2021</w:t>
            </w:r>
          </w:p>
          <w:p w14:paraId="42B0718E"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506" w:type="pct"/>
            <w:tcBorders>
              <w:left w:val="nil"/>
              <w:right w:val="nil"/>
            </w:tcBorders>
            <w:shd w:val="pct50" w:color="auto" w:fill="auto"/>
          </w:tcPr>
          <w:p w14:paraId="06011EEB"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2020</w:t>
            </w:r>
          </w:p>
          <w:p w14:paraId="740BD809"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506" w:type="pct"/>
            <w:tcBorders>
              <w:left w:val="nil"/>
              <w:right w:val="nil"/>
            </w:tcBorders>
            <w:shd w:val="pct50" w:color="auto" w:fill="auto"/>
          </w:tcPr>
          <w:p w14:paraId="056BDA18"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2021</w:t>
            </w:r>
          </w:p>
          <w:p w14:paraId="159A71E9"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506" w:type="pct"/>
            <w:tcBorders>
              <w:left w:val="nil"/>
              <w:right w:val="nil"/>
            </w:tcBorders>
            <w:shd w:val="pct50" w:color="auto" w:fill="auto"/>
            <w:noWrap/>
          </w:tcPr>
          <w:p w14:paraId="6110AB0B"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2020</w:t>
            </w:r>
          </w:p>
          <w:p w14:paraId="577EB610"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506" w:type="pct"/>
            <w:tcBorders>
              <w:left w:val="nil"/>
              <w:right w:val="nil"/>
            </w:tcBorders>
            <w:shd w:val="pct50" w:color="auto" w:fill="auto"/>
            <w:noWrap/>
          </w:tcPr>
          <w:p w14:paraId="331B6153"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2021</w:t>
            </w:r>
          </w:p>
          <w:p w14:paraId="3C717B01"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505" w:type="pct"/>
            <w:tcBorders>
              <w:left w:val="nil"/>
              <w:right w:val="nil"/>
            </w:tcBorders>
            <w:shd w:val="pct50" w:color="auto" w:fill="auto"/>
          </w:tcPr>
          <w:p w14:paraId="6888A4A3"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2020</w:t>
            </w:r>
          </w:p>
          <w:p w14:paraId="5D20E1CC"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r>
      <w:tr w:rsidR="00F46260" w:rsidRPr="00F46260" w14:paraId="16997D4D" w14:textId="77777777" w:rsidTr="00D1524E">
        <w:trPr>
          <w:trHeight w:val="255"/>
        </w:trPr>
        <w:tc>
          <w:tcPr>
            <w:tcW w:w="1965" w:type="pct"/>
            <w:tcBorders>
              <w:top w:val="nil"/>
              <w:left w:val="nil"/>
              <w:right w:val="nil"/>
            </w:tcBorders>
            <w:shd w:val="clear" w:color="auto" w:fill="auto"/>
          </w:tcPr>
          <w:p w14:paraId="308D1B07" w14:textId="77777777" w:rsidR="00F46260" w:rsidRPr="00F46260" w:rsidRDefault="00F46260" w:rsidP="00F46260">
            <w:pPr>
              <w:spacing w:before="100" w:beforeAutospacing="1" w:after="100" w:afterAutospacing="1" w:line="240" w:lineRule="auto"/>
              <w:rPr>
                <w:rFonts w:ascii="Arial" w:eastAsia="Calibri" w:hAnsi="Arial" w:cs="Arial"/>
                <w:sz w:val="19"/>
                <w:szCs w:val="19"/>
              </w:rPr>
            </w:pPr>
            <w:r w:rsidRPr="00F46260">
              <w:rPr>
                <w:rFonts w:ascii="Arial" w:eastAsia="Calibri" w:hAnsi="Arial" w:cs="Arial"/>
                <w:sz w:val="19"/>
                <w:szCs w:val="19"/>
              </w:rPr>
              <w:t>Leasehold improvements</w:t>
            </w:r>
          </w:p>
        </w:tc>
        <w:tc>
          <w:tcPr>
            <w:tcW w:w="506" w:type="pct"/>
            <w:tcBorders>
              <w:top w:val="nil"/>
              <w:left w:val="nil"/>
              <w:right w:val="nil"/>
            </w:tcBorders>
            <w:shd w:val="pct15" w:color="auto" w:fill="auto"/>
            <w:vAlign w:val="bottom"/>
          </w:tcPr>
          <w:p w14:paraId="3052A520" w14:textId="77777777" w:rsidR="00F46260" w:rsidRPr="00F46260" w:rsidRDefault="00F46260" w:rsidP="00F46260">
            <w:pPr>
              <w:spacing w:after="0"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287,163</w:t>
            </w:r>
          </w:p>
        </w:tc>
        <w:tc>
          <w:tcPr>
            <w:tcW w:w="506" w:type="pct"/>
            <w:tcBorders>
              <w:top w:val="nil"/>
              <w:left w:val="nil"/>
              <w:right w:val="nil"/>
            </w:tcBorders>
            <w:shd w:val="clear" w:color="auto" w:fill="auto"/>
            <w:vAlign w:val="bottom"/>
          </w:tcPr>
          <w:p w14:paraId="6D957E56"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251,183</w:t>
            </w:r>
          </w:p>
        </w:tc>
        <w:tc>
          <w:tcPr>
            <w:tcW w:w="506" w:type="pct"/>
            <w:tcBorders>
              <w:top w:val="nil"/>
              <w:left w:val="nil"/>
              <w:right w:val="nil"/>
            </w:tcBorders>
            <w:shd w:val="pct15" w:color="auto" w:fill="auto"/>
            <w:vAlign w:val="bottom"/>
          </w:tcPr>
          <w:p w14:paraId="1B1C8E8C"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(127,972)</w:t>
            </w:r>
          </w:p>
        </w:tc>
        <w:tc>
          <w:tcPr>
            <w:tcW w:w="506" w:type="pct"/>
            <w:tcBorders>
              <w:top w:val="nil"/>
              <w:left w:val="nil"/>
              <w:right w:val="nil"/>
            </w:tcBorders>
            <w:shd w:val="clear" w:color="auto" w:fill="auto"/>
            <w:noWrap/>
            <w:vAlign w:val="bottom"/>
          </w:tcPr>
          <w:p w14:paraId="31955A84"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(106,352)</w:t>
            </w:r>
          </w:p>
        </w:tc>
        <w:tc>
          <w:tcPr>
            <w:tcW w:w="506" w:type="pct"/>
            <w:tcBorders>
              <w:top w:val="nil"/>
              <w:left w:val="nil"/>
              <w:right w:val="nil"/>
            </w:tcBorders>
            <w:shd w:val="pct15" w:color="auto" w:fill="auto"/>
            <w:noWrap/>
            <w:vAlign w:val="bottom"/>
          </w:tcPr>
          <w:p w14:paraId="49BE42A2"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159,191</w:t>
            </w:r>
          </w:p>
        </w:tc>
        <w:tc>
          <w:tcPr>
            <w:tcW w:w="505" w:type="pct"/>
            <w:tcBorders>
              <w:top w:val="nil"/>
              <w:left w:val="nil"/>
              <w:right w:val="nil"/>
            </w:tcBorders>
            <w:shd w:val="clear" w:color="auto" w:fill="FFFFFF"/>
            <w:vAlign w:val="bottom"/>
          </w:tcPr>
          <w:p w14:paraId="230F2209"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144,832</w:t>
            </w:r>
          </w:p>
        </w:tc>
      </w:tr>
      <w:tr w:rsidR="00F46260" w:rsidRPr="00F46260" w14:paraId="11D6BBB2" w14:textId="77777777" w:rsidTr="00D1524E">
        <w:trPr>
          <w:trHeight w:val="255"/>
        </w:trPr>
        <w:tc>
          <w:tcPr>
            <w:tcW w:w="1965" w:type="pct"/>
            <w:tcBorders>
              <w:left w:val="nil"/>
              <w:right w:val="nil"/>
            </w:tcBorders>
            <w:shd w:val="clear" w:color="auto" w:fill="auto"/>
          </w:tcPr>
          <w:p w14:paraId="1968B822" w14:textId="77777777" w:rsidR="00F46260" w:rsidRPr="00F46260" w:rsidRDefault="00F46260" w:rsidP="00F46260">
            <w:pPr>
              <w:spacing w:before="100" w:beforeAutospacing="1" w:after="100" w:afterAutospacing="1" w:line="240" w:lineRule="auto"/>
              <w:rPr>
                <w:rFonts w:ascii="Arial" w:eastAsia="Calibri" w:hAnsi="Arial" w:cs="Arial"/>
                <w:sz w:val="19"/>
                <w:szCs w:val="19"/>
              </w:rPr>
            </w:pPr>
            <w:r w:rsidRPr="00F46260">
              <w:rPr>
                <w:rFonts w:ascii="Arial" w:eastAsia="Calibri" w:hAnsi="Arial" w:cs="Arial"/>
                <w:sz w:val="19"/>
                <w:szCs w:val="19"/>
              </w:rPr>
              <w:t>Office and computer equipment</w:t>
            </w:r>
          </w:p>
        </w:tc>
        <w:tc>
          <w:tcPr>
            <w:tcW w:w="506" w:type="pct"/>
            <w:tcBorders>
              <w:left w:val="nil"/>
              <w:right w:val="nil"/>
            </w:tcBorders>
            <w:shd w:val="pct15" w:color="auto" w:fill="auto"/>
            <w:vAlign w:val="bottom"/>
          </w:tcPr>
          <w:p w14:paraId="616CBCED" w14:textId="77777777" w:rsidR="00F46260" w:rsidRPr="00F46260" w:rsidRDefault="00F46260" w:rsidP="00F46260">
            <w:pPr>
              <w:spacing w:after="0"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16,146</w:t>
            </w:r>
          </w:p>
        </w:tc>
        <w:tc>
          <w:tcPr>
            <w:tcW w:w="506" w:type="pct"/>
            <w:tcBorders>
              <w:left w:val="nil"/>
              <w:right w:val="nil"/>
            </w:tcBorders>
            <w:shd w:val="clear" w:color="auto" w:fill="auto"/>
            <w:vAlign w:val="bottom"/>
          </w:tcPr>
          <w:p w14:paraId="2398C25E"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w:t>
            </w:r>
          </w:p>
        </w:tc>
        <w:tc>
          <w:tcPr>
            <w:tcW w:w="506" w:type="pct"/>
            <w:tcBorders>
              <w:left w:val="nil"/>
              <w:right w:val="nil"/>
            </w:tcBorders>
            <w:shd w:val="pct15" w:color="auto" w:fill="auto"/>
            <w:vAlign w:val="bottom"/>
          </w:tcPr>
          <w:p w14:paraId="366543B3"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(3,229)</w:t>
            </w:r>
          </w:p>
        </w:tc>
        <w:tc>
          <w:tcPr>
            <w:tcW w:w="506" w:type="pct"/>
            <w:tcBorders>
              <w:left w:val="nil"/>
              <w:right w:val="nil"/>
            </w:tcBorders>
            <w:shd w:val="clear" w:color="auto" w:fill="auto"/>
            <w:noWrap/>
            <w:vAlign w:val="bottom"/>
          </w:tcPr>
          <w:p w14:paraId="65E302AA"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w:t>
            </w:r>
          </w:p>
        </w:tc>
        <w:tc>
          <w:tcPr>
            <w:tcW w:w="506" w:type="pct"/>
            <w:tcBorders>
              <w:left w:val="nil"/>
              <w:right w:val="nil"/>
            </w:tcBorders>
            <w:shd w:val="pct15" w:color="auto" w:fill="auto"/>
            <w:noWrap/>
            <w:vAlign w:val="bottom"/>
          </w:tcPr>
          <w:p w14:paraId="50EA2F64"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12,917</w:t>
            </w:r>
          </w:p>
        </w:tc>
        <w:tc>
          <w:tcPr>
            <w:tcW w:w="505" w:type="pct"/>
            <w:tcBorders>
              <w:left w:val="nil"/>
              <w:right w:val="nil"/>
            </w:tcBorders>
            <w:shd w:val="clear" w:color="auto" w:fill="FFFFFF"/>
            <w:vAlign w:val="bottom"/>
          </w:tcPr>
          <w:p w14:paraId="4328DDEE"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w:t>
            </w:r>
          </w:p>
        </w:tc>
      </w:tr>
      <w:tr w:rsidR="00F46260" w:rsidRPr="00F46260" w14:paraId="49A56D2D" w14:textId="77777777" w:rsidTr="00D1524E">
        <w:trPr>
          <w:trHeight w:val="255"/>
        </w:trPr>
        <w:tc>
          <w:tcPr>
            <w:tcW w:w="1965" w:type="pct"/>
            <w:tcBorders>
              <w:left w:val="nil"/>
              <w:right w:val="nil"/>
            </w:tcBorders>
            <w:shd w:val="clear" w:color="auto" w:fill="auto"/>
          </w:tcPr>
          <w:p w14:paraId="75EB5308" w14:textId="77777777" w:rsidR="00F46260" w:rsidRPr="00F46260" w:rsidRDefault="00F46260" w:rsidP="00F46260">
            <w:pPr>
              <w:spacing w:before="100" w:beforeAutospacing="1" w:after="100" w:afterAutospacing="1" w:line="240" w:lineRule="auto"/>
              <w:rPr>
                <w:rFonts w:ascii="Arial" w:eastAsia="Calibri" w:hAnsi="Arial" w:cs="Arial"/>
                <w:sz w:val="19"/>
                <w:szCs w:val="19"/>
              </w:rPr>
            </w:pPr>
            <w:r w:rsidRPr="00F46260">
              <w:rPr>
                <w:rFonts w:ascii="Arial" w:eastAsia="Calibri" w:hAnsi="Arial" w:cs="Arial"/>
                <w:sz w:val="19"/>
                <w:szCs w:val="19"/>
              </w:rPr>
              <w:t>Assets under construction</w:t>
            </w:r>
          </w:p>
        </w:tc>
        <w:tc>
          <w:tcPr>
            <w:tcW w:w="506" w:type="pct"/>
            <w:tcBorders>
              <w:left w:val="nil"/>
              <w:right w:val="nil"/>
            </w:tcBorders>
            <w:shd w:val="pct15" w:color="auto" w:fill="auto"/>
            <w:vAlign w:val="bottom"/>
          </w:tcPr>
          <w:p w14:paraId="5FDD6306" w14:textId="77777777" w:rsidR="00F46260" w:rsidRPr="00F46260" w:rsidRDefault="00F46260" w:rsidP="00F46260">
            <w:pPr>
              <w:spacing w:after="0"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w:t>
            </w:r>
          </w:p>
        </w:tc>
        <w:tc>
          <w:tcPr>
            <w:tcW w:w="506" w:type="pct"/>
            <w:tcBorders>
              <w:left w:val="nil"/>
              <w:right w:val="nil"/>
            </w:tcBorders>
            <w:shd w:val="clear" w:color="auto" w:fill="auto"/>
            <w:vAlign w:val="bottom"/>
          </w:tcPr>
          <w:p w14:paraId="4B2CC69A"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35,980</w:t>
            </w:r>
          </w:p>
        </w:tc>
        <w:tc>
          <w:tcPr>
            <w:tcW w:w="506" w:type="pct"/>
            <w:tcBorders>
              <w:left w:val="nil"/>
              <w:right w:val="nil"/>
            </w:tcBorders>
            <w:shd w:val="pct15" w:color="auto" w:fill="auto"/>
            <w:vAlign w:val="bottom"/>
          </w:tcPr>
          <w:p w14:paraId="0FCBF197"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w:t>
            </w:r>
          </w:p>
        </w:tc>
        <w:tc>
          <w:tcPr>
            <w:tcW w:w="506" w:type="pct"/>
            <w:tcBorders>
              <w:left w:val="nil"/>
              <w:right w:val="nil"/>
            </w:tcBorders>
            <w:shd w:val="clear" w:color="auto" w:fill="auto"/>
            <w:noWrap/>
            <w:vAlign w:val="bottom"/>
          </w:tcPr>
          <w:p w14:paraId="1DFFFA0F"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w:t>
            </w:r>
          </w:p>
        </w:tc>
        <w:tc>
          <w:tcPr>
            <w:tcW w:w="506" w:type="pct"/>
            <w:tcBorders>
              <w:left w:val="nil"/>
              <w:right w:val="nil"/>
            </w:tcBorders>
            <w:shd w:val="pct15" w:color="auto" w:fill="auto"/>
            <w:noWrap/>
            <w:vAlign w:val="bottom"/>
          </w:tcPr>
          <w:p w14:paraId="0028E0E1"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w:t>
            </w:r>
          </w:p>
        </w:tc>
        <w:tc>
          <w:tcPr>
            <w:tcW w:w="505" w:type="pct"/>
            <w:tcBorders>
              <w:left w:val="nil"/>
              <w:right w:val="nil"/>
            </w:tcBorders>
            <w:shd w:val="clear" w:color="auto" w:fill="FFFFFF"/>
            <w:vAlign w:val="bottom"/>
          </w:tcPr>
          <w:p w14:paraId="3B47B988"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35,980</w:t>
            </w:r>
          </w:p>
        </w:tc>
      </w:tr>
      <w:tr w:rsidR="00F46260" w:rsidRPr="00F46260" w14:paraId="61936792" w14:textId="77777777" w:rsidTr="00D1524E">
        <w:trPr>
          <w:trHeight w:val="255"/>
        </w:trPr>
        <w:tc>
          <w:tcPr>
            <w:tcW w:w="1965" w:type="pct"/>
            <w:tcBorders>
              <w:left w:val="nil"/>
              <w:bottom w:val="single" w:sz="4" w:space="0" w:color="auto"/>
              <w:right w:val="nil"/>
            </w:tcBorders>
            <w:shd w:val="clear" w:color="auto" w:fill="auto"/>
          </w:tcPr>
          <w:p w14:paraId="6A5A263F" w14:textId="77777777" w:rsidR="00F46260" w:rsidRPr="00F46260" w:rsidRDefault="00F46260" w:rsidP="00F46260">
            <w:pPr>
              <w:spacing w:before="100" w:beforeAutospacing="1" w:after="100" w:afterAutospacing="1" w:line="240" w:lineRule="auto"/>
              <w:rPr>
                <w:rFonts w:ascii="Arial" w:eastAsia="Calibri" w:hAnsi="Arial" w:cs="Arial"/>
                <w:sz w:val="19"/>
                <w:szCs w:val="19"/>
              </w:rPr>
            </w:pPr>
            <w:r w:rsidRPr="00F46260">
              <w:rPr>
                <w:rFonts w:ascii="Arial" w:eastAsia="Calibri" w:hAnsi="Arial" w:cs="Arial"/>
                <w:sz w:val="19"/>
                <w:szCs w:val="19"/>
              </w:rPr>
              <w:t xml:space="preserve">Lease motor vehicles </w:t>
            </w:r>
          </w:p>
        </w:tc>
        <w:tc>
          <w:tcPr>
            <w:tcW w:w="506" w:type="pct"/>
            <w:tcBorders>
              <w:left w:val="nil"/>
              <w:bottom w:val="single" w:sz="4" w:space="0" w:color="auto"/>
              <w:right w:val="nil"/>
            </w:tcBorders>
            <w:shd w:val="pct15" w:color="auto" w:fill="auto"/>
            <w:vAlign w:val="bottom"/>
          </w:tcPr>
          <w:p w14:paraId="1F7A22FE" w14:textId="77777777" w:rsidR="00F46260" w:rsidRPr="00F46260" w:rsidRDefault="00F46260" w:rsidP="00F46260">
            <w:pPr>
              <w:spacing w:after="0"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103,377</w:t>
            </w:r>
          </w:p>
        </w:tc>
        <w:tc>
          <w:tcPr>
            <w:tcW w:w="506" w:type="pct"/>
            <w:tcBorders>
              <w:left w:val="nil"/>
              <w:bottom w:val="single" w:sz="4" w:space="0" w:color="auto"/>
              <w:right w:val="nil"/>
            </w:tcBorders>
            <w:shd w:val="clear" w:color="auto" w:fill="auto"/>
            <w:vAlign w:val="bottom"/>
          </w:tcPr>
          <w:p w14:paraId="2B9D3787"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49,397</w:t>
            </w:r>
          </w:p>
        </w:tc>
        <w:tc>
          <w:tcPr>
            <w:tcW w:w="506" w:type="pct"/>
            <w:tcBorders>
              <w:left w:val="nil"/>
              <w:bottom w:val="single" w:sz="4" w:space="0" w:color="auto"/>
              <w:right w:val="nil"/>
            </w:tcBorders>
            <w:shd w:val="pct15" w:color="auto" w:fill="auto"/>
            <w:vAlign w:val="bottom"/>
          </w:tcPr>
          <w:p w14:paraId="4967F3EF"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(50,876)</w:t>
            </w:r>
          </w:p>
        </w:tc>
        <w:tc>
          <w:tcPr>
            <w:tcW w:w="506" w:type="pct"/>
            <w:tcBorders>
              <w:left w:val="nil"/>
              <w:bottom w:val="single" w:sz="4" w:space="0" w:color="auto"/>
              <w:right w:val="nil"/>
            </w:tcBorders>
            <w:shd w:val="clear" w:color="auto" w:fill="auto"/>
            <w:noWrap/>
            <w:vAlign w:val="bottom"/>
          </w:tcPr>
          <w:p w14:paraId="3405F303"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(14,948)</w:t>
            </w:r>
          </w:p>
        </w:tc>
        <w:tc>
          <w:tcPr>
            <w:tcW w:w="506" w:type="pct"/>
            <w:tcBorders>
              <w:left w:val="nil"/>
              <w:bottom w:val="single" w:sz="4" w:space="0" w:color="auto"/>
              <w:right w:val="nil"/>
            </w:tcBorders>
            <w:shd w:val="pct15" w:color="auto" w:fill="auto"/>
            <w:noWrap/>
            <w:vAlign w:val="bottom"/>
          </w:tcPr>
          <w:p w14:paraId="6348961A"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52,501</w:t>
            </w:r>
          </w:p>
        </w:tc>
        <w:tc>
          <w:tcPr>
            <w:tcW w:w="505" w:type="pct"/>
            <w:tcBorders>
              <w:left w:val="nil"/>
              <w:bottom w:val="single" w:sz="4" w:space="0" w:color="auto"/>
              <w:right w:val="nil"/>
            </w:tcBorders>
            <w:shd w:val="clear" w:color="auto" w:fill="FFFFFF"/>
            <w:vAlign w:val="bottom"/>
          </w:tcPr>
          <w:p w14:paraId="72B33F61"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34,449</w:t>
            </w:r>
          </w:p>
        </w:tc>
      </w:tr>
      <w:tr w:rsidR="00F46260" w:rsidRPr="00F46260" w14:paraId="08DFD64B" w14:textId="77777777" w:rsidTr="00D1524E">
        <w:trPr>
          <w:trHeight w:val="255"/>
        </w:trPr>
        <w:tc>
          <w:tcPr>
            <w:tcW w:w="1965" w:type="pct"/>
            <w:tcBorders>
              <w:top w:val="single" w:sz="4" w:space="0" w:color="auto"/>
              <w:left w:val="nil"/>
              <w:bottom w:val="single" w:sz="12" w:space="0" w:color="auto"/>
              <w:right w:val="nil"/>
            </w:tcBorders>
            <w:shd w:val="clear" w:color="auto" w:fill="auto"/>
          </w:tcPr>
          <w:p w14:paraId="6EF92547" w14:textId="77777777" w:rsidR="00F46260" w:rsidRPr="00F46260" w:rsidRDefault="00F46260" w:rsidP="00F46260">
            <w:pPr>
              <w:spacing w:before="100" w:beforeAutospacing="1" w:after="100" w:afterAutospacing="1" w:line="240" w:lineRule="auto"/>
              <w:rPr>
                <w:rFonts w:ascii="Arial" w:eastAsia="Calibri" w:hAnsi="Arial" w:cs="Arial"/>
                <w:b/>
                <w:sz w:val="19"/>
                <w:szCs w:val="19"/>
              </w:rPr>
            </w:pPr>
            <w:r w:rsidRPr="00F46260">
              <w:rPr>
                <w:rFonts w:ascii="Arial" w:eastAsia="Calibri" w:hAnsi="Arial" w:cs="Arial"/>
                <w:b/>
                <w:sz w:val="19"/>
                <w:szCs w:val="19"/>
              </w:rPr>
              <w:t xml:space="preserve">Net carrying amount </w:t>
            </w:r>
          </w:p>
        </w:tc>
        <w:tc>
          <w:tcPr>
            <w:tcW w:w="506" w:type="pct"/>
            <w:tcBorders>
              <w:top w:val="single" w:sz="4" w:space="0" w:color="auto"/>
              <w:left w:val="nil"/>
              <w:bottom w:val="single" w:sz="12" w:space="0" w:color="auto"/>
              <w:right w:val="nil"/>
            </w:tcBorders>
            <w:shd w:val="pct15" w:color="auto" w:fill="auto"/>
            <w:vAlign w:val="bottom"/>
          </w:tcPr>
          <w:p w14:paraId="6717FB71"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406,686</w:t>
            </w:r>
          </w:p>
        </w:tc>
        <w:tc>
          <w:tcPr>
            <w:tcW w:w="506" w:type="pct"/>
            <w:tcBorders>
              <w:top w:val="single" w:sz="4" w:space="0" w:color="auto"/>
              <w:left w:val="nil"/>
              <w:bottom w:val="single" w:sz="12" w:space="0" w:color="auto"/>
              <w:right w:val="nil"/>
            </w:tcBorders>
            <w:shd w:val="clear" w:color="auto" w:fill="auto"/>
            <w:vAlign w:val="bottom"/>
          </w:tcPr>
          <w:p w14:paraId="1E161890"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336,561</w:t>
            </w:r>
          </w:p>
        </w:tc>
        <w:tc>
          <w:tcPr>
            <w:tcW w:w="506" w:type="pct"/>
            <w:tcBorders>
              <w:top w:val="single" w:sz="4" w:space="0" w:color="auto"/>
              <w:left w:val="nil"/>
              <w:bottom w:val="single" w:sz="12" w:space="0" w:color="auto"/>
              <w:right w:val="nil"/>
            </w:tcBorders>
            <w:shd w:val="pct15" w:color="auto" w:fill="auto"/>
            <w:vAlign w:val="bottom"/>
          </w:tcPr>
          <w:p w14:paraId="50B8FF1D"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(182,077)</w:t>
            </w:r>
          </w:p>
        </w:tc>
        <w:tc>
          <w:tcPr>
            <w:tcW w:w="506" w:type="pct"/>
            <w:tcBorders>
              <w:top w:val="single" w:sz="4" w:space="0" w:color="auto"/>
              <w:left w:val="nil"/>
              <w:bottom w:val="single" w:sz="12" w:space="0" w:color="auto"/>
              <w:right w:val="nil"/>
            </w:tcBorders>
            <w:shd w:val="clear" w:color="auto" w:fill="auto"/>
            <w:noWrap/>
            <w:vAlign w:val="bottom"/>
          </w:tcPr>
          <w:p w14:paraId="641FDB37"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(121,299)</w:t>
            </w:r>
          </w:p>
        </w:tc>
        <w:tc>
          <w:tcPr>
            <w:tcW w:w="506" w:type="pct"/>
            <w:tcBorders>
              <w:top w:val="single" w:sz="4" w:space="0" w:color="auto"/>
              <w:left w:val="nil"/>
              <w:bottom w:val="single" w:sz="12" w:space="0" w:color="auto"/>
              <w:right w:val="nil"/>
            </w:tcBorders>
            <w:shd w:val="pct15" w:color="auto" w:fill="auto"/>
            <w:noWrap/>
            <w:vAlign w:val="bottom"/>
          </w:tcPr>
          <w:p w14:paraId="3529CB76"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224,609</w:t>
            </w:r>
          </w:p>
        </w:tc>
        <w:tc>
          <w:tcPr>
            <w:tcW w:w="505" w:type="pct"/>
            <w:tcBorders>
              <w:top w:val="single" w:sz="4" w:space="0" w:color="auto"/>
              <w:left w:val="nil"/>
              <w:bottom w:val="single" w:sz="12" w:space="0" w:color="auto"/>
              <w:right w:val="nil"/>
            </w:tcBorders>
            <w:shd w:val="clear" w:color="auto" w:fill="FFFFFF"/>
            <w:vAlign w:val="bottom"/>
          </w:tcPr>
          <w:p w14:paraId="1F6F38B9"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215,261</w:t>
            </w:r>
          </w:p>
        </w:tc>
      </w:tr>
    </w:tbl>
    <w:p w14:paraId="0E2CC0DC" w14:textId="77777777" w:rsidR="00F46260" w:rsidRPr="00F46260" w:rsidRDefault="00F46260" w:rsidP="00F46260">
      <w:pPr>
        <w:spacing w:after="0" w:line="240" w:lineRule="auto"/>
        <w:rPr>
          <w:rFonts w:ascii="Arial" w:eastAsia="Times New Roman" w:hAnsi="Arial" w:cs="Arial"/>
          <w:sz w:val="20"/>
          <w:szCs w:val="20"/>
          <w:lang w:eastAsia="en-AU"/>
        </w:rPr>
      </w:pPr>
    </w:p>
    <w:p w14:paraId="65EF6194" w14:textId="77777777" w:rsidR="00F46260" w:rsidRPr="00F46260" w:rsidRDefault="00F46260" w:rsidP="00F46260">
      <w:pPr>
        <w:spacing w:after="0" w:line="240" w:lineRule="auto"/>
        <w:rPr>
          <w:rFonts w:ascii="Arial" w:eastAsia="Times New Roman" w:hAnsi="Arial" w:cs="Arial"/>
          <w:sz w:val="20"/>
          <w:szCs w:val="20"/>
          <w:lang w:eastAsia="en-AU"/>
        </w:rPr>
      </w:pPr>
    </w:p>
    <w:p w14:paraId="2B7F6AAB" w14:textId="77777777" w:rsidR="00F46260" w:rsidRPr="00F46260" w:rsidRDefault="00F46260" w:rsidP="00F46260">
      <w:pPr>
        <w:spacing w:after="12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Initial recognition</w:t>
      </w:r>
    </w:p>
    <w:p w14:paraId="522BFE48"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Items of property, plant, and equipment are measured initially at cost. Where an asset is acquired for nil or nominal cost, the cost is its fair value at the date of acquisition. </w:t>
      </w:r>
    </w:p>
    <w:p w14:paraId="7CC6FA07" w14:textId="77777777" w:rsidR="00F46260" w:rsidRPr="00F46260" w:rsidRDefault="00F46260" w:rsidP="00F46260">
      <w:pPr>
        <w:spacing w:after="0" w:line="240" w:lineRule="auto"/>
        <w:rPr>
          <w:rFonts w:ascii="Arial" w:eastAsia="Times New Roman" w:hAnsi="Arial" w:cs="Arial"/>
          <w:sz w:val="20"/>
          <w:szCs w:val="20"/>
          <w:lang w:eastAsia="en-AU"/>
        </w:rPr>
      </w:pPr>
    </w:p>
    <w:p w14:paraId="7872D1A1"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cost of leasehold improvements is capitalised and depreciated over the remaining term of the lease or the estimated useful life of the improvements, whichever is the shorter.</w:t>
      </w:r>
    </w:p>
    <w:p w14:paraId="67E10DB0" w14:textId="77777777" w:rsidR="00F46260" w:rsidRPr="00F46260" w:rsidRDefault="00F46260" w:rsidP="00F46260">
      <w:pPr>
        <w:spacing w:after="0" w:line="240" w:lineRule="auto"/>
        <w:rPr>
          <w:rFonts w:ascii="Arial" w:eastAsia="Times New Roman" w:hAnsi="Arial" w:cs="Arial"/>
          <w:sz w:val="20"/>
          <w:szCs w:val="20"/>
          <w:lang w:eastAsia="en-AU"/>
        </w:rPr>
      </w:pPr>
    </w:p>
    <w:p w14:paraId="3FD7110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cost of motor vehicle under a lease is measured at amounts equal to the fair value of the leased asset or, if lower, the present value of the minimum lease payments, as determined at the inception of the lease.</w:t>
      </w:r>
    </w:p>
    <w:p w14:paraId="38B5D9B8" w14:textId="77777777" w:rsidR="00F46260" w:rsidRPr="00F46260" w:rsidRDefault="00F46260" w:rsidP="00F46260">
      <w:pPr>
        <w:spacing w:after="0" w:line="240" w:lineRule="auto"/>
        <w:rPr>
          <w:rFonts w:ascii="Arial" w:eastAsia="Times New Roman" w:hAnsi="Arial" w:cs="Arial"/>
          <w:sz w:val="20"/>
          <w:szCs w:val="20"/>
          <w:lang w:eastAsia="en-AU"/>
        </w:rPr>
      </w:pPr>
    </w:p>
    <w:p w14:paraId="336E31F3" w14:textId="77777777" w:rsidR="00F46260" w:rsidRPr="00F46260" w:rsidRDefault="00F46260" w:rsidP="00F46260">
      <w:pPr>
        <w:spacing w:after="12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Subsequent measurement</w:t>
      </w:r>
    </w:p>
    <w:p w14:paraId="257F0368" w14:textId="77777777" w:rsidR="00F46260" w:rsidRPr="00F46260" w:rsidRDefault="00F46260" w:rsidP="00F46260">
      <w:pPr>
        <w:autoSpaceDE w:val="0"/>
        <w:autoSpaceDN w:val="0"/>
        <w:adjustRightInd w:val="0"/>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Property, plant, and equipment is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w:t>
      </w:r>
    </w:p>
    <w:p w14:paraId="14B2753D" w14:textId="77777777" w:rsidR="00F46260" w:rsidRPr="00F46260" w:rsidRDefault="00F46260" w:rsidP="00F46260">
      <w:pPr>
        <w:autoSpaceDE w:val="0"/>
        <w:autoSpaceDN w:val="0"/>
        <w:adjustRightInd w:val="0"/>
        <w:spacing w:after="0" w:line="240" w:lineRule="auto"/>
        <w:rPr>
          <w:rFonts w:ascii="Arial" w:eastAsia="Times New Roman" w:hAnsi="Arial" w:cs="Arial"/>
          <w:sz w:val="20"/>
          <w:szCs w:val="20"/>
          <w:lang w:eastAsia="en-AU"/>
        </w:rPr>
      </w:pPr>
    </w:p>
    <w:p w14:paraId="1D487171" w14:textId="77777777" w:rsidR="00F46260" w:rsidRPr="00F46260" w:rsidRDefault="00F46260" w:rsidP="00F46260">
      <w:pPr>
        <w:spacing w:after="12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Impairment</w:t>
      </w:r>
    </w:p>
    <w:p w14:paraId="7F34AC1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Property, plant, and equipment is tested for impairment whenever there is an indication that an asset may be impaired.</w:t>
      </w:r>
    </w:p>
    <w:p w14:paraId="22BA65AA" w14:textId="77777777" w:rsidR="00F46260" w:rsidRPr="00F46260" w:rsidRDefault="00F46260" w:rsidP="00F46260">
      <w:pPr>
        <w:spacing w:after="0" w:line="240" w:lineRule="auto"/>
        <w:rPr>
          <w:rFonts w:ascii="Arial" w:eastAsia="Times New Roman" w:hAnsi="Arial" w:cs="Arial"/>
          <w:sz w:val="20"/>
          <w:szCs w:val="20"/>
          <w:lang w:eastAsia="en-AU"/>
        </w:rPr>
      </w:pPr>
    </w:p>
    <w:p w14:paraId="63DB01E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The assets concerned are tested as to whether their carrying value exceeds their recoverable amount. Where an asset’s carrying value exceeds its recoverable amount, the difference is considered to be an impairment and is written off as an ‘other economic flow’, except to the extent that it can be offset to an asset revaluation surplus amount applicable to that class of asset. </w:t>
      </w:r>
    </w:p>
    <w:p w14:paraId="63E4B7E8" w14:textId="77777777" w:rsidR="00F46260" w:rsidRPr="00F46260" w:rsidRDefault="00F46260" w:rsidP="00F46260">
      <w:pPr>
        <w:spacing w:after="0" w:line="240" w:lineRule="auto"/>
        <w:rPr>
          <w:rFonts w:ascii="Arial" w:eastAsia="Times New Roman" w:hAnsi="Arial" w:cs="Arial"/>
          <w:sz w:val="20"/>
          <w:szCs w:val="20"/>
          <w:lang w:eastAsia="en-AU"/>
        </w:rPr>
      </w:pPr>
    </w:p>
    <w:p w14:paraId="587039F0"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recoverable amount for most assets is measured at the higher of current replacement cost and fair value less costs to sell. Recoverable amount for assets held primarily to generate net cash inflows is measured at the higher of the present value of future cash flows expected to be obtained from the asset and fair value less costs to sell.</w:t>
      </w:r>
    </w:p>
    <w:p w14:paraId="646B9349" w14:textId="77777777" w:rsidR="00F46260" w:rsidRPr="00F46260" w:rsidRDefault="00F46260" w:rsidP="00F46260">
      <w:pPr>
        <w:spacing w:after="0" w:line="240" w:lineRule="auto"/>
        <w:rPr>
          <w:rFonts w:ascii="Arial" w:eastAsia="Times New Roman" w:hAnsi="Arial" w:cs="Arial"/>
          <w:b/>
          <w:sz w:val="20"/>
          <w:szCs w:val="20"/>
          <w:lang w:eastAsia="en-AU"/>
        </w:rPr>
      </w:pPr>
    </w:p>
    <w:p w14:paraId="0DFE5554" w14:textId="77777777" w:rsidR="00F46260" w:rsidRPr="00F46260" w:rsidRDefault="00F46260" w:rsidP="00F46260">
      <w:pPr>
        <w:spacing w:after="0" w:line="240" w:lineRule="auto"/>
        <w:rPr>
          <w:rFonts w:ascii="Arial" w:eastAsia="Times New Roman" w:hAnsi="Arial" w:cs="Arial"/>
          <w:b/>
          <w:sz w:val="20"/>
          <w:szCs w:val="20"/>
          <w:lang w:eastAsia="en-AU"/>
        </w:rPr>
      </w:pPr>
    </w:p>
    <w:p w14:paraId="711C2A04" w14:textId="77777777" w:rsidR="00F46260" w:rsidRPr="00F46260" w:rsidRDefault="00F46260" w:rsidP="00F46260">
      <w:pPr>
        <w:spacing w:after="0" w:line="240" w:lineRule="auto"/>
        <w:rPr>
          <w:rFonts w:ascii="Arial" w:eastAsia="Times New Roman" w:hAnsi="Arial" w:cs="Arial"/>
          <w:b/>
          <w:sz w:val="20"/>
          <w:szCs w:val="20"/>
          <w:lang w:eastAsia="en-AU"/>
        </w:rPr>
        <w:sectPr w:rsidR="00F46260" w:rsidRPr="00F46260" w:rsidSect="00F46260">
          <w:headerReference w:type="even" r:id="rId66"/>
          <w:footerReference w:type="even" r:id="rId67"/>
          <w:footerReference w:type="default" r:id="rId68"/>
          <w:headerReference w:type="first" r:id="rId69"/>
          <w:footerReference w:type="first" r:id="rId70"/>
          <w:pgSz w:w="11907" w:h="16840" w:code="9"/>
          <w:pgMar w:top="1440" w:right="1276" w:bottom="1440" w:left="1276" w:header="720" w:footer="720" w:gutter="0"/>
          <w:cols w:space="720"/>
          <w:titlePg/>
          <w:docGrid w:linePitch="326"/>
        </w:sectPr>
      </w:pPr>
      <w:bookmarkStart w:id="51" w:name="_Hlk75508507"/>
    </w:p>
    <w:p w14:paraId="6084C5A0" w14:textId="77777777" w:rsidR="00F46260" w:rsidRPr="00F46260" w:rsidRDefault="00F46260" w:rsidP="00F46260">
      <w:pPr>
        <w:spacing w:after="0" w:line="240" w:lineRule="auto"/>
        <w:rPr>
          <w:rFonts w:ascii="Arial" w:eastAsia="Times New Roman" w:hAnsi="Arial" w:cs="Arial"/>
          <w:b/>
          <w:sz w:val="20"/>
          <w:szCs w:val="20"/>
          <w:lang w:eastAsia="en-AU"/>
        </w:rPr>
      </w:pPr>
    </w:p>
    <w:p w14:paraId="609E73CC" w14:textId="77777777" w:rsidR="00F46260" w:rsidRPr="00F46260" w:rsidRDefault="00F46260" w:rsidP="00F46260">
      <w:pPr>
        <w:spacing w:after="0" w:line="240" w:lineRule="auto"/>
        <w:rPr>
          <w:rFonts w:ascii="Arial" w:eastAsia="Times New Roman" w:hAnsi="Arial" w:cs="Arial"/>
          <w:b/>
          <w:sz w:val="20"/>
          <w:szCs w:val="20"/>
          <w:lang w:eastAsia="en-AU"/>
        </w:rPr>
      </w:pPr>
    </w:p>
    <w:p w14:paraId="39CD4FCC"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4.1.1 Reconciliation of movements in carrying amount of property, plant, and equipment</w:t>
      </w:r>
    </w:p>
    <w:p w14:paraId="147B1429" w14:textId="77777777" w:rsidR="00F46260" w:rsidRPr="00F46260" w:rsidRDefault="00F46260" w:rsidP="00F46260">
      <w:pPr>
        <w:spacing w:after="0" w:line="240" w:lineRule="auto"/>
        <w:rPr>
          <w:rFonts w:ascii="Arial" w:eastAsia="Times New Roman" w:hAnsi="Arial" w:cs="Arial"/>
          <w:b/>
          <w:sz w:val="20"/>
          <w:szCs w:val="20"/>
          <w:lang w:eastAsia="en-AU"/>
        </w:rPr>
      </w:pPr>
    </w:p>
    <w:p w14:paraId="50C13492" w14:textId="77777777" w:rsidR="00F46260" w:rsidRPr="00F46260" w:rsidRDefault="00F46260" w:rsidP="00F46260">
      <w:pPr>
        <w:spacing w:after="0" w:line="240" w:lineRule="auto"/>
        <w:rPr>
          <w:rFonts w:ascii="Arial" w:eastAsia="Times New Roman" w:hAnsi="Arial" w:cs="Arial"/>
          <w:b/>
          <w:sz w:val="20"/>
          <w:szCs w:val="20"/>
          <w:lang w:eastAsia="en-AU"/>
        </w:rPr>
      </w:pPr>
    </w:p>
    <w:p w14:paraId="1F0AB06A" w14:textId="77777777" w:rsidR="00F46260" w:rsidRPr="00F46260" w:rsidRDefault="00F46260" w:rsidP="00F46260">
      <w:pPr>
        <w:spacing w:after="0" w:line="240" w:lineRule="auto"/>
        <w:rPr>
          <w:rFonts w:ascii="Arial" w:eastAsia="Times New Roman" w:hAnsi="Arial" w:cs="Arial"/>
          <w:sz w:val="20"/>
          <w:szCs w:val="20"/>
          <w:lang w:eastAsia="en-AU"/>
        </w:rPr>
      </w:pPr>
    </w:p>
    <w:tbl>
      <w:tblPr>
        <w:tblW w:w="5000" w:type="pct"/>
        <w:tblInd w:w="-108" w:type="dxa"/>
        <w:tblLook w:val="01E0" w:firstRow="1" w:lastRow="1" w:firstColumn="1" w:lastColumn="1" w:noHBand="0" w:noVBand="0"/>
      </w:tblPr>
      <w:tblGrid>
        <w:gridCol w:w="2562"/>
        <w:gridCol w:w="1138"/>
        <w:gridCol w:w="457"/>
        <w:gridCol w:w="677"/>
        <w:gridCol w:w="1138"/>
        <w:gridCol w:w="237"/>
        <w:gridCol w:w="327"/>
        <w:gridCol w:w="296"/>
        <w:gridCol w:w="134"/>
        <w:gridCol w:w="34"/>
        <w:gridCol w:w="1092"/>
        <w:gridCol w:w="34"/>
        <w:gridCol w:w="463"/>
        <w:gridCol w:w="34"/>
        <w:gridCol w:w="34"/>
        <w:gridCol w:w="528"/>
        <w:gridCol w:w="34"/>
        <w:gridCol w:w="20"/>
        <w:gridCol w:w="1092"/>
        <w:gridCol w:w="20"/>
        <w:gridCol w:w="313"/>
        <w:gridCol w:w="969"/>
        <w:gridCol w:w="20"/>
        <w:gridCol w:w="1008"/>
        <w:gridCol w:w="20"/>
        <w:gridCol w:w="1279"/>
      </w:tblGrid>
      <w:tr w:rsidR="00F46260" w:rsidRPr="00F46260" w14:paraId="1DC7C10F" w14:textId="77777777" w:rsidTr="00D1524E">
        <w:trPr>
          <w:trHeight w:val="110"/>
        </w:trPr>
        <w:tc>
          <w:tcPr>
            <w:tcW w:w="918" w:type="pct"/>
            <w:shd w:val="pct50" w:color="auto" w:fill="auto"/>
          </w:tcPr>
          <w:p w14:paraId="781E9125"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408" w:type="pct"/>
            <w:shd w:val="pct50" w:color="auto" w:fill="auto"/>
          </w:tcPr>
          <w:p w14:paraId="47B332F3"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407" w:type="pct"/>
            <w:gridSpan w:val="2"/>
            <w:shd w:val="pct50" w:color="auto" w:fill="auto"/>
            <w:vAlign w:val="bottom"/>
          </w:tcPr>
          <w:p w14:paraId="40B66D84"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408" w:type="pct"/>
            <w:shd w:val="pct50" w:color="auto" w:fill="auto"/>
          </w:tcPr>
          <w:p w14:paraId="3194479B"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85" w:type="pct"/>
            <w:shd w:val="pct50" w:color="auto" w:fill="auto"/>
          </w:tcPr>
          <w:p w14:paraId="208BD94E"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283" w:type="pct"/>
            <w:gridSpan w:val="4"/>
            <w:shd w:val="pct50" w:color="auto" w:fill="auto"/>
          </w:tcPr>
          <w:p w14:paraId="301C5091"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403" w:type="pct"/>
            <w:gridSpan w:val="2"/>
            <w:shd w:val="pct50" w:color="auto" w:fill="auto"/>
          </w:tcPr>
          <w:p w14:paraId="494B8C3D"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398" w:type="pct"/>
            <w:gridSpan w:val="6"/>
            <w:shd w:val="pct50" w:color="auto" w:fill="auto"/>
          </w:tcPr>
          <w:p w14:paraId="724FD786"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398" w:type="pct"/>
            <w:gridSpan w:val="2"/>
            <w:shd w:val="pct50" w:color="auto" w:fill="auto"/>
          </w:tcPr>
          <w:p w14:paraId="7C0C27F0"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466" w:type="pct"/>
            <w:gridSpan w:val="3"/>
            <w:shd w:val="pct50" w:color="auto" w:fill="auto"/>
            <w:vAlign w:val="bottom"/>
          </w:tcPr>
          <w:p w14:paraId="7965108E"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368" w:type="pct"/>
            <w:gridSpan w:val="2"/>
            <w:shd w:val="pct50" w:color="auto" w:fill="auto"/>
          </w:tcPr>
          <w:p w14:paraId="353906DB"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458" w:type="pct"/>
            <w:shd w:val="pct50" w:color="auto" w:fill="auto"/>
            <w:vAlign w:val="bottom"/>
          </w:tcPr>
          <w:p w14:paraId="67C8CF5B"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r>
      <w:tr w:rsidR="00F46260" w:rsidRPr="00F46260" w14:paraId="237E93AF" w14:textId="77777777" w:rsidTr="00D1524E">
        <w:trPr>
          <w:trHeight w:val="110"/>
        </w:trPr>
        <w:tc>
          <w:tcPr>
            <w:tcW w:w="918" w:type="pct"/>
            <w:shd w:val="pct50" w:color="auto" w:fill="auto"/>
          </w:tcPr>
          <w:p w14:paraId="13461E9D"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572" w:type="pct"/>
            <w:gridSpan w:val="2"/>
            <w:shd w:val="pct50" w:color="auto" w:fill="auto"/>
          </w:tcPr>
          <w:p w14:paraId="04112F6D" w14:textId="77777777" w:rsidR="00F46260" w:rsidRPr="00F46260" w:rsidRDefault="00F46260" w:rsidP="00F46260">
            <w:pPr>
              <w:spacing w:after="0" w:line="240" w:lineRule="auto"/>
              <w:jc w:val="center"/>
              <w:rPr>
                <w:rFonts w:ascii="Arial" w:eastAsia="Times New Roman" w:hAnsi="Arial" w:cs="Arial"/>
                <w:b/>
                <w:bCs/>
                <w:i/>
                <w:color w:val="FFFFFF"/>
                <w:sz w:val="20"/>
                <w:szCs w:val="20"/>
                <w:lang w:eastAsia="en-AU"/>
              </w:rPr>
            </w:pPr>
          </w:p>
          <w:p w14:paraId="22551987" w14:textId="77777777" w:rsidR="00F46260" w:rsidRPr="00F46260" w:rsidRDefault="00F46260" w:rsidP="00F46260">
            <w:pPr>
              <w:spacing w:after="0" w:line="240" w:lineRule="auto"/>
              <w:jc w:val="center"/>
              <w:rPr>
                <w:rFonts w:ascii="Arial" w:eastAsia="Times New Roman" w:hAnsi="Arial" w:cs="Arial"/>
                <w:b/>
                <w:bCs/>
                <w:i/>
                <w:color w:val="FFFFFF"/>
                <w:sz w:val="20"/>
                <w:szCs w:val="20"/>
                <w:lang w:eastAsia="en-AU"/>
              </w:rPr>
            </w:pPr>
            <w:r w:rsidRPr="00F46260">
              <w:rPr>
                <w:rFonts w:ascii="Arial" w:eastAsia="Times New Roman" w:hAnsi="Arial" w:cs="Arial"/>
                <w:b/>
                <w:bCs/>
                <w:i/>
                <w:color w:val="FFFFFF"/>
                <w:sz w:val="20"/>
                <w:szCs w:val="20"/>
                <w:lang w:eastAsia="en-AU"/>
              </w:rPr>
              <w:t>Leasehold improvements</w:t>
            </w:r>
          </w:p>
        </w:tc>
        <w:tc>
          <w:tcPr>
            <w:tcW w:w="1007" w:type="pct"/>
            <w:gridSpan w:val="6"/>
            <w:shd w:val="pct50" w:color="auto" w:fill="auto"/>
          </w:tcPr>
          <w:p w14:paraId="35C11AF9" w14:textId="77777777" w:rsidR="00F46260" w:rsidRPr="00F46260" w:rsidRDefault="00F46260" w:rsidP="00F46260">
            <w:pPr>
              <w:spacing w:after="0" w:line="240" w:lineRule="auto"/>
              <w:jc w:val="center"/>
              <w:rPr>
                <w:rFonts w:ascii="Arial" w:eastAsia="Times New Roman" w:hAnsi="Arial" w:cs="Arial"/>
                <w:b/>
                <w:bCs/>
                <w:i/>
                <w:color w:val="FFFFFF"/>
                <w:sz w:val="20"/>
                <w:szCs w:val="20"/>
                <w:lang w:eastAsia="en-AU"/>
              </w:rPr>
            </w:pPr>
          </w:p>
          <w:p w14:paraId="4C348E82" w14:textId="77777777" w:rsidR="00F46260" w:rsidRPr="00F46260" w:rsidRDefault="00F46260" w:rsidP="00F46260">
            <w:pPr>
              <w:spacing w:after="0" w:line="240" w:lineRule="auto"/>
              <w:jc w:val="center"/>
              <w:rPr>
                <w:rFonts w:ascii="Arial" w:eastAsia="Times New Roman" w:hAnsi="Arial" w:cs="Arial"/>
                <w:b/>
                <w:bCs/>
                <w:i/>
                <w:iCs/>
                <w:color w:val="FFFFFF"/>
                <w:sz w:val="20"/>
                <w:szCs w:val="20"/>
                <w:lang w:eastAsia="en-AU"/>
              </w:rPr>
            </w:pPr>
            <w:r w:rsidRPr="00F46260">
              <w:rPr>
                <w:rFonts w:ascii="Arial" w:eastAsia="Times New Roman" w:hAnsi="Arial" w:cs="Arial"/>
                <w:b/>
                <w:bCs/>
                <w:i/>
                <w:color w:val="FFFFFF"/>
                <w:sz w:val="20"/>
                <w:szCs w:val="20"/>
                <w:lang w:eastAsia="en-AU"/>
              </w:rPr>
              <w:t>Office and computer equipment</w:t>
            </w:r>
          </w:p>
        </w:tc>
        <w:tc>
          <w:tcPr>
            <w:tcW w:w="806" w:type="pct"/>
            <w:gridSpan w:val="8"/>
            <w:shd w:val="pct50" w:color="auto" w:fill="auto"/>
          </w:tcPr>
          <w:p w14:paraId="174BF914" w14:textId="77777777" w:rsidR="00F46260" w:rsidRPr="00F46260" w:rsidRDefault="00F46260" w:rsidP="00F46260">
            <w:pPr>
              <w:spacing w:after="0" w:line="240" w:lineRule="auto"/>
              <w:jc w:val="center"/>
              <w:rPr>
                <w:rFonts w:ascii="Arial" w:eastAsia="Times New Roman" w:hAnsi="Arial" w:cs="Arial"/>
                <w:b/>
                <w:bCs/>
                <w:i/>
                <w:iCs/>
                <w:color w:val="FFFFFF"/>
                <w:sz w:val="20"/>
                <w:szCs w:val="20"/>
                <w:lang w:eastAsia="en-AU"/>
              </w:rPr>
            </w:pPr>
          </w:p>
          <w:p w14:paraId="589F44AA"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i/>
                <w:iCs/>
                <w:color w:val="FFFFFF"/>
                <w:sz w:val="20"/>
                <w:szCs w:val="20"/>
                <w:lang w:eastAsia="en-AU"/>
              </w:rPr>
              <w:t>Construction             in                   Progress</w:t>
            </w:r>
          </w:p>
        </w:tc>
        <w:tc>
          <w:tcPr>
            <w:tcW w:w="864" w:type="pct"/>
            <w:gridSpan w:val="5"/>
            <w:shd w:val="pct50" w:color="auto" w:fill="auto"/>
          </w:tcPr>
          <w:p w14:paraId="711A03C6" w14:textId="77777777" w:rsidR="00F46260" w:rsidRPr="00F46260" w:rsidRDefault="00F46260" w:rsidP="00F46260">
            <w:pPr>
              <w:spacing w:after="0" w:line="240" w:lineRule="auto"/>
              <w:jc w:val="center"/>
              <w:rPr>
                <w:rFonts w:ascii="Arial" w:eastAsia="Times New Roman" w:hAnsi="Arial" w:cs="Arial"/>
                <w:b/>
                <w:bCs/>
                <w:i/>
                <w:color w:val="FFFFFF"/>
                <w:sz w:val="20"/>
                <w:szCs w:val="20"/>
                <w:lang w:eastAsia="en-AU"/>
              </w:rPr>
            </w:pPr>
          </w:p>
          <w:p w14:paraId="0E0FB0DA"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i/>
                <w:color w:val="FFFFFF"/>
                <w:sz w:val="20"/>
                <w:szCs w:val="20"/>
                <w:lang w:eastAsia="en-AU"/>
              </w:rPr>
              <w:t>Leased                  motor vehicles</w:t>
            </w:r>
          </w:p>
        </w:tc>
        <w:tc>
          <w:tcPr>
            <w:tcW w:w="368" w:type="pct"/>
            <w:gridSpan w:val="2"/>
            <w:shd w:val="pct50" w:color="auto" w:fill="auto"/>
          </w:tcPr>
          <w:p w14:paraId="0B0060A8"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466" w:type="pct"/>
            <w:gridSpan w:val="2"/>
            <w:shd w:val="pct50" w:color="auto" w:fill="auto"/>
            <w:vAlign w:val="bottom"/>
          </w:tcPr>
          <w:p w14:paraId="2888CF1F" w14:textId="77777777" w:rsidR="00F46260" w:rsidRPr="00F46260" w:rsidRDefault="00F46260" w:rsidP="00F46260">
            <w:pPr>
              <w:spacing w:after="0" w:line="240" w:lineRule="auto"/>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Total</w:t>
            </w:r>
          </w:p>
        </w:tc>
      </w:tr>
      <w:tr w:rsidR="00D1524E" w:rsidRPr="00F46260" w14:paraId="321B1354" w14:textId="77777777" w:rsidTr="00D1524E">
        <w:trPr>
          <w:trHeight w:val="110"/>
        </w:trPr>
        <w:tc>
          <w:tcPr>
            <w:tcW w:w="918" w:type="pct"/>
            <w:shd w:val="pct50" w:color="auto" w:fill="auto"/>
          </w:tcPr>
          <w:p w14:paraId="49F455A0"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408" w:type="pct"/>
            <w:shd w:val="pct50" w:color="auto" w:fill="auto"/>
          </w:tcPr>
          <w:p w14:paraId="3D85A5AE"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tc>
        <w:tc>
          <w:tcPr>
            <w:tcW w:w="407" w:type="pct"/>
            <w:gridSpan w:val="2"/>
            <w:shd w:val="pct50" w:color="auto" w:fill="auto"/>
            <w:vAlign w:val="bottom"/>
          </w:tcPr>
          <w:p w14:paraId="4B31D3C9"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tc>
        <w:tc>
          <w:tcPr>
            <w:tcW w:w="408" w:type="pct"/>
            <w:shd w:val="pct50" w:color="auto" w:fill="auto"/>
          </w:tcPr>
          <w:p w14:paraId="51969C1D"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tc>
        <w:tc>
          <w:tcPr>
            <w:tcW w:w="356" w:type="pct"/>
            <w:gridSpan w:val="4"/>
            <w:vMerge w:val="restart"/>
            <w:shd w:val="pct50" w:color="auto" w:fill="auto"/>
            <w:vAlign w:val="bottom"/>
          </w:tcPr>
          <w:p w14:paraId="19EFD310"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2080CE14"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403" w:type="pct"/>
            <w:gridSpan w:val="2"/>
            <w:shd w:val="pct50" w:color="auto" w:fill="auto"/>
          </w:tcPr>
          <w:p w14:paraId="086E90C3"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tc>
        <w:tc>
          <w:tcPr>
            <w:tcW w:w="403" w:type="pct"/>
            <w:gridSpan w:val="6"/>
            <w:shd w:val="pct50" w:color="auto" w:fill="auto"/>
          </w:tcPr>
          <w:p w14:paraId="14B444DC"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tc>
        <w:tc>
          <w:tcPr>
            <w:tcW w:w="398" w:type="pct"/>
            <w:gridSpan w:val="2"/>
            <w:shd w:val="pct50" w:color="auto" w:fill="auto"/>
          </w:tcPr>
          <w:p w14:paraId="62C2725A" w14:textId="77777777" w:rsidR="00F46260" w:rsidRPr="00F46260" w:rsidRDefault="00F46260" w:rsidP="00F46260">
            <w:pPr>
              <w:spacing w:after="0" w:line="240" w:lineRule="auto"/>
              <w:jc w:val="right"/>
              <w:rPr>
                <w:rFonts w:ascii="Arial" w:eastAsia="Times New Roman" w:hAnsi="Arial" w:cs="Arial"/>
                <w:b/>
                <w:color w:val="FFFFFF"/>
                <w:sz w:val="20"/>
                <w:szCs w:val="20"/>
                <w:lang w:eastAsia="en-AU"/>
              </w:rPr>
            </w:pPr>
            <w:r w:rsidRPr="00F46260">
              <w:rPr>
                <w:rFonts w:ascii="Arial" w:eastAsia="Times New Roman" w:hAnsi="Arial" w:cs="Arial"/>
                <w:b/>
                <w:bCs/>
                <w:color w:val="FFFFFF"/>
                <w:sz w:val="20"/>
                <w:szCs w:val="20"/>
                <w:lang w:eastAsia="en-AU"/>
              </w:rPr>
              <w:t>2021</w:t>
            </w:r>
          </w:p>
        </w:tc>
        <w:tc>
          <w:tcPr>
            <w:tcW w:w="466" w:type="pct"/>
            <w:gridSpan w:val="3"/>
            <w:shd w:val="pct50" w:color="auto" w:fill="auto"/>
            <w:vAlign w:val="bottom"/>
          </w:tcPr>
          <w:p w14:paraId="58A9DD02"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tc>
        <w:tc>
          <w:tcPr>
            <w:tcW w:w="368" w:type="pct"/>
            <w:gridSpan w:val="2"/>
            <w:shd w:val="pct50" w:color="auto" w:fill="auto"/>
          </w:tcPr>
          <w:p w14:paraId="0790684D" w14:textId="77777777" w:rsidR="00F46260" w:rsidRPr="00F46260" w:rsidRDefault="00F46260" w:rsidP="00F46260">
            <w:pPr>
              <w:spacing w:after="0" w:line="240" w:lineRule="auto"/>
              <w:jc w:val="right"/>
              <w:rPr>
                <w:rFonts w:ascii="Arial" w:eastAsia="Times New Roman" w:hAnsi="Arial" w:cs="Arial"/>
                <w:b/>
                <w:color w:val="FFFFFF"/>
                <w:sz w:val="20"/>
                <w:szCs w:val="20"/>
                <w:lang w:eastAsia="en-AU"/>
              </w:rPr>
            </w:pPr>
            <w:r w:rsidRPr="00F46260">
              <w:rPr>
                <w:rFonts w:ascii="Arial" w:eastAsia="Times New Roman" w:hAnsi="Arial" w:cs="Arial"/>
                <w:b/>
                <w:bCs/>
                <w:color w:val="FFFFFF"/>
                <w:sz w:val="20"/>
                <w:szCs w:val="20"/>
                <w:lang w:eastAsia="en-AU"/>
              </w:rPr>
              <w:t>2021</w:t>
            </w:r>
          </w:p>
        </w:tc>
        <w:tc>
          <w:tcPr>
            <w:tcW w:w="466" w:type="pct"/>
            <w:gridSpan w:val="2"/>
            <w:shd w:val="pct50" w:color="auto" w:fill="auto"/>
            <w:vAlign w:val="bottom"/>
          </w:tcPr>
          <w:p w14:paraId="49FE0BE4"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tc>
      </w:tr>
      <w:tr w:rsidR="00D1524E" w:rsidRPr="00F46260" w14:paraId="6EF59BB5" w14:textId="77777777" w:rsidTr="00D1524E">
        <w:trPr>
          <w:trHeight w:val="110"/>
        </w:trPr>
        <w:tc>
          <w:tcPr>
            <w:tcW w:w="918" w:type="pct"/>
            <w:shd w:val="pct50" w:color="auto" w:fill="auto"/>
          </w:tcPr>
          <w:p w14:paraId="53C14DC3"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408" w:type="pct"/>
            <w:shd w:val="pct50" w:color="auto" w:fill="auto"/>
          </w:tcPr>
          <w:p w14:paraId="39D12049"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407" w:type="pct"/>
            <w:gridSpan w:val="2"/>
            <w:shd w:val="pct50" w:color="auto" w:fill="auto"/>
            <w:vAlign w:val="bottom"/>
          </w:tcPr>
          <w:p w14:paraId="26D06052"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408" w:type="pct"/>
            <w:shd w:val="pct50" w:color="auto" w:fill="auto"/>
          </w:tcPr>
          <w:p w14:paraId="230BEE6D"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356" w:type="pct"/>
            <w:gridSpan w:val="4"/>
            <w:vMerge/>
            <w:shd w:val="pct50" w:color="auto" w:fill="auto"/>
            <w:vAlign w:val="bottom"/>
          </w:tcPr>
          <w:p w14:paraId="1BC68DC3"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403" w:type="pct"/>
            <w:gridSpan w:val="2"/>
            <w:shd w:val="pct50" w:color="auto" w:fill="auto"/>
          </w:tcPr>
          <w:p w14:paraId="2B39343A"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78" w:type="pct"/>
            <w:gridSpan w:val="2"/>
            <w:shd w:val="pct50" w:color="auto" w:fill="auto"/>
          </w:tcPr>
          <w:p w14:paraId="4C956C5D"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213" w:type="pct"/>
            <w:gridSpan w:val="3"/>
            <w:shd w:val="pct50" w:color="auto" w:fill="auto"/>
          </w:tcPr>
          <w:p w14:paraId="1B6AF6B7"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409" w:type="pct"/>
            <w:gridSpan w:val="3"/>
            <w:shd w:val="pct50" w:color="auto" w:fill="auto"/>
            <w:vAlign w:val="bottom"/>
          </w:tcPr>
          <w:p w14:paraId="71879688" w14:textId="77777777" w:rsidR="00F46260" w:rsidRPr="00F46260" w:rsidRDefault="00F46260" w:rsidP="00D1524E">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 xml:space="preserve">         $</w:t>
            </w:r>
          </w:p>
        </w:tc>
        <w:tc>
          <w:tcPr>
            <w:tcW w:w="466" w:type="pct"/>
            <w:gridSpan w:val="3"/>
            <w:shd w:val="pct50" w:color="auto" w:fill="auto"/>
          </w:tcPr>
          <w:p w14:paraId="79A6C741" w14:textId="77777777" w:rsidR="00F46260" w:rsidRPr="00F46260" w:rsidRDefault="00F46260" w:rsidP="00D1524E">
            <w:pPr>
              <w:spacing w:after="0" w:line="240" w:lineRule="auto"/>
              <w:jc w:val="right"/>
              <w:rPr>
                <w:rFonts w:ascii="Arial" w:eastAsia="Times New Roman" w:hAnsi="Arial" w:cs="Arial"/>
                <w:b/>
                <w:color w:val="FFFFFF"/>
                <w:sz w:val="20"/>
                <w:szCs w:val="20"/>
                <w:lang w:eastAsia="en-AU"/>
              </w:rPr>
            </w:pPr>
            <w:r w:rsidRPr="00F46260">
              <w:rPr>
                <w:rFonts w:ascii="Arial" w:eastAsia="Times New Roman" w:hAnsi="Arial" w:cs="Arial"/>
                <w:b/>
                <w:bCs/>
                <w:color w:val="FFFFFF"/>
                <w:sz w:val="20"/>
                <w:szCs w:val="20"/>
                <w:lang w:eastAsia="en-AU"/>
              </w:rPr>
              <w:t xml:space="preserve">    $</w:t>
            </w:r>
          </w:p>
        </w:tc>
        <w:tc>
          <w:tcPr>
            <w:tcW w:w="834" w:type="pct"/>
            <w:gridSpan w:val="4"/>
            <w:shd w:val="pct50" w:color="auto" w:fill="auto"/>
            <w:vAlign w:val="bottom"/>
          </w:tcPr>
          <w:p w14:paraId="0E36FF87" w14:textId="235B1595" w:rsidR="00F46260" w:rsidRPr="00F46260" w:rsidRDefault="00F46260" w:rsidP="00D1524E">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 xml:space="preserve">          $                   $</w:t>
            </w:r>
          </w:p>
        </w:tc>
      </w:tr>
      <w:tr w:rsidR="00D1524E" w:rsidRPr="00F46260" w14:paraId="50FEE33E" w14:textId="77777777" w:rsidTr="00D1524E">
        <w:trPr>
          <w:trHeight w:val="110"/>
        </w:trPr>
        <w:tc>
          <w:tcPr>
            <w:tcW w:w="918" w:type="pct"/>
            <w:shd w:val="clear" w:color="auto" w:fill="auto"/>
          </w:tcPr>
          <w:p w14:paraId="5F635B66" w14:textId="77777777" w:rsidR="00F46260" w:rsidRPr="00F46260" w:rsidRDefault="00F46260" w:rsidP="00F46260">
            <w:pPr>
              <w:spacing w:after="0" w:line="240" w:lineRule="auto"/>
              <w:rPr>
                <w:rFonts w:ascii="Arial" w:eastAsia="Times New Roman" w:hAnsi="Arial" w:cs="Arial"/>
                <w:sz w:val="20"/>
                <w:szCs w:val="20"/>
                <w:lang w:eastAsia="en-AU"/>
              </w:rPr>
            </w:pPr>
          </w:p>
          <w:p w14:paraId="01B64095"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Opening balance</w:t>
            </w:r>
          </w:p>
        </w:tc>
        <w:tc>
          <w:tcPr>
            <w:tcW w:w="408" w:type="pct"/>
            <w:shd w:val="pct15" w:color="auto" w:fill="auto"/>
          </w:tcPr>
          <w:p w14:paraId="47D85684" w14:textId="77777777" w:rsidR="00F46260" w:rsidRPr="00F46260" w:rsidRDefault="00F46260" w:rsidP="00F46260">
            <w:pPr>
              <w:spacing w:after="0" w:line="240" w:lineRule="auto"/>
              <w:jc w:val="right"/>
              <w:rPr>
                <w:rFonts w:ascii="Arial" w:eastAsia="Times New Roman" w:hAnsi="Arial" w:cs="Arial"/>
                <w:sz w:val="20"/>
                <w:szCs w:val="20"/>
                <w:lang w:eastAsia="en-AU"/>
              </w:rPr>
            </w:pPr>
          </w:p>
          <w:p w14:paraId="517BDD3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144,832</w:t>
            </w:r>
          </w:p>
        </w:tc>
        <w:tc>
          <w:tcPr>
            <w:tcW w:w="407" w:type="pct"/>
            <w:gridSpan w:val="2"/>
            <w:shd w:val="clear" w:color="auto" w:fill="auto"/>
          </w:tcPr>
          <w:p w14:paraId="17E39BD2" w14:textId="77777777" w:rsidR="00F46260" w:rsidRPr="00F46260" w:rsidRDefault="00F46260" w:rsidP="00F46260">
            <w:pPr>
              <w:spacing w:after="0" w:line="240" w:lineRule="auto"/>
              <w:jc w:val="right"/>
              <w:rPr>
                <w:rFonts w:ascii="Arial" w:eastAsia="Times New Roman" w:hAnsi="Arial" w:cs="Arial"/>
                <w:sz w:val="20"/>
                <w:szCs w:val="20"/>
                <w:lang w:eastAsia="en-AU"/>
              </w:rPr>
            </w:pPr>
          </w:p>
          <w:p w14:paraId="11DD8A47"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169,044</w:t>
            </w:r>
          </w:p>
        </w:tc>
        <w:tc>
          <w:tcPr>
            <w:tcW w:w="408" w:type="pct"/>
            <w:shd w:val="clear" w:color="auto" w:fill="D9D9D9"/>
          </w:tcPr>
          <w:p w14:paraId="7B0E881A" w14:textId="77777777" w:rsidR="00F46260" w:rsidRPr="00F46260" w:rsidRDefault="00F46260" w:rsidP="00F46260">
            <w:pPr>
              <w:spacing w:after="0" w:line="240" w:lineRule="auto"/>
              <w:jc w:val="right"/>
              <w:rPr>
                <w:rFonts w:ascii="Arial" w:eastAsia="Times New Roman" w:hAnsi="Arial" w:cs="Arial"/>
                <w:sz w:val="20"/>
                <w:szCs w:val="20"/>
                <w:lang w:eastAsia="en-AU"/>
              </w:rPr>
            </w:pPr>
          </w:p>
          <w:p w14:paraId="7788442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202" w:type="pct"/>
            <w:gridSpan w:val="2"/>
          </w:tcPr>
          <w:p w14:paraId="41AA9B67"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06" w:type="pct"/>
          </w:tcPr>
          <w:p w14:paraId="49188A2C" w14:textId="77777777" w:rsidR="00F46260" w:rsidRPr="00F46260" w:rsidRDefault="00F46260" w:rsidP="00F46260">
            <w:pPr>
              <w:spacing w:after="0" w:line="240" w:lineRule="auto"/>
              <w:jc w:val="right"/>
              <w:rPr>
                <w:rFonts w:ascii="Arial" w:eastAsia="Times New Roman" w:hAnsi="Arial" w:cs="Arial"/>
                <w:sz w:val="20"/>
                <w:szCs w:val="20"/>
                <w:lang w:eastAsia="en-AU"/>
              </w:rPr>
            </w:pPr>
          </w:p>
          <w:p w14:paraId="4D7985F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51" w:type="pct"/>
            <w:gridSpan w:val="3"/>
            <w:shd w:val="clear" w:color="auto" w:fill="D9D9D9"/>
          </w:tcPr>
          <w:p w14:paraId="4A150F40" w14:textId="77777777" w:rsidR="00F46260" w:rsidRPr="00F46260" w:rsidRDefault="00F46260" w:rsidP="00F46260">
            <w:pPr>
              <w:spacing w:after="0" w:line="240" w:lineRule="auto"/>
              <w:jc w:val="right"/>
              <w:rPr>
                <w:rFonts w:ascii="Arial" w:eastAsia="Times New Roman" w:hAnsi="Arial" w:cs="Arial"/>
                <w:sz w:val="20"/>
                <w:szCs w:val="20"/>
                <w:lang w:eastAsia="en-AU"/>
              </w:rPr>
            </w:pPr>
          </w:p>
          <w:p w14:paraId="24F6DEC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35,980</w:t>
            </w:r>
          </w:p>
        </w:tc>
        <w:tc>
          <w:tcPr>
            <w:tcW w:w="202" w:type="pct"/>
            <w:gridSpan w:val="4"/>
          </w:tcPr>
          <w:p w14:paraId="2DCD013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200" w:type="pct"/>
            <w:gridSpan w:val="2"/>
          </w:tcPr>
          <w:p w14:paraId="2CB43FB2" w14:textId="77777777" w:rsidR="00F46260" w:rsidRPr="00F46260" w:rsidRDefault="00F46260" w:rsidP="00F46260">
            <w:pPr>
              <w:spacing w:after="0" w:line="240" w:lineRule="auto"/>
              <w:jc w:val="right"/>
              <w:rPr>
                <w:rFonts w:ascii="Arial" w:eastAsia="Times New Roman" w:hAnsi="Arial" w:cs="Arial"/>
                <w:sz w:val="20"/>
                <w:szCs w:val="20"/>
                <w:lang w:eastAsia="en-AU"/>
              </w:rPr>
            </w:pPr>
          </w:p>
          <w:p w14:paraId="19FC69A8"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398" w:type="pct"/>
            <w:gridSpan w:val="2"/>
            <w:shd w:val="pct15" w:color="auto" w:fill="auto"/>
            <w:vAlign w:val="bottom"/>
          </w:tcPr>
          <w:p w14:paraId="036E0B48"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34,449</w:t>
            </w:r>
          </w:p>
        </w:tc>
        <w:tc>
          <w:tcPr>
            <w:tcW w:w="466" w:type="pct"/>
            <w:gridSpan w:val="3"/>
            <w:vAlign w:val="bottom"/>
          </w:tcPr>
          <w:p w14:paraId="2FB373F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60,237</w:t>
            </w:r>
          </w:p>
        </w:tc>
        <w:tc>
          <w:tcPr>
            <w:tcW w:w="368" w:type="pct"/>
            <w:gridSpan w:val="2"/>
            <w:shd w:val="pct15" w:color="auto" w:fill="auto"/>
            <w:vAlign w:val="bottom"/>
          </w:tcPr>
          <w:p w14:paraId="1273B38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215,261</w:t>
            </w:r>
          </w:p>
        </w:tc>
        <w:tc>
          <w:tcPr>
            <w:tcW w:w="466" w:type="pct"/>
            <w:gridSpan w:val="2"/>
            <w:vAlign w:val="bottom"/>
          </w:tcPr>
          <w:p w14:paraId="7BBB06C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229,281</w:t>
            </w:r>
          </w:p>
        </w:tc>
      </w:tr>
      <w:tr w:rsidR="00D1524E" w:rsidRPr="00F46260" w14:paraId="1A446371" w14:textId="77777777" w:rsidTr="00D1524E">
        <w:trPr>
          <w:trHeight w:val="110"/>
        </w:trPr>
        <w:tc>
          <w:tcPr>
            <w:tcW w:w="918" w:type="pct"/>
            <w:shd w:val="clear" w:color="auto" w:fill="auto"/>
          </w:tcPr>
          <w:p w14:paraId="5D60A627"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color w:val="000000"/>
                <w:sz w:val="20"/>
                <w:szCs w:val="20"/>
                <w:lang w:val="en-GB" w:eastAsia="en-AU"/>
              </w:rPr>
              <w:t>Additions</w:t>
            </w:r>
          </w:p>
        </w:tc>
        <w:tc>
          <w:tcPr>
            <w:tcW w:w="408" w:type="pct"/>
            <w:shd w:val="pct15" w:color="auto" w:fill="auto"/>
          </w:tcPr>
          <w:p w14:paraId="5FD2FDD5"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w:t>
            </w:r>
          </w:p>
        </w:tc>
        <w:tc>
          <w:tcPr>
            <w:tcW w:w="407" w:type="pct"/>
            <w:gridSpan w:val="2"/>
            <w:shd w:val="clear" w:color="auto" w:fill="auto"/>
          </w:tcPr>
          <w:p w14:paraId="3C60C226"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79,380</w:t>
            </w:r>
          </w:p>
        </w:tc>
        <w:tc>
          <w:tcPr>
            <w:tcW w:w="408" w:type="pct"/>
            <w:shd w:val="clear" w:color="auto" w:fill="D9D9D9"/>
          </w:tcPr>
          <w:p w14:paraId="6705099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202" w:type="pct"/>
            <w:gridSpan w:val="2"/>
          </w:tcPr>
          <w:p w14:paraId="474EB5C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06" w:type="pct"/>
          </w:tcPr>
          <w:p w14:paraId="319FB8A2"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51" w:type="pct"/>
            <w:gridSpan w:val="3"/>
            <w:shd w:val="clear" w:color="auto" w:fill="D9D9D9"/>
          </w:tcPr>
          <w:p w14:paraId="577ADA9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03" w:type="pct"/>
            <w:gridSpan w:val="6"/>
          </w:tcPr>
          <w:p w14:paraId="1F1FE3F7" w14:textId="77777777" w:rsidR="00F46260" w:rsidRPr="00F46260" w:rsidRDefault="00F46260" w:rsidP="00F46260">
            <w:pPr>
              <w:spacing w:after="0" w:line="240" w:lineRule="auto"/>
              <w:jc w:val="center"/>
              <w:rPr>
                <w:rFonts w:ascii="Arial" w:eastAsia="Times New Roman" w:hAnsi="Arial" w:cs="Arial"/>
                <w:sz w:val="20"/>
                <w:szCs w:val="20"/>
                <w:lang w:eastAsia="en-AU"/>
              </w:rPr>
            </w:pPr>
            <w:r w:rsidRPr="00F46260">
              <w:rPr>
                <w:rFonts w:ascii="Arial" w:eastAsia="Times New Roman" w:hAnsi="Arial" w:cs="Arial"/>
                <w:bCs/>
                <w:sz w:val="20"/>
                <w:szCs w:val="20"/>
                <w:lang w:eastAsia="en-AU"/>
              </w:rPr>
              <w:t xml:space="preserve">    35,980</w:t>
            </w:r>
          </w:p>
        </w:tc>
        <w:tc>
          <w:tcPr>
            <w:tcW w:w="398" w:type="pct"/>
            <w:gridSpan w:val="2"/>
            <w:shd w:val="pct15" w:color="auto" w:fill="auto"/>
            <w:vAlign w:val="bottom"/>
          </w:tcPr>
          <w:p w14:paraId="257934C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31,384</w:t>
            </w:r>
          </w:p>
        </w:tc>
        <w:tc>
          <w:tcPr>
            <w:tcW w:w="466" w:type="pct"/>
            <w:gridSpan w:val="3"/>
            <w:vAlign w:val="bottom"/>
          </w:tcPr>
          <w:p w14:paraId="35EB6D8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368" w:type="pct"/>
            <w:gridSpan w:val="2"/>
            <w:shd w:val="pct15" w:color="auto" w:fill="auto"/>
            <w:vAlign w:val="bottom"/>
          </w:tcPr>
          <w:p w14:paraId="23D65BDE"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31,384</w:t>
            </w:r>
          </w:p>
        </w:tc>
        <w:tc>
          <w:tcPr>
            <w:tcW w:w="466" w:type="pct"/>
            <w:gridSpan w:val="2"/>
            <w:vAlign w:val="bottom"/>
          </w:tcPr>
          <w:p w14:paraId="718F1C7A"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115,360</w:t>
            </w:r>
          </w:p>
        </w:tc>
      </w:tr>
      <w:tr w:rsidR="00D1524E" w:rsidRPr="00F46260" w14:paraId="7F8DD931" w14:textId="77777777" w:rsidTr="00D1524E">
        <w:trPr>
          <w:trHeight w:val="110"/>
        </w:trPr>
        <w:tc>
          <w:tcPr>
            <w:tcW w:w="918" w:type="pct"/>
            <w:shd w:val="clear" w:color="auto" w:fill="auto"/>
          </w:tcPr>
          <w:p w14:paraId="4CA7A7E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Disposals</w:t>
            </w:r>
          </w:p>
        </w:tc>
        <w:tc>
          <w:tcPr>
            <w:tcW w:w="408" w:type="pct"/>
            <w:shd w:val="pct15" w:color="auto" w:fill="auto"/>
          </w:tcPr>
          <w:p w14:paraId="56E188E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w:t>
            </w:r>
          </w:p>
        </w:tc>
        <w:tc>
          <w:tcPr>
            <w:tcW w:w="407" w:type="pct"/>
            <w:gridSpan w:val="2"/>
            <w:shd w:val="clear" w:color="auto" w:fill="auto"/>
          </w:tcPr>
          <w:p w14:paraId="254D2DE1"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w:t>
            </w:r>
          </w:p>
        </w:tc>
        <w:tc>
          <w:tcPr>
            <w:tcW w:w="408" w:type="pct"/>
            <w:shd w:val="clear" w:color="auto" w:fill="D9D9D9"/>
          </w:tcPr>
          <w:p w14:paraId="1CE5DA2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202" w:type="pct"/>
            <w:gridSpan w:val="2"/>
          </w:tcPr>
          <w:p w14:paraId="38EF7DC3"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06" w:type="pct"/>
          </w:tcPr>
          <w:p w14:paraId="56B8690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51" w:type="pct"/>
            <w:gridSpan w:val="3"/>
            <w:shd w:val="clear" w:color="auto" w:fill="D9D9D9"/>
          </w:tcPr>
          <w:p w14:paraId="7BA1D41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202" w:type="pct"/>
            <w:gridSpan w:val="4"/>
          </w:tcPr>
          <w:p w14:paraId="0A521FB8"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200" w:type="pct"/>
            <w:gridSpan w:val="2"/>
          </w:tcPr>
          <w:p w14:paraId="0B979383"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398" w:type="pct"/>
            <w:gridSpan w:val="2"/>
            <w:shd w:val="pct15" w:color="auto" w:fill="auto"/>
            <w:vAlign w:val="bottom"/>
          </w:tcPr>
          <w:p w14:paraId="5102CED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66" w:type="pct"/>
            <w:gridSpan w:val="3"/>
            <w:vAlign w:val="bottom"/>
          </w:tcPr>
          <w:p w14:paraId="73C72962"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(17,718)</w:t>
            </w:r>
          </w:p>
        </w:tc>
        <w:tc>
          <w:tcPr>
            <w:tcW w:w="368" w:type="pct"/>
            <w:gridSpan w:val="2"/>
            <w:shd w:val="pct15" w:color="auto" w:fill="auto"/>
            <w:vAlign w:val="bottom"/>
          </w:tcPr>
          <w:p w14:paraId="3A8B95C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66" w:type="pct"/>
            <w:gridSpan w:val="2"/>
            <w:vAlign w:val="bottom"/>
          </w:tcPr>
          <w:p w14:paraId="17FDD2D4"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(17,718)</w:t>
            </w:r>
          </w:p>
        </w:tc>
      </w:tr>
      <w:tr w:rsidR="00D1524E" w:rsidRPr="00F46260" w14:paraId="5CDB3F23" w14:textId="77777777" w:rsidTr="00D1524E">
        <w:trPr>
          <w:trHeight w:val="110"/>
        </w:trPr>
        <w:tc>
          <w:tcPr>
            <w:tcW w:w="918" w:type="pct"/>
            <w:shd w:val="clear" w:color="auto" w:fill="auto"/>
          </w:tcPr>
          <w:p w14:paraId="7FD2264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Reclassification</w:t>
            </w:r>
          </w:p>
        </w:tc>
        <w:tc>
          <w:tcPr>
            <w:tcW w:w="408" w:type="pct"/>
            <w:shd w:val="pct15" w:color="auto" w:fill="auto"/>
          </w:tcPr>
          <w:p w14:paraId="3C129CC0"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w:t>
            </w:r>
          </w:p>
        </w:tc>
        <w:tc>
          <w:tcPr>
            <w:tcW w:w="407" w:type="pct"/>
            <w:gridSpan w:val="2"/>
            <w:shd w:val="clear" w:color="auto" w:fill="auto"/>
          </w:tcPr>
          <w:p w14:paraId="3114457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w:t>
            </w:r>
          </w:p>
        </w:tc>
        <w:tc>
          <w:tcPr>
            <w:tcW w:w="408" w:type="pct"/>
            <w:shd w:val="clear" w:color="auto" w:fill="D9D9D9"/>
          </w:tcPr>
          <w:p w14:paraId="71B8FC2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16,146</w:t>
            </w:r>
          </w:p>
        </w:tc>
        <w:tc>
          <w:tcPr>
            <w:tcW w:w="202" w:type="pct"/>
            <w:gridSpan w:val="2"/>
          </w:tcPr>
          <w:p w14:paraId="60AD766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06" w:type="pct"/>
          </w:tcPr>
          <w:p w14:paraId="79A3FCF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51" w:type="pct"/>
            <w:gridSpan w:val="3"/>
            <w:shd w:val="clear" w:color="auto" w:fill="D9D9D9"/>
          </w:tcPr>
          <w:p w14:paraId="232DA99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202" w:type="pct"/>
            <w:gridSpan w:val="4"/>
          </w:tcPr>
          <w:p w14:paraId="29CFCF83"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200" w:type="pct"/>
            <w:gridSpan w:val="2"/>
          </w:tcPr>
          <w:p w14:paraId="24589D4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398" w:type="pct"/>
            <w:gridSpan w:val="2"/>
            <w:shd w:val="pct15" w:color="auto" w:fill="auto"/>
            <w:vAlign w:val="bottom"/>
          </w:tcPr>
          <w:p w14:paraId="7696413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66" w:type="pct"/>
            <w:gridSpan w:val="3"/>
            <w:vAlign w:val="bottom"/>
          </w:tcPr>
          <w:p w14:paraId="7D51FE4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368" w:type="pct"/>
            <w:gridSpan w:val="2"/>
            <w:shd w:val="pct15" w:color="auto" w:fill="auto"/>
            <w:vAlign w:val="bottom"/>
          </w:tcPr>
          <w:p w14:paraId="4D94D55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16,146</w:t>
            </w:r>
          </w:p>
        </w:tc>
        <w:tc>
          <w:tcPr>
            <w:tcW w:w="466" w:type="pct"/>
            <w:gridSpan w:val="2"/>
            <w:vAlign w:val="bottom"/>
          </w:tcPr>
          <w:p w14:paraId="61C85113"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r>
      <w:tr w:rsidR="00D1524E" w:rsidRPr="00F46260" w14:paraId="48917C87" w14:textId="77777777" w:rsidTr="00D1524E">
        <w:trPr>
          <w:trHeight w:val="110"/>
        </w:trPr>
        <w:tc>
          <w:tcPr>
            <w:tcW w:w="918" w:type="pct"/>
            <w:shd w:val="clear" w:color="auto" w:fill="auto"/>
          </w:tcPr>
          <w:p w14:paraId="6211F78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Transfer</w:t>
            </w:r>
          </w:p>
        </w:tc>
        <w:tc>
          <w:tcPr>
            <w:tcW w:w="408" w:type="pct"/>
            <w:shd w:val="pct15" w:color="auto" w:fill="auto"/>
          </w:tcPr>
          <w:p w14:paraId="66510F3D"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35,980</w:t>
            </w:r>
          </w:p>
        </w:tc>
        <w:tc>
          <w:tcPr>
            <w:tcW w:w="407" w:type="pct"/>
            <w:gridSpan w:val="2"/>
            <w:shd w:val="clear" w:color="auto" w:fill="auto"/>
          </w:tcPr>
          <w:p w14:paraId="4EC28F4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408" w:type="pct"/>
            <w:shd w:val="clear" w:color="auto" w:fill="D9D9D9"/>
          </w:tcPr>
          <w:p w14:paraId="18FF2A6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202" w:type="pct"/>
            <w:gridSpan w:val="2"/>
          </w:tcPr>
          <w:p w14:paraId="100B61B4"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06" w:type="pct"/>
          </w:tcPr>
          <w:p w14:paraId="1FB0028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451" w:type="pct"/>
            <w:gridSpan w:val="3"/>
            <w:shd w:val="clear" w:color="auto" w:fill="D9D9D9"/>
          </w:tcPr>
          <w:p w14:paraId="3E5D70C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(35,980)</w:t>
            </w:r>
          </w:p>
        </w:tc>
        <w:tc>
          <w:tcPr>
            <w:tcW w:w="202" w:type="pct"/>
            <w:gridSpan w:val="4"/>
          </w:tcPr>
          <w:p w14:paraId="21BC283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200" w:type="pct"/>
            <w:gridSpan w:val="2"/>
          </w:tcPr>
          <w:p w14:paraId="4A5F4FA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398" w:type="pct"/>
            <w:gridSpan w:val="2"/>
            <w:shd w:val="pct15" w:color="auto" w:fill="auto"/>
            <w:vAlign w:val="bottom"/>
          </w:tcPr>
          <w:p w14:paraId="457F5757"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466" w:type="pct"/>
            <w:gridSpan w:val="3"/>
            <w:vAlign w:val="bottom"/>
          </w:tcPr>
          <w:p w14:paraId="41467BB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368" w:type="pct"/>
            <w:gridSpan w:val="2"/>
            <w:shd w:val="pct15" w:color="auto" w:fill="auto"/>
            <w:vAlign w:val="bottom"/>
          </w:tcPr>
          <w:p w14:paraId="480631BE"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66" w:type="pct"/>
            <w:gridSpan w:val="2"/>
            <w:vAlign w:val="bottom"/>
          </w:tcPr>
          <w:p w14:paraId="30AF1A5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D1524E" w:rsidRPr="00F46260" w14:paraId="414B7954" w14:textId="77777777" w:rsidTr="00D1524E">
        <w:trPr>
          <w:trHeight w:val="110"/>
        </w:trPr>
        <w:tc>
          <w:tcPr>
            <w:tcW w:w="918" w:type="pct"/>
            <w:tcBorders>
              <w:bottom w:val="single" w:sz="2" w:space="0" w:color="auto"/>
            </w:tcBorders>
            <w:shd w:val="clear" w:color="auto" w:fill="auto"/>
          </w:tcPr>
          <w:p w14:paraId="10631E7D"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Depreciation </w:t>
            </w:r>
          </w:p>
        </w:tc>
        <w:tc>
          <w:tcPr>
            <w:tcW w:w="408" w:type="pct"/>
            <w:tcBorders>
              <w:bottom w:val="single" w:sz="2" w:space="0" w:color="auto"/>
            </w:tcBorders>
            <w:shd w:val="pct15" w:color="auto" w:fill="auto"/>
          </w:tcPr>
          <w:p w14:paraId="459553E9"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(21,621)</w:t>
            </w:r>
          </w:p>
        </w:tc>
        <w:tc>
          <w:tcPr>
            <w:tcW w:w="407" w:type="pct"/>
            <w:gridSpan w:val="2"/>
            <w:tcBorders>
              <w:bottom w:val="single" w:sz="2" w:space="0" w:color="auto"/>
            </w:tcBorders>
            <w:shd w:val="clear" w:color="auto" w:fill="auto"/>
          </w:tcPr>
          <w:p w14:paraId="0CC0FBD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(103,592)</w:t>
            </w:r>
          </w:p>
        </w:tc>
        <w:tc>
          <w:tcPr>
            <w:tcW w:w="408" w:type="pct"/>
            <w:tcBorders>
              <w:bottom w:val="single" w:sz="2" w:space="0" w:color="auto"/>
            </w:tcBorders>
            <w:shd w:val="clear" w:color="auto" w:fill="D9D9D9"/>
          </w:tcPr>
          <w:p w14:paraId="6289698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(3,229)</w:t>
            </w:r>
          </w:p>
        </w:tc>
        <w:tc>
          <w:tcPr>
            <w:tcW w:w="202" w:type="pct"/>
            <w:gridSpan w:val="2"/>
            <w:tcBorders>
              <w:bottom w:val="single" w:sz="2" w:space="0" w:color="auto"/>
            </w:tcBorders>
          </w:tcPr>
          <w:p w14:paraId="4CA2296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06" w:type="pct"/>
            <w:tcBorders>
              <w:bottom w:val="single" w:sz="2" w:space="0" w:color="auto"/>
            </w:tcBorders>
          </w:tcPr>
          <w:p w14:paraId="041B013B"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451" w:type="pct"/>
            <w:gridSpan w:val="3"/>
            <w:tcBorders>
              <w:bottom w:val="single" w:sz="2" w:space="0" w:color="auto"/>
            </w:tcBorders>
            <w:shd w:val="clear" w:color="auto" w:fill="D9D9D9"/>
          </w:tcPr>
          <w:p w14:paraId="1B0AD96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202" w:type="pct"/>
            <w:gridSpan w:val="4"/>
            <w:tcBorders>
              <w:bottom w:val="single" w:sz="2" w:space="0" w:color="auto"/>
            </w:tcBorders>
          </w:tcPr>
          <w:p w14:paraId="0A420069"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200" w:type="pct"/>
            <w:gridSpan w:val="2"/>
            <w:tcBorders>
              <w:bottom w:val="single" w:sz="2" w:space="0" w:color="auto"/>
            </w:tcBorders>
          </w:tcPr>
          <w:p w14:paraId="2116690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398" w:type="pct"/>
            <w:gridSpan w:val="2"/>
            <w:tcBorders>
              <w:bottom w:val="single" w:sz="2" w:space="0" w:color="auto"/>
            </w:tcBorders>
            <w:shd w:val="pct15" w:color="auto" w:fill="auto"/>
            <w:vAlign w:val="bottom"/>
          </w:tcPr>
          <w:p w14:paraId="73C803D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(13,332)</w:t>
            </w:r>
          </w:p>
        </w:tc>
        <w:tc>
          <w:tcPr>
            <w:tcW w:w="466" w:type="pct"/>
            <w:gridSpan w:val="3"/>
            <w:tcBorders>
              <w:bottom w:val="single" w:sz="2" w:space="0" w:color="auto"/>
            </w:tcBorders>
            <w:vAlign w:val="bottom"/>
          </w:tcPr>
          <w:p w14:paraId="5B472D5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(8,070)</w:t>
            </w:r>
          </w:p>
        </w:tc>
        <w:tc>
          <w:tcPr>
            <w:tcW w:w="368" w:type="pct"/>
            <w:gridSpan w:val="2"/>
            <w:tcBorders>
              <w:bottom w:val="single" w:sz="2" w:space="0" w:color="auto"/>
            </w:tcBorders>
            <w:shd w:val="pct15" w:color="auto" w:fill="auto"/>
            <w:vAlign w:val="bottom"/>
          </w:tcPr>
          <w:p w14:paraId="54A30FF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(38,182)</w:t>
            </w:r>
          </w:p>
        </w:tc>
        <w:tc>
          <w:tcPr>
            <w:tcW w:w="466" w:type="pct"/>
            <w:gridSpan w:val="2"/>
            <w:tcBorders>
              <w:bottom w:val="single" w:sz="2" w:space="0" w:color="auto"/>
            </w:tcBorders>
            <w:vAlign w:val="bottom"/>
          </w:tcPr>
          <w:p w14:paraId="0EA73FE9"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(111,662)</w:t>
            </w:r>
          </w:p>
        </w:tc>
      </w:tr>
      <w:tr w:rsidR="00D1524E" w:rsidRPr="00F46260" w14:paraId="3164710F" w14:textId="77777777" w:rsidTr="00D1524E">
        <w:trPr>
          <w:trHeight w:val="110"/>
        </w:trPr>
        <w:tc>
          <w:tcPr>
            <w:tcW w:w="918" w:type="pct"/>
            <w:tcBorders>
              <w:top w:val="single" w:sz="2" w:space="0" w:color="auto"/>
              <w:bottom w:val="single" w:sz="12" w:space="0" w:color="auto"/>
            </w:tcBorders>
            <w:shd w:val="clear" w:color="auto" w:fill="auto"/>
          </w:tcPr>
          <w:p w14:paraId="077A6163"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Closing balance</w:t>
            </w:r>
          </w:p>
        </w:tc>
        <w:tc>
          <w:tcPr>
            <w:tcW w:w="408" w:type="pct"/>
            <w:tcBorders>
              <w:top w:val="single" w:sz="2" w:space="0" w:color="auto"/>
              <w:bottom w:val="single" w:sz="12" w:space="0" w:color="auto"/>
            </w:tcBorders>
            <w:shd w:val="pct15" w:color="auto" w:fill="auto"/>
          </w:tcPr>
          <w:p w14:paraId="7CF6CC95"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159,191</w:t>
            </w:r>
          </w:p>
        </w:tc>
        <w:tc>
          <w:tcPr>
            <w:tcW w:w="407" w:type="pct"/>
            <w:gridSpan w:val="2"/>
            <w:tcBorders>
              <w:top w:val="single" w:sz="2" w:space="0" w:color="auto"/>
              <w:bottom w:val="single" w:sz="12" w:space="0" w:color="auto"/>
            </w:tcBorders>
            <w:shd w:val="clear" w:color="auto" w:fill="auto"/>
          </w:tcPr>
          <w:p w14:paraId="2313641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144,832</w:t>
            </w:r>
          </w:p>
        </w:tc>
        <w:tc>
          <w:tcPr>
            <w:tcW w:w="408" w:type="pct"/>
            <w:tcBorders>
              <w:top w:val="single" w:sz="2" w:space="0" w:color="auto"/>
              <w:bottom w:val="single" w:sz="12" w:space="0" w:color="auto"/>
            </w:tcBorders>
            <w:shd w:val="clear" w:color="auto" w:fill="D9D9D9"/>
          </w:tcPr>
          <w:p w14:paraId="39F4B3A2"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12,917</w:t>
            </w:r>
          </w:p>
        </w:tc>
        <w:tc>
          <w:tcPr>
            <w:tcW w:w="202" w:type="pct"/>
            <w:gridSpan w:val="2"/>
            <w:tcBorders>
              <w:top w:val="single" w:sz="2" w:space="0" w:color="auto"/>
              <w:bottom w:val="single" w:sz="12" w:space="0" w:color="auto"/>
            </w:tcBorders>
          </w:tcPr>
          <w:p w14:paraId="7B9C146E"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06" w:type="pct"/>
            <w:tcBorders>
              <w:top w:val="single" w:sz="2" w:space="0" w:color="auto"/>
              <w:bottom w:val="single" w:sz="12" w:space="0" w:color="auto"/>
            </w:tcBorders>
          </w:tcPr>
          <w:p w14:paraId="2DC8C436"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w:t>
            </w:r>
          </w:p>
        </w:tc>
        <w:tc>
          <w:tcPr>
            <w:tcW w:w="451" w:type="pct"/>
            <w:gridSpan w:val="3"/>
            <w:tcBorders>
              <w:top w:val="single" w:sz="2" w:space="0" w:color="auto"/>
              <w:bottom w:val="single" w:sz="12" w:space="0" w:color="auto"/>
            </w:tcBorders>
            <w:shd w:val="clear" w:color="auto" w:fill="D9D9D9"/>
          </w:tcPr>
          <w:p w14:paraId="0A1C1606"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w:t>
            </w:r>
          </w:p>
        </w:tc>
        <w:tc>
          <w:tcPr>
            <w:tcW w:w="403" w:type="pct"/>
            <w:gridSpan w:val="6"/>
            <w:tcBorders>
              <w:top w:val="single" w:sz="2" w:space="0" w:color="auto"/>
              <w:bottom w:val="single" w:sz="12" w:space="0" w:color="auto"/>
            </w:tcBorders>
          </w:tcPr>
          <w:p w14:paraId="7285A5D0"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35,980</w:t>
            </w:r>
          </w:p>
        </w:tc>
        <w:tc>
          <w:tcPr>
            <w:tcW w:w="398" w:type="pct"/>
            <w:gridSpan w:val="2"/>
            <w:tcBorders>
              <w:top w:val="single" w:sz="2" w:space="0" w:color="auto"/>
              <w:bottom w:val="single" w:sz="12" w:space="0" w:color="auto"/>
            </w:tcBorders>
            <w:shd w:val="pct15" w:color="auto" w:fill="auto"/>
            <w:vAlign w:val="bottom"/>
          </w:tcPr>
          <w:p w14:paraId="0C372144"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52,501</w:t>
            </w:r>
          </w:p>
        </w:tc>
        <w:tc>
          <w:tcPr>
            <w:tcW w:w="466" w:type="pct"/>
            <w:gridSpan w:val="3"/>
            <w:tcBorders>
              <w:top w:val="single" w:sz="2" w:space="0" w:color="auto"/>
              <w:bottom w:val="single" w:sz="12" w:space="0" w:color="auto"/>
            </w:tcBorders>
            <w:vAlign w:val="bottom"/>
          </w:tcPr>
          <w:p w14:paraId="3A03D531"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34,449</w:t>
            </w:r>
          </w:p>
        </w:tc>
        <w:tc>
          <w:tcPr>
            <w:tcW w:w="368" w:type="pct"/>
            <w:gridSpan w:val="2"/>
            <w:tcBorders>
              <w:top w:val="single" w:sz="2" w:space="0" w:color="auto"/>
              <w:bottom w:val="single" w:sz="12" w:space="0" w:color="auto"/>
            </w:tcBorders>
            <w:shd w:val="pct15" w:color="auto" w:fill="auto"/>
            <w:vAlign w:val="bottom"/>
          </w:tcPr>
          <w:p w14:paraId="40168813"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224,609</w:t>
            </w:r>
          </w:p>
        </w:tc>
        <w:tc>
          <w:tcPr>
            <w:tcW w:w="466" w:type="pct"/>
            <w:gridSpan w:val="2"/>
            <w:tcBorders>
              <w:top w:val="single" w:sz="2" w:space="0" w:color="auto"/>
              <w:bottom w:val="single" w:sz="12" w:space="0" w:color="auto"/>
            </w:tcBorders>
            <w:vAlign w:val="bottom"/>
          </w:tcPr>
          <w:p w14:paraId="3B6F217C"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215,261</w:t>
            </w:r>
          </w:p>
        </w:tc>
      </w:tr>
      <w:tr w:rsidR="00D1524E" w:rsidRPr="00F46260" w14:paraId="557D197A" w14:textId="77777777" w:rsidTr="00D1524E">
        <w:trPr>
          <w:trHeight w:val="110"/>
        </w:trPr>
        <w:tc>
          <w:tcPr>
            <w:tcW w:w="918" w:type="pct"/>
            <w:tcBorders>
              <w:top w:val="single" w:sz="12" w:space="0" w:color="auto"/>
            </w:tcBorders>
            <w:shd w:val="clear" w:color="auto" w:fill="auto"/>
          </w:tcPr>
          <w:p w14:paraId="75520C36"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08" w:type="pct"/>
            <w:tcBorders>
              <w:top w:val="single" w:sz="12" w:space="0" w:color="auto"/>
            </w:tcBorders>
          </w:tcPr>
          <w:p w14:paraId="67AB638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407" w:type="pct"/>
            <w:gridSpan w:val="2"/>
            <w:tcBorders>
              <w:top w:val="single" w:sz="12" w:space="0" w:color="auto"/>
            </w:tcBorders>
            <w:shd w:val="clear" w:color="auto" w:fill="auto"/>
            <w:vAlign w:val="bottom"/>
          </w:tcPr>
          <w:p w14:paraId="35174D2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408" w:type="pct"/>
            <w:tcBorders>
              <w:top w:val="single" w:sz="12" w:space="0" w:color="auto"/>
            </w:tcBorders>
          </w:tcPr>
          <w:p w14:paraId="59F88439"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5" w:type="pct"/>
            <w:tcBorders>
              <w:top w:val="single" w:sz="12" w:space="0" w:color="auto"/>
            </w:tcBorders>
          </w:tcPr>
          <w:p w14:paraId="2DF5667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283" w:type="pct"/>
            <w:gridSpan w:val="4"/>
            <w:tcBorders>
              <w:top w:val="single" w:sz="12" w:space="0" w:color="auto"/>
            </w:tcBorders>
          </w:tcPr>
          <w:p w14:paraId="3A696C7A"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403" w:type="pct"/>
            <w:gridSpan w:val="2"/>
            <w:tcBorders>
              <w:top w:val="single" w:sz="12" w:space="0" w:color="auto"/>
            </w:tcBorders>
          </w:tcPr>
          <w:p w14:paraId="79735E7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78" w:type="pct"/>
            <w:gridSpan w:val="2"/>
            <w:tcBorders>
              <w:top w:val="single" w:sz="12" w:space="0" w:color="auto"/>
            </w:tcBorders>
          </w:tcPr>
          <w:p w14:paraId="59FB9C0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201" w:type="pct"/>
            <w:gridSpan w:val="2"/>
            <w:tcBorders>
              <w:top w:val="single" w:sz="12" w:space="0" w:color="auto"/>
            </w:tcBorders>
            <w:shd w:val="clear" w:color="auto" w:fill="auto"/>
          </w:tcPr>
          <w:p w14:paraId="249E67C8"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529" w:type="pct"/>
            <w:gridSpan w:val="5"/>
            <w:tcBorders>
              <w:top w:val="single" w:sz="12" w:space="0" w:color="auto"/>
            </w:tcBorders>
            <w:vAlign w:val="bottom"/>
          </w:tcPr>
          <w:p w14:paraId="6C001AF3"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346" w:type="pct"/>
            <w:tcBorders>
              <w:top w:val="single" w:sz="12" w:space="0" w:color="auto"/>
            </w:tcBorders>
            <w:vAlign w:val="bottom"/>
          </w:tcPr>
          <w:p w14:paraId="5B16DE6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834" w:type="pct"/>
            <w:gridSpan w:val="4"/>
            <w:tcBorders>
              <w:top w:val="single" w:sz="12" w:space="0" w:color="auto"/>
            </w:tcBorders>
            <w:vAlign w:val="bottom"/>
          </w:tcPr>
          <w:p w14:paraId="175FE91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bookmarkEnd w:id="51"/>
    </w:tbl>
    <w:p w14:paraId="3B47312A" w14:textId="77777777" w:rsidR="00F46260" w:rsidRPr="00F46260" w:rsidRDefault="00F46260" w:rsidP="00F46260">
      <w:pPr>
        <w:spacing w:after="0" w:line="240" w:lineRule="auto"/>
        <w:rPr>
          <w:rFonts w:ascii="Arial" w:eastAsia="Times New Roman" w:hAnsi="Arial" w:cs="Arial"/>
          <w:sz w:val="20"/>
          <w:szCs w:val="20"/>
          <w:lang w:eastAsia="en-AU"/>
        </w:rPr>
      </w:pPr>
    </w:p>
    <w:p w14:paraId="3535FBEA" w14:textId="77777777" w:rsidR="00F46260" w:rsidRPr="00F46260" w:rsidRDefault="00F46260" w:rsidP="00F46260">
      <w:pPr>
        <w:spacing w:after="0" w:line="240" w:lineRule="auto"/>
        <w:rPr>
          <w:rFonts w:ascii="Arial" w:eastAsia="Times New Roman" w:hAnsi="Arial" w:cs="Arial"/>
          <w:sz w:val="20"/>
          <w:szCs w:val="20"/>
          <w:lang w:eastAsia="en-AU"/>
        </w:rPr>
        <w:sectPr w:rsidR="00F46260" w:rsidRPr="00F46260" w:rsidSect="00F46260">
          <w:pgSz w:w="16840" w:h="11907" w:orient="landscape" w:code="9"/>
          <w:pgMar w:top="1276" w:right="1440" w:bottom="1276" w:left="1440" w:header="720" w:footer="720" w:gutter="0"/>
          <w:cols w:space="720"/>
          <w:titlePg/>
          <w:docGrid w:linePitch="326"/>
        </w:sectPr>
      </w:pPr>
    </w:p>
    <w:tbl>
      <w:tblPr>
        <w:tblW w:w="7301" w:type="dxa"/>
        <w:tblInd w:w="108" w:type="dxa"/>
        <w:tblLayout w:type="fixed"/>
        <w:tblLook w:val="01E0" w:firstRow="1" w:lastRow="1" w:firstColumn="1" w:lastColumn="1" w:noHBand="0" w:noVBand="0"/>
      </w:tblPr>
      <w:tblGrid>
        <w:gridCol w:w="471"/>
        <w:gridCol w:w="1082"/>
        <w:gridCol w:w="907"/>
        <w:gridCol w:w="917"/>
        <w:gridCol w:w="1087"/>
        <w:gridCol w:w="1086"/>
        <w:gridCol w:w="1751"/>
      </w:tblGrid>
      <w:tr w:rsidR="00F46260" w:rsidRPr="00F46260" w14:paraId="1C64DD3D" w14:textId="77777777" w:rsidTr="00F46260">
        <w:trPr>
          <w:trHeight w:val="102"/>
        </w:trPr>
        <w:tc>
          <w:tcPr>
            <w:tcW w:w="471" w:type="dxa"/>
            <w:shd w:val="clear" w:color="auto" w:fill="auto"/>
            <w:vAlign w:val="bottom"/>
          </w:tcPr>
          <w:p w14:paraId="730E09CF"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1082" w:type="dxa"/>
            <w:shd w:val="clear" w:color="auto" w:fill="auto"/>
            <w:vAlign w:val="bottom"/>
          </w:tcPr>
          <w:p w14:paraId="7C9B472D"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907" w:type="dxa"/>
            <w:shd w:val="clear" w:color="auto" w:fill="auto"/>
            <w:vAlign w:val="bottom"/>
          </w:tcPr>
          <w:p w14:paraId="6C0688A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917" w:type="dxa"/>
            <w:vAlign w:val="bottom"/>
          </w:tcPr>
          <w:p w14:paraId="51B5398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087" w:type="dxa"/>
            <w:vAlign w:val="bottom"/>
          </w:tcPr>
          <w:p w14:paraId="306C8ED7"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086" w:type="dxa"/>
            <w:vAlign w:val="bottom"/>
          </w:tcPr>
          <w:p w14:paraId="4FB09AAE"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751" w:type="dxa"/>
            <w:vAlign w:val="bottom"/>
          </w:tcPr>
          <w:p w14:paraId="452AF77A" w14:textId="77777777" w:rsidR="00F46260" w:rsidRPr="00F46260" w:rsidRDefault="00F46260" w:rsidP="00F46260">
            <w:pPr>
              <w:spacing w:after="0" w:line="240" w:lineRule="auto"/>
              <w:rPr>
                <w:rFonts w:ascii="Arial" w:eastAsia="Times New Roman" w:hAnsi="Arial" w:cs="Arial"/>
                <w:sz w:val="20"/>
                <w:szCs w:val="20"/>
                <w:lang w:eastAsia="en-AU"/>
              </w:rPr>
            </w:pPr>
          </w:p>
        </w:tc>
      </w:tr>
    </w:tbl>
    <w:p w14:paraId="64881F6F"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4.2 Intangible assets</w:t>
      </w:r>
    </w:p>
    <w:tbl>
      <w:tblPr>
        <w:tblW w:w="5000" w:type="pct"/>
        <w:tblInd w:w="-17" w:type="dxa"/>
        <w:tblCellMar>
          <w:left w:w="17" w:type="dxa"/>
          <w:right w:w="17" w:type="dxa"/>
        </w:tblCellMar>
        <w:tblLook w:val="04A0" w:firstRow="1" w:lastRow="0" w:firstColumn="1" w:lastColumn="0" w:noHBand="0" w:noVBand="1"/>
      </w:tblPr>
      <w:tblGrid>
        <w:gridCol w:w="1907"/>
        <w:gridCol w:w="1242"/>
        <w:gridCol w:w="1153"/>
        <w:gridCol w:w="90"/>
        <w:gridCol w:w="1242"/>
        <w:gridCol w:w="812"/>
        <w:gridCol w:w="430"/>
        <w:gridCol w:w="1242"/>
        <w:gridCol w:w="1237"/>
      </w:tblGrid>
      <w:tr w:rsidR="00F46260" w:rsidRPr="00F46260" w14:paraId="7BE93389" w14:textId="77777777" w:rsidTr="00D1524E">
        <w:trPr>
          <w:trHeight w:val="293"/>
        </w:trPr>
        <w:tc>
          <w:tcPr>
            <w:tcW w:w="1019" w:type="pct"/>
            <w:tcBorders>
              <w:left w:val="nil"/>
              <w:right w:val="nil"/>
            </w:tcBorders>
            <w:shd w:val="clear" w:color="auto" w:fill="auto"/>
          </w:tcPr>
          <w:p w14:paraId="552AE0F4" w14:textId="77777777" w:rsidR="00F46260" w:rsidRPr="00F46260" w:rsidRDefault="00F46260" w:rsidP="00F46260">
            <w:pPr>
              <w:spacing w:before="100" w:beforeAutospacing="1" w:after="100" w:afterAutospacing="1" w:line="240" w:lineRule="auto"/>
              <w:rPr>
                <w:rFonts w:ascii="Arial" w:eastAsia="Times New Roman" w:hAnsi="Arial" w:cs="Arial"/>
                <w:i/>
                <w:iCs/>
                <w:noProof/>
                <w:sz w:val="19"/>
                <w:szCs w:val="19"/>
                <w:lang w:eastAsia="en-AU"/>
              </w:rPr>
            </w:pPr>
          </w:p>
        </w:tc>
        <w:tc>
          <w:tcPr>
            <w:tcW w:w="3981" w:type="pct"/>
            <w:gridSpan w:val="8"/>
            <w:tcBorders>
              <w:left w:val="nil"/>
              <w:right w:val="nil"/>
            </w:tcBorders>
            <w:shd w:val="clear" w:color="auto" w:fill="FFFFFF"/>
          </w:tcPr>
          <w:p w14:paraId="6904E59A" w14:textId="77777777" w:rsidR="00F46260" w:rsidRPr="00F46260" w:rsidRDefault="00F46260" w:rsidP="00F46260">
            <w:pPr>
              <w:spacing w:before="100" w:beforeAutospacing="1" w:after="100" w:afterAutospacing="1" w:line="240" w:lineRule="auto"/>
              <w:jc w:val="center"/>
              <w:rPr>
                <w:rFonts w:ascii="Arial" w:eastAsia="Times New Roman" w:hAnsi="Arial" w:cs="Arial"/>
                <w:iCs/>
                <w:noProof/>
                <w:sz w:val="19"/>
                <w:szCs w:val="19"/>
                <w:lang w:eastAsia="en-AU"/>
              </w:rPr>
            </w:pPr>
          </w:p>
        </w:tc>
      </w:tr>
      <w:tr w:rsidR="00F46260" w:rsidRPr="00F46260" w14:paraId="165F861E" w14:textId="77777777" w:rsidTr="00D1524E">
        <w:trPr>
          <w:trHeight w:val="293"/>
        </w:trPr>
        <w:tc>
          <w:tcPr>
            <w:tcW w:w="1019" w:type="pct"/>
            <w:tcBorders>
              <w:left w:val="nil"/>
              <w:right w:val="nil"/>
            </w:tcBorders>
            <w:shd w:val="pct50" w:color="auto" w:fill="auto"/>
          </w:tcPr>
          <w:p w14:paraId="3C6B12DE" w14:textId="77777777" w:rsidR="00F46260" w:rsidRPr="00F46260" w:rsidRDefault="00F46260" w:rsidP="00F46260">
            <w:pPr>
              <w:spacing w:before="100" w:beforeAutospacing="1" w:after="100" w:afterAutospacing="1" w:line="240" w:lineRule="auto"/>
              <w:rPr>
                <w:rFonts w:ascii="Arial" w:eastAsia="Times New Roman" w:hAnsi="Arial" w:cs="Arial"/>
                <w:i/>
                <w:iCs/>
                <w:noProof/>
                <w:sz w:val="19"/>
                <w:szCs w:val="19"/>
                <w:lang w:eastAsia="en-AU"/>
              </w:rPr>
            </w:pPr>
          </w:p>
        </w:tc>
        <w:tc>
          <w:tcPr>
            <w:tcW w:w="1280" w:type="pct"/>
            <w:gridSpan w:val="2"/>
            <w:tcBorders>
              <w:left w:val="nil"/>
              <w:right w:val="nil"/>
            </w:tcBorders>
            <w:shd w:val="pct50" w:color="auto" w:fill="auto"/>
          </w:tcPr>
          <w:p w14:paraId="72BFB17A" w14:textId="77777777" w:rsidR="00F46260" w:rsidRPr="00F46260" w:rsidRDefault="00F46260" w:rsidP="00F46260">
            <w:pPr>
              <w:spacing w:before="100" w:beforeAutospacing="1" w:after="100" w:afterAutospacing="1" w:line="240" w:lineRule="auto"/>
              <w:jc w:val="center"/>
              <w:rPr>
                <w:rFonts w:ascii="Arial" w:eastAsia="Times New Roman" w:hAnsi="Arial" w:cs="Arial"/>
                <w:b/>
                <w:i/>
                <w:iCs/>
                <w:noProof/>
                <w:color w:val="FFFFFF"/>
                <w:sz w:val="19"/>
                <w:szCs w:val="19"/>
                <w:lang w:eastAsia="en-AU"/>
              </w:rPr>
            </w:pPr>
            <w:r w:rsidRPr="00F46260">
              <w:rPr>
                <w:rFonts w:ascii="Arial" w:eastAsia="Times New Roman" w:hAnsi="Arial" w:cs="Arial"/>
                <w:b/>
                <w:i/>
                <w:iCs/>
                <w:noProof/>
                <w:color w:val="FFFFFF"/>
                <w:sz w:val="19"/>
                <w:szCs w:val="19"/>
                <w:lang w:eastAsia="en-AU"/>
              </w:rPr>
              <w:t>Gross carrying amount</w:t>
            </w:r>
          </w:p>
        </w:tc>
        <w:tc>
          <w:tcPr>
            <w:tcW w:w="1146" w:type="pct"/>
            <w:gridSpan w:val="3"/>
            <w:tcBorders>
              <w:left w:val="nil"/>
              <w:right w:val="nil"/>
            </w:tcBorders>
            <w:shd w:val="pct50" w:color="auto" w:fill="auto"/>
          </w:tcPr>
          <w:p w14:paraId="3F088590" w14:textId="77777777" w:rsidR="00F46260" w:rsidRPr="00F46260" w:rsidRDefault="00F46260" w:rsidP="00F46260">
            <w:pPr>
              <w:spacing w:before="100" w:beforeAutospacing="1" w:after="100" w:afterAutospacing="1" w:line="240" w:lineRule="auto"/>
              <w:jc w:val="center"/>
              <w:rPr>
                <w:rFonts w:ascii="Arial" w:eastAsia="Times New Roman" w:hAnsi="Arial" w:cs="Arial"/>
                <w:b/>
                <w:i/>
                <w:iCs/>
                <w:noProof/>
                <w:color w:val="FFFFFF"/>
                <w:sz w:val="19"/>
                <w:szCs w:val="19"/>
                <w:lang w:eastAsia="en-AU"/>
              </w:rPr>
            </w:pPr>
            <w:r w:rsidRPr="00F46260">
              <w:rPr>
                <w:rFonts w:ascii="Arial" w:eastAsia="Times New Roman" w:hAnsi="Arial" w:cs="Arial"/>
                <w:b/>
                <w:i/>
                <w:iCs/>
                <w:noProof/>
                <w:color w:val="FFFFFF"/>
                <w:sz w:val="19"/>
                <w:szCs w:val="19"/>
                <w:lang w:eastAsia="en-AU"/>
              </w:rPr>
              <w:t>Accumulated depreciation</w:t>
            </w:r>
          </w:p>
        </w:tc>
        <w:tc>
          <w:tcPr>
            <w:tcW w:w="1555" w:type="pct"/>
            <w:gridSpan w:val="3"/>
            <w:tcBorders>
              <w:left w:val="nil"/>
              <w:right w:val="nil"/>
            </w:tcBorders>
            <w:shd w:val="pct50" w:color="auto" w:fill="auto"/>
            <w:noWrap/>
          </w:tcPr>
          <w:p w14:paraId="44F8C30C" w14:textId="77777777" w:rsidR="00F46260" w:rsidRPr="00F46260" w:rsidRDefault="00F46260" w:rsidP="00F46260">
            <w:pPr>
              <w:spacing w:before="100" w:beforeAutospacing="1" w:after="100" w:afterAutospacing="1" w:line="240" w:lineRule="auto"/>
              <w:jc w:val="center"/>
              <w:rPr>
                <w:rFonts w:ascii="Arial" w:eastAsia="Times New Roman" w:hAnsi="Arial" w:cs="Arial"/>
                <w:b/>
                <w:i/>
                <w:iCs/>
                <w:noProof/>
                <w:color w:val="FFFFFF"/>
                <w:sz w:val="19"/>
                <w:szCs w:val="19"/>
                <w:lang w:eastAsia="en-AU"/>
              </w:rPr>
            </w:pPr>
            <w:r w:rsidRPr="00F46260">
              <w:rPr>
                <w:rFonts w:ascii="Arial" w:eastAsia="Times New Roman" w:hAnsi="Arial" w:cs="Arial"/>
                <w:b/>
                <w:i/>
                <w:iCs/>
                <w:noProof/>
                <w:color w:val="FFFFFF"/>
                <w:sz w:val="19"/>
                <w:szCs w:val="19"/>
                <w:lang w:eastAsia="en-AU"/>
              </w:rPr>
              <w:t>Net carrying amount</w:t>
            </w:r>
          </w:p>
        </w:tc>
      </w:tr>
      <w:tr w:rsidR="00F46260" w:rsidRPr="00F46260" w14:paraId="1BB053BD" w14:textId="77777777" w:rsidTr="00D1524E">
        <w:trPr>
          <w:trHeight w:val="293"/>
        </w:trPr>
        <w:tc>
          <w:tcPr>
            <w:tcW w:w="1019" w:type="pct"/>
            <w:tcBorders>
              <w:left w:val="nil"/>
              <w:right w:val="nil"/>
            </w:tcBorders>
            <w:shd w:val="pct50" w:color="auto" w:fill="auto"/>
            <w:hideMark/>
          </w:tcPr>
          <w:p w14:paraId="69A8EFCF" w14:textId="77777777" w:rsidR="00F46260" w:rsidRPr="00F46260" w:rsidRDefault="00F46260" w:rsidP="00F46260">
            <w:pPr>
              <w:spacing w:before="100" w:beforeAutospacing="1" w:after="100" w:afterAutospacing="1" w:line="240" w:lineRule="auto"/>
              <w:jc w:val="right"/>
              <w:rPr>
                <w:rFonts w:ascii="Arial" w:eastAsia="Times New Roman" w:hAnsi="Arial" w:cs="Arial"/>
                <w:i/>
                <w:iCs/>
                <w:noProof/>
                <w:sz w:val="19"/>
                <w:szCs w:val="19"/>
                <w:lang w:eastAsia="en-AU"/>
              </w:rPr>
            </w:pPr>
            <w:r w:rsidRPr="00F46260">
              <w:rPr>
                <w:rFonts w:ascii="Arial" w:eastAsia="Times New Roman" w:hAnsi="Arial" w:cs="Arial"/>
                <w:i/>
                <w:iCs/>
                <w:noProof/>
                <w:sz w:val="19"/>
                <w:szCs w:val="19"/>
                <w:lang w:eastAsia="en-AU"/>
              </w:rPr>
              <w:t xml:space="preserve"> </w:t>
            </w:r>
          </w:p>
        </w:tc>
        <w:tc>
          <w:tcPr>
            <w:tcW w:w="664" w:type="pct"/>
            <w:tcBorders>
              <w:left w:val="nil"/>
              <w:right w:val="nil"/>
            </w:tcBorders>
            <w:shd w:val="pct50" w:color="auto" w:fill="auto"/>
          </w:tcPr>
          <w:p w14:paraId="1104B9E9"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2021</w:t>
            </w:r>
          </w:p>
          <w:p w14:paraId="7D5CCDB9"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664" w:type="pct"/>
            <w:gridSpan w:val="2"/>
            <w:tcBorders>
              <w:left w:val="nil"/>
              <w:right w:val="nil"/>
            </w:tcBorders>
            <w:shd w:val="pct50" w:color="auto" w:fill="auto"/>
          </w:tcPr>
          <w:p w14:paraId="6C4D273E"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2020</w:t>
            </w:r>
          </w:p>
          <w:p w14:paraId="66E76B3C"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664" w:type="pct"/>
            <w:tcBorders>
              <w:left w:val="nil"/>
              <w:right w:val="nil"/>
            </w:tcBorders>
            <w:shd w:val="pct50" w:color="auto" w:fill="auto"/>
          </w:tcPr>
          <w:p w14:paraId="5709C46C"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2021</w:t>
            </w:r>
          </w:p>
          <w:p w14:paraId="2CC14518"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664" w:type="pct"/>
            <w:gridSpan w:val="2"/>
            <w:tcBorders>
              <w:left w:val="nil"/>
              <w:right w:val="nil"/>
            </w:tcBorders>
            <w:shd w:val="pct50" w:color="auto" w:fill="auto"/>
            <w:noWrap/>
          </w:tcPr>
          <w:p w14:paraId="0D8465BD"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2020</w:t>
            </w:r>
          </w:p>
          <w:p w14:paraId="2B3FCA18"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664" w:type="pct"/>
            <w:tcBorders>
              <w:left w:val="nil"/>
              <w:right w:val="nil"/>
            </w:tcBorders>
            <w:shd w:val="pct50" w:color="auto" w:fill="auto"/>
            <w:noWrap/>
          </w:tcPr>
          <w:p w14:paraId="4938CAAB"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2021</w:t>
            </w:r>
          </w:p>
          <w:p w14:paraId="22C3D4B2"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c>
          <w:tcPr>
            <w:tcW w:w="661" w:type="pct"/>
            <w:tcBorders>
              <w:left w:val="nil"/>
              <w:right w:val="nil"/>
            </w:tcBorders>
            <w:shd w:val="pct50" w:color="auto" w:fill="auto"/>
          </w:tcPr>
          <w:p w14:paraId="4DC36A95"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2020</w:t>
            </w:r>
          </w:p>
          <w:p w14:paraId="5CDCBFA0" w14:textId="77777777" w:rsidR="00F46260" w:rsidRPr="00F46260" w:rsidRDefault="00F46260" w:rsidP="00F46260">
            <w:pPr>
              <w:spacing w:after="0" w:line="240" w:lineRule="auto"/>
              <w:jc w:val="center"/>
              <w:rPr>
                <w:rFonts w:ascii="Arial" w:eastAsia="Times New Roman" w:hAnsi="Arial" w:cs="Arial"/>
                <w:b/>
                <w:iCs/>
                <w:noProof/>
                <w:color w:val="FFFFFF"/>
                <w:sz w:val="19"/>
                <w:szCs w:val="19"/>
                <w:lang w:eastAsia="en-AU"/>
              </w:rPr>
            </w:pPr>
            <w:r w:rsidRPr="00F46260">
              <w:rPr>
                <w:rFonts w:ascii="Arial" w:eastAsia="Times New Roman" w:hAnsi="Arial" w:cs="Arial"/>
                <w:b/>
                <w:iCs/>
                <w:noProof/>
                <w:color w:val="FFFFFF"/>
                <w:sz w:val="19"/>
                <w:szCs w:val="19"/>
                <w:lang w:eastAsia="en-AU"/>
              </w:rPr>
              <w:t>$</w:t>
            </w:r>
          </w:p>
        </w:tc>
      </w:tr>
      <w:tr w:rsidR="00F46260" w:rsidRPr="00F46260" w14:paraId="16757022" w14:textId="77777777" w:rsidTr="00D1524E">
        <w:trPr>
          <w:trHeight w:val="293"/>
        </w:trPr>
        <w:tc>
          <w:tcPr>
            <w:tcW w:w="1019" w:type="pct"/>
            <w:tcBorders>
              <w:top w:val="nil"/>
              <w:left w:val="nil"/>
              <w:right w:val="nil"/>
            </w:tcBorders>
            <w:shd w:val="clear" w:color="auto" w:fill="auto"/>
          </w:tcPr>
          <w:p w14:paraId="568941BD" w14:textId="77777777" w:rsidR="00F46260" w:rsidRPr="00F46260" w:rsidRDefault="00F46260" w:rsidP="00F46260">
            <w:pPr>
              <w:spacing w:before="100" w:beforeAutospacing="1" w:after="100" w:afterAutospacing="1" w:line="240" w:lineRule="auto"/>
              <w:rPr>
                <w:rFonts w:ascii="Arial" w:eastAsia="Calibri" w:hAnsi="Arial" w:cs="Arial"/>
                <w:sz w:val="19"/>
                <w:szCs w:val="19"/>
              </w:rPr>
            </w:pPr>
            <w:r w:rsidRPr="00F46260">
              <w:rPr>
                <w:rFonts w:ascii="Arial" w:eastAsia="Calibri" w:hAnsi="Arial" w:cs="Arial"/>
                <w:sz w:val="19"/>
                <w:szCs w:val="19"/>
              </w:rPr>
              <w:t>Capitalised software</w:t>
            </w:r>
          </w:p>
        </w:tc>
        <w:tc>
          <w:tcPr>
            <w:tcW w:w="664" w:type="pct"/>
            <w:tcBorders>
              <w:top w:val="nil"/>
              <w:left w:val="nil"/>
              <w:right w:val="nil"/>
            </w:tcBorders>
            <w:shd w:val="pct15" w:color="auto" w:fill="auto"/>
            <w:vAlign w:val="bottom"/>
          </w:tcPr>
          <w:p w14:paraId="6AABE5D2" w14:textId="77777777" w:rsidR="00F46260" w:rsidRPr="00F46260" w:rsidRDefault="00F46260" w:rsidP="00F46260">
            <w:pPr>
              <w:spacing w:after="0"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2,477,152</w:t>
            </w:r>
          </w:p>
        </w:tc>
        <w:tc>
          <w:tcPr>
            <w:tcW w:w="664" w:type="pct"/>
            <w:gridSpan w:val="2"/>
            <w:tcBorders>
              <w:top w:val="nil"/>
              <w:left w:val="nil"/>
              <w:right w:val="nil"/>
            </w:tcBorders>
            <w:shd w:val="clear" w:color="auto" w:fill="auto"/>
            <w:vAlign w:val="bottom"/>
          </w:tcPr>
          <w:p w14:paraId="5F9C9449"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1,628,383</w:t>
            </w:r>
          </w:p>
        </w:tc>
        <w:tc>
          <w:tcPr>
            <w:tcW w:w="664" w:type="pct"/>
            <w:tcBorders>
              <w:top w:val="nil"/>
              <w:left w:val="nil"/>
              <w:right w:val="nil"/>
            </w:tcBorders>
            <w:shd w:val="pct15" w:color="auto" w:fill="auto"/>
            <w:vAlign w:val="bottom"/>
          </w:tcPr>
          <w:p w14:paraId="14F19D0C"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(1,043,909)</w:t>
            </w:r>
          </w:p>
        </w:tc>
        <w:tc>
          <w:tcPr>
            <w:tcW w:w="664" w:type="pct"/>
            <w:gridSpan w:val="2"/>
            <w:tcBorders>
              <w:top w:val="nil"/>
              <w:left w:val="nil"/>
              <w:right w:val="nil"/>
            </w:tcBorders>
            <w:shd w:val="clear" w:color="auto" w:fill="auto"/>
            <w:noWrap/>
            <w:vAlign w:val="bottom"/>
          </w:tcPr>
          <w:p w14:paraId="142297C0"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(251,312)</w:t>
            </w:r>
          </w:p>
        </w:tc>
        <w:tc>
          <w:tcPr>
            <w:tcW w:w="664" w:type="pct"/>
            <w:tcBorders>
              <w:top w:val="nil"/>
              <w:left w:val="nil"/>
              <w:right w:val="nil"/>
            </w:tcBorders>
            <w:shd w:val="pct15" w:color="auto" w:fill="auto"/>
            <w:noWrap/>
            <w:vAlign w:val="bottom"/>
          </w:tcPr>
          <w:p w14:paraId="0E2451AE"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1,433,243</w:t>
            </w:r>
          </w:p>
        </w:tc>
        <w:tc>
          <w:tcPr>
            <w:tcW w:w="661" w:type="pct"/>
            <w:tcBorders>
              <w:top w:val="nil"/>
              <w:left w:val="nil"/>
              <w:right w:val="nil"/>
            </w:tcBorders>
            <w:shd w:val="clear" w:color="auto" w:fill="FFFFFF"/>
            <w:vAlign w:val="bottom"/>
          </w:tcPr>
          <w:p w14:paraId="225E4B24"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1,377,071</w:t>
            </w:r>
          </w:p>
        </w:tc>
      </w:tr>
      <w:tr w:rsidR="00F46260" w:rsidRPr="00F46260" w14:paraId="6C67629E" w14:textId="77777777" w:rsidTr="00D1524E">
        <w:trPr>
          <w:trHeight w:val="293"/>
        </w:trPr>
        <w:tc>
          <w:tcPr>
            <w:tcW w:w="1019" w:type="pct"/>
            <w:tcBorders>
              <w:left w:val="nil"/>
              <w:right w:val="nil"/>
            </w:tcBorders>
            <w:shd w:val="clear" w:color="auto" w:fill="auto"/>
            <w:hideMark/>
          </w:tcPr>
          <w:p w14:paraId="325B89D7" w14:textId="77777777" w:rsidR="00F46260" w:rsidRPr="00F46260" w:rsidRDefault="00F46260" w:rsidP="00F46260">
            <w:pPr>
              <w:spacing w:before="100" w:beforeAutospacing="1" w:after="100" w:afterAutospacing="1" w:line="240" w:lineRule="auto"/>
              <w:rPr>
                <w:rFonts w:ascii="Arial" w:eastAsia="Calibri" w:hAnsi="Arial" w:cs="Arial"/>
                <w:sz w:val="19"/>
                <w:szCs w:val="19"/>
              </w:rPr>
            </w:pPr>
            <w:r w:rsidRPr="00F46260">
              <w:rPr>
                <w:rFonts w:ascii="Arial" w:eastAsia="Calibri" w:hAnsi="Arial" w:cs="Arial"/>
                <w:sz w:val="19"/>
                <w:szCs w:val="19"/>
              </w:rPr>
              <w:t>Work-in-progress</w:t>
            </w:r>
          </w:p>
        </w:tc>
        <w:tc>
          <w:tcPr>
            <w:tcW w:w="664" w:type="pct"/>
            <w:tcBorders>
              <w:left w:val="nil"/>
              <w:right w:val="nil"/>
            </w:tcBorders>
            <w:shd w:val="pct15" w:color="auto" w:fill="auto"/>
            <w:vAlign w:val="bottom"/>
          </w:tcPr>
          <w:p w14:paraId="7CC3CD80" w14:textId="77777777" w:rsidR="00F46260" w:rsidRPr="00F46260" w:rsidRDefault="00F46260" w:rsidP="00F46260">
            <w:pPr>
              <w:spacing w:after="0"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805,027</w:t>
            </w:r>
          </w:p>
        </w:tc>
        <w:tc>
          <w:tcPr>
            <w:tcW w:w="664" w:type="pct"/>
            <w:gridSpan w:val="2"/>
            <w:tcBorders>
              <w:left w:val="nil"/>
              <w:right w:val="nil"/>
            </w:tcBorders>
            <w:shd w:val="clear" w:color="auto" w:fill="auto"/>
            <w:vAlign w:val="bottom"/>
          </w:tcPr>
          <w:p w14:paraId="7EAFA3E1"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422,215</w:t>
            </w:r>
          </w:p>
        </w:tc>
        <w:tc>
          <w:tcPr>
            <w:tcW w:w="664" w:type="pct"/>
            <w:tcBorders>
              <w:left w:val="nil"/>
              <w:right w:val="nil"/>
            </w:tcBorders>
            <w:shd w:val="pct15" w:color="auto" w:fill="auto"/>
            <w:vAlign w:val="bottom"/>
          </w:tcPr>
          <w:p w14:paraId="332EDCA9"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w:t>
            </w:r>
          </w:p>
        </w:tc>
        <w:tc>
          <w:tcPr>
            <w:tcW w:w="664" w:type="pct"/>
            <w:gridSpan w:val="2"/>
            <w:tcBorders>
              <w:left w:val="nil"/>
              <w:right w:val="nil"/>
            </w:tcBorders>
            <w:shd w:val="clear" w:color="auto" w:fill="auto"/>
            <w:noWrap/>
            <w:vAlign w:val="bottom"/>
          </w:tcPr>
          <w:p w14:paraId="27D404DB"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w:t>
            </w:r>
          </w:p>
        </w:tc>
        <w:tc>
          <w:tcPr>
            <w:tcW w:w="664" w:type="pct"/>
            <w:tcBorders>
              <w:left w:val="nil"/>
              <w:right w:val="nil"/>
            </w:tcBorders>
            <w:shd w:val="pct15" w:color="auto" w:fill="auto"/>
            <w:noWrap/>
            <w:vAlign w:val="bottom"/>
          </w:tcPr>
          <w:p w14:paraId="0BCB07A6"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805,027</w:t>
            </w:r>
          </w:p>
        </w:tc>
        <w:tc>
          <w:tcPr>
            <w:tcW w:w="661" w:type="pct"/>
            <w:tcBorders>
              <w:left w:val="nil"/>
              <w:right w:val="nil"/>
            </w:tcBorders>
            <w:shd w:val="clear" w:color="auto" w:fill="FFFFFF"/>
            <w:vAlign w:val="bottom"/>
          </w:tcPr>
          <w:p w14:paraId="06F126BA" w14:textId="77777777" w:rsidR="00F46260" w:rsidRPr="00F46260" w:rsidRDefault="00F46260" w:rsidP="00F46260">
            <w:pPr>
              <w:tabs>
                <w:tab w:val="left" w:pos="438"/>
              </w:tabs>
              <w:spacing w:before="100" w:beforeAutospacing="1" w:after="100" w:afterAutospacing="1" w:line="240" w:lineRule="auto"/>
              <w:jc w:val="right"/>
              <w:rPr>
                <w:rFonts w:ascii="Arial" w:eastAsia="Times New Roman" w:hAnsi="Arial" w:cs="Arial"/>
                <w:sz w:val="19"/>
                <w:szCs w:val="19"/>
                <w:lang w:eastAsia="en-AU"/>
              </w:rPr>
            </w:pPr>
            <w:r w:rsidRPr="00F46260">
              <w:rPr>
                <w:rFonts w:ascii="Arial" w:eastAsia="Times New Roman" w:hAnsi="Arial" w:cs="Arial"/>
                <w:sz w:val="19"/>
                <w:szCs w:val="19"/>
                <w:lang w:eastAsia="en-AU"/>
              </w:rPr>
              <w:t>422,215</w:t>
            </w:r>
          </w:p>
        </w:tc>
      </w:tr>
      <w:tr w:rsidR="00F46260" w:rsidRPr="00F46260" w14:paraId="6A9F0966" w14:textId="77777777" w:rsidTr="00D1524E">
        <w:trPr>
          <w:trHeight w:val="293"/>
        </w:trPr>
        <w:tc>
          <w:tcPr>
            <w:tcW w:w="1019" w:type="pct"/>
            <w:tcBorders>
              <w:top w:val="single" w:sz="4" w:space="0" w:color="auto"/>
              <w:left w:val="nil"/>
              <w:bottom w:val="single" w:sz="12" w:space="0" w:color="auto"/>
              <w:right w:val="nil"/>
            </w:tcBorders>
            <w:shd w:val="clear" w:color="auto" w:fill="auto"/>
          </w:tcPr>
          <w:p w14:paraId="553F3850" w14:textId="77777777" w:rsidR="00F46260" w:rsidRPr="00F46260" w:rsidRDefault="00F46260" w:rsidP="00F46260">
            <w:pPr>
              <w:spacing w:before="100" w:beforeAutospacing="1" w:after="100" w:afterAutospacing="1" w:line="240" w:lineRule="auto"/>
              <w:rPr>
                <w:rFonts w:ascii="Arial" w:eastAsia="Calibri" w:hAnsi="Arial" w:cs="Arial"/>
                <w:b/>
                <w:sz w:val="19"/>
                <w:szCs w:val="19"/>
              </w:rPr>
            </w:pPr>
            <w:r w:rsidRPr="00F46260">
              <w:rPr>
                <w:rFonts w:ascii="Arial" w:eastAsia="Calibri" w:hAnsi="Arial" w:cs="Arial"/>
                <w:b/>
                <w:sz w:val="19"/>
                <w:szCs w:val="19"/>
              </w:rPr>
              <w:t xml:space="preserve">Net carrying amount </w:t>
            </w:r>
          </w:p>
        </w:tc>
        <w:tc>
          <w:tcPr>
            <w:tcW w:w="664" w:type="pct"/>
            <w:tcBorders>
              <w:top w:val="single" w:sz="4" w:space="0" w:color="auto"/>
              <w:left w:val="nil"/>
              <w:bottom w:val="single" w:sz="12" w:space="0" w:color="auto"/>
              <w:right w:val="nil"/>
            </w:tcBorders>
            <w:shd w:val="pct15" w:color="auto" w:fill="auto"/>
            <w:vAlign w:val="bottom"/>
          </w:tcPr>
          <w:p w14:paraId="75604B12"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3,282,179</w:t>
            </w:r>
          </w:p>
        </w:tc>
        <w:tc>
          <w:tcPr>
            <w:tcW w:w="664" w:type="pct"/>
            <w:gridSpan w:val="2"/>
            <w:tcBorders>
              <w:top w:val="single" w:sz="4" w:space="0" w:color="auto"/>
              <w:left w:val="nil"/>
              <w:bottom w:val="single" w:sz="12" w:space="0" w:color="auto"/>
              <w:right w:val="nil"/>
            </w:tcBorders>
            <w:shd w:val="clear" w:color="auto" w:fill="auto"/>
            <w:vAlign w:val="bottom"/>
          </w:tcPr>
          <w:p w14:paraId="0A2CF4F8"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2,050,598</w:t>
            </w:r>
          </w:p>
        </w:tc>
        <w:tc>
          <w:tcPr>
            <w:tcW w:w="664" w:type="pct"/>
            <w:tcBorders>
              <w:top w:val="single" w:sz="4" w:space="0" w:color="auto"/>
              <w:left w:val="nil"/>
              <w:bottom w:val="single" w:sz="12" w:space="0" w:color="auto"/>
              <w:right w:val="nil"/>
            </w:tcBorders>
            <w:shd w:val="pct15" w:color="auto" w:fill="auto"/>
            <w:vAlign w:val="bottom"/>
          </w:tcPr>
          <w:p w14:paraId="79BE7248" w14:textId="77777777" w:rsidR="00F46260" w:rsidRPr="00F46260" w:rsidRDefault="00F46260" w:rsidP="00F46260">
            <w:pPr>
              <w:spacing w:before="100" w:beforeAutospacing="1" w:after="100" w:afterAutospacing="1" w:line="240" w:lineRule="auto"/>
              <w:jc w:val="right"/>
              <w:rPr>
                <w:rFonts w:ascii="Arial" w:eastAsia="Times New Roman" w:hAnsi="Arial" w:cs="Arial"/>
                <w:b/>
                <w:bCs/>
                <w:sz w:val="19"/>
                <w:szCs w:val="19"/>
                <w:lang w:eastAsia="en-AU"/>
              </w:rPr>
            </w:pPr>
            <w:r w:rsidRPr="00F46260">
              <w:rPr>
                <w:rFonts w:ascii="Arial" w:eastAsia="Times New Roman" w:hAnsi="Arial" w:cs="Arial"/>
                <w:b/>
                <w:bCs/>
                <w:sz w:val="19"/>
                <w:szCs w:val="19"/>
                <w:lang w:eastAsia="en-AU"/>
              </w:rPr>
              <w:t>(1,043,909)</w:t>
            </w:r>
          </w:p>
        </w:tc>
        <w:tc>
          <w:tcPr>
            <w:tcW w:w="664" w:type="pct"/>
            <w:gridSpan w:val="2"/>
            <w:tcBorders>
              <w:top w:val="single" w:sz="4" w:space="0" w:color="auto"/>
              <w:left w:val="nil"/>
              <w:bottom w:val="single" w:sz="12" w:space="0" w:color="auto"/>
              <w:right w:val="nil"/>
            </w:tcBorders>
            <w:shd w:val="clear" w:color="auto" w:fill="auto"/>
            <w:noWrap/>
            <w:vAlign w:val="bottom"/>
          </w:tcPr>
          <w:p w14:paraId="1A332A19"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bCs/>
                <w:sz w:val="19"/>
                <w:szCs w:val="19"/>
                <w:lang w:eastAsia="en-AU"/>
              </w:rPr>
              <w:t>(251,312)</w:t>
            </w:r>
          </w:p>
        </w:tc>
        <w:tc>
          <w:tcPr>
            <w:tcW w:w="664" w:type="pct"/>
            <w:tcBorders>
              <w:top w:val="single" w:sz="4" w:space="0" w:color="auto"/>
              <w:left w:val="nil"/>
              <w:bottom w:val="single" w:sz="12" w:space="0" w:color="auto"/>
              <w:right w:val="nil"/>
            </w:tcBorders>
            <w:shd w:val="pct15" w:color="auto" w:fill="auto"/>
            <w:noWrap/>
            <w:vAlign w:val="bottom"/>
          </w:tcPr>
          <w:p w14:paraId="37E2B0F6"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2,238,270</w:t>
            </w:r>
          </w:p>
        </w:tc>
        <w:tc>
          <w:tcPr>
            <w:tcW w:w="661" w:type="pct"/>
            <w:tcBorders>
              <w:top w:val="single" w:sz="4" w:space="0" w:color="auto"/>
              <w:left w:val="nil"/>
              <w:bottom w:val="single" w:sz="12" w:space="0" w:color="auto"/>
              <w:right w:val="nil"/>
            </w:tcBorders>
            <w:shd w:val="clear" w:color="auto" w:fill="FFFFFF"/>
            <w:vAlign w:val="bottom"/>
          </w:tcPr>
          <w:p w14:paraId="0EABA9D5"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19"/>
                <w:szCs w:val="19"/>
                <w:lang w:eastAsia="en-AU"/>
              </w:rPr>
            </w:pPr>
            <w:r w:rsidRPr="00F46260">
              <w:rPr>
                <w:rFonts w:ascii="Arial" w:eastAsia="Times New Roman" w:hAnsi="Arial" w:cs="Arial"/>
                <w:b/>
                <w:sz w:val="19"/>
                <w:szCs w:val="19"/>
                <w:lang w:eastAsia="en-AU"/>
              </w:rPr>
              <w:t>1,799,286</w:t>
            </w:r>
          </w:p>
        </w:tc>
      </w:tr>
    </w:tbl>
    <w:p w14:paraId="723870A8" w14:textId="77777777" w:rsidR="00F46260" w:rsidRPr="00F46260" w:rsidRDefault="00F46260" w:rsidP="00F46260">
      <w:pPr>
        <w:spacing w:after="0" w:line="240" w:lineRule="auto"/>
        <w:rPr>
          <w:rFonts w:ascii="Arial" w:eastAsia="Times New Roman" w:hAnsi="Arial" w:cs="Arial"/>
          <w:b/>
          <w:bCs/>
          <w:color w:val="000000"/>
          <w:sz w:val="20"/>
          <w:szCs w:val="20"/>
          <w:lang w:eastAsia="en-AU"/>
        </w:rPr>
      </w:pPr>
    </w:p>
    <w:p w14:paraId="7A46DEBB" w14:textId="77777777" w:rsidR="00F46260" w:rsidRPr="00F46260" w:rsidRDefault="00F46260" w:rsidP="00F46260">
      <w:pPr>
        <w:spacing w:after="0" w:line="240" w:lineRule="auto"/>
        <w:rPr>
          <w:rFonts w:ascii="Arial" w:eastAsia="Times New Roman" w:hAnsi="Arial" w:cs="Arial"/>
          <w:b/>
          <w:bCs/>
          <w:color w:val="000000"/>
          <w:sz w:val="20"/>
          <w:szCs w:val="20"/>
          <w:lang w:eastAsia="en-AU"/>
        </w:rPr>
      </w:pPr>
      <w:r w:rsidRPr="00F46260">
        <w:rPr>
          <w:rFonts w:ascii="Arial" w:eastAsia="Times New Roman" w:hAnsi="Arial" w:cs="Arial"/>
          <w:b/>
          <w:bCs/>
          <w:color w:val="000000"/>
          <w:sz w:val="20"/>
          <w:szCs w:val="20"/>
          <w:lang w:eastAsia="en-AU"/>
        </w:rPr>
        <w:t>4.2.1 Reconciliation of movements in carrying amounts of intangible assets</w:t>
      </w:r>
    </w:p>
    <w:p w14:paraId="0BDB95F6" w14:textId="77777777" w:rsidR="00F46260" w:rsidRPr="00F46260" w:rsidRDefault="00F46260" w:rsidP="00F46260">
      <w:pPr>
        <w:spacing w:after="0" w:line="240" w:lineRule="auto"/>
        <w:rPr>
          <w:rFonts w:ascii="Arial" w:eastAsia="Times New Roman" w:hAnsi="Arial" w:cs="Arial"/>
          <w:b/>
          <w:bCs/>
          <w:color w:val="000000"/>
          <w:sz w:val="20"/>
          <w:szCs w:val="20"/>
          <w:lang w:eastAsia="en-AU"/>
        </w:rPr>
      </w:pPr>
    </w:p>
    <w:tbl>
      <w:tblPr>
        <w:tblW w:w="5000" w:type="pct"/>
        <w:tblInd w:w="-108" w:type="dxa"/>
        <w:tblLook w:val="01E0" w:firstRow="1" w:lastRow="1" w:firstColumn="1" w:lastColumn="1" w:noHBand="0" w:noVBand="0"/>
      </w:tblPr>
      <w:tblGrid>
        <w:gridCol w:w="2593"/>
        <w:gridCol w:w="127"/>
        <w:gridCol w:w="1108"/>
        <w:gridCol w:w="867"/>
        <w:gridCol w:w="239"/>
        <w:gridCol w:w="1073"/>
        <w:gridCol w:w="956"/>
        <w:gridCol w:w="7"/>
        <w:gridCol w:w="157"/>
        <w:gridCol w:w="1046"/>
        <w:gridCol w:w="75"/>
        <w:gridCol w:w="1053"/>
        <w:gridCol w:w="54"/>
      </w:tblGrid>
      <w:tr w:rsidR="00F46260" w:rsidRPr="00F46260" w14:paraId="60C3F8C4" w14:textId="77777777" w:rsidTr="00D1524E">
        <w:trPr>
          <w:gridAfter w:val="1"/>
          <w:wAfter w:w="29" w:type="pct"/>
          <w:trHeight w:val="171"/>
        </w:trPr>
        <w:tc>
          <w:tcPr>
            <w:tcW w:w="1386" w:type="pct"/>
            <w:shd w:val="pct50" w:color="auto" w:fill="auto"/>
          </w:tcPr>
          <w:p w14:paraId="0214B2BF"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1123" w:type="pct"/>
            <w:gridSpan w:val="3"/>
            <w:shd w:val="pct50" w:color="auto" w:fill="auto"/>
            <w:vAlign w:val="bottom"/>
          </w:tcPr>
          <w:p w14:paraId="6F19FB96" w14:textId="77777777" w:rsidR="00F46260" w:rsidRPr="00F46260" w:rsidRDefault="00F46260" w:rsidP="00F46260">
            <w:pPr>
              <w:spacing w:after="0" w:line="240" w:lineRule="auto"/>
              <w:jc w:val="center"/>
              <w:rPr>
                <w:rFonts w:ascii="Arial" w:eastAsia="Times New Roman" w:hAnsi="Arial" w:cs="Arial"/>
                <w:b/>
                <w:bCs/>
                <w:i/>
                <w:sz w:val="20"/>
                <w:szCs w:val="20"/>
                <w:lang w:eastAsia="en-AU"/>
              </w:rPr>
            </w:pPr>
            <w:r w:rsidRPr="00F46260">
              <w:rPr>
                <w:rFonts w:ascii="Arial" w:eastAsia="Times New Roman" w:hAnsi="Arial" w:cs="Arial"/>
                <w:b/>
                <w:bCs/>
                <w:i/>
                <w:color w:val="FFFFFF"/>
                <w:sz w:val="20"/>
                <w:szCs w:val="20"/>
                <w:lang w:eastAsia="en-AU"/>
              </w:rPr>
              <w:t>Capitalised software</w:t>
            </w:r>
          </w:p>
        </w:tc>
        <w:tc>
          <w:tcPr>
            <w:tcW w:w="1212" w:type="pct"/>
            <w:gridSpan w:val="3"/>
            <w:shd w:val="pct50" w:color="auto" w:fill="auto"/>
            <w:vAlign w:val="bottom"/>
          </w:tcPr>
          <w:p w14:paraId="52D59E28" w14:textId="77777777" w:rsidR="00F46260" w:rsidRPr="00F46260" w:rsidRDefault="00F46260" w:rsidP="00F46260">
            <w:pPr>
              <w:spacing w:after="0" w:line="240" w:lineRule="auto"/>
              <w:jc w:val="center"/>
              <w:rPr>
                <w:rFonts w:ascii="Arial" w:eastAsia="Times New Roman" w:hAnsi="Arial" w:cs="Arial"/>
                <w:b/>
                <w:bCs/>
                <w:i/>
                <w:sz w:val="20"/>
                <w:szCs w:val="20"/>
                <w:lang w:eastAsia="en-AU"/>
              </w:rPr>
            </w:pPr>
            <w:r w:rsidRPr="00F46260">
              <w:rPr>
                <w:rFonts w:ascii="Arial" w:eastAsia="Times New Roman" w:hAnsi="Arial" w:cs="Arial"/>
                <w:b/>
                <w:bCs/>
                <w:i/>
                <w:color w:val="FFFFFF"/>
                <w:sz w:val="20"/>
                <w:szCs w:val="20"/>
                <w:lang w:eastAsia="en-AU"/>
              </w:rPr>
              <w:t>Work-in-progress</w:t>
            </w:r>
          </w:p>
        </w:tc>
        <w:tc>
          <w:tcPr>
            <w:tcW w:w="1250" w:type="pct"/>
            <w:gridSpan w:val="5"/>
            <w:shd w:val="pct50" w:color="auto" w:fill="auto"/>
            <w:vAlign w:val="bottom"/>
          </w:tcPr>
          <w:p w14:paraId="68214E41" w14:textId="77777777" w:rsidR="00F46260" w:rsidRPr="00F46260" w:rsidRDefault="00F46260" w:rsidP="00F46260">
            <w:pPr>
              <w:spacing w:after="0" w:line="240" w:lineRule="auto"/>
              <w:rPr>
                <w:rFonts w:ascii="Arial" w:eastAsia="Times New Roman" w:hAnsi="Arial" w:cs="Arial"/>
                <w:b/>
                <w:bCs/>
                <w:i/>
                <w:sz w:val="20"/>
                <w:szCs w:val="20"/>
                <w:lang w:eastAsia="en-AU"/>
              </w:rPr>
            </w:pPr>
            <w:r w:rsidRPr="00F46260">
              <w:rPr>
                <w:rFonts w:ascii="Arial" w:eastAsia="Times New Roman" w:hAnsi="Arial" w:cs="Arial"/>
                <w:b/>
                <w:bCs/>
                <w:i/>
                <w:color w:val="FFFFFF"/>
                <w:sz w:val="20"/>
                <w:szCs w:val="20"/>
                <w:lang w:eastAsia="en-AU"/>
              </w:rPr>
              <w:t xml:space="preserve">             Total</w:t>
            </w:r>
          </w:p>
        </w:tc>
      </w:tr>
      <w:tr w:rsidR="00F46260" w:rsidRPr="00F46260" w14:paraId="185D5D39" w14:textId="77777777" w:rsidTr="00D1524E">
        <w:trPr>
          <w:gridAfter w:val="1"/>
          <w:wAfter w:w="29" w:type="pct"/>
          <w:trHeight w:val="171"/>
        </w:trPr>
        <w:tc>
          <w:tcPr>
            <w:tcW w:w="1454" w:type="pct"/>
            <w:gridSpan w:val="2"/>
            <w:shd w:val="pct50" w:color="auto" w:fill="auto"/>
          </w:tcPr>
          <w:p w14:paraId="592B5948"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592" w:type="pct"/>
            <w:shd w:val="pct50" w:color="auto" w:fill="auto"/>
            <w:vAlign w:val="bottom"/>
          </w:tcPr>
          <w:p w14:paraId="6F0D1671"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2021</w:t>
            </w:r>
          </w:p>
        </w:tc>
        <w:tc>
          <w:tcPr>
            <w:tcW w:w="591" w:type="pct"/>
            <w:gridSpan w:val="2"/>
            <w:shd w:val="pct50" w:color="auto" w:fill="auto"/>
            <w:vAlign w:val="bottom"/>
          </w:tcPr>
          <w:p w14:paraId="6422CD7B"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tc>
        <w:tc>
          <w:tcPr>
            <w:tcW w:w="573" w:type="pct"/>
            <w:shd w:val="pct50" w:color="auto" w:fill="auto"/>
            <w:vAlign w:val="bottom"/>
          </w:tcPr>
          <w:p w14:paraId="2631DF32"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2021</w:t>
            </w:r>
          </w:p>
        </w:tc>
        <w:tc>
          <w:tcPr>
            <w:tcW w:w="515" w:type="pct"/>
            <w:gridSpan w:val="2"/>
            <w:shd w:val="pct50" w:color="auto" w:fill="auto"/>
            <w:vAlign w:val="bottom"/>
          </w:tcPr>
          <w:p w14:paraId="624C5023"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tc>
        <w:tc>
          <w:tcPr>
            <w:tcW w:w="643" w:type="pct"/>
            <w:gridSpan w:val="2"/>
            <w:shd w:val="pct50" w:color="auto" w:fill="auto"/>
            <w:vAlign w:val="bottom"/>
          </w:tcPr>
          <w:p w14:paraId="24AB39CA"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2021</w:t>
            </w:r>
          </w:p>
        </w:tc>
        <w:tc>
          <w:tcPr>
            <w:tcW w:w="603" w:type="pct"/>
            <w:gridSpan w:val="2"/>
            <w:shd w:val="pct50" w:color="auto" w:fill="auto"/>
            <w:vAlign w:val="bottom"/>
          </w:tcPr>
          <w:p w14:paraId="57D4C383"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tc>
      </w:tr>
      <w:tr w:rsidR="00F46260" w:rsidRPr="00F46260" w14:paraId="2CC7AE7E" w14:textId="77777777" w:rsidTr="00D1524E">
        <w:trPr>
          <w:gridAfter w:val="1"/>
          <w:wAfter w:w="29" w:type="pct"/>
          <w:trHeight w:val="171"/>
        </w:trPr>
        <w:tc>
          <w:tcPr>
            <w:tcW w:w="1454" w:type="pct"/>
            <w:gridSpan w:val="2"/>
            <w:shd w:val="pct50" w:color="auto" w:fill="auto"/>
          </w:tcPr>
          <w:p w14:paraId="50CE0502"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592" w:type="pct"/>
            <w:shd w:val="pct50" w:color="auto" w:fill="auto"/>
            <w:vAlign w:val="bottom"/>
          </w:tcPr>
          <w:p w14:paraId="0AA30B80"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w:t>
            </w:r>
          </w:p>
        </w:tc>
        <w:tc>
          <w:tcPr>
            <w:tcW w:w="591" w:type="pct"/>
            <w:gridSpan w:val="2"/>
            <w:shd w:val="pct50" w:color="auto" w:fill="auto"/>
            <w:vAlign w:val="bottom"/>
          </w:tcPr>
          <w:p w14:paraId="2BFCE4F3"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573" w:type="pct"/>
            <w:shd w:val="pct50" w:color="auto" w:fill="auto"/>
            <w:vAlign w:val="bottom"/>
          </w:tcPr>
          <w:p w14:paraId="1FE801A4"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w:t>
            </w:r>
          </w:p>
        </w:tc>
        <w:tc>
          <w:tcPr>
            <w:tcW w:w="599" w:type="pct"/>
            <w:gridSpan w:val="3"/>
            <w:shd w:val="pct50" w:color="auto" w:fill="auto"/>
            <w:vAlign w:val="bottom"/>
          </w:tcPr>
          <w:p w14:paraId="2293AF5F"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599" w:type="pct"/>
            <w:gridSpan w:val="2"/>
            <w:shd w:val="pct50" w:color="auto" w:fill="auto"/>
            <w:vAlign w:val="bottom"/>
          </w:tcPr>
          <w:p w14:paraId="16BB8B3B"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w:t>
            </w:r>
          </w:p>
        </w:tc>
        <w:tc>
          <w:tcPr>
            <w:tcW w:w="563" w:type="pct"/>
            <w:shd w:val="pct50" w:color="auto" w:fill="auto"/>
            <w:vAlign w:val="bottom"/>
          </w:tcPr>
          <w:p w14:paraId="33D9275B"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2976BA7C" w14:textId="77777777" w:rsidTr="00D1524E">
        <w:trPr>
          <w:trHeight w:val="171"/>
        </w:trPr>
        <w:tc>
          <w:tcPr>
            <w:tcW w:w="1454" w:type="pct"/>
            <w:gridSpan w:val="2"/>
            <w:shd w:val="clear" w:color="auto" w:fill="auto"/>
          </w:tcPr>
          <w:p w14:paraId="037DE8D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Opening balance</w:t>
            </w:r>
          </w:p>
        </w:tc>
        <w:tc>
          <w:tcPr>
            <w:tcW w:w="592" w:type="pct"/>
            <w:shd w:val="pct15" w:color="auto" w:fill="auto"/>
            <w:vAlign w:val="bottom"/>
          </w:tcPr>
          <w:p w14:paraId="105A94D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1,377,071</w:t>
            </w:r>
          </w:p>
        </w:tc>
        <w:tc>
          <w:tcPr>
            <w:tcW w:w="591" w:type="pct"/>
            <w:gridSpan w:val="2"/>
            <w:shd w:val="clear" w:color="auto" w:fill="auto"/>
            <w:vAlign w:val="bottom"/>
          </w:tcPr>
          <w:p w14:paraId="7E0CC4EF"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1,628,383</w:t>
            </w:r>
          </w:p>
        </w:tc>
        <w:tc>
          <w:tcPr>
            <w:tcW w:w="573" w:type="pct"/>
            <w:shd w:val="pct15" w:color="auto" w:fill="auto"/>
            <w:vAlign w:val="bottom"/>
          </w:tcPr>
          <w:p w14:paraId="4AEBF3F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422,215</w:t>
            </w:r>
          </w:p>
        </w:tc>
        <w:tc>
          <w:tcPr>
            <w:tcW w:w="599" w:type="pct"/>
            <w:gridSpan w:val="3"/>
            <w:vAlign w:val="bottom"/>
          </w:tcPr>
          <w:p w14:paraId="58FA4CC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179</w:t>
            </w:r>
          </w:p>
        </w:tc>
        <w:tc>
          <w:tcPr>
            <w:tcW w:w="599" w:type="pct"/>
            <w:gridSpan w:val="2"/>
            <w:shd w:val="pct15" w:color="auto" w:fill="auto"/>
            <w:vAlign w:val="bottom"/>
          </w:tcPr>
          <w:p w14:paraId="15603B2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1,799,286</w:t>
            </w:r>
          </w:p>
        </w:tc>
        <w:tc>
          <w:tcPr>
            <w:tcW w:w="592" w:type="pct"/>
            <w:gridSpan w:val="2"/>
            <w:vAlign w:val="bottom"/>
          </w:tcPr>
          <w:p w14:paraId="27CAC86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1,628,562</w:t>
            </w:r>
          </w:p>
        </w:tc>
      </w:tr>
      <w:tr w:rsidR="00F46260" w:rsidRPr="00F46260" w14:paraId="2A1600B9" w14:textId="77777777" w:rsidTr="00D1524E">
        <w:trPr>
          <w:trHeight w:val="171"/>
        </w:trPr>
        <w:tc>
          <w:tcPr>
            <w:tcW w:w="1454" w:type="pct"/>
            <w:gridSpan w:val="2"/>
            <w:shd w:val="clear" w:color="auto" w:fill="auto"/>
          </w:tcPr>
          <w:p w14:paraId="4ADD012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Additions</w:t>
            </w:r>
          </w:p>
        </w:tc>
        <w:tc>
          <w:tcPr>
            <w:tcW w:w="592" w:type="pct"/>
            <w:shd w:val="pct15" w:color="auto" w:fill="auto"/>
            <w:vAlign w:val="bottom"/>
          </w:tcPr>
          <w:p w14:paraId="1B83559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591" w:type="pct"/>
            <w:gridSpan w:val="2"/>
            <w:shd w:val="clear" w:color="auto" w:fill="auto"/>
            <w:vAlign w:val="bottom"/>
          </w:tcPr>
          <w:p w14:paraId="18787DAB"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w:t>
            </w:r>
          </w:p>
        </w:tc>
        <w:tc>
          <w:tcPr>
            <w:tcW w:w="573" w:type="pct"/>
            <w:shd w:val="pct15" w:color="auto" w:fill="auto"/>
            <w:vAlign w:val="bottom"/>
          </w:tcPr>
          <w:p w14:paraId="6179D8D8"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725,136</w:t>
            </w:r>
          </w:p>
        </w:tc>
        <w:tc>
          <w:tcPr>
            <w:tcW w:w="599" w:type="pct"/>
            <w:gridSpan w:val="3"/>
            <w:vAlign w:val="bottom"/>
          </w:tcPr>
          <w:p w14:paraId="1A80BA8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422,036</w:t>
            </w:r>
          </w:p>
        </w:tc>
        <w:tc>
          <w:tcPr>
            <w:tcW w:w="599" w:type="pct"/>
            <w:gridSpan w:val="2"/>
            <w:shd w:val="pct15" w:color="auto" w:fill="auto"/>
            <w:vAlign w:val="bottom"/>
          </w:tcPr>
          <w:p w14:paraId="577F86C8"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725,136</w:t>
            </w:r>
          </w:p>
        </w:tc>
        <w:tc>
          <w:tcPr>
            <w:tcW w:w="592" w:type="pct"/>
            <w:gridSpan w:val="2"/>
            <w:vAlign w:val="bottom"/>
          </w:tcPr>
          <w:p w14:paraId="52628F08"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422,036</w:t>
            </w:r>
          </w:p>
        </w:tc>
      </w:tr>
      <w:tr w:rsidR="00F46260" w:rsidRPr="00F46260" w14:paraId="2B11B8C1" w14:textId="77777777" w:rsidTr="00D1524E">
        <w:trPr>
          <w:trHeight w:val="171"/>
        </w:trPr>
        <w:tc>
          <w:tcPr>
            <w:tcW w:w="1454" w:type="pct"/>
            <w:gridSpan w:val="2"/>
            <w:shd w:val="clear" w:color="auto" w:fill="auto"/>
          </w:tcPr>
          <w:p w14:paraId="29267261"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Reclassification</w:t>
            </w:r>
          </w:p>
        </w:tc>
        <w:tc>
          <w:tcPr>
            <w:tcW w:w="592" w:type="pct"/>
            <w:shd w:val="pct15" w:color="auto" w:fill="auto"/>
            <w:vAlign w:val="bottom"/>
          </w:tcPr>
          <w:p w14:paraId="42FEBD6B"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591" w:type="pct"/>
            <w:gridSpan w:val="2"/>
            <w:shd w:val="clear" w:color="auto" w:fill="auto"/>
            <w:vAlign w:val="bottom"/>
          </w:tcPr>
          <w:p w14:paraId="41B584F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573" w:type="pct"/>
            <w:shd w:val="pct15" w:color="auto" w:fill="auto"/>
            <w:vAlign w:val="bottom"/>
          </w:tcPr>
          <w:p w14:paraId="6BBAE26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(16,146)</w:t>
            </w:r>
          </w:p>
        </w:tc>
        <w:tc>
          <w:tcPr>
            <w:tcW w:w="599" w:type="pct"/>
            <w:gridSpan w:val="3"/>
            <w:vAlign w:val="bottom"/>
          </w:tcPr>
          <w:p w14:paraId="7B8D629C"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599" w:type="pct"/>
            <w:gridSpan w:val="2"/>
            <w:shd w:val="pct15" w:color="auto" w:fill="auto"/>
            <w:vAlign w:val="bottom"/>
          </w:tcPr>
          <w:p w14:paraId="7A0CF3FA"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(16,146)</w:t>
            </w:r>
          </w:p>
        </w:tc>
        <w:tc>
          <w:tcPr>
            <w:tcW w:w="592" w:type="pct"/>
            <w:gridSpan w:val="2"/>
            <w:vAlign w:val="bottom"/>
          </w:tcPr>
          <w:p w14:paraId="5DF8C10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r>
      <w:tr w:rsidR="00F46260" w:rsidRPr="00F46260" w14:paraId="78E0664A" w14:textId="77777777" w:rsidTr="00D1524E">
        <w:trPr>
          <w:trHeight w:val="171"/>
        </w:trPr>
        <w:tc>
          <w:tcPr>
            <w:tcW w:w="1454" w:type="pct"/>
            <w:gridSpan w:val="2"/>
            <w:shd w:val="clear" w:color="auto" w:fill="auto"/>
          </w:tcPr>
          <w:p w14:paraId="61E99915"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Transfer </w:t>
            </w:r>
          </w:p>
        </w:tc>
        <w:tc>
          <w:tcPr>
            <w:tcW w:w="592" w:type="pct"/>
            <w:shd w:val="pct15" w:color="auto" w:fill="auto"/>
            <w:vAlign w:val="bottom"/>
          </w:tcPr>
          <w:p w14:paraId="59A293B8"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326,178</w:t>
            </w:r>
          </w:p>
        </w:tc>
        <w:tc>
          <w:tcPr>
            <w:tcW w:w="591" w:type="pct"/>
            <w:gridSpan w:val="2"/>
            <w:shd w:val="clear" w:color="auto" w:fill="auto"/>
            <w:vAlign w:val="bottom"/>
          </w:tcPr>
          <w:p w14:paraId="4D09D28F"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w:t>
            </w:r>
          </w:p>
        </w:tc>
        <w:tc>
          <w:tcPr>
            <w:tcW w:w="573" w:type="pct"/>
            <w:shd w:val="pct15" w:color="auto" w:fill="auto"/>
            <w:vAlign w:val="bottom"/>
          </w:tcPr>
          <w:p w14:paraId="0CDF943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(326,178)</w:t>
            </w:r>
          </w:p>
        </w:tc>
        <w:tc>
          <w:tcPr>
            <w:tcW w:w="599" w:type="pct"/>
            <w:gridSpan w:val="3"/>
            <w:vAlign w:val="bottom"/>
          </w:tcPr>
          <w:p w14:paraId="7844BFEA"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599" w:type="pct"/>
            <w:gridSpan w:val="2"/>
            <w:shd w:val="pct15" w:color="auto" w:fill="auto"/>
            <w:vAlign w:val="bottom"/>
          </w:tcPr>
          <w:p w14:paraId="008362FB"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592" w:type="pct"/>
            <w:gridSpan w:val="2"/>
            <w:vAlign w:val="bottom"/>
          </w:tcPr>
          <w:p w14:paraId="4B78EB1C"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w:t>
            </w:r>
          </w:p>
        </w:tc>
      </w:tr>
      <w:tr w:rsidR="00F46260" w:rsidRPr="00F46260" w14:paraId="3F51B57C" w14:textId="77777777" w:rsidTr="00D1524E">
        <w:trPr>
          <w:trHeight w:val="171"/>
        </w:trPr>
        <w:tc>
          <w:tcPr>
            <w:tcW w:w="1454" w:type="pct"/>
            <w:gridSpan w:val="2"/>
            <w:tcBorders>
              <w:bottom w:val="single" w:sz="2" w:space="0" w:color="auto"/>
            </w:tcBorders>
            <w:shd w:val="clear" w:color="auto" w:fill="auto"/>
          </w:tcPr>
          <w:p w14:paraId="53C1175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Depreciation </w:t>
            </w:r>
          </w:p>
        </w:tc>
        <w:tc>
          <w:tcPr>
            <w:tcW w:w="592" w:type="pct"/>
            <w:tcBorders>
              <w:bottom w:val="single" w:sz="2" w:space="0" w:color="auto"/>
            </w:tcBorders>
            <w:shd w:val="pct15" w:color="auto" w:fill="auto"/>
            <w:vAlign w:val="bottom"/>
          </w:tcPr>
          <w:p w14:paraId="31AA865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(270,006)</w:t>
            </w:r>
          </w:p>
        </w:tc>
        <w:tc>
          <w:tcPr>
            <w:tcW w:w="591" w:type="pct"/>
            <w:gridSpan w:val="2"/>
            <w:tcBorders>
              <w:bottom w:val="single" w:sz="2" w:space="0" w:color="auto"/>
            </w:tcBorders>
            <w:shd w:val="clear" w:color="auto" w:fill="auto"/>
            <w:vAlign w:val="bottom"/>
          </w:tcPr>
          <w:p w14:paraId="75F03727"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(251,312)</w:t>
            </w:r>
          </w:p>
        </w:tc>
        <w:tc>
          <w:tcPr>
            <w:tcW w:w="573" w:type="pct"/>
            <w:tcBorders>
              <w:bottom w:val="single" w:sz="2" w:space="0" w:color="auto"/>
            </w:tcBorders>
            <w:shd w:val="pct15" w:color="auto" w:fill="auto"/>
            <w:vAlign w:val="bottom"/>
          </w:tcPr>
          <w:p w14:paraId="1B80CFE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599" w:type="pct"/>
            <w:gridSpan w:val="3"/>
            <w:tcBorders>
              <w:bottom w:val="single" w:sz="2" w:space="0" w:color="auto"/>
            </w:tcBorders>
            <w:vAlign w:val="bottom"/>
          </w:tcPr>
          <w:p w14:paraId="37B57B3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599" w:type="pct"/>
            <w:gridSpan w:val="2"/>
            <w:tcBorders>
              <w:bottom w:val="single" w:sz="2" w:space="0" w:color="auto"/>
            </w:tcBorders>
            <w:shd w:val="pct15" w:color="auto" w:fill="auto"/>
            <w:vAlign w:val="bottom"/>
          </w:tcPr>
          <w:p w14:paraId="48447E5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(270,006)</w:t>
            </w:r>
          </w:p>
        </w:tc>
        <w:tc>
          <w:tcPr>
            <w:tcW w:w="592" w:type="pct"/>
            <w:gridSpan w:val="2"/>
            <w:tcBorders>
              <w:bottom w:val="single" w:sz="2" w:space="0" w:color="auto"/>
            </w:tcBorders>
            <w:vAlign w:val="bottom"/>
          </w:tcPr>
          <w:p w14:paraId="06B0950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(251,312)</w:t>
            </w:r>
          </w:p>
        </w:tc>
      </w:tr>
      <w:tr w:rsidR="00F46260" w:rsidRPr="00F46260" w14:paraId="614CF81B" w14:textId="77777777" w:rsidTr="00D1524E">
        <w:trPr>
          <w:trHeight w:val="171"/>
        </w:trPr>
        <w:tc>
          <w:tcPr>
            <w:tcW w:w="1454" w:type="pct"/>
            <w:gridSpan w:val="2"/>
            <w:tcBorders>
              <w:top w:val="single" w:sz="2" w:space="0" w:color="auto"/>
              <w:bottom w:val="single" w:sz="12" w:space="0" w:color="auto"/>
            </w:tcBorders>
            <w:shd w:val="clear" w:color="auto" w:fill="auto"/>
          </w:tcPr>
          <w:p w14:paraId="3CAC39A1"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Closing balance</w:t>
            </w:r>
          </w:p>
        </w:tc>
        <w:tc>
          <w:tcPr>
            <w:tcW w:w="592" w:type="pct"/>
            <w:tcBorders>
              <w:top w:val="single" w:sz="2" w:space="0" w:color="auto"/>
              <w:bottom w:val="single" w:sz="12" w:space="0" w:color="auto"/>
            </w:tcBorders>
            <w:shd w:val="pct15" w:color="auto" w:fill="auto"/>
            <w:vAlign w:val="bottom"/>
          </w:tcPr>
          <w:p w14:paraId="362B9853"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1,433,243</w:t>
            </w:r>
          </w:p>
        </w:tc>
        <w:tc>
          <w:tcPr>
            <w:tcW w:w="591" w:type="pct"/>
            <w:gridSpan w:val="2"/>
            <w:tcBorders>
              <w:top w:val="single" w:sz="2" w:space="0" w:color="auto"/>
              <w:bottom w:val="single" w:sz="12" w:space="0" w:color="auto"/>
            </w:tcBorders>
            <w:shd w:val="clear" w:color="auto" w:fill="auto"/>
            <w:vAlign w:val="bottom"/>
          </w:tcPr>
          <w:p w14:paraId="417F82E4"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sz w:val="20"/>
                <w:szCs w:val="20"/>
                <w:lang w:eastAsia="en-AU"/>
              </w:rPr>
              <w:t>1,377,071</w:t>
            </w:r>
          </w:p>
        </w:tc>
        <w:tc>
          <w:tcPr>
            <w:tcW w:w="573" w:type="pct"/>
            <w:tcBorders>
              <w:top w:val="single" w:sz="2" w:space="0" w:color="auto"/>
              <w:bottom w:val="single" w:sz="12" w:space="0" w:color="auto"/>
            </w:tcBorders>
            <w:shd w:val="pct15" w:color="auto" w:fill="auto"/>
            <w:vAlign w:val="bottom"/>
          </w:tcPr>
          <w:p w14:paraId="53CD3D64"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805,027</w:t>
            </w:r>
          </w:p>
        </w:tc>
        <w:tc>
          <w:tcPr>
            <w:tcW w:w="599" w:type="pct"/>
            <w:gridSpan w:val="3"/>
            <w:tcBorders>
              <w:top w:val="single" w:sz="2" w:space="0" w:color="auto"/>
              <w:bottom w:val="single" w:sz="12" w:space="0" w:color="auto"/>
            </w:tcBorders>
            <w:vAlign w:val="bottom"/>
          </w:tcPr>
          <w:p w14:paraId="03B919FF"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422,215</w:t>
            </w:r>
          </w:p>
        </w:tc>
        <w:tc>
          <w:tcPr>
            <w:tcW w:w="599" w:type="pct"/>
            <w:gridSpan w:val="2"/>
            <w:tcBorders>
              <w:top w:val="single" w:sz="2" w:space="0" w:color="auto"/>
              <w:bottom w:val="single" w:sz="12" w:space="0" w:color="auto"/>
            </w:tcBorders>
            <w:shd w:val="pct15" w:color="auto" w:fill="auto"/>
            <w:vAlign w:val="bottom"/>
          </w:tcPr>
          <w:p w14:paraId="6F26F7FE"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2,238,270</w:t>
            </w:r>
          </w:p>
        </w:tc>
        <w:tc>
          <w:tcPr>
            <w:tcW w:w="592" w:type="pct"/>
            <w:gridSpan w:val="2"/>
            <w:tcBorders>
              <w:top w:val="single" w:sz="2" w:space="0" w:color="auto"/>
              <w:bottom w:val="single" w:sz="12" w:space="0" w:color="auto"/>
            </w:tcBorders>
            <w:vAlign w:val="bottom"/>
          </w:tcPr>
          <w:p w14:paraId="4504B97E"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1,799,286</w:t>
            </w:r>
          </w:p>
        </w:tc>
      </w:tr>
    </w:tbl>
    <w:p w14:paraId="60D6FBC6" w14:textId="77777777" w:rsidR="00F46260" w:rsidRPr="00F46260" w:rsidRDefault="00F46260" w:rsidP="00F46260">
      <w:pPr>
        <w:spacing w:after="0" w:line="240" w:lineRule="auto"/>
        <w:rPr>
          <w:rFonts w:ascii="Arial" w:eastAsia="Times New Roman" w:hAnsi="Arial" w:cs="Arial"/>
          <w:sz w:val="20"/>
          <w:szCs w:val="20"/>
          <w:lang w:eastAsia="en-AU"/>
        </w:rPr>
      </w:pPr>
    </w:p>
    <w:p w14:paraId="3285BE3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Intangible assets which comprise capitalised software and work-in-progress represent separately identifiable assets without physical substance.  Work-in-progress represents the enhancement work on the Victorian Government Careers website and the development work on the State Workforce Data Analysis and Collection Application.</w:t>
      </w:r>
    </w:p>
    <w:p w14:paraId="4FDEEAF1" w14:textId="77777777" w:rsidR="00F46260" w:rsidRPr="00F46260" w:rsidRDefault="00F46260" w:rsidP="00F46260">
      <w:pPr>
        <w:spacing w:after="0" w:line="240" w:lineRule="auto"/>
        <w:rPr>
          <w:rFonts w:ascii="Arial" w:eastAsia="Times New Roman" w:hAnsi="Arial" w:cs="Arial"/>
          <w:sz w:val="20"/>
          <w:szCs w:val="20"/>
          <w:lang w:eastAsia="en-AU"/>
        </w:rPr>
      </w:pPr>
    </w:p>
    <w:p w14:paraId="35E80AC6" w14:textId="77777777" w:rsidR="00F46260" w:rsidRPr="00F46260" w:rsidRDefault="00F46260" w:rsidP="00F46260">
      <w:pPr>
        <w:spacing w:after="12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Initial recognition</w:t>
      </w:r>
    </w:p>
    <w:p w14:paraId="21F22500"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sz w:val="20"/>
          <w:szCs w:val="20"/>
          <w:lang w:eastAsia="en-AU"/>
        </w:rPr>
        <w:t xml:space="preserve">Purchased intangible assets are initially measured at cost when the recognition criteria in AASB 138 </w:t>
      </w:r>
      <w:r w:rsidRPr="00F46260">
        <w:rPr>
          <w:rFonts w:ascii="Arial" w:eastAsia="Times New Roman" w:hAnsi="Arial" w:cs="Arial"/>
          <w:i/>
          <w:sz w:val="20"/>
          <w:szCs w:val="20"/>
          <w:lang w:eastAsia="en-AU"/>
        </w:rPr>
        <w:t>Intangible Assets</w:t>
      </w:r>
      <w:r w:rsidRPr="00F46260">
        <w:rPr>
          <w:rFonts w:ascii="Arial" w:eastAsia="Times New Roman" w:hAnsi="Arial" w:cs="Arial"/>
          <w:sz w:val="20"/>
          <w:szCs w:val="20"/>
          <w:lang w:eastAsia="en-AU"/>
        </w:rPr>
        <w:t xml:space="preserve"> are met. Costs incurred subsequent to initial acquisition are capitalised when it is expected that additional future economic benefits will flow to the Commission. </w:t>
      </w:r>
    </w:p>
    <w:p w14:paraId="61822706" w14:textId="77777777" w:rsidR="00F46260" w:rsidRPr="00F46260" w:rsidRDefault="00F46260" w:rsidP="00F46260">
      <w:pPr>
        <w:keepNext/>
        <w:spacing w:after="120" w:line="240" w:lineRule="auto"/>
        <w:rPr>
          <w:rFonts w:ascii="Arial" w:eastAsia="Times New Roman" w:hAnsi="Arial" w:cs="Arial"/>
          <w:b/>
          <w:sz w:val="20"/>
          <w:szCs w:val="20"/>
          <w:lang w:eastAsia="en-AU"/>
        </w:rPr>
      </w:pPr>
    </w:p>
    <w:p w14:paraId="591FE998" w14:textId="77777777" w:rsidR="00F46260" w:rsidRPr="00F46260" w:rsidRDefault="00F46260" w:rsidP="00F46260">
      <w:pPr>
        <w:keepNext/>
        <w:spacing w:after="12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Subsequent measurement</w:t>
      </w:r>
    </w:p>
    <w:p w14:paraId="385152F2" w14:textId="77777777" w:rsidR="00F46260" w:rsidRPr="00F46260" w:rsidRDefault="00F46260" w:rsidP="00F46260">
      <w:pPr>
        <w:keepNext/>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Intangible assets with finite useful lives are amortised as an ‘expense from transactions’ on a straight-line basis over their useful lives. </w:t>
      </w:r>
    </w:p>
    <w:p w14:paraId="22E7E8E1" w14:textId="77777777" w:rsidR="00F46260" w:rsidRPr="00F46260" w:rsidRDefault="00F46260" w:rsidP="00F46260">
      <w:pPr>
        <w:keepNext/>
        <w:spacing w:after="0" w:line="240" w:lineRule="auto"/>
        <w:rPr>
          <w:rFonts w:ascii="Arial" w:eastAsia="Times New Roman" w:hAnsi="Arial" w:cs="Arial"/>
          <w:sz w:val="20"/>
          <w:szCs w:val="20"/>
          <w:lang w:eastAsia="en-AU"/>
        </w:rPr>
      </w:pPr>
    </w:p>
    <w:p w14:paraId="35DDC6D9" w14:textId="77777777" w:rsidR="00F46260" w:rsidRPr="00F46260" w:rsidRDefault="00F46260" w:rsidP="00F46260">
      <w:pPr>
        <w:keepNext/>
        <w:spacing w:after="12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Impairment</w:t>
      </w:r>
    </w:p>
    <w:p w14:paraId="182234C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Intangible assets with finite useful lives are tested for impairment annually and whenever an indication of impairment is identified.</w:t>
      </w:r>
    </w:p>
    <w:p w14:paraId="734F3D69" w14:textId="77777777" w:rsidR="00F46260" w:rsidRPr="00F46260" w:rsidRDefault="00F46260" w:rsidP="00F46260">
      <w:pPr>
        <w:spacing w:after="0" w:line="240" w:lineRule="auto"/>
        <w:rPr>
          <w:rFonts w:ascii="Arial" w:eastAsia="Times New Roman" w:hAnsi="Arial" w:cs="Arial"/>
          <w:sz w:val="20"/>
          <w:szCs w:val="20"/>
          <w:lang w:eastAsia="en-AU"/>
        </w:rPr>
      </w:pPr>
    </w:p>
    <w:p w14:paraId="41F3C8CD"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4.3 Asset depreciation</w:t>
      </w:r>
    </w:p>
    <w:tbl>
      <w:tblPr>
        <w:tblW w:w="5000" w:type="pct"/>
        <w:tblInd w:w="-108" w:type="dxa"/>
        <w:tblLook w:val="0000" w:firstRow="0" w:lastRow="0" w:firstColumn="0" w:lastColumn="0" w:noHBand="0" w:noVBand="0"/>
      </w:tblPr>
      <w:tblGrid>
        <w:gridCol w:w="6564"/>
        <w:gridCol w:w="1254"/>
        <w:gridCol w:w="283"/>
        <w:gridCol w:w="1254"/>
      </w:tblGrid>
      <w:tr w:rsidR="00F46260" w:rsidRPr="00F46260" w14:paraId="5122BFC8" w14:textId="77777777" w:rsidTr="00D1524E">
        <w:trPr>
          <w:trHeight w:val="255"/>
        </w:trPr>
        <w:tc>
          <w:tcPr>
            <w:tcW w:w="3508" w:type="pct"/>
            <w:tcBorders>
              <w:top w:val="nil"/>
              <w:right w:val="nil"/>
            </w:tcBorders>
            <w:shd w:val="clear" w:color="auto" w:fill="auto"/>
            <w:vAlign w:val="bottom"/>
          </w:tcPr>
          <w:p w14:paraId="406B2A6D"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0" w:type="pct"/>
            <w:tcBorders>
              <w:top w:val="nil"/>
              <w:left w:val="nil"/>
              <w:right w:val="nil"/>
            </w:tcBorders>
            <w:shd w:val="clear" w:color="auto" w:fill="auto"/>
            <w:vAlign w:val="bottom"/>
          </w:tcPr>
          <w:p w14:paraId="6A477C26"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51" w:type="pct"/>
            <w:tcBorders>
              <w:top w:val="nil"/>
              <w:left w:val="nil"/>
              <w:right w:val="nil"/>
            </w:tcBorders>
            <w:shd w:val="clear" w:color="auto" w:fill="auto"/>
            <w:vAlign w:val="bottom"/>
          </w:tcPr>
          <w:p w14:paraId="5372B4DD"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70" w:type="pct"/>
            <w:tcBorders>
              <w:top w:val="nil"/>
              <w:left w:val="nil"/>
            </w:tcBorders>
            <w:shd w:val="clear" w:color="auto" w:fill="auto"/>
            <w:vAlign w:val="bottom"/>
          </w:tcPr>
          <w:p w14:paraId="7291742C"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0FE199CF" w14:textId="77777777" w:rsidTr="00D1524E">
        <w:trPr>
          <w:trHeight w:val="255"/>
        </w:trPr>
        <w:tc>
          <w:tcPr>
            <w:tcW w:w="3508" w:type="pct"/>
            <w:tcBorders>
              <w:top w:val="nil"/>
              <w:right w:val="nil"/>
            </w:tcBorders>
            <w:shd w:val="pct50" w:color="auto" w:fill="auto"/>
            <w:vAlign w:val="bottom"/>
          </w:tcPr>
          <w:p w14:paraId="3D2448FA"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0" w:type="pct"/>
            <w:tcBorders>
              <w:top w:val="nil"/>
              <w:left w:val="nil"/>
              <w:right w:val="nil"/>
            </w:tcBorders>
            <w:shd w:val="pct50" w:color="auto" w:fill="auto"/>
            <w:vAlign w:val="bottom"/>
          </w:tcPr>
          <w:p w14:paraId="3410792F"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7705DC28"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c>
          <w:tcPr>
            <w:tcW w:w="151" w:type="pct"/>
            <w:tcBorders>
              <w:top w:val="nil"/>
              <w:left w:val="nil"/>
              <w:right w:val="nil"/>
            </w:tcBorders>
            <w:shd w:val="pct50" w:color="auto" w:fill="auto"/>
            <w:vAlign w:val="bottom"/>
          </w:tcPr>
          <w:p w14:paraId="36DBF3CD"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0" w:type="pct"/>
            <w:tcBorders>
              <w:top w:val="nil"/>
              <w:left w:val="nil"/>
            </w:tcBorders>
            <w:shd w:val="pct50" w:color="auto" w:fill="auto"/>
            <w:vAlign w:val="bottom"/>
          </w:tcPr>
          <w:p w14:paraId="2F24D052"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3258B341"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5FACA232" w14:textId="77777777" w:rsidTr="00D1524E">
        <w:tblPrEx>
          <w:tblBorders>
            <w:bottom w:val="double" w:sz="4" w:space="0" w:color="auto"/>
          </w:tblBorders>
          <w:tblLook w:val="01E0" w:firstRow="1" w:lastRow="1" w:firstColumn="1" w:lastColumn="1" w:noHBand="0" w:noVBand="0"/>
        </w:tblPrEx>
        <w:trPr>
          <w:trHeight w:val="132"/>
        </w:trPr>
        <w:tc>
          <w:tcPr>
            <w:tcW w:w="3508" w:type="pct"/>
            <w:tcBorders>
              <w:bottom w:val="nil"/>
            </w:tcBorders>
            <w:shd w:val="clear" w:color="auto" w:fill="auto"/>
          </w:tcPr>
          <w:p w14:paraId="5CD661D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Capitalised software</w:t>
            </w:r>
          </w:p>
        </w:tc>
        <w:tc>
          <w:tcPr>
            <w:tcW w:w="670" w:type="pct"/>
            <w:tcBorders>
              <w:top w:val="nil"/>
              <w:bottom w:val="nil"/>
            </w:tcBorders>
            <w:shd w:val="pct15" w:color="auto" w:fill="auto"/>
            <w:vAlign w:val="bottom"/>
          </w:tcPr>
          <w:p w14:paraId="2773F4BC"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270,006</w:t>
            </w:r>
          </w:p>
        </w:tc>
        <w:tc>
          <w:tcPr>
            <w:tcW w:w="151" w:type="pct"/>
            <w:tcBorders>
              <w:top w:val="nil"/>
              <w:bottom w:val="nil"/>
            </w:tcBorders>
            <w:shd w:val="clear" w:color="auto" w:fill="auto"/>
            <w:vAlign w:val="bottom"/>
          </w:tcPr>
          <w:p w14:paraId="2680874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0" w:type="pct"/>
            <w:tcBorders>
              <w:top w:val="nil"/>
              <w:bottom w:val="nil"/>
            </w:tcBorders>
            <w:shd w:val="clear" w:color="auto" w:fill="auto"/>
            <w:vAlign w:val="bottom"/>
          </w:tcPr>
          <w:p w14:paraId="2BD32E86"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251,312</w:t>
            </w:r>
          </w:p>
        </w:tc>
      </w:tr>
      <w:tr w:rsidR="00F46260" w:rsidRPr="00F46260" w14:paraId="6892A9D0" w14:textId="77777777" w:rsidTr="00D1524E">
        <w:tblPrEx>
          <w:tblLook w:val="01E0" w:firstRow="1" w:lastRow="1" w:firstColumn="1" w:lastColumn="1" w:noHBand="0" w:noVBand="0"/>
        </w:tblPrEx>
        <w:trPr>
          <w:trHeight w:val="132"/>
        </w:trPr>
        <w:tc>
          <w:tcPr>
            <w:tcW w:w="3508" w:type="pct"/>
            <w:shd w:val="clear" w:color="auto" w:fill="auto"/>
            <w:vAlign w:val="bottom"/>
          </w:tcPr>
          <w:p w14:paraId="7CD737FE" w14:textId="77777777" w:rsidR="00F46260" w:rsidRPr="00F46260" w:rsidRDefault="00F46260" w:rsidP="00F46260">
            <w:pPr>
              <w:spacing w:after="0" w:line="240" w:lineRule="auto"/>
              <w:rPr>
                <w:rFonts w:ascii="Arial" w:eastAsia="Times New Roman" w:hAnsi="Arial" w:cs="Arial"/>
                <w:bCs/>
                <w:iCs/>
                <w:sz w:val="20"/>
                <w:szCs w:val="20"/>
                <w:lang w:eastAsia="en-AU"/>
              </w:rPr>
            </w:pPr>
            <w:r w:rsidRPr="00F46260">
              <w:rPr>
                <w:rFonts w:ascii="Arial" w:eastAsia="Times New Roman" w:hAnsi="Arial" w:cs="Arial"/>
                <w:bCs/>
                <w:iCs/>
                <w:sz w:val="20"/>
                <w:szCs w:val="20"/>
                <w:lang w:eastAsia="en-AU"/>
              </w:rPr>
              <w:t>Right of use buildings</w:t>
            </w:r>
            <w:r w:rsidRPr="00F46260">
              <w:rPr>
                <w:rFonts w:ascii="Arial" w:eastAsia="Times New Roman" w:hAnsi="Arial" w:cs="Arial"/>
                <w:b/>
                <w:sz w:val="20"/>
                <w:szCs w:val="20"/>
                <w:vertAlign w:val="superscript"/>
                <w:lang w:eastAsia="en-AU"/>
              </w:rPr>
              <w:t>(a)</w:t>
            </w:r>
            <w:r w:rsidRPr="00F46260">
              <w:rPr>
                <w:rFonts w:ascii="Arial" w:eastAsia="Times New Roman" w:hAnsi="Arial" w:cs="Arial"/>
                <w:bCs/>
                <w:iCs/>
                <w:sz w:val="20"/>
                <w:szCs w:val="20"/>
                <w:lang w:eastAsia="en-AU"/>
              </w:rPr>
              <w:t xml:space="preserve"> </w:t>
            </w:r>
          </w:p>
        </w:tc>
        <w:tc>
          <w:tcPr>
            <w:tcW w:w="670" w:type="pct"/>
            <w:shd w:val="pct15" w:color="auto" w:fill="auto"/>
            <w:vAlign w:val="bottom"/>
          </w:tcPr>
          <w:p w14:paraId="678C17B0"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w:t>
            </w:r>
          </w:p>
        </w:tc>
        <w:tc>
          <w:tcPr>
            <w:tcW w:w="151" w:type="pct"/>
            <w:shd w:val="clear" w:color="auto" w:fill="auto"/>
            <w:vAlign w:val="bottom"/>
          </w:tcPr>
          <w:p w14:paraId="0475A411"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0" w:type="pct"/>
            <w:shd w:val="clear" w:color="auto" w:fill="auto"/>
            <w:vAlign w:val="bottom"/>
          </w:tcPr>
          <w:p w14:paraId="3023CD95"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205,966</w:t>
            </w:r>
          </w:p>
        </w:tc>
      </w:tr>
      <w:tr w:rsidR="00F46260" w:rsidRPr="00F46260" w14:paraId="138256CA" w14:textId="77777777" w:rsidTr="00D1524E">
        <w:tblPrEx>
          <w:tblLook w:val="01E0" w:firstRow="1" w:lastRow="1" w:firstColumn="1" w:lastColumn="1" w:noHBand="0" w:noVBand="0"/>
        </w:tblPrEx>
        <w:trPr>
          <w:trHeight w:val="132"/>
        </w:trPr>
        <w:tc>
          <w:tcPr>
            <w:tcW w:w="3508" w:type="pct"/>
            <w:shd w:val="clear" w:color="auto" w:fill="auto"/>
            <w:vAlign w:val="bottom"/>
          </w:tcPr>
          <w:p w14:paraId="5D8984D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Cs/>
                <w:iCs/>
                <w:sz w:val="20"/>
                <w:szCs w:val="20"/>
                <w:lang w:eastAsia="en-AU"/>
              </w:rPr>
              <w:t>Leased motor vehicles</w:t>
            </w:r>
          </w:p>
        </w:tc>
        <w:tc>
          <w:tcPr>
            <w:tcW w:w="670" w:type="pct"/>
            <w:shd w:val="pct15" w:color="auto" w:fill="auto"/>
            <w:vAlign w:val="bottom"/>
          </w:tcPr>
          <w:p w14:paraId="7FBA756F"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13,332</w:t>
            </w:r>
          </w:p>
        </w:tc>
        <w:tc>
          <w:tcPr>
            <w:tcW w:w="151" w:type="pct"/>
            <w:shd w:val="clear" w:color="auto" w:fill="auto"/>
            <w:vAlign w:val="bottom"/>
          </w:tcPr>
          <w:p w14:paraId="2F38262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0" w:type="pct"/>
            <w:shd w:val="clear" w:color="auto" w:fill="auto"/>
            <w:vAlign w:val="bottom"/>
          </w:tcPr>
          <w:p w14:paraId="181C5F57"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8,069</w:t>
            </w:r>
          </w:p>
        </w:tc>
      </w:tr>
      <w:tr w:rsidR="00F46260" w:rsidRPr="00F46260" w14:paraId="284FE519" w14:textId="77777777" w:rsidTr="00D1524E">
        <w:tblPrEx>
          <w:tblLook w:val="01E0" w:firstRow="1" w:lastRow="1" w:firstColumn="1" w:lastColumn="1" w:noHBand="0" w:noVBand="0"/>
        </w:tblPrEx>
        <w:tc>
          <w:tcPr>
            <w:tcW w:w="3508" w:type="pct"/>
            <w:shd w:val="clear" w:color="auto" w:fill="auto"/>
            <w:vAlign w:val="bottom"/>
          </w:tcPr>
          <w:p w14:paraId="0A48301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Leasehold improvements</w:t>
            </w:r>
          </w:p>
        </w:tc>
        <w:tc>
          <w:tcPr>
            <w:tcW w:w="670" w:type="pct"/>
            <w:shd w:val="pct15" w:color="auto" w:fill="auto"/>
            <w:vAlign w:val="bottom"/>
          </w:tcPr>
          <w:p w14:paraId="0E6AB33D"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21,621</w:t>
            </w:r>
          </w:p>
        </w:tc>
        <w:tc>
          <w:tcPr>
            <w:tcW w:w="151" w:type="pct"/>
            <w:shd w:val="clear" w:color="auto" w:fill="auto"/>
            <w:vAlign w:val="bottom"/>
          </w:tcPr>
          <w:p w14:paraId="2E6AD173"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0" w:type="pct"/>
            <w:shd w:val="clear" w:color="auto" w:fill="auto"/>
            <w:vAlign w:val="bottom"/>
          </w:tcPr>
          <w:p w14:paraId="52F1FBA6"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103,591</w:t>
            </w:r>
          </w:p>
        </w:tc>
      </w:tr>
      <w:tr w:rsidR="00F46260" w:rsidRPr="00F46260" w14:paraId="7521DB4F" w14:textId="77777777" w:rsidTr="00D1524E">
        <w:tblPrEx>
          <w:tblLook w:val="01E0" w:firstRow="1" w:lastRow="1" w:firstColumn="1" w:lastColumn="1" w:noHBand="0" w:noVBand="0"/>
        </w:tblPrEx>
        <w:tc>
          <w:tcPr>
            <w:tcW w:w="3508" w:type="pct"/>
            <w:shd w:val="clear" w:color="auto" w:fill="auto"/>
            <w:vAlign w:val="bottom"/>
          </w:tcPr>
          <w:p w14:paraId="1C14C919"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Office and computer equipment</w:t>
            </w:r>
          </w:p>
        </w:tc>
        <w:tc>
          <w:tcPr>
            <w:tcW w:w="670" w:type="pct"/>
            <w:shd w:val="pct15" w:color="auto" w:fill="auto"/>
            <w:vAlign w:val="bottom"/>
          </w:tcPr>
          <w:p w14:paraId="647395D4"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3,229</w:t>
            </w:r>
          </w:p>
        </w:tc>
        <w:tc>
          <w:tcPr>
            <w:tcW w:w="151" w:type="pct"/>
            <w:shd w:val="clear" w:color="auto" w:fill="auto"/>
            <w:vAlign w:val="bottom"/>
          </w:tcPr>
          <w:p w14:paraId="4147C66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0" w:type="pct"/>
            <w:shd w:val="clear" w:color="auto" w:fill="auto"/>
            <w:vAlign w:val="bottom"/>
          </w:tcPr>
          <w:p w14:paraId="79921AFA"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w:t>
            </w:r>
          </w:p>
        </w:tc>
      </w:tr>
      <w:tr w:rsidR="00F46260" w:rsidRPr="00F46260" w14:paraId="5F2D53A0" w14:textId="77777777" w:rsidTr="00D1524E">
        <w:tblPrEx>
          <w:tblBorders>
            <w:bottom w:val="double" w:sz="4" w:space="0" w:color="auto"/>
          </w:tblBorders>
          <w:tblLook w:val="01E0" w:firstRow="1" w:lastRow="1" w:firstColumn="1" w:lastColumn="1" w:noHBand="0" w:noVBand="0"/>
        </w:tblPrEx>
        <w:trPr>
          <w:trHeight w:val="132"/>
        </w:trPr>
        <w:tc>
          <w:tcPr>
            <w:tcW w:w="3508" w:type="pct"/>
            <w:tcBorders>
              <w:top w:val="single" w:sz="2" w:space="0" w:color="auto"/>
              <w:bottom w:val="single" w:sz="12" w:space="0" w:color="auto"/>
            </w:tcBorders>
            <w:shd w:val="clear" w:color="auto" w:fill="auto"/>
          </w:tcPr>
          <w:p w14:paraId="2EE75485"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depreciation</w:t>
            </w:r>
          </w:p>
        </w:tc>
        <w:tc>
          <w:tcPr>
            <w:tcW w:w="670" w:type="pct"/>
            <w:tcBorders>
              <w:top w:val="single" w:sz="2" w:space="0" w:color="auto"/>
              <w:bottom w:val="single" w:sz="12" w:space="0" w:color="auto"/>
            </w:tcBorders>
            <w:shd w:val="pct15" w:color="auto" w:fill="auto"/>
            <w:vAlign w:val="bottom"/>
          </w:tcPr>
          <w:p w14:paraId="7BA23EAA"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308,188</w:t>
            </w:r>
          </w:p>
        </w:tc>
        <w:tc>
          <w:tcPr>
            <w:tcW w:w="151" w:type="pct"/>
            <w:tcBorders>
              <w:top w:val="single" w:sz="2" w:space="0" w:color="auto"/>
              <w:bottom w:val="single" w:sz="12" w:space="0" w:color="auto"/>
            </w:tcBorders>
            <w:shd w:val="clear" w:color="auto" w:fill="auto"/>
            <w:vAlign w:val="bottom"/>
          </w:tcPr>
          <w:p w14:paraId="1A4B037C"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70" w:type="pct"/>
            <w:tcBorders>
              <w:top w:val="single" w:sz="2" w:space="0" w:color="auto"/>
              <w:bottom w:val="single" w:sz="12" w:space="0" w:color="auto"/>
            </w:tcBorders>
            <w:shd w:val="clear" w:color="auto" w:fill="auto"/>
            <w:vAlign w:val="bottom"/>
          </w:tcPr>
          <w:p w14:paraId="4AD16C1C"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568,938</w:t>
            </w:r>
          </w:p>
        </w:tc>
      </w:tr>
    </w:tbl>
    <w:p w14:paraId="68EDF8B7" w14:textId="77777777" w:rsidR="00F46260" w:rsidRPr="00F46260" w:rsidRDefault="00F46260" w:rsidP="00F46260">
      <w:pPr>
        <w:autoSpaceDE w:val="0"/>
        <w:autoSpaceDN w:val="0"/>
        <w:adjustRightInd w:val="0"/>
        <w:spacing w:after="0" w:line="240" w:lineRule="auto"/>
        <w:rPr>
          <w:rFonts w:ascii="Arial" w:eastAsia="Times New Roman" w:hAnsi="Arial" w:cs="Arial"/>
          <w:bCs/>
          <w:i/>
          <w:sz w:val="16"/>
          <w:szCs w:val="16"/>
          <w:lang w:eastAsia="en-AU"/>
        </w:rPr>
      </w:pPr>
    </w:p>
    <w:p w14:paraId="0C6B6B49" w14:textId="77777777" w:rsidR="00F46260" w:rsidRPr="00F46260" w:rsidRDefault="00F46260" w:rsidP="00F46260">
      <w:pPr>
        <w:autoSpaceDE w:val="0"/>
        <w:autoSpaceDN w:val="0"/>
        <w:adjustRightInd w:val="0"/>
        <w:spacing w:after="0" w:line="240" w:lineRule="auto"/>
        <w:rPr>
          <w:rFonts w:ascii="Arial" w:eastAsia="Times New Roman" w:hAnsi="Arial" w:cs="Arial"/>
          <w:bCs/>
          <w:i/>
          <w:sz w:val="16"/>
          <w:szCs w:val="16"/>
          <w:lang w:eastAsia="en-AU"/>
        </w:rPr>
      </w:pPr>
      <w:r w:rsidRPr="00F46260">
        <w:rPr>
          <w:rFonts w:ascii="Arial" w:eastAsia="Times New Roman" w:hAnsi="Arial" w:cs="Arial"/>
          <w:bCs/>
          <w:i/>
          <w:sz w:val="16"/>
          <w:szCs w:val="16"/>
          <w:lang w:eastAsia="en-AU"/>
        </w:rPr>
        <w:t>Notes:</w:t>
      </w:r>
    </w:p>
    <w:p w14:paraId="0FFF8B17" w14:textId="77777777" w:rsidR="00F46260" w:rsidRPr="00F46260" w:rsidRDefault="00F46260" w:rsidP="00F46260">
      <w:pPr>
        <w:spacing w:after="0" w:line="240" w:lineRule="auto"/>
        <w:rPr>
          <w:rFonts w:ascii="Arial" w:eastAsia="Times New Roman" w:hAnsi="Arial" w:cs="Arial"/>
          <w:bCs/>
          <w:i/>
          <w:sz w:val="16"/>
          <w:szCs w:val="16"/>
          <w:lang w:eastAsia="en-AU"/>
        </w:rPr>
      </w:pPr>
      <w:r w:rsidRPr="00F46260">
        <w:rPr>
          <w:rFonts w:ascii="Arial" w:eastAsia="Times New Roman" w:hAnsi="Arial" w:cs="Arial"/>
          <w:bCs/>
          <w:i/>
          <w:sz w:val="16"/>
          <w:szCs w:val="16"/>
          <w:lang w:eastAsia="en-AU"/>
        </w:rPr>
        <w:t>(a)  The Right of use buildings depreciation charges relates to the Commission’s accommodation lease which has been accounted for, under AASB16 up until 31 October 2019. Post 1 November 2019, VPSC’s building lease is centrally managed by DTF.</w:t>
      </w:r>
    </w:p>
    <w:p w14:paraId="5987B457" w14:textId="77777777" w:rsidR="00F46260" w:rsidRPr="00F46260" w:rsidRDefault="00F46260" w:rsidP="00F46260">
      <w:pPr>
        <w:spacing w:after="0" w:line="240" w:lineRule="auto"/>
        <w:rPr>
          <w:rFonts w:ascii="Arial" w:eastAsia="Times New Roman" w:hAnsi="Arial" w:cs="Arial"/>
          <w:sz w:val="20"/>
          <w:szCs w:val="20"/>
          <w:lang w:eastAsia="en-AU"/>
        </w:rPr>
      </w:pPr>
    </w:p>
    <w:p w14:paraId="461E5648" w14:textId="77777777" w:rsidR="00F46260" w:rsidRPr="00F46260" w:rsidRDefault="00F46260" w:rsidP="00F46260">
      <w:pPr>
        <w:spacing w:after="0" w:line="240" w:lineRule="auto"/>
        <w:ind w:left="11"/>
        <w:rPr>
          <w:rFonts w:ascii="Arial" w:eastAsia="Times New Roman" w:hAnsi="Arial" w:cs="Arial"/>
          <w:sz w:val="20"/>
          <w:szCs w:val="20"/>
          <w:lang w:eastAsia="en-AU"/>
        </w:rPr>
      </w:pPr>
      <w:r w:rsidRPr="00F46260">
        <w:rPr>
          <w:rFonts w:ascii="Arial" w:eastAsia="Times New Roman" w:hAnsi="Arial" w:cs="Arial"/>
          <w:sz w:val="20"/>
          <w:szCs w:val="20"/>
          <w:lang w:eastAsia="en-AU"/>
        </w:rPr>
        <w:lastRenderedPageBreak/>
        <w:t>Depreciation is calculated on a straight-line basis, at rates that allocate the asset’s value, less any estimated residual value, to its useful life. Depreciation begins when the asset is available for use in the location and condition necessary for it to be capable of operating in the manner intended by the Commission.</w:t>
      </w:r>
    </w:p>
    <w:p w14:paraId="14E0D87B" w14:textId="77777777" w:rsidR="00F46260" w:rsidRPr="00F46260" w:rsidRDefault="00F46260" w:rsidP="00F46260">
      <w:pPr>
        <w:spacing w:after="0" w:line="240" w:lineRule="auto"/>
        <w:ind w:left="11"/>
        <w:rPr>
          <w:rFonts w:ascii="Arial" w:eastAsia="Times New Roman" w:hAnsi="Arial" w:cs="Arial"/>
          <w:sz w:val="20"/>
          <w:szCs w:val="20"/>
          <w:lang w:eastAsia="en-AU"/>
        </w:rPr>
      </w:pPr>
    </w:p>
    <w:p w14:paraId="10DDB5BC" w14:textId="77777777" w:rsidR="00F46260" w:rsidRPr="00F46260" w:rsidRDefault="00F46260" w:rsidP="00D1524E">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estimated useful lives, residual values and depreciation method are reviewed at least annually.  Typical estimated useful lives applicable for the different classes are included in the table below:</w:t>
      </w:r>
    </w:p>
    <w:p w14:paraId="2491B8FA" w14:textId="77777777" w:rsidR="00F46260" w:rsidRPr="00F46260" w:rsidRDefault="00F46260" w:rsidP="00F46260">
      <w:pPr>
        <w:spacing w:after="0" w:line="240" w:lineRule="auto"/>
        <w:ind w:left="11"/>
        <w:rPr>
          <w:rFonts w:ascii="Arial" w:eastAsia="Times New Roman" w:hAnsi="Arial" w:cs="Arial"/>
          <w:sz w:val="20"/>
          <w:szCs w:val="20"/>
          <w:lang w:eastAsia="en-AU"/>
        </w:rPr>
      </w:pPr>
    </w:p>
    <w:p w14:paraId="057213D5" w14:textId="77777777" w:rsidR="00F46260" w:rsidRPr="00F46260" w:rsidRDefault="00F46260" w:rsidP="00F46260">
      <w:pPr>
        <w:spacing w:after="0" w:line="240" w:lineRule="auto"/>
        <w:ind w:left="11"/>
        <w:rPr>
          <w:rFonts w:ascii="Arial" w:eastAsia="Times New Roman" w:hAnsi="Arial" w:cs="Arial"/>
          <w:b/>
          <w:sz w:val="20"/>
          <w:szCs w:val="20"/>
          <w:lang w:eastAsia="en-AU"/>
        </w:rPr>
      </w:pPr>
      <w:r w:rsidRPr="00F46260">
        <w:rPr>
          <w:rFonts w:ascii="Arial" w:eastAsia="Times New Roman" w:hAnsi="Arial" w:cs="Arial"/>
          <w:b/>
          <w:sz w:val="20"/>
          <w:szCs w:val="20"/>
          <w:lang w:eastAsia="en-AU"/>
        </w:rPr>
        <w:t>Useful life of assets</w:t>
      </w:r>
    </w:p>
    <w:p w14:paraId="046F9106" w14:textId="77777777" w:rsidR="00F46260" w:rsidRPr="00F46260" w:rsidRDefault="00F46260" w:rsidP="00F46260">
      <w:pPr>
        <w:spacing w:after="0" w:line="240" w:lineRule="auto"/>
        <w:rPr>
          <w:rFonts w:ascii="Arial" w:eastAsia="Times New Roman" w:hAnsi="Arial" w:cs="Arial"/>
          <w:sz w:val="20"/>
          <w:szCs w:val="20"/>
          <w:lang w:eastAsia="en-AU"/>
        </w:rPr>
      </w:pPr>
    </w:p>
    <w:tbl>
      <w:tblPr>
        <w:tblW w:w="5000" w:type="pct"/>
        <w:tblInd w:w="-108" w:type="dxa"/>
        <w:tblLook w:val="0000" w:firstRow="0" w:lastRow="0" w:firstColumn="0" w:lastColumn="0" w:noHBand="0" w:noVBand="0"/>
      </w:tblPr>
      <w:tblGrid>
        <w:gridCol w:w="5244"/>
        <w:gridCol w:w="4111"/>
      </w:tblGrid>
      <w:tr w:rsidR="00F46260" w:rsidRPr="00F46260" w14:paraId="0FD99F18" w14:textId="77777777" w:rsidTr="00D1524E">
        <w:tc>
          <w:tcPr>
            <w:tcW w:w="2803" w:type="pct"/>
            <w:shd w:val="pct50" w:color="auto" w:fill="auto"/>
          </w:tcPr>
          <w:p w14:paraId="471B40F6" w14:textId="77777777" w:rsidR="00F46260" w:rsidRPr="00F46260" w:rsidRDefault="00F46260" w:rsidP="00F46260">
            <w:pPr>
              <w:spacing w:after="0" w:line="240" w:lineRule="auto"/>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Asset class</w:t>
            </w:r>
          </w:p>
        </w:tc>
        <w:tc>
          <w:tcPr>
            <w:tcW w:w="2197" w:type="pct"/>
            <w:shd w:val="pct50" w:color="auto" w:fill="auto"/>
            <w:vAlign w:val="bottom"/>
          </w:tcPr>
          <w:p w14:paraId="7B97F687" w14:textId="77777777" w:rsidR="00F46260" w:rsidRPr="00F46260" w:rsidRDefault="00F46260" w:rsidP="00F46260">
            <w:pPr>
              <w:spacing w:after="0" w:line="240" w:lineRule="auto"/>
              <w:jc w:val="right"/>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Useful life (years)</w:t>
            </w:r>
          </w:p>
        </w:tc>
      </w:tr>
      <w:tr w:rsidR="00F46260" w:rsidRPr="00F46260" w14:paraId="579A4B89" w14:textId="77777777" w:rsidTr="00D1524E">
        <w:tc>
          <w:tcPr>
            <w:tcW w:w="2803" w:type="pct"/>
          </w:tcPr>
          <w:p w14:paraId="2AB90D8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Leasehold improvements</w:t>
            </w:r>
          </w:p>
        </w:tc>
        <w:tc>
          <w:tcPr>
            <w:tcW w:w="2197" w:type="pct"/>
            <w:vAlign w:val="bottom"/>
          </w:tcPr>
          <w:p w14:paraId="184985A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10</w:t>
            </w:r>
          </w:p>
        </w:tc>
      </w:tr>
      <w:tr w:rsidR="00F46260" w:rsidRPr="00F46260" w14:paraId="1F09FE5B" w14:textId="77777777" w:rsidTr="00D1524E">
        <w:tc>
          <w:tcPr>
            <w:tcW w:w="2803" w:type="pct"/>
          </w:tcPr>
          <w:p w14:paraId="5550B31D"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Office and computer equipment</w:t>
            </w:r>
          </w:p>
        </w:tc>
        <w:tc>
          <w:tcPr>
            <w:tcW w:w="2197" w:type="pct"/>
            <w:vAlign w:val="bottom"/>
          </w:tcPr>
          <w:p w14:paraId="13F4526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4-5</w:t>
            </w:r>
          </w:p>
        </w:tc>
      </w:tr>
      <w:tr w:rsidR="00F46260" w:rsidRPr="00F46260" w14:paraId="2FA5C352" w14:textId="77777777" w:rsidTr="00D1524E">
        <w:tc>
          <w:tcPr>
            <w:tcW w:w="2803" w:type="pct"/>
          </w:tcPr>
          <w:p w14:paraId="5D6FA0BB"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Leased motor vehicles </w:t>
            </w:r>
          </w:p>
        </w:tc>
        <w:tc>
          <w:tcPr>
            <w:tcW w:w="2197" w:type="pct"/>
            <w:vAlign w:val="bottom"/>
          </w:tcPr>
          <w:p w14:paraId="1E75FE34"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2-3</w:t>
            </w:r>
          </w:p>
        </w:tc>
      </w:tr>
      <w:tr w:rsidR="00F46260" w:rsidRPr="00F46260" w14:paraId="59211E99" w14:textId="77777777" w:rsidTr="00D1524E">
        <w:tc>
          <w:tcPr>
            <w:tcW w:w="2803" w:type="pct"/>
          </w:tcPr>
          <w:p w14:paraId="0542DDA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Intangible assets</w:t>
            </w:r>
          </w:p>
        </w:tc>
        <w:tc>
          <w:tcPr>
            <w:tcW w:w="2197" w:type="pct"/>
            <w:vAlign w:val="bottom"/>
          </w:tcPr>
          <w:p w14:paraId="713D5635"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7</w:t>
            </w:r>
          </w:p>
        </w:tc>
      </w:tr>
      <w:tr w:rsidR="00F46260" w:rsidRPr="00F46260" w14:paraId="10CFE70C" w14:textId="77777777" w:rsidTr="00D1524E">
        <w:tc>
          <w:tcPr>
            <w:tcW w:w="2803" w:type="pct"/>
          </w:tcPr>
          <w:p w14:paraId="669FAA6C"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2197" w:type="pct"/>
            <w:vAlign w:val="bottom"/>
          </w:tcPr>
          <w:p w14:paraId="1659DF1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bl>
    <w:p w14:paraId="12DF769A" w14:textId="77777777" w:rsidR="00F46260" w:rsidRPr="00F46260" w:rsidRDefault="00F46260" w:rsidP="00F46260">
      <w:pPr>
        <w:spacing w:after="0" w:line="240" w:lineRule="auto"/>
        <w:rPr>
          <w:rFonts w:ascii="Arial" w:eastAsia="Times New Roman" w:hAnsi="Arial" w:cs="Arial"/>
          <w:sz w:val="20"/>
          <w:szCs w:val="20"/>
          <w:lang w:eastAsia="en-AU"/>
        </w:rPr>
      </w:pPr>
    </w:p>
    <w:p w14:paraId="21D5B11D" w14:textId="77777777" w:rsidR="00F46260" w:rsidRPr="00F46260" w:rsidRDefault="00F46260" w:rsidP="00F46260">
      <w:pPr>
        <w:spacing w:after="0" w:line="240" w:lineRule="auto"/>
        <w:rPr>
          <w:rFonts w:ascii="Arial" w:eastAsia="Times New Roman" w:hAnsi="Arial" w:cs="Arial"/>
          <w:sz w:val="20"/>
          <w:szCs w:val="20"/>
          <w:lang w:eastAsia="en-AU"/>
        </w:rPr>
      </w:pPr>
      <w:bookmarkStart w:id="52" w:name="_Hlk75094168"/>
      <w:r w:rsidRPr="00F46260">
        <w:rPr>
          <w:rFonts w:ascii="Arial" w:eastAsia="Times New Roman" w:hAnsi="Arial" w:cs="Arial"/>
          <w:sz w:val="20"/>
          <w:szCs w:val="20"/>
          <w:lang w:eastAsia="en-AU"/>
        </w:rPr>
        <w:t>Leasehold improvements are depreciated over the shorter of the lease term and their useful lives.</w:t>
      </w:r>
    </w:p>
    <w:bookmarkEnd w:id="52"/>
    <w:p w14:paraId="1DF85DBC" w14:textId="77777777" w:rsidR="00F46260" w:rsidRPr="00F46260" w:rsidRDefault="00F46260" w:rsidP="00F46260">
      <w:pPr>
        <w:spacing w:after="0" w:line="240" w:lineRule="auto"/>
        <w:rPr>
          <w:rFonts w:ascii="Arial" w:eastAsia="Times New Roman" w:hAnsi="Arial" w:cs="Arial"/>
          <w:sz w:val="20"/>
          <w:szCs w:val="20"/>
          <w:lang w:eastAsia="en-AU"/>
        </w:rPr>
      </w:pPr>
    </w:p>
    <w:p w14:paraId="5C30B19D" w14:textId="77777777" w:rsidR="00F46260" w:rsidRPr="00F46260" w:rsidRDefault="00F46260" w:rsidP="00F46260">
      <w:pPr>
        <w:spacing w:after="0" w:line="240" w:lineRule="auto"/>
        <w:rPr>
          <w:rFonts w:ascii="Arial" w:eastAsia="Times New Roman" w:hAnsi="Arial" w:cs="Arial"/>
          <w:sz w:val="20"/>
          <w:szCs w:val="20"/>
          <w:lang w:eastAsia="en-AU"/>
        </w:rPr>
      </w:pPr>
    </w:p>
    <w:p w14:paraId="531AB657" w14:textId="77777777" w:rsidR="00F46260" w:rsidRPr="00F46260" w:rsidRDefault="00F46260" w:rsidP="00F46260">
      <w:pPr>
        <w:spacing w:after="0" w:line="240" w:lineRule="auto"/>
        <w:rPr>
          <w:rFonts w:ascii="Arial" w:eastAsia="Times New Roman" w:hAnsi="Arial" w:cs="Arial"/>
          <w:b/>
          <w:sz w:val="20"/>
          <w:szCs w:val="24"/>
          <w:lang w:eastAsia="en-AU"/>
        </w:rPr>
      </w:pPr>
      <w:r w:rsidRPr="00F46260">
        <w:rPr>
          <w:rFonts w:ascii="Arial" w:eastAsia="Times New Roman" w:hAnsi="Arial" w:cs="Arial"/>
          <w:sz w:val="20"/>
          <w:szCs w:val="24"/>
          <w:lang w:eastAsia="en-AU"/>
        </w:rPr>
        <w:br w:type="page"/>
      </w:r>
    </w:p>
    <w:p w14:paraId="42D20D6F" w14:textId="77777777" w:rsidR="00F46260" w:rsidRPr="00F46260" w:rsidRDefault="00F46260" w:rsidP="00F46260">
      <w:pPr>
        <w:pBdr>
          <w:bottom w:val="single" w:sz="12" w:space="1" w:color="auto"/>
        </w:pBdr>
        <w:tabs>
          <w:tab w:val="left" w:pos="1384"/>
        </w:tabs>
        <w:spacing w:after="0" w:line="240" w:lineRule="auto"/>
        <w:ind w:left="1384" w:hanging="1384"/>
        <w:rPr>
          <w:rFonts w:ascii="Arial" w:eastAsia="Times New Roman" w:hAnsi="Arial" w:cs="Arial"/>
          <w:b/>
          <w:sz w:val="24"/>
          <w:szCs w:val="24"/>
          <w:lang w:eastAsia="en-AU"/>
        </w:rPr>
      </w:pPr>
      <w:bookmarkStart w:id="53" w:name="_Toc492305468"/>
      <w:r w:rsidRPr="00F46260">
        <w:rPr>
          <w:rFonts w:ascii="Arial" w:eastAsia="Times New Roman" w:hAnsi="Arial" w:cs="Arial"/>
          <w:b/>
          <w:sz w:val="24"/>
          <w:szCs w:val="24"/>
          <w:lang w:eastAsia="en-AU"/>
        </w:rPr>
        <w:lastRenderedPageBreak/>
        <w:t>5. Other assets and liabilities</w:t>
      </w:r>
      <w:bookmarkEnd w:id="53"/>
    </w:p>
    <w:p w14:paraId="0F5A2F66" w14:textId="77777777" w:rsidR="00F46260" w:rsidRPr="00F46260" w:rsidRDefault="00F46260" w:rsidP="00F46260">
      <w:pPr>
        <w:tabs>
          <w:tab w:val="left" w:pos="1384"/>
        </w:tabs>
        <w:spacing w:after="0" w:line="240" w:lineRule="auto"/>
        <w:ind w:left="1384" w:hanging="1384"/>
        <w:rPr>
          <w:rFonts w:ascii="Arial" w:eastAsia="Times New Roman" w:hAnsi="Arial" w:cs="Arial"/>
          <w:b/>
          <w:sz w:val="20"/>
          <w:szCs w:val="20"/>
          <w:lang w:eastAsia="en-AU"/>
        </w:rPr>
      </w:pPr>
    </w:p>
    <w:tbl>
      <w:tblPr>
        <w:tblStyle w:val="CVtable1"/>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794"/>
      </w:tblGrid>
      <w:tr w:rsidR="00F46260" w:rsidRPr="00F46260" w14:paraId="0AB62AF1" w14:textId="77777777" w:rsidTr="00D1524E">
        <w:tc>
          <w:tcPr>
            <w:tcW w:w="2438" w:type="pct"/>
            <w:tcBorders>
              <w:right w:val="single" w:sz="2" w:space="0" w:color="auto"/>
            </w:tcBorders>
          </w:tcPr>
          <w:p w14:paraId="11D907E4" w14:textId="77777777" w:rsidR="00F46260" w:rsidRPr="00F46260" w:rsidRDefault="00F46260" w:rsidP="00D1524E">
            <w:pPr>
              <w:autoSpaceDE w:val="0"/>
              <w:autoSpaceDN w:val="0"/>
              <w:adjustRightInd w:val="0"/>
              <w:spacing w:after="0" w:line="240" w:lineRule="auto"/>
              <w:contextualSpacing/>
              <w:rPr>
                <w:rFonts w:ascii="Arial" w:hAnsi="Arial" w:cs="Arial"/>
                <w:b/>
              </w:rPr>
            </w:pPr>
            <w:r w:rsidRPr="00F46260">
              <w:rPr>
                <w:rFonts w:ascii="Arial" w:hAnsi="Arial" w:cs="Arial"/>
                <w:b/>
              </w:rPr>
              <w:t>Introduction</w:t>
            </w:r>
          </w:p>
          <w:p w14:paraId="4E107345" w14:textId="77777777" w:rsidR="00F46260" w:rsidRPr="00F46260" w:rsidRDefault="00F46260" w:rsidP="00D1524E">
            <w:pPr>
              <w:autoSpaceDE w:val="0"/>
              <w:autoSpaceDN w:val="0"/>
              <w:adjustRightInd w:val="0"/>
              <w:spacing w:after="0" w:line="240" w:lineRule="auto"/>
              <w:contextualSpacing/>
              <w:rPr>
                <w:rFonts w:ascii="Arial" w:hAnsi="Arial" w:cs="Arial"/>
              </w:rPr>
            </w:pPr>
          </w:p>
          <w:p w14:paraId="6822F5CE" w14:textId="77777777" w:rsidR="00F46260" w:rsidRPr="00F46260" w:rsidRDefault="00F46260" w:rsidP="00D1524E">
            <w:pPr>
              <w:autoSpaceDE w:val="0"/>
              <w:autoSpaceDN w:val="0"/>
              <w:adjustRightInd w:val="0"/>
              <w:spacing w:after="0" w:line="240" w:lineRule="auto"/>
              <w:contextualSpacing/>
              <w:rPr>
                <w:rFonts w:ascii="Arial" w:hAnsi="Arial" w:cs="Arial"/>
                <w:color w:val="000000"/>
              </w:rPr>
            </w:pPr>
            <w:r w:rsidRPr="00F46260">
              <w:rPr>
                <w:rFonts w:ascii="Arial" w:hAnsi="Arial" w:cs="Arial"/>
              </w:rPr>
              <w:t xml:space="preserve">This section sets out those assets and liabilities that arose from the Commission’s delivery of services. </w:t>
            </w:r>
          </w:p>
        </w:tc>
        <w:tc>
          <w:tcPr>
            <w:tcW w:w="2562" w:type="pct"/>
            <w:tcBorders>
              <w:left w:val="single" w:sz="2" w:space="0" w:color="auto"/>
            </w:tcBorders>
          </w:tcPr>
          <w:p w14:paraId="203CD494" w14:textId="77777777" w:rsidR="00F46260" w:rsidRPr="00F46260" w:rsidRDefault="00F46260" w:rsidP="00F46260">
            <w:pPr>
              <w:spacing w:after="0" w:line="240" w:lineRule="auto"/>
              <w:rPr>
                <w:rFonts w:ascii="Arial" w:hAnsi="Arial" w:cs="Arial"/>
                <w:b/>
              </w:rPr>
            </w:pPr>
            <w:r w:rsidRPr="00F46260">
              <w:rPr>
                <w:rFonts w:ascii="Arial" w:hAnsi="Arial" w:cs="Arial"/>
                <w:b/>
              </w:rPr>
              <w:t>Structure</w:t>
            </w:r>
          </w:p>
          <w:p w14:paraId="58B3E517" w14:textId="77777777" w:rsidR="00F46260" w:rsidRPr="00F46260" w:rsidRDefault="00F46260" w:rsidP="00D1524E">
            <w:pPr>
              <w:spacing w:after="0" w:line="240" w:lineRule="auto"/>
              <w:contextualSpacing/>
              <w:rPr>
                <w:rFonts w:ascii="Arial" w:hAnsi="Arial" w:cs="Arial"/>
              </w:rPr>
            </w:pPr>
          </w:p>
          <w:p w14:paraId="08688D75" w14:textId="77777777" w:rsidR="00F46260" w:rsidRPr="00F46260" w:rsidRDefault="00F46260" w:rsidP="00F8706A">
            <w:pPr>
              <w:numPr>
                <w:ilvl w:val="1"/>
                <w:numId w:val="29"/>
              </w:numPr>
              <w:spacing w:after="0" w:line="240" w:lineRule="auto"/>
              <w:ind w:left="714" w:hanging="357"/>
              <w:contextualSpacing/>
              <w:rPr>
                <w:rFonts w:ascii="Arial" w:hAnsi="Arial" w:cs="Arial"/>
              </w:rPr>
            </w:pPr>
            <w:r w:rsidRPr="00F46260">
              <w:rPr>
                <w:rFonts w:ascii="Arial" w:hAnsi="Arial" w:cs="Arial"/>
              </w:rPr>
              <w:t xml:space="preserve">Receivables </w:t>
            </w:r>
          </w:p>
          <w:p w14:paraId="2E077CC6" w14:textId="77777777" w:rsidR="00F46260" w:rsidRPr="00F46260" w:rsidRDefault="00F46260" w:rsidP="00F8706A">
            <w:pPr>
              <w:numPr>
                <w:ilvl w:val="1"/>
                <w:numId w:val="29"/>
              </w:numPr>
              <w:spacing w:after="0" w:line="240" w:lineRule="auto"/>
              <w:ind w:left="714" w:hanging="357"/>
              <w:contextualSpacing/>
              <w:rPr>
                <w:rFonts w:ascii="Arial" w:hAnsi="Arial" w:cs="Arial"/>
              </w:rPr>
            </w:pPr>
            <w:r w:rsidRPr="00F46260">
              <w:rPr>
                <w:rFonts w:ascii="Arial" w:hAnsi="Arial" w:cs="Arial"/>
              </w:rPr>
              <w:t>Payables</w:t>
            </w:r>
          </w:p>
          <w:p w14:paraId="704A8567" w14:textId="77777777" w:rsidR="00F46260" w:rsidRPr="00F46260" w:rsidRDefault="00F46260" w:rsidP="00F8706A">
            <w:pPr>
              <w:numPr>
                <w:ilvl w:val="1"/>
                <w:numId w:val="29"/>
              </w:numPr>
              <w:spacing w:after="0" w:line="240" w:lineRule="auto"/>
              <w:ind w:left="714" w:hanging="357"/>
              <w:contextualSpacing/>
              <w:rPr>
                <w:rFonts w:ascii="Arial" w:hAnsi="Arial" w:cs="Arial"/>
              </w:rPr>
            </w:pPr>
            <w:r w:rsidRPr="00F46260">
              <w:rPr>
                <w:rFonts w:ascii="Arial" w:hAnsi="Arial" w:cs="Arial"/>
              </w:rPr>
              <w:t>Unearned income</w:t>
            </w:r>
          </w:p>
          <w:p w14:paraId="75ECB993" w14:textId="77777777" w:rsidR="00F46260" w:rsidRPr="00F46260" w:rsidRDefault="00F46260" w:rsidP="00F8706A">
            <w:pPr>
              <w:numPr>
                <w:ilvl w:val="1"/>
                <w:numId w:val="29"/>
              </w:numPr>
              <w:spacing w:after="0" w:line="240" w:lineRule="auto"/>
              <w:ind w:left="714" w:hanging="357"/>
              <w:contextualSpacing/>
              <w:rPr>
                <w:rFonts w:ascii="Arial" w:hAnsi="Arial" w:cs="Arial"/>
              </w:rPr>
            </w:pPr>
            <w:r w:rsidRPr="00F46260">
              <w:rPr>
                <w:rFonts w:ascii="Arial" w:hAnsi="Arial" w:cs="Arial"/>
              </w:rPr>
              <w:t>Other non-financial assets</w:t>
            </w:r>
          </w:p>
          <w:p w14:paraId="159831AB" w14:textId="77777777" w:rsidR="00F46260" w:rsidRPr="00F46260" w:rsidRDefault="00F46260" w:rsidP="00F8706A">
            <w:pPr>
              <w:numPr>
                <w:ilvl w:val="1"/>
                <w:numId w:val="29"/>
              </w:numPr>
              <w:spacing w:after="0" w:line="240" w:lineRule="auto"/>
              <w:ind w:left="714" w:hanging="357"/>
              <w:contextualSpacing/>
              <w:rPr>
                <w:rFonts w:ascii="Arial" w:hAnsi="Arial" w:cs="Arial"/>
              </w:rPr>
            </w:pPr>
            <w:r w:rsidRPr="00F46260">
              <w:rPr>
                <w:rFonts w:ascii="Arial" w:hAnsi="Arial" w:cs="Arial"/>
              </w:rPr>
              <w:t>Other provisions</w:t>
            </w:r>
          </w:p>
        </w:tc>
      </w:tr>
    </w:tbl>
    <w:p w14:paraId="099A0D69" w14:textId="77777777" w:rsidR="00F46260" w:rsidRPr="00F46260" w:rsidRDefault="00F46260" w:rsidP="00F46260">
      <w:pPr>
        <w:spacing w:after="0" w:line="240" w:lineRule="auto"/>
        <w:rPr>
          <w:rFonts w:ascii="Arial" w:eastAsia="Times New Roman" w:hAnsi="Arial" w:cs="Arial"/>
          <w:sz w:val="20"/>
          <w:szCs w:val="20"/>
          <w:lang w:eastAsia="en-AU"/>
        </w:rPr>
      </w:pPr>
    </w:p>
    <w:p w14:paraId="76012EE9"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5.1 Receivables</w:t>
      </w:r>
    </w:p>
    <w:tbl>
      <w:tblPr>
        <w:tblW w:w="5000" w:type="pct"/>
        <w:tblInd w:w="-108" w:type="dxa"/>
        <w:tblLook w:val="0000" w:firstRow="0" w:lastRow="0" w:firstColumn="0" w:lastColumn="0" w:noHBand="0" w:noVBand="0"/>
      </w:tblPr>
      <w:tblGrid>
        <w:gridCol w:w="6564"/>
        <w:gridCol w:w="1257"/>
        <w:gridCol w:w="279"/>
        <w:gridCol w:w="1255"/>
      </w:tblGrid>
      <w:tr w:rsidR="00F46260" w:rsidRPr="00F46260" w14:paraId="3981A87E" w14:textId="77777777" w:rsidTr="00D1524E">
        <w:trPr>
          <w:trHeight w:val="255"/>
        </w:trPr>
        <w:tc>
          <w:tcPr>
            <w:tcW w:w="3508" w:type="pct"/>
            <w:tcBorders>
              <w:top w:val="nil"/>
              <w:right w:val="nil"/>
            </w:tcBorders>
            <w:shd w:val="clear" w:color="auto" w:fill="auto"/>
            <w:vAlign w:val="bottom"/>
          </w:tcPr>
          <w:p w14:paraId="2671A292"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tcBorders>
              <w:top w:val="nil"/>
              <w:left w:val="nil"/>
              <w:right w:val="nil"/>
            </w:tcBorders>
            <w:shd w:val="clear" w:color="auto" w:fill="auto"/>
            <w:vAlign w:val="bottom"/>
          </w:tcPr>
          <w:p w14:paraId="707693AD"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49" w:type="pct"/>
            <w:tcBorders>
              <w:top w:val="nil"/>
              <w:left w:val="nil"/>
              <w:right w:val="nil"/>
            </w:tcBorders>
            <w:shd w:val="clear" w:color="auto" w:fill="auto"/>
            <w:vAlign w:val="bottom"/>
          </w:tcPr>
          <w:p w14:paraId="100C4F7C"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71" w:type="pct"/>
            <w:tcBorders>
              <w:top w:val="nil"/>
              <w:left w:val="nil"/>
            </w:tcBorders>
            <w:shd w:val="clear" w:color="auto" w:fill="auto"/>
            <w:vAlign w:val="bottom"/>
          </w:tcPr>
          <w:p w14:paraId="4351F06F"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086D37C4" w14:textId="77777777" w:rsidTr="00D1524E">
        <w:trPr>
          <w:trHeight w:val="255"/>
        </w:trPr>
        <w:tc>
          <w:tcPr>
            <w:tcW w:w="3508" w:type="pct"/>
            <w:tcBorders>
              <w:top w:val="nil"/>
              <w:bottom w:val="nil"/>
              <w:right w:val="nil"/>
            </w:tcBorders>
            <w:shd w:val="pct50" w:color="auto" w:fill="auto"/>
            <w:vAlign w:val="bottom"/>
          </w:tcPr>
          <w:p w14:paraId="3E29BF44"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tcBorders>
              <w:top w:val="nil"/>
              <w:left w:val="nil"/>
              <w:right w:val="nil"/>
            </w:tcBorders>
            <w:shd w:val="pct50" w:color="auto" w:fill="auto"/>
            <w:vAlign w:val="bottom"/>
          </w:tcPr>
          <w:p w14:paraId="629B7735"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01390E7D"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c>
          <w:tcPr>
            <w:tcW w:w="149" w:type="pct"/>
            <w:tcBorders>
              <w:top w:val="nil"/>
              <w:left w:val="nil"/>
              <w:right w:val="nil"/>
            </w:tcBorders>
            <w:shd w:val="pct50" w:color="auto" w:fill="auto"/>
            <w:vAlign w:val="bottom"/>
          </w:tcPr>
          <w:p w14:paraId="04ED89E9"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1" w:type="pct"/>
            <w:tcBorders>
              <w:top w:val="nil"/>
              <w:left w:val="nil"/>
            </w:tcBorders>
            <w:shd w:val="pct50" w:color="auto" w:fill="auto"/>
            <w:vAlign w:val="bottom"/>
          </w:tcPr>
          <w:p w14:paraId="27D0617A"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00383C48"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5E0E3B52" w14:textId="77777777" w:rsidTr="00D1524E">
        <w:tblPrEx>
          <w:tblBorders>
            <w:bottom w:val="double" w:sz="4" w:space="0" w:color="auto"/>
          </w:tblBorders>
          <w:tblLook w:val="01E0" w:firstRow="1" w:lastRow="1" w:firstColumn="1" w:lastColumn="1" w:noHBand="0" w:noVBand="0"/>
        </w:tblPrEx>
        <w:tc>
          <w:tcPr>
            <w:tcW w:w="3508" w:type="pct"/>
            <w:shd w:val="clear" w:color="auto" w:fill="auto"/>
            <w:vAlign w:val="bottom"/>
          </w:tcPr>
          <w:p w14:paraId="61010C5E"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Contractual</w:t>
            </w:r>
          </w:p>
        </w:tc>
        <w:tc>
          <w:tcPr>
            <w:tcW w:w="672" w:type="pct"/>
            <w:tcBorders>
              <w:bottom w:val="nil"/>
            </w:tcBorders>
            <w:shd w:val="pct15" w:color="auto" w:fill="auto"/>
            <w:vAlign w:val="bottom"/>
          </w:tcPr>
          <w:p w14:paraId="00445E87"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49" w:type="pct"/>
            <w:tcBorders>
              <w:bottom w:val="nil"/>
            </w:tcBorders>
            <w:shd w:val="clear" w:color="auto" w:fill="auto"/>
            <w:vAlign w:val="bottom"/>
          </w:tcPr>
          <w:p w14:paraId="59EB0E99"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71" w:type="pct"/>
            <w:tcBorders>
              <w:bottom w:val="nil"/>
            </w:tcBorders>
            <w:shd w:val="clear" w:color="auto" w:fill="auto"/>
            <w:vAlign w:val="bottom"/>
          </w:tcPr>
          <w:p w14:paraId="299BEE35"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r>
      <w:tr w:rsidR="00F46260" w:rsidRPr="00F46260" w14:paraId="77E9B86D" w14:textId="77777777" w:rsidTr="00D1524E">
        <w:tblPrEx>
          <w:tblBorders>
            <w:bottom w:val="double" w:sz="4" w:space="0" w:color="auto"/>
          </w:tblBorders>
          <w:tblLook w:val="01E0" w:firstRow="1" w:lastRow="1" w:firstColumn="1" w:lastColumn="1" w:noHBand="0" w:noVBand="0"/>
        </w:tblPrEx>
        <w:tc>
          <w:tcPr>
            <w:tcW w:w="3508" w:type="pct"/>
            <w:shd w:val="clear" w:color="auto" w:fill="auto"/>
            <w:vAlign w:val="bottom"/>
          </w:tcPr>
          <w:p w14:paraId="6306B159" w14:textId="77777777" w:rsidR="00F46260" w:rsidRPr="00F46260" w:rsidDel="001C1C92" w:rsidRDefault="00F46260" w:rsidP="00F46260">
            <w:pPr>
              <w:spacing w:after="0" w:line="240" w:lineRule="auto"/>
              <w:rPr>
                <w:rFonts w:ascii="Arial" w:eastAsia="Times New Roman" w:hAnsi="Arial" w:cs="Arial"/>
                <w:bCs/>
                <w:sz w:val="20"/>
                <w:szCs w:val="20"/>
                <w:lang w:eastAsia="en-AU"/>
              </w:rPr>
            </w:pPr>
            <w:r w:rsidRPr="00F46260">
              <w:rPr>
                <w:rFonts w:ascii="Arial" w:eastAsia="Times New Roman" w:hAnsi="Arial" w:cs="Arial"/>
                <w:bCs/>
                <w:sz w:val="20"/>
                <w:szCs w:val="20"/>
                <w:lang w:eastAsia="en-AU"/>
              </w:rPr>
              <w:t>Receivables</w:t>
            </w:r>
          </w:p>
        </w:tc>
        <w:tc>
          <w:tcPr>
            <w:tcW w:w="672" w:type="pct"/>
            <w:tcBorders>
              <w:bottom w:val="nil"/>
            </w:tcBorders>
            <w:shd w:val="pct15" w:color="auto" w:fill="auto"/>
            <w:vAlign w:val="bottom"/>
          </w:tcPr>
          <w:p w14:paraId="12CE8724"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995,116</w:t>
            </w:r>
          </w:p>
        </w:tc>
        <w:tc>
          <w:tcPr>
            <w:tcW w:w="149" w:type="pct"/>
            <w:tcBorders>
              <w:bottom w:val="nil"/>
            </w:tcBorders>
            <w:shd w:val="clear" w:color="auto" w:fill="auto"/>
            <w:vAlign w:val="bottom"/>
          </w:tcPr>
          <w:p w14:paraId="18232175"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bottom w:val="nil"/>
            </w:tcBorders>
            <w:shd w:val="clear" w:color="auto" w:fill="auto"/>
            <w:vAlign w:val="bottom"/>
          </w:tcPr>
          <w:p w14:paraId="16C753E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1,457,590</w:t>
            </w:r>
          </w:p>
        </w:tc>
      </w:tr>
      <w:tr w:rsidR="00F46260" w:rsidRPr="00F46260" w14:paraId="7C140034" w14:textId="77777777" w:rsidTr="00D1524E">
        <w:tblPrEx>
          <w:tblBorders>
            <w:bottom w:val="double" w:sz="4" w:space="0" w:color="auto"/>
          </w:tblBorders>
          <w:tblLook w:val="01E0" w:firstRow="1" w:lastRow="1" w:firstColumn="1" w:lastColumn="1" w:noHBand="0" w:noVBand="0"/>
        </w:tblPrEx>
        <w:tc>
          <w:tcPr>
            <w:tcW w:w="3508" w:type="pct"/>
            <w:shd w:val="clear" w:color="auto" w:fill="auto"/>
            <w:vAlign w:val="bottom"/>
          </w:tcPr>
          <w:p w14:paraId="5C5517B2"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Statutory</w:t>
            </w:r>
          </w:p>
        </w:tc>
        <w:tc>
          <w:tcPr>
            <w:tcW w:w="672" w:type="pct"/>
            <w:tcBorders>
              <w:top w:val="nil"/>
              <w:bottom w:val="nil"/>
            </w:tcBorders>
            <w:shd w:val="pct15" w:color="auto" w:fill="auto"/>
            <w:vAlign w:val="bottom"/>
          </w:tcPr>
          <w:p w14:paraId="477AE94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149" w:type="pct"/>
            <w:tcBorders>
              <w:top w:val="nil"/>
              <w:bottom w:val="nil"/>
            </w:tcBorders>
            <w:shd w:val="clear" w:color="auto" w:fill="auto"/>
            <w:vAlign w:val="bottom"/>
          </w:tcPr>
          <w:p w14:paraId="5154D61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bottom w:val="nil"/>
            </w:tcBorders>
            <w:shd w:val="clear" w:color="auto" w:fill="auto"/>
            <w:vAlign w:val="bottom"/>
          </w:tcPr>
          <w:p w14:paraId="3EA5DCCA"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7E7A19CD" w14:textId="77777777" w:rsidTr="00D1524E">
        <w:tblPrEx>
          <w:tblBorders>
            <w:bottom w:val="double" w:sz="4" w:space="0" w:color="auto"/>
          </w:tblBorders>
          <w:tblLook w:val="01E0" w:firstRow="1" w:lastRow="1" w:firstColumn="1" w:lastColumn="1" w:noHBand="0" w:noVBand="0"/>
        </w:tblPrEx>
        <w:tc>
          <w:tcPr>
            <w:tcW w:w="3508" w:type="pct"/>
            <w:shd w:val="clear" w:color="auto" w:fill="auto"/>
            <w:vAlign w:val="bottom"/>
          </w:tcPr>
          <w:p w14:paraId="2658CE6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Amounts receivable from government departments</w:t>
            </w:r>
            <w:r w:rsidRPr="00F46260">
              <w:rPr>
                <w:rFonts w:ascii="Arial" w:eastAsia="Times New Roman" w:hAnsi="Arial" w:cs="Arial"/>
                <w:sz w:val="20"/>
                <w:szCs w:val="20"/>
                <w:vertAlign w:val="superscript"/>
                <w:lang w:eastAsia="en-AU"/>
              </w:rPr>
              <w:t>(i)</w:t>
            </w:r>
          </w:p>
        </w:tc>
        <w:tc>
          <w:tcPr>
            <w:tcW w:w="672" w:type="pct"/>
            <w:tcBorders>
              <w:bottom w:val="nil"/>
            </w:tcBorders>
            <w:shd w:val="pct15" w:color="auto" w:fill="auto"/>
            <w:vAlign w:val="bottom"/>
          </w:tcPr>
          <w:p w14:paraId="37F2A3C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7,755,685</w:t>
            </w:r>
          </w:p>
        </w:tc>
        <w:tc>
          <w:tcPr>
            <w:tcW w:w="149" w:type="pct"/>
            <w:tcBorders>
              <w:bottom w:val="nil"/>
            </w:tcBorders>
            <w:shd w:val="clear" w:color="auto" w:fill="auto"/>
            <w:vAlign w:val="bottom"/>
          </w:tcPr>
          <w:p w14:paraId="7281CDC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bottom w:val="nil"/>
            </w:tcBorders>
            <w:shd w:val="clear" w:color="auto" w:fill="auto"/>
            <w:vAlign w:val="bottom"/>
          </w:tcPr>
          <w:p w14:paraId="78C025E1"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10,130,461</w:t>
            </w:r>
          </w:p>
        </w:tc>
      </w:tr>
      <w:tr w:rsidR="00F46260" w:rsidRPr="00F46260" w14:paraId="188F3497" w14:textId="77777777" w:rsidTr="00D1524E">
        <w:tblPrEx>
          <w:tblBorders>
            <w:bottom w:val="double" w:sz="4" w:space="0" w:color="auto"/>
          </w:tblBorders>
          <w:tblLook w:val="01E0" w:firstRow="1" w:lastRow="1" w:firstColumn="1" w:lastColumn="1" w:noHBand="0" w:noVBand="0"/>
        </w:tblPrEx>
        <w:tc>
          <w:tcPr>
            <w:tcW w:w="3508" w:type="pct"/>
            <w:tcBorders>
              <w:bottom w:val="single" w:sz="2" w:space="0" w:color="auto"/>
            </w:tcBorders>
            <w:shd w:val="clear" w:color="auto" w:fill="auto"/>
            <w:vAlign w:val="bottom"/>
          </w:tcPr>
          <w:p w14:paraId="2D3CD16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GST recoverable</w:t>
            </w:r>
          </w:p>
        </w:tc>
        <w:tc>
          <w:tcPr>
            <w:tcW w:w="672" w:type="pct"/>
            <w:tcBorders>
              <w:bottom w:val="single" w:sz="2" w:space="0" w:color="auto"/>
            </w:tcBorders>
            <w:shd w:val="pct15" w:color="auto" w:fill="auto"/>
            <w:vAlign w:val="bottom"/>
          </w:tcPr>
          <w:p w14:paraId="113AF122"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20,497</w:t>
            </w:r>
          </w:p>
        </w:tc>
        <w:tc>
          <w:tcPr>
            <w:tcW w:w="149" w:type="pct"/>
            <w:tcBorders>
              <w:bottom w:val="single" w:sz="2" w:space="0" w:color="auto"/>
            </w:tcBorders>
            <w:shd w:val="clear" w:color="auto" w:fill="auto"/>
            <w:vAlign w:val="bottom"/>
          </w:tcPr>
          <w:p w14:paraId="1D41511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bottom w:val="single" w:sz="2" w:space="0" w:color="auto"/>
            </w:tcBorders>
            <w:shd w:val="clear" w:color="auto" w:fill="auto"/>
            <w:vAlign w:val="bottom"/>
          </w:tcPr>
          <w:p w14:paraId="6DD17C01"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62,482</w:t>
            </w:r>
          </w:p>
        </w:tc>
      </w:tr>
      <w:tr w:rsidR="00F46260" w:rsidRPr="00F46260" w14:paraId="22A8FE75" w14:textId="77777777" w:rsidTr="00D1524E">
        <w:tblPrEx>
          <w:tblBorders>
            <w:bottom w:val="double" w:sz="4" w:space="0" w:color="auto"/>
          </w:tblBorders>
          <w:tblLook w:val="01E0" w:firstRow="1" w:lastRow="1" w:firstColumn="1" w:lastColumn="1" w:noHBand="0" w:noVBand="0"/>
        </w:tblPrEx>
        <w:tc>
          <w:tcPr>
            <w:tcW w:w="3508" w:type="pct"/>
            <w:tcBorders>
              <w:top w:val="single" w:sz="2" w:space="0" w:color="auto"/>
              <w:bottom w:val="single" w:sz="12" w:space="0" w:color="auto"/>
            </w:tcBorders>
            <w:shd w:val="clear" w:color="auto" w:fill="auto"/>
            <w:vAlign w:val="bottom"/>
          </w:tcPr>
          <w:p w14:paraId="48E15301"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receivables</w:t>
            </w:r>
          </w:p>
        </w:tc>
        <w:tc>
          <w:tcPr>
            <w:tcW w:w="672" w:type="pct"/>
            <w:tcBorders>
              <w:top w:val="single" w:sz="2" w:space="0" w:color="auto"/>
              <w:bottom w:val="single" w:sz="12" w:space="0" w:color="auto"/>
            </w:tcBorders>
            <w:shd w:val="pct15" w:color="auto" w:fill="auto"/>
            <w:vAlign w:val="bottom"/>
          </w:tcPr>
          <w:p w14:paraId="073A3884"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8,771,298</w:t>
            </w:r>
          </w:p>
        </w:tc>
        <w:tc>
          <w:tcPr>
            <w:tcW w:w="149" w:type="pct"/>
            <w:tcBorders>
              <w:top w:val="single" w:sz="2" w:space="0" w:color="auto"/>
              <w:bottom w:val="single" w:sz="12" w:space="0" w:color="auto"/>
            </w:tcBorders>
            <w:shd w:val="clear" w:color="auto" w:fill="auto"/>
            <w:vAlign w:val="bottom"/>
          </w:tcPr>
          <w:p w14:paraId="5F96C9B0"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71" w:type="pct"/>
            <w:tcBorders>
              <w:top w:val="single" w:sz="2" w:space="0" w:color="auto"/>
              <w:bottom w:val="single" w:sz="12" w:space="0" w:color="auto"/>
            </w:tcBorders>
            <w:shd w:val="clear" w:color="auto" w:fill="auto"/>
            <w:vAlign w:val="bottom"/>
          </w:tcPr>
          <w:p w14:paraId="36C44572"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11,650,533</w:t>
            </w:r>
          </w:p>
        </w:tc>
      </w:tr>
      <w:tr w:rsidR="00F46260" w:rsidRPr="00F46260" w14:paraId="7398A77F" w14:textId="77777777" w:rsidTr="00D1524E">
        <w:tblPrEx>
          <w:tblBorders>
            <w:bottom w:val="double" w:sz="4" w:space="0" w:color="auto"/>
          </w:tblBorders>
          <w:tblLook w:val="01E0" w:firstRow="1" w:lastRow="1" w:firstColumn="1" w:lastColumn="1" w:noHBand="0" w:noVBand="0"/>
        </w:tblPrEx>
        <w:tc>
          <w:tcPr>
            <w:tcW w:w="3508" w:type="pct"/>
            <w:tcBorders>
              <w:bottom w:val="nil"/>
            </w:tcBorders>
            <w:shd w:val="clear" w:color="auto" w:fill="auto"/>
            <w:vAlign w:val="bottom"/>
          </w:tcPr>
          <w:p w14:paraId="48369264" w14:textId="77777777" w:rsidR="00F46260" w:rsidRPr="00F46260" w:rsidRDefault="00F46260" w:rsidP="00F46260">
            <w:pPr>
              <w:spacing w:after="0" w:line="240" w:lineRule="auto"/>
              <w:rPr>
                <w:rFonts w:ascii="Arial" w:eastAsia="Times New Roman" w:hAnsi="Arial" w:cs="Arial"/>
                <w:i/>
                <w:sz w:val="20"/>
                <w:szCs w:val="20"/>
                <w:lang w:eastAsia="en-AU"/>
              </w:rPr>
            </w:pPr>
            <w:r w:rsidRPr="00F46260">
              <w:rPr>
                <w:rFonts w:ascii="Arial" w:eastAsia="Times New Roman" w:hAnsi="Arial" w:cs="Arial"/>
                <w:i/>
                <w:sz w:val="20"/>
                <w:szCs w:val="20"/>
                <w:lang w:eastAsia="en-AU"/>
              </w:rPr>
              <w:t>Represented by:</w:t>
            </w:r>
          </w:p>
        </w:tc>
        <w:tc>
          <w:tcPr>
            <w:tcW w:w="672" w:type="pct"/>
            <w:tcBorders>
              <w:top w:val="single" w:sz="12" w:space="0" w:color="auto"/>
              <w:bottom w:val="nil"/>
            </w:tcBorders>
            <w:shd w:val="pct15" w:color="auto" w:fill="auto"/>
            <w:vAlign w:val="bottom"/>
          </w:tcPr>
          <w:p w14:paraId="709ACF88"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49" w:type="pct"/>
            <w:tcBorders>
              <w:top w:val="nil"/>
              <w:bottom w:val="nil"/>
            </w:tcBorders>
            <w:shd w:val="clear" w:color="auto" w:fill="auto"/>
            <w:vAlign w:val="bottom"/>
          </w:tcPr>
          <w:p w14:paraId="7E18800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bottom w:val="nil"/>
            </w:tcBorders>
            <w:shd w:val="clear" w:color="auto" w:fill="auto"/>
            <w:vAlign w:val="bottom"/>
          </w:tcPr>
          <w:p w14:paraId="0CF379E9"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3EF8A3AA" w14:textId="77777777" w:rsidTr="00D1524E">
        <w:tblPrEx>
          <w:tblBorders>
            <w:bottom w:val="double" w:sz="4" w:space="0" w:color="auto"/>
          </w:tblBorders>
          <w:tblLook w:val="01E0" w:firstRow="1" w:lastRow="1" w:firstColumn="1" w:lastColumn="1" w:noHBand="0" w:noVBand="0"/>
        </w:tblPrEx>
        <w:tc>
          <w:tcPr>
            <w:tcW w:w="3508" w:type="pct"/>
            <w:tcBorders>
              <w:bottom w:val="nil"/>
            </w:tcBorders>
            <w:shd w:val="clear" w:color="auto" w:fill="auto"/>
            <w:vAlign w:val="bottom"/>
          </w:tcPr>
          <w:p w14:paraId="425EBAC2"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Current receivables</w:t>
            </w:r>
          </w:p>
        </w:tc>
        <w:tc>
          <w:tcPr>
            <w:tcW w:w="672" w:type="pct"/>
            <w:tcBorders>
              <w:top w:val="nil"/>
              <w:bottom w:val="nil"/>
            </w:tcBorders>
            <w:shd w:val="pct15" w:color="auto" w:fill="auto"/>
            <w:vAlign w:val="bottom"/>
          </w:tcPr>
          <w:p w14:paraId="472F75A0"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8,612,204</w:t>
            </w:r>
          </w:p>
        </w:tc>
        <w:tc>
          <w:tcPr>
            <w:tcW w:w="149" w:type="pct"/>
            <w:tcBorders>
              <w:top w:val="nil"/>
              <w:bottom w:val="nil"/>
            </w:tcBorders>
            <w:shd w:val="clear" w:color="auto" w:fill="auto"/>
            <w:vAlign w:val="bottom"/>
          </w:tcPr>
          <w:p w14:paraId="02C04A1A"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bottom w:val="nil"/>
            </w:tcBorders>
            <w:shd w:val="clear" w:color="auto" w:fill="auto"/>
            <w:vAlign w:val="bottom"/>
          </w:tcPr>
          <w:p w14:paraId="25E78C28"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11,517,705</w:t>
            </w:r>
          </w:p>
        </w:tc>
      </w:tr>
      <w:tr w:rsidR="00F46260" w:rsidRPr="00F46260" w14:paraId="6770B319" w14:textId="77777777" w:rsidTr="00D1524E">
        <w:tblPrEx>
          <w:tblBorders>
            <w:bottom w:val="double" w:sz="4" w:space="0" w:color="auto"/>
          </w:tblBorders>
          <w:tblLook w:val="01E0" w:firstRow="1" w:lastRow="1" w:firstColumn="1" w:lastColumn="1" w:noHBand="0" w:noVBand="0"/>
        </w:tblPrEx>
        <w:tc>
          <w:tcPr>
            <w:tcW w:w="3508" w:type="pct"/>
            <w:tcBorders>
              <w:bottom w:val="single" w:sz="12" w:space="0" w:color="auto"/>
            </w:tcBorders>
            <w:shd w:val="clear" w:color="auto" w:fill="auto"/>
            <w:vAlign w:val="bottom"/>
          </w:tcPr>
          <w:p w14:paraId="63AB8606"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Non-current receivables</w:t>
            </w:r>
          </w:p>
        </w:tc>
        <w:tc>
          <w:tcPr>
            <w:tcW w:w="672" w:type="pct"/>
            <w:tcBorders>
              <w:top w:val="nil"/>
              <w:bottom w:val="single" w:sz="12" w:space="0" w:color="auto"/>
            </w:tcBorders>
            <w:shd w:val="pct15" w:color="auto" w:fill="auto"/>
            <w:vAlign w:val="bottom"/>
          </w:tcPr>
          <w:p w14:paraId="46418925"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159,094</w:t>
            </w:r>
          </w:p>
        </w:tc>
        <w:tc>
          <w:tcPr>
            <w:tcW w:w="149" w:type="pct"/>
            <w:tcBorders>
              <w:top w:val="nil"/>
              <w:bottom w:val="single" w:sz="12" w:space="0" w:color="auto"/>
            </w:tcBorders>
            <w:shd w:val="clear" w:color="auto" w:fill="auto"/>
            <w:vAlign w:val="bottom"/>
          </w:tcPr>
          <w:p w14:paraId="5B3718A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bottom w:val="single" w:sz="12" w:space="0" w:color="auto"/>
            </w:tcBorders>
            <w:shd w:val="clear" w:color="auto" w:fill="auto"/>
            <w:vAlign w:val="bottom"/>
          </w:tcPr>
          <w:p w14:paraId="6BBA5C38"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132,828</w:t>
            </w:r>
          </w:p>
        </w:tc>
      </w:tr>
      <w:tr w:rsidR="00F46260" w:rsidRPr="00F46260" w14:paraId="2D60CF1F" w14:textId="77777777" w:rsidTr="00D1524E">
        <w:tblPrEx>
          <w:tblBorders>
            <w:bottom w:val="double" w:sz="4" w:space="0" w:color="auto"/>
          </w:tblBorders>
          <w:tblLook w:val="01E0" w:firstRow="1" w:lastRow="1" w:firstColumn="1" w:lastColumn="1" w:noHBand="0" w:noVBand="0"/>
        </w:tblPrEx>
        <w:tc>
          <w:tcPr>
            <w:tcW w:w="3508" w:type="pct"/>
            <w:tcBorders>
              <w:top w:val="single" w:sz="12" w:space="0" w:color="auto"/>
              <w:bottom w:val="nil"/>
            </w:tcBorders>
            <w:shd w:val="clear" w:color="auto" w:fill="auto"/>
            <w:vAlign w:val="bottom"/>
          </w:tcPr>
          <w:p w14:paraId="6993AF81" w14:textId="77777777" w:rsidR="00F46260" w:rsidRPr="00F46260" w:rsidRDefault="00F46260" w:rsidP="00F46260">
            <w:pPr>
              <w:keepLines/>
              <w:spacing w:before="120" w:after="0" w:line="240" w:lineRule="auto"/>
              <w:ind w:left="284" w:hanging="284"/>
              <w:rPr>
                <w:rFonts w:ascii="Arial" w:eastAsia="Calibri" w:hAnsi="Arial" w:cs="Arial"/>
                <w:i/>
                <w:spacing w:val="-2"/>
                <w:sz w:val="14"/>
                <w:szCs w:val="18"/>
                <w:lang w:eastAsia="en-AU"/>
              </w:rPr>
            </w:pPr>
            <w:r w:rsidRPr="00F46260">
              <w:rPr>
                <w:rFonts w:ascii="Arial" w:eastAsia="Calibri" w:hAnsi="Arial" w:cs="Arial"/>
                <w:i/>
                <w:spacing w:val="-2"/>
                <w:sz w:val="14"/>
                <w:szCs w:val="18"/>
                <w:lang w:eastAsia="en-AU"/>
              </w:rPr>
              <w:t>Note:</w:t>
            </w:r>
          </w:p>
        </w:tc>
        <w:tc>
          <w:tcPr>
            <w:tcW w:w="672" w:type="pct"/>
            <w:tcBorders>
              <w:top w:val="single" w:sz="12" w:space="0" w:color="auto"/>
              <w:bottom w:val="nil"/>
            </w:tcBorders>
            <w:shd w:val="clear" w:color="auto" w:fill="auto"/>
            <w:vAlign w:val="bottom"/>
          </w:tcPr>
          <w:p w14:paraId="61C0D781" w14:textId="77777777" w:rsidR="00F46260" w:rsidRPr="00F46260" w:rsidRDefault="00F46260" w:rsidP="00F46260">
            <w:pPr>
              <w:keepLines/>
              <w:spacing w:before="120" w:after="0" w:line="240" w:lineRule="auto"/>
              <w:ind w:left="284" w:hanging="284"/>
              <w:rPr>
                <w:rFonts w:ascii="Arial" w:eastAsia="Calibri" w:hAnsi="Arial" w:cs="Arial"/>
                <w:i/>
                <w:spacing w:val="-2"/>
                <w:sz w:val="14"/>
                <w:szCs w:val="18"/>
                <w:lang w:eastAsia="en-AU"/>
              </w:rPr>
            </w:pPr>
          </w:p>
        </w:tc>
        <w:tc>
          <w:tcPr>
            <w:tcW w:w="149" w:type="pct"/>
            <w:tcBorders>
              <w:top w:val="single" w:sz="12" w:space="0" w:color="auto"/>
              <w:bottom w:val="nil"/>
            </w:tcBorders>
            <w:shd w:val="clear" w:color="auto" w:fill="auto"/>
            <w:vAlign w:val="bottom"/>
          </w:tcPr>
          <w:p w14:paraId="3E18626E" w14:textId="77777777" w:rsidR="00F46260" w:rsidRPr="00F46260" w:rsidRDefault="00F46260" w:rsidP="00F46260">
            <w:pPr>
              <w:keepLines/>
              <w:spacing w:before="120" w:after="0" w:line="240" w:lineRule="auto"/>
              <w:ind w:left="284" w:hanging="284"/>
              <w:rPr>
                <w:rFonts w:ascii="Arial" w:eastAsia="Calibri" w:hAnsi="Arial" w:cs="Arial"/>
                <w:i/>
                <w:spacing w:val="-2"/>
                <w:sz w:val="14"/>
                <w:szCs w:val="18"/>
                <w:lang w:eastAsia="en-AU"/>
              </w:rPr>
            </w:pPr>
          </w:p>
        </w:tc>
        <w:tc>
          <w:tcPr>
            <w:tcW w:w="671" w:type="pct"/>
            <w:tcBorders>
              <w:top w:val="single" w:sz="12" w:space="0" w:color="auto"/>
              <w:bottom w:val="nil"/>
            </w:tcBorders>
            <w:shd w:val="clear" w:color="auto" w:fill="auto"/>
            <w:vAlign w:val="bottom"/>
          </w:tcPr>
          <w:p w14:paraId="4884E562" w14:textId="77777777" w:rsidR="00F46260" w:rsidRPr="00F46260" w:rsidRDefault="00F46260" w:rsidP="00F46260">
            <w:pPr>
              <w:keepLines/>
              <w:spacing w:before="120" w:after="0" w:line="240" w:lineRule="auto"/>
              <w:ind w:left="284" w:hanging="284"/>
              <w:rPr>
                <w:rFonts w:ascii="Arial" w:eastAsia="Calibri" w:hAnsi="Arial" w:cs="Arial"/>
                <w:i/>
                <w:spacing w:val="-2"/>
                <w:sz w:val="14"/>
                <w:szCs w:val="18"/>
                <w:lang w:eastAsia="en-AU"/>
              </w:rPr>
            </w:pPr>
          </w:p>
        </w:tc>
      </w:tr>
    </w:tbl>
    <w:p w14:paraId="75F6AF07" w14:textId="77777777" w:rsidR="00F46260" w:rsidRPr="00F46260" w:rsidRDefault="00F46260" w:rsidP="00F46260">
      <w:pPr>
        <w:keepLines/>
        <w:spacing w:before="120" w:after="0" w:line="240" w:lineRule="auto"/>
        <w:ind w:left="142" w:hanging="142"/>
        <w:rPr>
          <w:rFonts w:ascii="Arial" w:eastAsia="Calibri" w:hAnsi="Arial" w:cs="Arial"/>
          <w:i/>
          <w:spacing w:val="-2"/>
          <w:sz w:val="14"/>
          <w:szCs w:val="18"/>
          <w:lang w:eastAsia="en-AU"/>
        </w:rPr>
      </w:pPr>
      <w:r w:rsidRPr="00F46260">
        <w:rPr>
          <w:rFonts w:ascii="Arial" w:eastAsia="Calibri" w:hAnsi="Arial" w:cs="Arial"/>
          <w:i/>
          <w:spacing w:val="-2"/>
          <w:sz w:val="14"/>
          <w:szCs w:val="18"/>
          <w:lang w:eastAsia="en-AU"/>
        </w:rPr>
        <w:t>(i) Amounts receivable from government departments represent funds held in the Public Account within the Department of Treasury and Finance. These funds belong to, and are available for operations of, the Commission.</w:t>
      </w:r>
    </w:p>
    <w:p w14:paraId="13A5866C" w14:textId="77777777" w:rsidR="00F46260" w:rsidRPr="00F46260" w:rsidRDefault="00F46260" w:rsidP="00F46260">
      <w:pPr>
        <w:spacing w:after="0" w:line="240" w:lineRule="auto"/>
        <w:rPr>
          <w:rFonts w:ascii="Arial" w:eastAsia="Times New Roman" w:hAnsi="Arial" w:cs="Arial"/>
          <w:b/>
          <w:sz w:val="20"/>
          <w:szCs w:val="20"/>
          <w:lang w:eastAsia="en-AU"/>
        </w:rPr>
      </w:pPr>
    </w:p>
    <w:p w14:paraId="50229FD8"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Contractual receivables</w:t>
      </w:r>
      <w:r w:rsidRPr="00F46260">
        <w:rPr>
          <w:rFonts w:ascii="Arial" w:eastAsia="Times New Roman" w:hAnsi="Arial" w:cs="Arial"/>
          <w:sz w:val="20"/>
          <w:szCs w:val="20"/>
          <w:lang w:eastAsia="en-AU"/>
        </w:rPr>
        <w:t xml:space="preserve"> are classified as financial instruments and measured at amortised cost. They are initially recognised at fair value plus any directly attributable transaction costs. Subsequent to initial recognition they are measured at amortised cost using the effective interest method, less any impairment. </w:t>
      </w:r>
    </w:p>
    <w:p w14:paraId="5B5B0DAA" w14:textId="77777777" w:rsidR="00F46260" w:rsidRPr="00F46260" w:rsidRDefault="00F46260" w:rsidP="00F46260">
      <w:pPr>
        <w:spacing w:after="0" w:line="240" w:lineRule="auto"/>
        <w:rPr>
          <w:rFonts w:ascii="Arial" w:eastAsia="Times New Roman" w:hAnsi="Arial" w:cs="Arial"/>
          <w:sz w:val="20"/>
          <w:szCs w:val="20"/>
          <w:lang w:eastAsia="en-AU"/>
        </w:rPr>
      </w:pPr>
    </w:p>
    <w:p w14:paraId="4F2817B0"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There are no financial assets that have had their terms renegotiated so as to prevent them from being past due or impaired, and they are stated at the carrying amounts as indicated.</w:t>
      </w:r>
    </w:p>
    <w:p w14:paraId="5021881D" w14:textId="77777777" w:rsidR="00F46260" w:rsidRPr="00F46260" w:rsidRDefault="00F46260" w:rsidP="00F46260">
      <w:pPr>
        <w:spacing w:after="0" w:line="240" w:lineRule="auto"/>
        <w:rPr>
          <w:rFonts w:ascii="Arial" w:eastAsia="Times New Roman" w:hAnsi="Arial" w:cs="Arial"/>
          <w:sz w:val="20"/>
          <w:szCs w:val="20"/>
          <w:lang w:eastAsia="en-AU"/>
        </w:rPr>
      </w:pPr>
    </w:p>
    <w:p w14:paraId="316F9DD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Statutory receivables</w:t>
      </w:r>
      <w:r w:rsidRPr="00F46260">
        <w:rPr>
          <w:rFonts w:ascii="Arial" w:eastAsia="Times New Roman" w:hAnsi="Arial" w:cs="Arial"/>
          <w:sz w:val="20"/>
          <w:szCs w:val="20"/>
          <w:lang w:eastAsia="en-AU"/>
        </w:rPr>
        <w:t xml:space="preserve"> do not arise from contracts and are recognised and measured similarly to contractual receivables (except for impairment) but are not classified as financial instruments.</w:t>
      </w:r>
    </w:p>
    <w:p w14:paraId="2206609A" w14:textId="77777777" w:rsidR="00F46260" w:rsidRPr="00F46260" w:rsidRDefault="00F46260" w:rsidP="00F46260">
      <w:pPr>
        <w:spacing w:after="0" w:line="240" w:lineRule="auto"/>
        <w:rPr>
          <w:rFonts w:ascii="Arial" w:eastAsia="Times New Roman" w:hAnsi="Arial" w:cs="Arial"/>
          <w:sz w:val="20"/>
          <w:szCs w:val="20"/>
          <w:lang w:eastAsia="en-AU"/>
        </w:rPr>
      </w:pPr>
    </w:p>
    <w:p w14:paraId="69B4A938" w14:textId="77777777" w:rsidR="00F46260" w:rsidRPr="00F46260" w:rsidRDefault="00F46260" w:rsidP="00F46260">
      <w:pPr>
        <w:spacing w:after="0" w:line="240" w:lineRule="auto"/>
        <w:rPr>
          <w:rFonts w:ascii="Arial" w:eastAsia="Times New Roman" w:hAnsi="Arial" w:cs="Arial"/>
          <w:sz w:val="20"/>
          <w:szCs w:val="20"/>
          <w:lang w:eastAsia="en-AU"/>
        </w:rPr>
      </w:pPr>
    </w:p>
    <w:p w14:paraId="52CCA8CD"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5.2 Payables</w:t>
      </w:r>
    </w:p>
    <w:tbl>
      <w:tblPr>
        <w:tblW w:w="5000" w:type="pct"/>
        <w:tblInd w:w="-108" w:type="dxa"/>
        <w:tblLook w:val="01E0" w:firstRow="1" w:lastRow="1" w:firstColumn="1" w:lastColumn="1" w:noHBand="0" w:noVBand="0"/>
      </w:tblPr>
      <w:tblGrid>
        <w:gridCol w:w="6564"/>
        <w:gridCol w:w="1257"/>
        <w:gridCol w:w="279"/>
        <w:gridCol w:w="1255"/>
      </w:tblGrid>
      <w:tr w:rsidR="00F46260" w:rsidRPr="00F46260" w14:paraId="5B8D25A6" w14:textId="77777777" w:rsidTr="00D1524E">
        <w:tc>
          <w:tcPr>
            <w:tcW w:w="3508" w:type="pct"/>
            <w:shd w:val="clear" w:color="auto" w:fill="auto"/>
          </w:tcPr>
          <w:p w14:paraId="1074AA0D"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shd w:val="clear" w:color="auto" w:fill="auto"/>
            <w:vAlign w:val="bottom"/>
          </w:tcPr>
          <w:p w14:paraId="66AC6593" w14:textId="77777777" w:rsidR="00F46260" w:rsidRPr="00F46260" w:rsidDel="00784DAA" w:rsidRDefault="00F46260" w:rsidP="00F46260">
            <w:pPr>
              <w:spacing w:after="0" w:line="240" w:lineRule="auto"/>
              <w:jc w:val="center"/>
              <w:rPr>
                <w:rFonts w:ascii="Arial" w:eastAsia="Times New Roman" w:hAnsi="Arial" w:cs="Arial"/>
                <w:b/>
                <w:bCs/>
                <w:sz w:val="20"/>
                <w:szCs w:val="20"/>
                <w:lang w:eastAsia="en-AU"/>
              </w:rPr>
            </w:pPr>
          </w:p>
        </w:tc>
        <w:tc>
          <w:tcPr>
            <w:tcW w:w="149" w:type="pct"/>
            <w:shd w:val="clear" w:color="auto" w:fill="auto"/>
            <w:vAlign w:val="bottom"/>
          </w:tcPr>
          <w:p w14:paraId="7EC1A2B9"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71" w:type="pct"/>
            <w:shd w:val="clear" w:color="auto" w:fill="auto"/>
            <w:vAlign w:val="bottom"/>
          </w:tcPr>
          <w:p w14:paraId="658C89BE" w14:textId="77777777" w:rsidR="00F46260" w:rsidRPr="00F46260" w:rsidDel="00784DAA"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2DA49F63" w14:textId="77777777" w:rsidTr="00D1524E">
        <w:tc>
          <w:tcPr>
            <w:tcW w:w="3508" w:type="pct"/>
            <w:shd w:val="pct50" w:color="auto" w:fill="auto"/>
          </w:tcPr>
          <w:p w14:paraId="50EA3329"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shd w:val="pct50" w:color="auto" w:fill="auto"/>
            <w:vAlign w:val="bottom"/>
          </w:tcPr>
          <w:p w14:paraId="43B98E47"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4094003A"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49" w:type="pct"/>
            <w:shd w:val="pct50" w:color="auto" w:fill="auto"/>
            <w:vAlign w:val="bottom"/>
          </w:tcPr>
          <w:p w14:paraId="08D98106"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71" w:type="pct"/>
            <w:shd w:val="pct50" w:color="auto" w:fill="auto"/>
            <w:vAlign w:val="bottom"/>
          </w:tcPr>
          <w:p w14:paraId="1B376F64"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38B90940"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7E2A3BA5" w14:textId="77777777" w:rsidTr="00D1524E">
        <w:tblPrEx>
          <w:tblLook w:val="0000" w:firstRow="0" w:lastRow="0" w:firstColumn="0" w:lastColumn="0" w:noHBand="0" w:noVBand="0"/>
        </w:tblPrEx>
        <w:trPr>
          <w:trHeight w:val="255"/>
        </w:trPr>
        <w:tc>
          <w:tcPr>
            <w:tcW w:w="3508" w:type="pct"/>
            <w:tcBorders>
              <w:top w:val="nil"/>
              <w:left w:val="nil"/>
              <w:bottom w:val="nil"/>
              <w:right w:val="nil"/>
            </w:tcBorders>
            <w:shd w:val="clear" w:color="auto" w:fill="auto"/>
            <w:vAlign w:val="bottom"/>
          </w:tcPr>
          <w:p w14:paraId="1F836937" w14:textId="77777777" w:rsidR="00F46260" w:rsidRPr="00F46260" w:rsidRDefault="00F46260" w:rsidP="00F46260">
            <w:pPr>
              <w:spacing w:after="0" w:line="240" w:lineRule="auto"/>
              <w:rPr>
                <w:rFonts w:ascii="Arial" w:eastAsia="Times New Roman" w:hAnsi="Arial" w:cs="Arial"/>
                <w:b/>
                <w:bCs/>
                <w:color w:val="000000"/>
                <w:sz w:val="20"/>
                <w:szCs w:val="20"/>
                <w:lang w:eastAsia="en-AU"/>
              </w:rPr>
            </w:pPr>
            <w:r w:rsidRPr="00F46260">
              <w:rPr>
                <w:rFonts w:ascii="Arial" w:eastAsia="Times New Roman" w:hAnsi="Arial" w:cs="Arial"/>
                <w:b/>
                <w:bCs/>
                <w:color w:val="000000"/>
                <w:sz w:val="20"/>
                <w:szCs w:val="20"/>
                <w:lang w:eastAsia="en-AU"/>
              </w:rPr>
              <w:t>Contractual</w:t>
            </w:r>
          </w:p>
        </w:tc>
        <w:tc>
          <w:tcPr>
            <w:tcW w:w="672" w:type="pct"/>
            <w:tcBorders>
              <w:top w:val="nil"/>
              <w:left w:val="nil"/>
              <w:right w:val="nil"/>
            </w:tcBorders>
            <w:shd w:val="pct15" w:color="auto" w:fill="auto"/>
            <w:vAlign w:val="bottom"/>
          </w:tcPr>
          <w:p w14:paraId="0F682B11" w14:textId="77777777" w:rsidR="00F46260" w:rsidRPr="00F46260" w:rsidRDefault="00F46260" w:rsidP="00F46260">
            <w:pPr>
              <w:spacing w:after="0" w:line="240" w:lineRule="auto"/>
              <w:jc w:val="right"/>
              <w:rPr>
                <w:rFonts w:ascii="Arial" w:eastAsia="Times New Roman" w:hAnsi="Arial" w:cs="Arial"/>
                <w:bCs/>
                <w:color w:val="000000"/>
                <w:sz w:val="20"/>
                <w:szCs w:val="20"/>
                <w:lang w:eastAsia="en-AU"/>
              </w:rPr>
            </w:pPr>
          </w:p>
        </w:tc>
        <w:tc>
          <w:tcPr>
            <w:tcW w:w="149" w:type="pct"/>
            <w:tcBorders>
              <w:top w:val="nil"/>
              <w:left w:val="nil"/>
              <w:bottom w:val="nil"/>
              <w:right w:val="nil"/>
            </w:tcBorders>
            <w:shd w:val="clear" w:color="auto" w:fill="auto"/>
            <w:vAlign w:val="bottom"/>
          </w:tcPr>
          <w:p w14:paraId="2A48D49D" w14:textId="77777777" w:rsidR="00F46260" w:rsidRPr="00F46260" w:rsidRDefault="00F46260" w:rsidP="00F46260">
            <w:pPr>
              <w:spacing w:after="0" w:line="240" w:lineRule="auto"/>
              <w:ind w:left="17" w:right="96"/>
              <w:jc w:val="right"/>
              <w:rPr>
                <w:rFonts w:ascii="Arial" w:eastAsia="Times New Roman" w:hAnsi="Arial" w:cs="Arial"/>
                <w:color w:val="000000"/>
                <w:sz w:val="20"/>
                <w:szCs w:val="20"/>
                <w:lang w:eastAsia="en-AU"/>
              </w:rPr>
            </w:pPr>
          </w:p>
        </w:tc>
        <w:tc>
          <w:tcPr>
            <w:tcW w:w="671" w:type="pct"/>
            <w:tcBorders>
              <w:top w:val="nil"/>
              <w:left w:val="nil"/>
              <w:right w:val="nil"/>
            </w:tcBorders>
            <w:shd w:val="clear" w:color="auto" w:fill="auto"/>
            <w:vAlign w:val="bottom"/>
          </w:tcPr>
          <w:p w14:paraId="47114FAB" w14:textId="77777777" w:rsidR="00F46260" w:rsidRPr="00F46260" w:rsidRDefault="00F46260" w:rsidP="00F46260">
            <w:pPr>
              <w:spacing w:after="0" w:line="240" w:lineRule="auto"/>
              <w:jc w:val="right"/>
              <w:rPr>
                <w:rFonts w:ascii="Arial" w:eastAsia="Times New Roman" w:hAnsi="Arial" w:cs="Arial"/>
                <w:bCs/>
                <w:color w:val="000000"/>
                <w:sz w:val="20"/>
                <w:szCs w:val="20"/>
                <w:lang w:eastAsia="en-AU"/>
              </w:rPr>
            </w:pPr>
          </w:p>
        </w:tc>
      </w:tr>
      <w:tr w:rsidR="00F46260" w:rsidRPr="00F46260" w14:paraId="1D8416D1" w14:textId="77777777" w:rsidTr="00D1524E">
        <w:tblPrEx>
          <w:tblLook w:val="0000" w:firstRow="0" w:lastRow="0" w:firstColumn="0" w:lastColumn="0" w:noHBand="0" w:noVBand="0"/>
        </w:tblPrEx>
        <w:trPr>
          <w:trHeight w:val="255"/>
        </w:trPr>
        <w:tc>
          <w:tcPr>
            <w:tcW w:w="3508" w:type="pct"/>
            <w:tcBorders>
              <w:top w:val="nil"/>
              <w:left w:val="nil"/>
              <w:bottom w:val="single" w:sz="2" w:space="0" w:color="auto"/>
              <w:right w:val="nil"/>
            </w:tcBorders>
            <w:shd w:val="clear" w:color="auto" w:fill="auto"/>
            <w:vAlign w:val="bottom"/>
          </w:tcPr>
          <w:p w14:paraId="353F11B1" w14:textId="77777777" w:rsidR="00F46260" w:rsidRPr="00F46260" w:rsidRDefault="00F46260" w:rsidP="00F46260">
            <w:pPr>
              <w:spacing w:after="0" w:line="240" w:lineRule="auto"/>
              <w:rPr>
                <w:rFonts w:ascii="Arial" w:eastAsia="Times New Roman" w:hAnsi="Arial" w:cs="Arial"/>
                <w:bCs/>
                <w:color w:val="000000"/>
                <w:sz w:val="20"/>
                <w:szCs w:val="20"/>
                <w:lang w:eastAsia="en-AU"/>
              </w:rPr>
            </w:pPr>
            <w:r w:rsidRPr="00F46260">
              <w:rPr>
                <w:rFonts w:ascii="Arial" w:eastAsia="Times New Roman" w:hAnsi="Arial" w:cs="Arial"/>
                <w:color w:val="000000"/>
                <w:sz w:val="20"/>
                <w:szCs w:val="20"/>
                <w:lang w:eastAsia="en-AU"/>
              </w:rPr>
              <w:t>Creditors and accruals</w:t>
            </w:r>
          </w:p>
        </w:tc>
        <w:tc>
          <w:tcPr>
            <w:tcW w:w="672" w:type="pct"/>
            <w:tcBorders>
              <w:left w:val="nil"/>
              <w:bottom w:val="single" w:sz="2" w:space="0" w:color="auto"/>
              <w:right w:val="nil"/>
            </w:tcBorders>
            <w:shd w:val="pct15" w:color="auto" w:fill="auto"/>
            <w:vAlign w:val="bottom"/>
          </w:tcPr>
          <w:p w14:paraId="4F968ABE" w14:textId="77777777" w:rsidR="00F46260" w:rsidRPr="00F46260" w:rsidRDefault="00F46260" w:rsidP="00F46260">
            <w:pPr>
              <w:spacing w:after="0" w:line="240" w:lineRule="auto"/>
              <w:jc w:val="right"/>
              <w:rPr>
                <w:rFonts w:ascii="Arial" w:eastAsia="Times New Roman" w:hAnsi="Arial" w:cs="Arial"/>
                <w:bCs/>
                <w:color w:val="000000"/>
                <w:sz w:val="20"/>
                <w:szCs w:val="20"/>
                <w:lang w:eastAsia="en-AU"/>
              </w:rPr>
            </w:pPr>
            <w:r w:rsidRPr="00F46260">
              <w:rPr>
                <w:rFonts w:ascii="Arial" w:eastAsia="Times New Roman" w:hAnsi="Arial" w:cs="Arial"/>
                <w:bCs/>
                <w:color w:val="000000"/>
                <w:sz w:val="20"/>
                <w:szCs w:val="20"/>
                <w:lang w:eastAsia="en-AU"/>
              </w:rPr>
              <w:t>1,131,801</w:t>
            </w:r>
          </w:p>
        </w:tc>
        <w:tc>
          <w:tcPr>
            <w:tcW w:w="149" w:type="pct"/>
            <w:tcBorders>
              <w:top w:val="nil"/>
              <w:left w:val="nil"/>
              <w:bottom w:val="single" w:sz="2" w:space="0" w:color="auto"/>
              <w:right w:val="nil"/>
            </w:tcBorders>
            <w:shd w:val="clear" w:color="auto" w:fill="auto"/>
            <w:vAlign w:val="bottom"/>
          </w:tcPr>
          <w:p w14:paraId="5D5573E3" w14:textId="77777777" w:rsidR="00F46260" w:rsidRPr="00F46260" w:rsidRDefault="00F46260" w:rsidP="00F46260">
            <w:pPr>
              <w:spacing w:after="0" w:line="240" w:lineRule="auto"/>
              <w:ind w:left="17" w:right="96"/>
              <w:jc w:val="right"/>
              <w:rPr>
                <w:rFonts w:ascii="Arial" w:eastAsia="Times New Roman" w:hAnsi="Arial" w:cs="Arial"/>
                <w:color w:val="000000"/>
                <w:sz w:val="20"/>
                <w:szCs w:val="20"/>
                <w:lang w:eastAsia="en-AU"/>
              </w:rPr>
            </w:pPr>
          </w:p>
        </w:tc>
        <w:tc>
          <w:tcPr>
            <w:tcW w:w="671" w:type="pct"/>
            <w:tcBorders>
              <w:left w:val="nil"/>
              <w:bottom w:val="single" w:sz="2" w:space="0" w:color="auto"/>
              <w:right w:val="nil"/>
            </w:tcBorders>
            <w:shd w:val="clear" w:color="auto" w:fill="auto"/>
            <w:vAlign w:val="bottom"/>
          </w:tcPr>
          <w:p w14:paraId="324BB5A4" w14:textId="77777777" w:rsidR="00F46260" w:rsidRPr="00F46260" w:rsidRDefault="00F46260" w:rsidP="00F46260">
            <w:pPr>
              <w:spacing w:after="0" w:line="240" w:lineRule="auto"/>
              <w:jc w:val="right"/>
              <w:rPr>
                <w:rFonts w:ascii="Arial" w:eastAsia="Times New Roman" w:hAnsi="Arial" w:cs="Arial"/>
                <w:bCs/>
                <w:color w:val="000000"/>
                <w:sz w:val="20"/>
                <w:szCs w:val="20"/>
                <w:lang w:eastAsia="en-AU"/>
              </w:rPr>
            </w:pPr>
            <w:r w:rsidRPr="00F46260">
              <w:rPr>
                <w:rFonts w:ascii="Arial" w:eastAsia="Times New Roman" w:hAnsi="Arial" w:cs="Arial"/>
                <w:bCs/>
                <w:color w:val="000000"/>
                <w:sz w:val="20"/>
                <w:szCs w:val="20"/>
                <w:lang w:eastAsia="en-AU"/>
              </w:rPr>
              <w:t>2,118,447</w:t>
            </w:r>
          </w:p>
        </w:tc>
      </w:tr>
      <w:tr w:rsidR="00F46260" w:rsidRPr="00F46260" w14:paraId="41440251" w14:textId="77777777" w:rsidTr="00D1524E">
        <w:tblPrEx>
          <w:tblBorders>
            <w:bottom w:val="double" w:sz="4" w:space="0" w:color="auto"/>
          </w:tblBorders>
        </w:tblPrEx>
        <w:tc>
          <w:tcPr>
            <w:tcW w:w="3508" w:type="pct"/>
            <w:tcBorders>
              <w:top w:val="single" w:sz="2" w:space="0" w:color="auto"/>
              <w:bottom w:val="single" w:sz="12" w:space="0" w:color="auto"/>
            </w:tcBorders>
            <w:shd w:val="clear" w:color="auto" w:fill="auto"/>
            <w:vAlign w:val="bottom"/>
          </w:tcPr>
          <w:p w14:paraId="6F6C1947"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payables</w:t>
            </w:r>
          </w:p>
        </w:tc>
        <w:tc>
          <w:tcPr>
            <w:tcW w:w="672" w:type="pct"/>
            <w:tcBorders>
              <w:top w:val="single" w:sz="2" w:space="0" w:color="auto"/>
              <w:bottom w:val="single" w:sz="12" w:space="0" w:color="auto"/>
            </w:tcBorders>
            <w:shd w:val="pct15" w:color="auto" w:fill="auto"/>
            <w:vAlign w:val="bottom"/>
          </w:tcPr>
          <w:p w14:paraId="2112B254"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color w:val="000000"/>
                <w:sz w:val="20"/>
                <w:szCs w:val="20"/>
                <w:lang w:eastAsia="en-AU"/>
              </w:rPr>
              <w:t>1,131,801</w:t>
            </w:r>
          </w:p>
        </w:tc>
        <w:tc>
          <w:tcPr>
            <w:tcW w:w="149" w:type="pct"/>
            <w:tcBorders>
              <w:top w:val="single" w:sz="2" w:space="0" w:color="auto"/>
              <w:bottom w:val="single" w:sz="12" w:space="0" w:color="auto"/>
            </w:tcBorders>
            <w:shd w:val="clear" w:color="auto" w:fill="auto"/>
            <w:vAlign w:val="bottom"/>
          </w:tcPr>
          <w:p w14:paraId="65500BF7"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71" w:type="pct"/>
            <w:tcBorders>
              <w:top w:val="single" w:sz="2" w:space="0" w:color="auto"/>
              <w:bottom w:val="single" w:sz="12" w:space="0" w:color="auto"/>
            </w:tcBorders>
            <w:shd w:val="clear" w:color="auto" w:fill="auto"/>
            <w:vAlign w:val="bottom"/>
          </w:tcPr>
          <w:p w14:paraId="4AE7FF9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color w:val="000000"/>
                <w:sz w:val="20"/>
                <w:szCs w:val="20"/>
                <w:lang w:eastAsia="en-AU"/>
              </w:rPr>
              <w:t>2,118,447</w:t>
            </w:r>
          </w:p>
        </w:tc>
      </w:tr>
      <w:tr w:rsidR="00F46260" w:rsidRPr="00F46260" w14:paraId="5662BAA2" w14:textId="77777777" w:rsidTr="00D1524E">
        <w:tblPrEx>
          <w:tblBorders>
            <w:bottom w:val="double" w:sz="4" w:space="0" w:color="auto"/>
          </w:tblBorders>
        </w:tblPrEx>
        <w:tc>
          <w:tcPr>
            <w:tcW w:w="3508" w:type="pct"/>
            <w:tcBorders>
              <w:bottom w:val="nil"/>
            </w:tcBorders>
            <w:shd w:val="clear" w:color="auto" w:fill="auto"/>
            <w:vAlign w:val="bottom"/>
          </w:tcPr>
          <w:p w14:paraId="6919B072" w14:textId="77777777" w:rsidR="00F46260" w:rsidRPr="00F46260" w:rsidRDefault="00F46260" w:rsidP="00F46260">
            <w:pPr>
              <w:spacing w:after="0" w:line="240" w:lineRule="auto"/>
              <w:rPr>
                <w:rFonts w:ascii="Arial" w:eastAsia="Times New Roman" w:hAnsi="Arial" w:cs="Arial"/>
                <w:i/>
                <w:sz w:val="20"/>
                <w:szCs w:val="20"/>
                <w:lang w:eastAsia="en-AU"/>
              </w:rPr>
            </w:pPr>
            <w:r w:rsidRPr="00F46260">
              <w:rPr>
                <w:rFonts w:ascii="Arial" w:eastAsia="Times New Roman" w:hAnsi="Arial" w:cs="Arial"/>
                <w:i/>
                <w:sz w:val="20"/>
                <w:szCs w:val="20"/>
                <w:lang w:eastAsia="en-AU"/>
              </w:rPr>
              <w:t>Represented by:</w:t>
            </w:r>
          </w:p>
        </w:tc>
        <w:tc>
          <w:tcPr>
            <w:tcW w:w="672" w:type="pct"/>
            <w:tcBorders>
              <w:top w:val="single" w:sz="12" w:space="0" w:color="auto"/>
              <w:bottom w:val="nil"/>
            </w:tcBorders>
            <w:shd w:val="pct15" w:color="auto" w:fill="auto"/>
            <w:vAlign w:val="bottom"/>
          </w:tcPr>
          <w:p w14:paraId="1992E92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149" w:type="pct"/>
            <w:tcBorders>
              <w:top w:val="nil"/>
              <w:bottom w:val="nil"/>
            </w:tcBorders>
            <w:shd w:val="clear" w:color="auto" w:fill="auto"/>
            <w:vAlign w:val="bottom"/>
          </w:tcPr>
          <w:p w14:paraId="34070137"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bottom w:val="nil"/>
            </w:tcBorders>
            <w:shd w:val="clear" w:color="auto" w:fill="auto"/>
            <w:vAlign w:val="bottom"/>
          </w:tcPr>
          <w:p w14:paraId="0BC66D7B"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7C4A617C" w14:textId="77777777" w:rsidTr="00D1524E">
        <w:tblPrEx>
          <w:tblBorders>
            <w:bottom w:val="double" w:sz="4" w:space="0" w:color="auto"/>
          </w:tblBorders>
        </w:tblPrEx>
        <w:tc>
          <w:tcPr>
            <w:tcW w:w="3508" w:type="pct"/>
            <w:tcBorders>
              <w:bottom w:val="single" w:sz="12" w:space="0" w:color="auto"/>
            </w:tcBorders>
            <w:shd w:val="clear" w:color="auto" w:fill="auto"/>
            <w:vAlign w:val="bottom"/>
          </w:tcPr>
          <w:p w14:paraId="249EC679"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Current payables</w:t>
            </w:r>
          </w:p>
        </w:tc>
        <w:tc>
          <w:tcPr>
            <w:tcW w:w="672" w:type="pct"/>
            <w:tcBorders>
              <w:top w:val="nil"/>
              <w:bottom w:val="single" w:sz="12" w:space="0" w:color="auto"/>
            </w:tcBorders>
            <w:shd w:val="pct15" w:color="auto" w:fill="auto"/>
            <w:vAlign w:val="bottom"/>
          </w:tcPr>
          <w:p w14:paraId="7A30DFD4"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color w:val="000000"/>
                <w:sz w:val="20"/>
                <w:szCs w:val="20"/>
                <w:lang w:eastAsia="en-AU"/>
              </w:rPr>
              <w:t>1,131,801</w:t>
            </w:r>
          </w:p>
        </w:tc>
        <w:tc>
          <w:tcPr>
            <w:tcW w:w="149" w:type="pct"/>
            <w:tcBorders>
              <w:top w:val="nil"/>
              <w:bottom w:val="single" w:sz="12" w:space="0" w:color="auto"/>
            </w:tcBorders>
            <w:shd w:val="clear" w:color="auto" w:fill="auto"/>
            <w:vAlign w:val="bottom"/>
          </w:tcPr>
          <w:p w14:paraId="4007B9FB"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nil"/>
              <w:bottom w:val="single" w:sz="12" w:space="0" w:color="auto"/>
            </w:tcBorders>
            <w:shd w:val="clear" w:color="auto" w:fill="auto"/>
            <w:vAlign w:val="bottom"/>
          </w:tcPr>
          <w:p w14:paraId="0376B6AB"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color w:val="000000"/>
                <w:sz w:val="20"/>
                <w:szCs w:val="20"/>
                <w:lang w:eastAsia="en-AU"/>
              </w:rPr>
              <w:t>2,118,447</w:t>
            </w:r>
          </w:p>
        </w:tc>
      </w:tr>
      <w:tr w:rsidR="00F46260" w:rsidRPr="00F46260" w14:paraId="5E1BB1F8" w14:textId="77777777" w:rsidTr="00D1524E">
        <w:tblPrEx>
          <w:tblBorders>
            <w:bottom w:val="double" w:sz="4" w:space="0" w:color="auto"/>
          </w:tblBorders>
        </w:tblPrEx>
        <w:tc>
          <w:tcPr>
            <w:tcW w:w="3508" w:type="pct"/>
            <w:tcBorders>
              <w:top w:val="single" w:sz="12" w:space="0" w:color="auto"/>
              <w:bottom w:val="nil"/>
            </w:tcBorders>
            <w:shd w:val="clear" w:color="auto" w:fill="auto"/>
            <w:vAlign w:val="bottom"/>
          </w:tcPr>
          <w:p w14:paraId="4C8AC80F"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72" w:type="pct"/>
            <w:tcBorders>
              <w:top w:val="single" w:sz="12" w:space="0" w:color="auto"/>
              <w:bottom w:val="nil"/>
            </w:tcBorders>
            <w:shd w:val="clear" w:color="auto" w:fill="auto"/>
            <w:vAlign w:val="bottom"/>
          </w:tcPr>
          <w:p w14:paraId="0329C497"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149" w:type="pct"/>
            <w:tcBorders>
              <w:top w:val="single" w:sz="12" w:space="0" w:color="auto"/>
              <w:bottom w:val="nil"/>
            </w:tcBorders>
            <w:shd w:val="clear" w:color="auto" w:fill="auto"/>
            <w:vAlign w:val="bottom"/>
          </w:tcPr>
          <w:p w14:paraId="74677FD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71" w:type="pct"/>
            <w:tcBorders>
              <w:top w:val="single" w:sz="12" w:space="0" w:color="auto"/>
              <w:bottom w:val="nil"/>
            </w:tcBorders>
            <w:shd w:val="clear" w:color="auto" w:fill="auto"/>
            <w:vAlign w:val="bottom"/>
          </w:tcPr>
          <w:p w14:paraId="41A1252B"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bl>
    <w:p w14:paraId="67875EA4"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Payables represent liabilities for goods and services provided to the Commission that are unpaid at the end of the financial year. Payables are initially measured at fair value, being the cost of the goods and services, and then subsequently measured at amortised cost.</w:t>
      </w:r>
    </w:p>
    <w:p w14:paraId="4F46BAD4"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677A3D84"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5796DD60"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51B77F58"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079D3A26"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35CC7BDA"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00B82EF2"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34ED97BD"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19E2EC61"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lastRenderedPageBreak/>
        <w:t>5.3 Unearned income</w:t>
      </w:r>
    </w:p>
    <w:tbl>
      <w:tblPr>
        <w:tblW w:w="5000" w:type="pct"/>
        <w:tblInd w:w="-108" w:type="dxa"/>
        <w:tblLook w:val="01E0" w:firstRow="1" w:lastRow="1" w:firstColumn="1" w:lastColumn="1" w:noHBand="0" w:noVBand="0"/>
      </w:tblPr>
      <w:tblGrid>
        <w:gridCol w:w="6659"/>
        <w:gridCol w:w="1231"/>
        <w:gridCol w:w="234"/>
        <w:gridCol w:w="1231"/>
      </w:tblGrid>
      <w:tr w:rsidR="00F46260" w:rsidRPr="00F46260" w14:paraId="3FE3DD73" w14:textId="77777777" w:rsidTr="00D1524E">
        <w:tc>
          <w:tcPr>
            <w:tcW w:w="3559" w:type="pct"/>
            <w:shd w:val="clear" w:color="auto" w:fill="auto"/>
          </w:tcPr>
          <w:p w14:paraId="3193057E"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shd w:val="clear" w:color="auto" w:fill="auto"/>
            <w:vAlign w:val="bottom"/>
          </w:tcPr>
          <w:p w14:paraId="7046701A" w14:textId="77777777" w:rsidR="00F46260" w:rsidRPr="00F46260" w:rsidDel="00784DAA" w:rsidRDefault="00F46260" w:rsidP="00F46260">
            <w:pPr>
              <w:spacing w:after="0" w:line="240" w:lineRule="auto"/>
              <w:jc w:val="center"/>
              <w:rPr>
                <w:rFonts w:ascii="Arial" w:eastAsia="Times New Roman" w:hAnsi="Arial" w:cs="Arial"/>
                <w:b/>
                <w:bCs/>
                <w:sz w:val="20"/>
                <w:szCs w:val="20"/>
                <w:lang w:eastAsia="en-AU"/>
              </w:rPr>
            </w:pPr>
          </w:p>
        </w:tc>
        <w:tc>
          <w:tcPr>
            <w:tcW w:w="125" w:type="pct"/>
            <w:shd w:val="clear" w:color="auto" w:fill="auto"/>
            <w:vAlign w:val="bottom"/>
          </w:tcPr>
          <w:p w14:paraId="594775EA"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58" w:type="pct"/>
            <w:shd w:val="clear" w:color="auto" w:fill="auto"/>
            <w:vAlign w:val="bottom"/>
          </w:tcPr>
          <w:p w14:paraId="258379C9" w14:textId="77777777" w:rsidR="00F46260" w:rsidRPr="00F46260" w:rsidDel="00784DAA"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61A0A671" w14:textId="77777777" w:rsidTr="00D1524E">
        <w:tc>
          <w:tcPr>
            <w:tcW w:w="3559" w:type="pct"/>
            <w:shd w:val="pct50" w:color="auto" w:fill="auto"/>
          </w:tcPr>
          <w:p w14:paraId="23B35EEB"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shd w:val="pct50" w:color="auto" w:fill="auto"/>
            <w:vAlign w:val="bottom"/>
          </w:tcPr>
          <w:p w14:paraId="334D248E"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3180247E"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25" w:type="pct"/>
            <w:shd w:val="pct50" w:color="auto" w:fill="auto"/>
            <w:vAlign w:val="bottom"/>
          </w:tcPr>
          <w:p w14:paraId="1C04C580"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58" w:type="pct"/>
            <w:shd w:val="pct50" w:color="auto" w:fill="auto"/>
            <w:vAlign w:val="bottom"/>
          </w:tcPr>
          <w:p w14:paraId="7E197D2A"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32E3A0E8"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72EB6F07" w14:textId="77777777" w:rsidTr="00D1524E">
        <w:tblPrEx>
          <w:tblLook w:val="0000" w:firstRow="0" w:lastRow="0" w:firstColumn="0" w:lastColumn="0" w:noHBand="0" w:noVBand="0"/>
        </w:tblPrEx>
        <w:trPr>
          <w:trHeight w:val="255"/>
        </w:trPr>
        <w:tc>
          <w:tcPr>
            <w:tcW w:w="3559" w:type="pct"/>
            <w:tcBorders>
              <w:top w:val="nil"/>
              <w:left w:val="nil"/>
              <w:bottom w:val="single" w:sz="4" w:space="0" w:color="auto"/>
              <w:right w:val="nil"/>
            </w:tcBorders>
            <w:shd w:val="clear" w:color="auto" w:fill="auto"/>
            <w:vAlign w:val="bottom"/>
          </w:tcPr>
          <w:p w14:paraId="6B1E25CC" w14:textId="77777777" w:rsidR="00F46260" w:rsidRPr="00F46260" w:rsidRDefault="00F46260" w:rsidP="00F46260">
            <w:pPr>
              <w:spacing w:after="0" w:line="240" w:lineRule="auto"/>
              <w:rPr>
                <w:rFonts w:ascii="Arial" w:eastAsia="Times New Roman" w:hAnsi="Arial" w:cs="Arial"/>
                <w:bCs/>
                <w:color w:val="000000"/>
                <w:sz w:val="20"/>
                <w:szCs w:val="20"/>
                <w:lang w:eastAsia="en-AU"/>
              </w:rPr>
            </w:pPr>
            <w:r w:rsidRPr="00F46260">
              <w:rPr>
                <w:rFonts w:ascii="Arial" w:eastAsia="Times New Roman" w:hAnsi="Arial" w:cs="Arial"/>
                <w:color w:val="000000"/>
                <w:sz w:val="20"/>
                <w:szCs w:val="20"/>
                <w:lang w:eastAsia="en-AU"/>
              </w:rPr>
              <w:t>Unearned income</w:t>
            </w:r>
          </w:p>
        </w:tc>
        <w:tc>
          <w:tcPr>
            <w:tcW w:w="658" w:type="pct"/>
            <w:tcBorders>
              <w:left w:val="nil"/>
              <w:bottom w:val="single" w:sz="4" w:space="0" w:color="auto"/>
              <w:right w:val="nil"/>
            </w:tcBorders>
            <w:shd w:val="pct15" w:color="auto" w:fill="auto"/>
            <w:vAlign w:val="bottom"/>
          </w:tcPr>
          <w:p w14:paraId="7E9D00C3"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1,155,385</w:t>
            </w:r>
          </w:p>
        </w:tc>
        <w:tc>
          <w:tcPr>
            <w:tcW w:w="125" w:type="pct"/>
            <w:tcBorders>
              <w:top w:val="nil"/>
              <w:left w:val="nil"/>
              <w:bottom w:val="single" w:sz="4" w:space="0" w:color="auto"/>
              <w:right w:val="nil"/>
            </w:tcBorders>
            <w:shd w:val="clear" w:color="auto" w:fill="auto"/>
            <w:vAlign w:val="bottom"/>
          </w:tcPr>
          <w:p w14:paraId="68332A34"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8" w:type="pct"/>
            <w:tcBorders>
              <w:left w:val="nil"/>
              <w:bottom w:val="single" w:sz="4" w:space="0" w:color="auto"/>
              <w:right w:val="nil"/>
            </w:tcBorders>
            <w:shd w:val="clear" w:color="auto" w:fill="auto"/>
            <w:vAlign w:val="bottom"/>
          </w:tcPr>
          <w:p w14:paraId="0DE7065A"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1,064,372</w:t>
            </w:r>
          </w:p>
        </w:tc>
      </w:tr>
      <w:tr w:rsidR="00F46260" w:rsidRPr="00F46260" w14:paraId="6D7F91E3" w14:textId="77777777" w:rsidTr="00D1524E">
        <w:tblPrEx>
          <w:tblLook w:val="0000" w:firstRow="0" w:lastRow="0" w:firstColumn="0" w:lastColumn="0" w:noHBand="0" w:noVBand="0"/>
        </w:tblPrEx>
        <w:trPr>
          <w:trHeight w:val="255"/>
        </w:trPr>
        <w:tc>
          <w:tcPr>
            <w:tcW w:w="3559" w:type="pct"/>
            <w:tcBorders>
              <w:top w:val="single" w:sz="4" w:space="0" w:color="auto"/>
              <w:left w:val="nil"/>
              <w:bottom w:val="single" w:sz="12" w:space="0" w:color="auto"/>
              <w:right w:val="nil"/>
            </w:tcBorders>
            <w:shd w:val="clear" w:color="auto" w:fill="auto"/>
            <w:vAlign w:val="bottom"/>
          </w:tcPr>
          <w:p w14:paraId="4D0F528F" w14:textId="77777777" w:rsidR="00F46260" w:rsidRPr="00F46260" w:rsidRDefault="00F46260" w:rsidP="00F46260">
            <w:pPr>
              <w:spacing w:after="0" w:line="240" w:lineRule="auto"/>
              <w:rPr>
                <w:rFonts w:ascii="Arial" w:eastAsia="Times New Roman" w:hAnsi="Arial" w:cs="Arial"/>
                <w:b/>
                <w:color w:val="000000"/>
                <w:sz w:val="20"/>
                <w:szCs w:val="20"/>
                <w:lang w:eastAsia="en-AU"/>
              </w:rPr>
            </w:pPr>
            <w:r w:rsidRPr="00F46260">
              <w:rPr>
                <w:rFonts w:ascii="Arial" w:eastAsia="Times New Roman" w:hAnsi="Arial" w:cs="Arial"/>
                <w:b/>
                <w:color w:val="000000"/>
                <w:sz w:val="20"/>
                <w:szCs w:val="20"/>
                <w:lang w:eastAsia="en-AU"/>
              </w:rPr>
              <w:t>Total unearned income</w:t>
            </w:r>
          </w:p>
        </w:tc>
        <w:tc>
          <w:tcPr>
            <w:tcW w:w="658" w:type="pct"/>
            <w:tcBorders>
              <w:top w:val="single" w:sz="4" w:space="0" w:color="auto"/>
              <w:left w:val="nil"/>
              <w:bottom w:val="single" w:sz="12" w:space="0" w:color="auto"/>
              <w:right w:val="nil"/>
            </w:tcBorders>
            <w:shd w:val="pct15" w:color="auto" w:fill="auto"/>
            <w:vAlign w:val="bottom"/>
          </w:tcPr>
          <w:p w14:paraId="5FDF0AE5"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1,155,385</w:t>
            </w:r>
          </w:p>
        </w:tc>
        <w:tc>
          <w:tcPr>
            <w:tcW w:w="125" w:type="pct"/>
            <w:tcBorders>
              <w:top w:val="single" w:sz="4" w:space="0" w:color="auto"/>
              <w:left w:val="nil"/>
              <w:bottom w:val="single" w:sz="12" w:space="0" w:color="auto"/>
              <w:right w:val="nil"/>
            </w:tcBorders>
            <w:shd w:val="clear" w:color="auto" w:fill="auto"/>
            <w:vAlign w:val="bottom"/>
          </w:tcPr>
          <w:p w14:paraId="0AB1CFF5"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8" w:type="pct"/>
            <w:tcBorders>
              <w:top w:val="single" w:sz="4" w:space="0" w:color="auto"/>
              <w:left w:val="nil"/>
              <w:bottom w:val="single" w:sz="12" w:space="0" w:color="auto"/>
              <w:right w:val="nil"/>
            </w:tcBorders>
            <w:shd w:val="clear" w:color="auto" w:fill="auto"/>
            <w:vAlign w:val="bottom"/>
          </w:tcPr>
          <w:p w14:paraId="62839888"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
                <w:sz w:val="20"/>
                <w:szCs w:val="20"/>
                <w:lang w:eastAsia="en-AU"/>
              </w:rPr>
              <w:t>1,064,372</w:t>
            </w:r>
          </w:p>
        </w:tc>
      </w:tr>
    </w:tbl>
    <w:p w14:paraId="520CB4AA" w14:textId="77777777" w:rsidR="00F46260" w:rsidRPr="00F46260" w:rsidRDefault="00F46260" w:rsidP="00F46260">
      <w:pPr>
        <w:spacing w:after="0" w:line="240" w:lineRule="auto"/>
        <w:rPr>
          <w:rFonts w:ascii="Arial" w:eastAsia="Times New Roman" w:hAnsi="Arial" w:cs="Arial"/>
          <w:sz w:val="20"/>
          <w:szCs w:val="20"/>
          <w:lang w:eastAsia="en-AU"/>
        </w:rPr>
      </w:pPr>
    </w:p>
    <w:p w14:paraId="4C7BB9B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Unearned income predominantly represents fees and charges received for training courses and assessments to be held in future periods for the Graduate Recruitment Scheme and Classification Assessment Implementation, which are disclosed in other income. Such income is recognised as unearned income within the liabilities section of the balance sheet.</w:t>
      </w:r>
    </w:p>
    <w:p w14:paraId="418FB6A2" w14:textId="77777777" w:rsidR="00F46260" w:rsidRPr="00F46260" w:rsidRDefault="00F46260" w:rsidP="00F46260">
      <w:pPr>
        <w:spacing w:after="0" w:line="240" w:lineRule="auto"/>
        <w:rPr>
          <w:rFonts w:ascii="Arial" w:eastAsia="Times New Roman" w:hAnsi="Arial" w:cs="Arial"/>
          <w:sz w:val="20"/>
          <w:szCs w:val="20"/>
          <w:lang w:eastAsia="en-AU"/>
        </w:rPr>
      </w:pPr>
    </w:p>
    <w:p w14:paraId="415E3DF1"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5.4 Prepayments</w:t>
      </w:r>
    </w:p>
    <w:tbl>
      <w:tblPr>
        <w:tblW w:w="5000" w:type="pct"/>
        <w:tblInd w:w="-108" w:type="dxa"/>
        <w:tblLook w:val="01E0" w:firstRow="1" w:lastRow="1" w:firstColumn="1" w:lastColumn="1" w:noHBand="0" w:noVBand="0"/>
      </w:tblPr>
      <w:tblGrid>
        <w:gridCol w:w="6659"/>
        <w:gridCol w:w="1231"/>
        <w:gridCol w:w="234"/>
        <w:gridCol w:w="1231"/>
      </w:tblGrid>
      <w:tr w:rsidR="00F46260" w:rsidRPr="00F46260" w14:paraId="50F55DCE" w14:textId="77777777" w:rsidTr="00D1524E">
        <w:tc>
          <w:tcPr>
            <w:tcW w:w="3559" w:type="pct"/>
            <w:shd w:val="clear" w:color="auto" w:fill="auto"/>
          </w:tcPr>
          <w:p w14:paraId="577B1F44"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shd w:val="clear" w:color="auto" w:fill="auto"/>
            <w:vAlign w:val="bottom"/>
          </w:tcPr>
          <w:p w14:paraId="296B4FF1" w14:textId="77777777" w:rsidR="00F46260" w:rsidRPr="00F46260" w:rsidDel="00784DAA" w:rsidRDefault="00F46260" w:rsidP="00F46260">
            <w:pPr>
              <w:spacing w:after="0" w:line="240" w:lineRule="auto"/>
              <w:jc w:val="center"/>
              <w:rPr>
                <w:rFonts w:ascii="Arial" w:eastAsia="Times New Roman" w:hAnsi="Arial" w:cs="Arial"/>
                <w:b/>
                <w:bCs/>
                <w:sz w:val="20"/>
                <w:szCs w:val="20"/>
                <w:lang w:eastAsia="en-AU"/>
              </w:rPr>
            </w:pPr>
          </w:p>
        </w:tc>
        <w:tc>
          <w:tcPr>
            <w:tcW w:w="125" w:type="pct"/>
            <w:shd w:val="clear" w:color="auto" w:fill="auto"/>
            <w:vAlign w:val="bottom"/>
          </w:tcPr>
          <w:p w14:paraId="14E69B08"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58" w:type="pct"/>
            <w:shd w:val="clear" w:color="auto" w:fill="auto"/>
            <w:vAlign w:val="bottom"/>
          </w:tcPr>
          <w:p w14:paraId="6DD64A82" w14:textId="77777777" w:rsidR="00F46260" w:rsidRPr="00F46260" w:rsidDel="00784DAA"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0F75D8C9" w14:textId="77777777" w:rsidTr="00D1524E">
        <w:tc>
          <w:tcPr>
            <w:tcW w:w="3559" w:type="pct"/>
            <w:shd w:val="pct50" w:color="auto" w:fill="auto"/>
          </w:tcPr>
          <w:p w14:paraId="701C75FC"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shd w:val="pct50" w:color="auto" w:fill="auto"/>
            <w:vAlign w:val="bottom"/>
          </w:tcPr>
          <w:p w14:paraId="0EE72FB3"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561D8FE9"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25" w:type="pct"/>
            <w:shd w:val="pct50" w:color="auto" w:fill="auto"/>
            <w:vAlign w:val="bottom"/>
          </w:tcPr>
          <w:p w14:paraId="4726CC17"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58" w:type="pct"/>
            <w:shd w:val="pct50" w:color="auto" w:fill="auto"/>
            <w:vAlign w:val="bottom"/>
          </w:tcPr>
          <w:p w14:paraId="36705E28"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0FD8E92B"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521BA3E3" w14:textId="77777777" w:rsidTr="00D1524E">
        <w:tblPrEx>
          <w:tblLook w:val="0000" w:firstRow="0" w:lastRow="0" w:firstColumn="0" w:lastColumn="0" w:noHBand="0" w:noVBand="0"/>
        </w:tblPrEx>
        <w:trPr>
          <w:trHeight w:val="255"/>
        </w:trPr>
        <w:tc>
          <w:tcPr>
            <w:tcW w:w="3559" w:type="pct"/>
            <w:tcBorders>
              <w:top w:val="nil"/>
              <w:left w:val="nil"/>
              <w:bottom w:val="single" w:sz="4" w:space="0" w:color="auto"/>
              <w:right w:val="nil"/>
            </w:tcBorders>
            <w:shd w:val="clear" w:color="auto" w:fill="auto"/>
            <w:vAlign w:val="bottom"/>
          </w:tcPr>
          <w:p w14:paraId="370A5968" w14:textId="77777777" w:rsidR="00F46260" w:rsidRPr="00F46260" w:rsidRDefault="00F46260" w:rsidP="00F46260">
            <w:pPr>
              <w:spacing w:after="0" w:line="240" w:lineRule="auto"/>
              <w:rPr>
                <w:rFonts w:ascii="Arial" w:eastAsia="Times New Roman" w:hAnsi="Arial" w:cs="Arial"/>
                <w:bCs/>
                <w:color w:val="000000"/>
                <w:sz w:val="20"/>
                <w:szCs w:val="20"/>
                <w:lang w:eastAsia="en-AU"/>
              </w:rPr>
            </w:pPr>
            <w:r w:rsidRPr="00F46260">
              <w:rPr>
                <w:rFonts w:ascii="Arial" w:eastAsia="Times New Roman" w:hAnsi="Arial" w:cs="Arial"/>
                <w:color w:val="000000"/>
                <w:sz w:val="20"/>
                <w:szCs w:val="20"/>
                <w:lang w:eastAsia="en-AU"/>
              </w:rPr>
              <w:t>Prepayments</w:t>
            </w:r>
          </w:p>
        </w:tc>
        <w:tc>
          <w:tcPr>
            <w:tcW w:w="658" w:type="pct"/>
            <w:tcBorders>
              <w:left w:val="nil"/>
              <w:bottom w:val="single" w:sz="4" w:space="0" w:color="auto"/>
              <w:right w:val="nil"/>
            </w:tcBorders>
            <w:shd w:val="pct15" w:color="auto" w:fill="auto"/>
            <w:vAlign w:val="bottom"/>
          </w:tcPr>
          <w:p w14:paraId="2314C213"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348,856</w:t>
            </w:r>
          </w:p>
        </w:tc>
        <w:tc>
          <w:tcPr>
            <w:tcW w:w="125" w:type="pct"/>
            <w:tcBorders>
              <w:top w:val="nil"/>
              <w:left w:val="nil"/>
              <w:bottom w:val="single" w:sz="4" w:space="0" w:color="auto"/>
              <w:right w:val="nil"/>
            </w:tcBorders>
            <w:shd w:val="clear" w:color="auto" w:fill="auto"/>
            <w:vAlign w:val="bottom"/>
          </w:tcPr>
          <w:p w14:paraId="6E661DD4"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8" w:type="pct"/>
            <w:tcBorders>
              <w:left w:val="nil"/>
              <w:bottom w:val="single" w:sz="4" w:space="0" w:color="auto"/>
              <w:right w:val="nil"/>
            </w:tcBorders>
            <w:shd w:val="clear" w:color="auto" w:fill="auto"/>
            <w:vAlign w:val="bottom"/>
          </w:tcPr>
          <w:p w14:paraId="5E93406E"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118,301</w:t>
            </w:r>
          </w:p>
        </w:tc>
      </w:tr>
      <w:tr w:rsidR="00F46260" w:rsidRPr="00F46260" w14:paraId="2C575247" w14:textId="77777777" w:rsidTr="00D1524E">
        <w:tblPrEx>
          <w:tblLook w:val="0000" w:firstRow="0" w:lastRow="0" w:firstColumn="0" w:lastColumn="0" w:noHBand="0" w:noVBand="0"/>
        </w:tblPrEx>
        <w:trPr>
          <w:trHeight w:val="255"/>
        </w:trPr>
        <w:tc>
          <w:tcPr>
            <w:tcW w:w="3559" w:type="pct"/>
            <w:tcBorders>
              <w:top w:val="single" w:sz="4" w:space="0" w:color="auto"/>
              <w:left w:val="nil"/>
              <w:bottom w:val="single" w:sz="12" w:space="0" w:color="auto"/>
              <w:right w:val="nil"/>
            </w:tcBorders>
            <w:shd w:val="clear" w:color="auto" w:fill="auto"/>
            <w:vAlign w:val="bottom"/>
          </w:tcPr>
          <w:p w14:paraId="096B12D6" w14:textId="77777777" w:rsidR="00F46260" w:rsidRPr="00F46260" w:rsidRDefault="00F46260" w:rsidP="00F46260">
            <w:pPr>
              <w:spacing w:after="0" w:line="240" w:lineRule="auto"/>
              <w:rPr>
                <w:rFonts w:ascii="Arial" w:eastAsia="Times New Roman" w:hAnsi="Arial" w:cs="Arial"/>
                <w:b/>
                <w:color w:val="000000"/>
                <w:sz w:val="20"/>
                <w:szCs w:val="20"/>
                <w:lang w:eastAsia="en-AU"/>
              </w:rPr>
            </w:pPr>
            <w:r w:rsidRPr="00F46260">
              <w:rPr>
                <w:rFonts w:ascii="Arial" w:eastAsia="Times New Roman" w:hAnsi="Arial" w:cs="Arial"/>
                <w:b/>
                <w:color w:val="000000"/>
                <w:sz w:val="20"/>
                <w:szCs w:val="20"/>
                <w:lang w:eastAsia="en-AU"/>
              </w:rPr>
              <w:t>Total prepayments</w:t>
            </w:r>
          </w:p>
        </w:tc>
        <w:tc>
          <w:tcPr>
            <w:tcW w:w="658" w:type="pct"/>
            <w:tcBorders>
              <w:top w:val="single" w:sz="4" w:space="0" w:color="auto"/>
              <w:left w:val="nil"/>
              <w:bottom w:val="single" w:sz="12" w:space="0" w:color="auto"/>
              <w:right w:val="nil"/>
            </w:tcBorders>
            <w:shd w:val="pct15" w:color="auto" w:fill="auto"/>
            <w:vAlign w:val="bottom"/>
          </w:tcPr>
          <w:p w14:paraId="6BBE4746"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348,856</w:t>
            </w:r>
          </w:p>
        </w:tc>
        <w:tc>
          <w:tcPr>
            <w:tcW w:w="125" w:type="pct"/>
            <w:tcBorders>
              <w:top w:val="single" w:sz="4" w:space="0" w:color="auto"/>
              <w:left w:val="nil"/>
              <w:bottom w:val="single" w:sz="12" w:space="0" w:color="auto"/>
              <w:right w:val="nil"/>
            </w:tcBorders>
            <w:shd w:val="clear" w:color="auto" w:fill="auto"/>
            <w:vAlign w:val="bottom"/>
          </w:tcPr>
          <w:p w14:paraId="7DC136B8"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8" w:type="pct"/>
            <w:tcBorders>
              <w:top w:val="single" w:sz="4" w:space="0" w:color="auto"/>
              <w:left w:val="nil"/>
              <w:bottom w:val="single" w:sz="12" w:space="0" w:color="auto"/>
              <w:right w:val="nil"/>
            </w:tcBorders>
            <w:shd w:val="clear" w:color="auto" w:fill="auto"/>
            <w:vAlign w:val="bottom"/>
          </w:tcPr>
          <w:p w14:paraId="785D3F6E"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
                <w:sz w:val="20"/>
                <w:szCs w:val="20"/>
                <w:lang w:eastAsia="en-AU"/>
              </w:rPr>
              <w:t>118,301</w:t>
            </w:r>
          </w:p>
        </w:tc>
      </w:tr>
    </w:tbl>
    <w:p w14:paraId="2CFC3640" w14:textId="77777777" w:rsidR="00F46260" w:rsidRPr="00F46260" w:rsidRDefault="00F46260" w:rsidP="00F46260">
      <w:pPr>
        <w:spacing w:after="0" w:line="240" w:lineRule="auto"/>
        <w:rPr>
          <w:rFonts w:ascii="Arial" w:eastAsia="Times New Roman" w:hAnsi="Arial" w:cs="Arial"/>
          <w:sz w:val="20"/>
          <w:szCs w:val="20"/>
          <w:lang w:eastAsia="en-AU"/>
        </w:rPr>
      </w:pPr>
    </w:p>
    <w:p w14:paraId="62BA018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Prepayments represent payments in advance of receipt of goods or services, or the payments made for services covering a term extending beyond that financial accounting period.</w:t>
      </w:r>
    </w:p>
    <w:p w14:paraId="14D96E70" w14:textId="77777777" w:rsidR="00F46260" w:rsidRPr="00F46260" w:rsidRDefault="00F46260" w:rsidP="00F46260">
      <w:pPr>
        <w:spacing w:after="0" w:line="240" w:lineRule="auto"/>
        <w:rPr>
          <w:rFonts w:ascii="Arial" w:eastAsia="Times New Roman" w:hAnsi="Arial" w:cs="Arial"/>
          <w:sz w:val="20"/>
          <w:szCs w:val="20"/>
          <w:lang w:eastAsia="en-AU"/>
        </w:rPr>
      </w:pPr>
    </w:p>
    <w:p w14:paraId="746E82B8"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5.5 Other provisions</w:t>
      </w:r>
    </w:p>
    <w:tbl>
      <w:tblPr>
        <w:tblW w:w="5000" w:type="pct"/>
        <w:tblInd w:w="-108" w:type="dxa"/>
        <w:tblLook w:val="01E0" w:firstRow="1" w:lastRow="1" w:firstColumn="1" w:lastColumn="1" w:noHBand="0" w:noVBand="0"/>
      </w:tblPr>
      <w:tblGrid>
        <w:gridCol w:w="6659"/>
        <w:gridCol w:w="1231"/>
        <w:gridCol w:w="234"/>
        <w:gridCol w:w="1231"/>
      </w:tblGrid>
      <w:tr w:rsidR="00F46260" w:rsidRPr="00F46260" w14:paraId="09985029" w14:textId="77777777" w:rsidTr="00D1524E">
        <w:tc>
          <w:tcPr>
            <w:tcW w:w="3559" w:type="pct"/>
            <w:shd w:val="clear" w:color="auto" w:fill="auto"/>
          </w:tcPr>
          <w:p w14:paraId="4E99CA59"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shd w:val="clear" w:color="auto" w:fill="auto"/>
            <w:vAlign w:val="bottom"/>
          </w:tcPr>
          <w:p w14:paraId="7CF49BC2" w14:textId="77777777" w:rsidR="00F46260" w:rsidRPr="00F46260" w:rsidDel="00784DAA" w:rsidRDefault="00F46260" w:rsidP="00F46260">
            <w:pPr>
              <w:spacing w:after="0" w:line="240" w:lineRule="auto"/>
              <w:jc w:val="center"/>
              <w:rPr>
                <w:rFonts w:ascii="Arial" w:eastAsia="Times New Roman" w:hAnsi="Arial" w:cs="Arial"/>
                <w:b/>
                <w:bCs/>
                <w:sz w:val="20"/>
                <w:szCs w:val="20"/>
                <w:lang w:eastAsia="en-AU"/>
              </w:rPr>
            </w:pPr>
          </w:p>
        </w:tc>
        <w:tc>
          <w:tcPr>
            <w:tcW w:w="125" w:type="pct"/>
            <w:shd w:val="clear" w:color="auto" w:fill="auto"/>
            <w:vAlign w:val="bottom"/>
          </w:tcPr>
          <w:p w14:paraId="4F08631A"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58" w:type="pct"/>
            <w:shd w:val="clear" w:color="auto" w:fill="auto"/>
            <w:vAlign w:val="bottom"/>
          </w:tcPr>
          <w:p w14:paraId="0FCEBF94" w14:textId="77777777" w:rsidR="00F46260" w:rsidRPr="00F46260" w:rsidDel="00784DAA"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4C394F44" w14:textId="77777777" w:rsidTr="00D1524E">
        <w:tc>
          <w:tcPr>
            <w:tcW w:w="3559" w:type="pct"/>
            <w:shd w:val="pct50" w:color="auto" w:fill="auto"/>
          </w:tcPr>
          <w:p w14:paraId="3347DBA2"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shd w:val="pct50" w:color="auto" w:fill="auto"/>
            <w:vAlign w:val="bottom"/>
          </w:tcPr>
          <w:p w14:paraId="66C1AC2B"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2EF6D10D"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25" w:type="pct"/>
            <w:shd w:val="pct50" w:color="auto" w:fill="auto"/>
            <w:vAlign w:val="bottom"/>
          </w:tcPr>
          <w:p w14:paraId="4DBEBAFC"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58" w:type="pct"/>
            <w:shd w:val="pct50" w:color="auto" w:fill="auto"/>
            <w:vAlign w:val="bottom"/>
          </w:tcPr>
          <w:p w14:paraId="29183887"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213D6ADC" w14:textId="77777777" w:rsidR="00F46260" w:rsidRPr="00F46260" w:rsidRDefault="00F46260" w:rsidP="00F46260">
            <w:pPr>
              <w:spacing w:after="0" w:line="240" w:lineRule="auto"/>
              <w:rPr>
                <w:rFonts w:ascii="Arial" w:eastAsia="Times New Roman" w:hAnsi="Arial" w:cs="Arial"/>
                <w:b/>
                <w:bCs/>
                <w:color w:val="FFFFFF"/>
                <w:sz w:val="20"/>
                <w:szCs w:val="20"/>
                <w:lang w:eastAsia="en-AU"/>
              </w:rPr>
            </w:pPr>
          </w:p>
        </w:tc>
      </w:tr>
      <w:tr w:rsidR="00F46260" w:rsidRPr="00F46260" w14:paraId="01840626" w14:textId="77777777" w:rsidTr="00D1524E">
        <w:tblPrEx>
          <w:tblLook w:val="0000" w:firstRow="0" w:lastRow="0" w:firstColumn="0" w:lastColumn="0" w:noHBand="0" w:noVBand="0"/>
        </w:tblPrEx>
        <w:trPr>
          <w:trHeight w:val="255"/>
        </w:trPr>
        <w:tc>
          <w:tcPr>
            <w:tcW w:w="3559" w:type="pct"/>
            <w:tcBorders>
              <w:top w:val="nil"/>
              <w:left w:val="nil"/>
              <w:bottom w:val="single" w:sz="4" w:space="0" w:color="auto"/>
              <w:right w:val="nil"/>
            </w:tcBorders>
            <w:shd w:val="clear" w:color="auto" w:fill="auto"/>
          </w:tcPr>
          <w:p w14:paraId="4DA2B945"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Make</w:t>
            </w:r>
            <w:r w:rsidRPr="00F46260">
              <w:rPr>
                <w:rFonts w:ascii="Arial" w:eastAsia="Times New Roman" w:hAnsi="Arial" w:cs="Arial"/>
                <w:color w:val="000000"/>
                <w:sz w:val="20"/>
                <w:szCs w:val="20"/>
                <w:lang w:eastAsia="en-AU"/>
              </w:rPr>
              <w:noBreakHyphen/>
              <w:t>good provision</w:t>
            </w:r>
          </w:p>
        </w:tc>
        <w:tc>
          <w:tcPr>
            <w:tcW w:w="658" w:type="pct"/>
            <w:tcBorders>
              <w:left w:val="nil"/>
              <w:bottom w:val="single" w:sz="4" w:space="0" w:color="auto"/>
              <w:right w:val="nil"/>
            </w:tcBorders>
            <w:shd w:val="pct15" w:color="auto" w:fill="auto"/>
            <w:vAlign w:val="bottom"/>
          </w:tcPr>
          <w:p w14:paraId="76AA7689" w14:textId="77777777" w:rsidR="00F46260" w:rsidRPr="00F46260" w:rsidRDefault="00F46260" w:rsidP="00F46260">
            <w:pPr>
              <w:spacing w:after="0" w:line="240" w:lineRule="auto"/>
              <w:jc w:val="right"/>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90,440</w:t>
            </w:r>
          </w:p>
        </w:tc>
        <w:tc>
          <w:tcPr>
            <w:tcW w:w="125" w:type="pct"/>
            <w:tcBorders>
              <w:top w:val="nil"/>
              <w:left w:val="nil"/>
              <w:bottom w:val="single" w:sz="4" w:space="0" w:color="auto"/>
              <w:right w:val="nil"/>
            </w:tcBorders>
            <w:shd w:val="clear" w:color="auto" w:fill="auto"/>
            <w:vAlign w:val="bottom"/>
          </w:tcPr>
          <w:p w14:paraId="04926A3F" w14:textId="77777777" w:rsidR="00F46260" w:rsidRPr="00F46260" w:rsidRDefault="00F46260" w:rsidP="00F46260">
            <w:pPr>
              <w:spacing w:after="0" w:line="240" w:lineRule="auto"/>
              <w:jc w:val="right"/>
              <w:rPr>
                <w:rFonts w:ascii="Arial" w:eastAsia="Times New Roman" w:hAnsi="Arial" w:cs="Arial"/>
                <w:color w:val="000000"/>
                <w:sz w:val="20"/>
                <w:szCs w:val="20"/>
                <w:lang w:eastAsia="en-AU"/>
              </w:rPr>
            </w:pPr>
          </w:p>
        </w:tc>
        <w:tc>
          <w:tcPr>
            <w:tcW w:w="658" w:type="pct"/>
            <w:tcBorders>
              <w:left w:val="nil"/>
              <w:bottom w:val="single" w:sz="4" w:space="0" w:color="auto"/>
              <w:right w:val="nil"/>
            </w:tcBorders>
            <w:shd w:val="clear" w:color="auto" w:fill="auto"/>
            <w:vAlign w:val="bottom"/>
          </w:tcPr>
          <w:p w14:paraId="0002ABC3" w14:textId="77777777" w:rsidR="00F46260" w:rsidRPr="00F46260" w:rsidRDefault="00F46260" w:rsidP="00F46260">
            <w:pPr>
              <w:spacing w:after="0" w:line="240" w:lineRule="auto"/>
              <w:jc w:val="right"/>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90,440</w:t>
            </w:r>
          </w:p>
        </w:tc>
      </w:tr>
      <w:tr w:rsidR="00F46260" w:rsidRPr="00F46260" w14:paraId="34E41FD0" w14:textId="77777777" w:rsidTr="00D1524E">
        <w:tblPrEx>
          <w:tblLook w:val="0000" w:firstRow="0" w:lastRow="0" w:firstColumn="0" w:lastColumn="0" w:noHBand="0" w:noVBand="0"/>
        </w:tblPrEx>
        <w:trPr>
          <w:trHeight w:val="255"/>
        </w:trPr>
        <w:tc>
          <w:tcPr>
            <w:tcW w:w="3559" w:type="pct"/>
            <w:tcBorders>
              <w:top w:val="single" w:sz="4" w:space="0" w:color="auto"/>
              <w:left w:val="nil"/>
              <w:bottom w:val="single" w:sz="12" w:space="0" w:color="auto"/>
              <w:right w:val="nil"/>
            </w:tcBorders>
            <w:shd w:val="clear" w:color="auto" w:fill="auto"/>
          </w:tcPr>
          <w:p w14:paraId="40EC9D06"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b/>
                <w:color w:val="000000"/>
                <w:sz w:val="20"/>
                <w:szCs w:val="20"/>
                <w:lang w:eastAsia="en-AU"/>
              </w:rPr>
              <w:t>Total other provisions</w:t>
            </w:r>
          </w:p>
        </w:tc>
        <w:tc>
          <w:tcPr>
            <w:tcW w:w="658" w:type="pct"/>
            <w:tcBorders>
              <w:top w:val="single" w:sz="4" w:space="0" w:color="auto"/>
              <w:left w:val="nil"/>
              <w:bottom w:val="single" w:sz="12" w:space="0" w:color="auto"/>
              <w:right w:val="nil"/>
            </w:tcBorders>
            <w:shd w:val="pct15" w:color="auto" w:fill="auto"/>
            <w:vAlign w:val="bottom"/>
          </w:tcPr>
          <w:p w14:paraId="5050BFDA" w14:textId="77777777" w:rsidR="00F46260" w:rsidRPr="00F46260" w:rsidRDefault="00F46260" w:rsidP="00F46260">
            <w:pPr>
              <w:spacing w:after="0" w:line="240" w:lineRule="auto"/>
              <w:jc w:val="right"/>
              <w:rPr>
                <w:rFonts w:ascii="Arial" w:eastAsia="Times New Roman" w:hAnsi="Arial" w:cs="Arial"/>
                <w:b/>
                <w:bCs/>
                <w:color w:val="000000"/>
                <w:sz w:val="20"/>
                <w:szCs w:val="20"/>
                <w:lang w:eastAsia="en-AU"/>
              </w:rPr>
            </w:pPr>
            <w:r w:rsidRPr="00F46260">
              <w:rPr>
                <w:rFonts w:ascii="Arial" w:eastAsia="Times New Roman" w:hAnsi="Arial" w:cs="Arial"/>
                <w:b/>
                <w:bCs/>
                <w:color w:val="000000"/>
                <w:sz w:val="20"/>
                <w:szCs w:val="20"/>
                <w:lang w:eastAsia="en-AU"/>
              </w:rPr>
              <w:t>90,440</w:t>
            </w:r>
          </w:p>
        </w:tc>
        <w:tc>
          <w:tcPr>
            <w:tcW w:w="125" w:type="pct"/>
            <w:tcBorders>
              <w:top w:val="single" w:sz="4" w:space="0" w:color="auto"/>
              <w:left w:val="nil"/>
              <w:bottom w:val="single" w:sz="12" w:space="0" w:color="auto"/>
              <w:right w:val="nil"/>
            </w:tcBorders>
            <w:shd w:val="clear" w:color="auto" w:fill="auto"/>
            <w:vAlign w:val="bottom"/>
          </w:tcPr>
          <w:p w14:paraId="44DCDDD8" w14:textId="77777777" w:rsidR="00F46260" w:rsidRPr="00F46260" w:rsidRDefault="00F46260" w:rsidP="00F46260">
            <w:pPr>
              <w:spacing w:after="0" w:line="240" w:lineRule="auto"/>
              <w:jc w:val="right"/>
              <w:rPr>
                <w:rFonts w:ascii="Arial" w:eastAsia="Times New Roman" w:hAnsi="Arial" w:cs="Arial"/>
                <w:color w:val="000000"/>
                <w:sz w:val="20"/>
                <w:szCs w:val="20"/>
                <w:lang w:eastAsia="en-AU"/>
              </w:rPr>
            </w:pPr>
          </w:p>
        </w:tc>
        <w:tc>
          <w:tcPr>
            <w:tcW w:w="658" w:type="pct"/>
            <w:tcBorders>
              <w:top w:val="single" w:sz="4" w:space="0" w:color="auto"/>
              <w:left w:val="nil"/>
              <w:bottom w:val="single" w:sz="12" w:space="0" w:color="auto"/>
              <w:right w:val="nil"/>
            </w:tcBorders>
            <w:shd w:val="clear" w:color="auto" w:fill="auto"/>
            <w:vAlign w:val="bottom"/>
          </w:tcPr>
          <w:p w14:paraId="68378487" w14:textId="77777777" w:rsidR="00F46260" w:rsidRPr="00F46260" w:rsidRDefault="00F46260" w:rsidP="00F46260">
            <w:pPr>
              <w:spacing w:after="0" w:line="240" w:lineRule="auto"/>
              <w:jc w:val="right"/>
              <w:rPr>
                <w:rFonts w:ascii="Arial" w:eastAsia="Times New Roman" w:hAnsi="Arial" w:cs="Arial"/>
                <w:color w:val="000000"/>
                <w:sz w:val="20"/>
                <w:szCs w:val="20"/>
                <w:lang w:eastAsia="en-AU"/>
              </w:rPr>
            </w:pPr>
            <w:r w:rsidRPr="00F46260">
              <w:rPr>
                <w:rFonts w:ascii="Arial" w:eastAsia="Times New Roman" w:hAnsi="Arial" w:cs="Arial"/>
                <w:b/>
                <w:bCs/>
                <w:color w:val="000000"/>
                <w:sz w:val="20"/>
                <w:szCs w:val="20"/>
                <w:lang w:eastAsia="en-AU"/>
              </w:rPr>
              <w:t>90,440</w:t>
            </w:r>
          </w:p>
        </w:tc>
      </w:tr>
    </w:tbl>
    <w:p w14:paraId="2EA53033" w14:textId="77777777" w:rsidR="00F46260" w:rsidRPr="00F46260" w:rsidRDefault="00F46260" w:rsidP="00F46260">
      <w:pPr>
        <w:spacing w:after="0" w:line="240" w:lineRule="auto"/>
        <w:rPr>
          <w:rFonts w:ascii="Arial" w:eastAsia="Times New Roman" w:hAnsi="Arial" w:cs="Arial"/>
          <w:sz w:val="20"/>
          <w:szCs w:val="20"/>
          <w:lang w:eastAsia="en-AU"/>
        </w:rPr>
      </w:pPr>
    </w:p>
    <w:p w14:paraId="1236F2DD"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make-good provision is recognised in accordance with the agreement over the leased premises. The Commission is required to remove any leasehold improvements from the leased premises and restore the premises to its original condition at the end of the lease term.</w:t>
      </w:r>
    </w:p>
    <w:p w14:paraId="610FD60F" w14:textId="77777777" w:rsidR="00F46260" w:rsidRPr="00F46260" w:rsidRDefault="00F46260" w:rsidP="00F46260">
      <w:pPr>
        <w:spacing w:after="0" w:line="240" w:lineRule="auto"/>
        <w:rPr>
          <w:rFonts w:ascii="Arial" w:eastAsia="Times New Roman" w:hAnsi="Arial" w:cs="Arial"/>
          <w:sz w:val="20"/>
          <w:szCs w:val="20"/>
          <w:lang w:eastAsia="en-AU"/>
        </w:rPr>
      </w:pPr>
    </w:p>
    <w:p w14:paraId="3793EC1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make-good provision relates to the new leasing agreement the Commission entered during the 2018-19 financial year on the existing premises.</w:t>
      </w:r>
    </w:p>
    <w:p w14:paraId="40D61F9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br w:type="page"/>
      </w:r>
    </w:p>
    <w:p w14:paraId="71873594" w14:textId="77777777" w:rsidR="00F46260" w:rsidRPr="00F46260" w:rsidRDefault="00F46260" w:rsidP="00F46260">
      <w:pPr>
        <w:pBdr>
          <w:bottom w:val="single" w:sz="12" w:space="1" w:color="auto"/>
        </w:pBdr>
        <w:tabs>
          <w:tab w:val="left" w:pos="1384"/>
        </w:tabs>
        <w:spacing w:after="0" w:line="240" w:lineRule="auto"/>
        <w:ind w:left="1384" w:hanging="1384"/>
        <w:rPr>
          <w:rFonts w:ascii="Arial" w:eastAsia="Times New Roman" w:hAnsi="Arial" w:cs="Arial"/>
          <w:b/>
          <w:sz w:val="24"/>
          <w:szCs w:val="24"/>
          <w:lang w:eastAsia="en-AU"/>
        </w:rPr>
      </w:pPr>
      <w:bookmarkStart w:id="54" w:name="_Toc492305469"/>
      <w:r w:rsidRPr="00F46260">
        <w:rPr>
          <w:rFonts w:ascii="Arial" w:eastAsia="Times New Roman" w:hAnsi="Arial" w:cs="Arial"/>
          <w:b/>
          <w:sz w:val="24"/>
          <w:szCs w:val="24"/>
          <w:lang w:eastAsia="en-AU"/>
        </w:rPr>
        <w:lastRenderedPageBreak/>
        <w:t>6. How we financed our operations</w:t>
      </w:r>
      <w:bookmarkEnd w:id="54"/>
    </w:p>
    <w:p w14:paraId="6B1F586A" w14:textId="77777777" w:rsidR="00F46260" w:rsidRPr="00F46260" w:rsidRDefault="00F46260" w:rsidP="00F46260">
      <w:pPr>
        <w:tabs>
          <w:tab w:val="left" w:pos="1384"/>
        </w:tabs>
        <w:spacing w:after="0" w:line="240" w:lineRule="auto"/>
        <w:ind w:left="1384" w:hanging="1384"/>
        <w:rPr>
          <w:rFonts w:ascii="Arial" w:eastAsia="Times New Roman" w:hAnsi="Arial" w:cs="Arial"/>
          <w:b/>
          <w:sz w:val="20"/>
          <w:szCs w:val="20"/>
          <w:lang w:eastAsia="en-AU"/>
        </w:rPr>
      </w:pPr>
    </w:p>
    <w:tbl>
      <w:tblPr>
        <w:tblStyle w:val="CVtable1"/>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01"/>
      </w:tblGrid>
      <w:tr w:rsidR="00F46260" w:rsidRPr="00F46260" w14:paraId="2EC69A2A" w14:textId="77777777" w:rsidTr="00D1524E">
        <w:tc>
          <w:tcPr>
            <w:tcW w:w="2434" w:type="pct"/>
            <w:tcBorders>
              <w:right w:val="single" w:sz="2" w:space="0" w:color="auto"/>
            </w:tcBorders>
          </w:tcPr>
          <w:p w14:paraId="2C8FB8D8" w14:textId="77777777" w:rsidR="00F46260" w:rsidRPr="00F46260" w:rsidRDefault="00F46260" w:rsidP="00D1524E">
            <w:pPr>
              <w:autoSpaceDE w:val="0"/>
              <w:autoSpaceDN w:val="0"/>
              <w:adjustRightInd w:val="0"/>
              <w:spacing w:after="0" w:line="240" w:lineRule="auto"/>
              <w:contextualSpacing/>
              <w:rPr>
                <w:rFonts w:ascii="Arial" w:hAnsi="Arial" w:cs="Arial"/>
                <w:b/>
              </w:rPr>
            </w:pPr>
            <w:r w:rsidRPr="00F46260">
              <w:rPr>
                <w:rFonts w:ascii="Arial" w:hAnsi="Arial" w:cs="Arial"/>
                <w:b/>
              </w:rPr>
              <w:t>Introduction</w:t>
            </w:r>
          </w:p>
          <w:p w14:paraId="20B30452" w14:textId="77777777" w:rsidR="00F46260" w:rsidRPr="00F46260" w:rsidRDefault="00F46260" w:rsidP="00D1524E">
            <w:pPr>
              <w:autoSpaceDE w:val="0"/>
              <w:autoSpaceDN w:val="0"/>
              <w:adjustRightInd w:val="0"/>
              <w:spacing w:after="0" w:line="240" w:lineRule="auto"/>
              <w:contextualSpacing/>
              <w:rPr>
                <w:rFonts w:ascii="Arial" w:hAnsi="Arial" w:cs="Arial"/>
              </w:rPr>
            </w:pPr>
          </w:p>
          <w:p w14:paraId="0EB98D11" w14:textId="77777777" w:rsidR="00F46260" w:rsidRPr="00F46260" w:rsidRDefault="00F46260" w:rsidP="00D1524E">
            <w:pPr>
              <w:autoSpaceDE w:val="0"/>
              <w:autoSpaceDN w:val="0"/>
              <w:adjustRightInd w:val="0"/>
              <w:spacing w:after="0" w:line="240" w:lineRule="auto"/>
              <w:contextualSpacing/>
              <w:rPr>
                <w:rFonts w:ascii="Arial" w:hAnsi="Arial" w:cs="Arial"/>
              </w:rPr>
            </w:pPr>
            <w:r w:rsidRPr="00F46260">
              <w:rPr>
                <w:rFonts w:ascii="Arial" w:hAnsi="Arial" w:cs="Arial"/>
              </w:rPr>
              <w:t>This section provides information on the sources of finance available to the Commission during its operations, along with interest expenses (the cost of lease liabilities) and other information related to financing activities of the Commission.</w:t>
            </w:r>
          </w:p>
          <w:p w14:paraId="7F657F64" w14:textId="77777777" w:rsidR="00F46260" w:rsidRPr="00F46260" w:rsidRDefault="00F46260" w:rsidP="00D1524E">
            <w:pPr>
              <w:autoSpaceDE w:val="0"/>
              <w:autoSpaceDN w:val="0"/>
              <w:adjustRightInd w:val="0"/>
              <w:spacing w:after="0" w:line="240" w:lineRule="auto"/>
              <w:contextualSpacing/>
              <w:rPr>
                <w:rFonts w:ascii="Arial" w:hAnsi="Arial" w:cs="Arial"/>
              </w:rPr>
            </w:pPr>
          </w:p>
          <w:p w14:paraId="73D524B3" w14:textId="77777777" w:rsidR="00F46260" w:rsidRPr="00F46260" w:rsidRDefault="00F46260" w:rsidP="00D1524E">
            <w:pPr>
              <w:autoSpaceDE w:val="0"/>
              <w:autoSpaceDN w:val="0"/>
              <w:adjustRightInd w:val="0"/>
              <w:spacing w:after="0" w:line="240" w:lineRule="auto"/>
              <w:contextualSpacing/>
              <w:rPr>
                <w:rFonts w:ascii="Arial" w:hAnsi="Arial" w:cs="Arial"/>
                <w:color w:val="000000"/>
              </w:rPr>
            </w:pPr>
            <w:r w:rsidRPr="00F46260">
              <w:rPr>
                <w:rFonts w:ascii="Arial" w:hAnsi="Arial" w:cs="Arial"/>
              </w:rPr>
              <w:t>This section also includes disclosures on commitments for expenditure.</w:t>
            </w:r>
          </w:p>
        </w:tc>
        <w:tc>
          <w:tcPr>
            <w:tcW w:w="2566" w:type="pct"/>
            <w:tcBorders>
              <w:left w:val="single" w:sz="2" w:space="0" w:color="auto"/>
            </w:tcBorders>
          </w:tcPr>
          <w:p w14:paraId="07E44131" w14:textId="46908707" w:rsidR="00F46260" w:rsidRDefault="00F46260" w:rsidP="00D1524E">
            <w:pPr>
              <w:spacing w:after="0" w:line="240" w:lineRule="auto"/>
              <w:rPr>
                <w:rFonts w:ascii="Arial" w:hAnsi="Arial" w:cs="Arial"/>
                <w:b/>
              </w:rPr>
            </w:pPr>
            <w:r w:rsidRPr="00F46260">
              <w:rPr>
                <w:rFonts w:ascii="Arial" w:hAnsi="Arial" w:cs="Arial"/>
                <w:b/>
              </w:rPr>
              <w:t>Structure</w:t>
            </w:r>
          </w:p>
          <w:p w14:paraId="3198F5BB" w14:textId="77777777" w:rsidR="00D1524E" w:rsidRPr="00D1524E" w:rsidRDefault="00D1524E" w:rsidP="00D1524E">
            <w:pPr>
              <w:spacing w:after="0" w:line="240" w:lineRule="auto"/>
              <w:rPr>
                <w:rFonts w:ascii="Arial" w:hAnsi="Arial" w:cs="Arial"/>
                <w:b/>
              </w:rPr>
            </w:pPr>
          </w:p>
          <w:p w14:paraId="5AA5971E" w14:textId="77777777" w:rsidR="00F46260" w:rsidRPr="00F46260" w:rsidRDefault="00F46260" w:rsidP="00F8706A">
            <w:pPr>
              <w:numPr>
                <w:ilvl w:val="1"/>
                <w:numId w:val="30"/>
              </w:numPr>
              <w:spacing w:after="0" w:line="240" w:lineRule="auto"/>
              <w:ind w:left="714" w:hanging="357"/>
              <w:contextualSpacing/>
              <w:rPr>
                <w:rFonts w:ascii="Arial" w:hAnsi="Arial" w:cs="Arial"/>
              </w:rPr>
            </w:pPr>
            <w:r w:rsidRPr="00F46260">
              <w:rPr>
                <w:rFonts w:ascii="Arial" w:hAnsi="Arial" w:cs="Arial"/>
              </w:rPr>
              <w:t>Borrowings</w:t>
            </w:r>
          </w:p>
          <w:p w14:paraId="1DA33B15" w14:textId="77777777" w:rsidR="00F46260" w:rsidRPr="00F46260" w:rsidRDefault="00F46260" w:rsidP="00F8706A">
            <w:pPr>
              <w:numPr>
                <w:ilvl w:val="1"/>
                <w:numId w:val="30"/>
              </w:numPr>
              <w:spacing w:after="0" w:line="240" w:lineRule="auto"/>
              <w:ind w:left="714" w:hanging="357"/>
              <w:contextualSpacing/>
              <w:rPr>
                <w:rFonts w:ascii="Arial" w:hAnsi="Arial" w:cs="Arial"/>
              </w:rPr>
            </w:pPr>
            <w:r w:rsidRPr="00F46260">
              <w:rPr>
                <w:rFonts w:ascii="Arial" w:hAnsi="Arial" w:cs="Arial"/>
              </w:rPr>
              <w:t>Reconciliation of net result for the year to cash flow from operating activities</w:t>
            </w:r>
          </w:p>
          <w:p w14:paraId="1A1E5EA9" w14:textId="77777777" w:rsidR="00F46260" w:rsidRPr="00F46260" w:rsidRDefault="00F46260" w:rsidP="00F8706A">
            <w:pPr>
              <w:numPr>
                <w:ilvl w:val="1"/>
                <w:numId w:val="30"/>
              </w:numPr>
              <w:spacing w:after="0" w:line="240" w:lineRule="auto"/>
              <w:ind w:left="714" w:hanging="357"/>
              <w:contextualSpacing/>
              <w:rPr>
                <w:rFonts w:ascii="Arial" w:hAnsi="Arial" w:cs="Arial"/>
              </w:rPr>
            </w:pPr>
            <w:r w:rsidRPr="00F46260">
              <w:rPr>
                <w:rFonts w:ascii="Arial" w:hAnsi="Arial" w:cs="Arial"/>
              </w:rPr>
              <w:t>Commitments for expenditure</w:t>
            </w:r>
          </w:p>
          <w:p w14:paraId="1A223E8E" w14:textId="77777777" w:rsidR="00F46260" w:rsidRPr="00F46260" w:rsidRDefault="00F46260" w:rsidP="00F46260">
            <w:pPr>
              <w:spacing w:after="0" w:line="240" w:lineRule="auto"/>
              <w:rPr>
                <w:rFonts w:ascii="Arial" w:hAnsi="Arial" w:cs="Arial"/>
                <w:color w:val="000000"/>
              </w:rPr>
            </w:pPr>
          </w:p>
        </w:tc>
      </w:tr>
    </w:tbl>
    <w:p w14:paraId="1415092A" w14:textId="77777777" w:rsidR="00F46260" w:rsidRPr="00F46260" w:rsidRDefault="00F46260" w:rsidP="00F46260">
      <w:pPr>
        <w:tabs>
          <w:tab w:val="left" w:pos="1384"/>
        </w:tabs>
        <w:spacing w:after="0" w:line="240" w:lineRule="auto"/>
        <w:rPr>
          <w:rFonts w:ascii="Arial" w:eastAsia="Times New Roman" w:hAnsi="Arial" w:cs="Arial"/>
          <w:sz w:val="20"/>
          <w:szCs w:val="20"/>
          <w:lang w:eastAsia="en-AU"/>
        </w:rPr>
      </w:pPr>
    </w:p>
    <w:p w14:paraId="060D43D0"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6.1 Borrowings</w:t>
      </w:r>
    </w:p>
    <w:tbl>
      <w:tblPr>
        <w:tblW w:w="5000" w:type="pct"/>
        <w:tblInd w:w="-108" w:type="dxa"/>
        <w:tblLook w:val="01E0" w:firstRow="1" w:lastRow="1" w:firstColumn="1" w:lastColumn="1" w:noHBand="0" w:noVBand="0"/>
      </w:tblPr>
      <w:tblGrid>
        <w:gridCol w:w="6659"/>
        <w:gridCol w:w="1231"/>
        <w:gridCol w:w="234"/>
        <w:gridCol w:w="1231"/>
      </w:tblGrid>
      <w:tr w:rsidR="00F46260" w:rsidRPr="00F46260" w14:paraId="438FFCF5" w14:textId="77777777" w:rsidTr="00D1524E">
        <w:tc>
          <w:tcPr>
            <w:tcW w:w="3559" w:type="pct"/>
            <w:shd w:val="clear" w:color="auto" w:fill="auto"/>
          </w:tcPr>
          <w:p w14:paraId="45EF34D7"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shd w:val="clear" w:color="auto" w:fill="auto"/>
            <w:vAlign w:val="bottom"/>
          </w:tcPr>
          <w:p w14:paraId="04CAF161"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25" w:type="pct"/>
            <w:shd w:val="clear" w:color="auto" w:fill="auto"/>
            <w:vAlign w:val="bottom"/>
          </w:tcPr>
          <w:p w14:paraId="789ABE79"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58" w:type="pct"/>
            <w:shd w:val="clear" w:color="auto" w:fill="auto"/>
            <w:vAlign w:val="bottom"/>
          </w:tcPr>
          <w:p w14:paraId="638A168D"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29CAABB9" w14:textId="77777777" w:rsidTr="00D1524E">
        <w:tc>
          <w:tcPr>
            <w:tcW w:w="3559" w:type="pct"/>
            <w:shd w:val="pct50" w:color="auto" w:fill="auto"/>
          </w:tcPr>
          <w:p w14:paraId="05E825C3"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shd w:val="pct50" w:color="auto" w:fill="auto"/>
            <w:vAlign w:val="bottom"/>
          </w:tcPr>
          <w:p w14:paraId="35FD6CC0"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5641E375"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25" w:type="pct"/>
            <w:shd w:val="pct50" w:color="auto" w:fill="auto"/>
            <w:vAlign w:val="bottom"/>
          </w:tcPr>
          <w:p w14:paraId="38BFD3F3"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58" w:type="pct"/>
            <w:shd w:val="pct50" w:color="auto" w:fill="auto"/>
            <w:vAlign w:val="bottom"/>
          </w:tcPr>
          <w:p w14:paraId="3232DFF4"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 xml:space="preserve">  2020</w:t>
            </w:r>
          </w:p>
          <w:p w14:paraId="64C662D7"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5B8EF332" w14:textId="77777777" w:rsidTr="00D1524E">
        <w:tc>
          <w:tcPr>
            <w:tcW w:w="3559" w:type="pct"/>
            <w:shd w:val="clear" w:color="auto" w:fill="auto"/>
            <w:vAlign w:val="bottom"/>
          </w:tcPr>
          <w:p w14:paraId="5F2A94F9" w14:textId="77777777" w:rsidR="00F46260" w:rsidRPr="00F46260" w:rsidRDefault="00F46260" w:rsidP="00F46260">
            <w:pPr>
              <w:spacing w:after="0" w:line="240" w:lineRule="auto"/>
              <w:rPr>
                <w:rFonts w:ascii="Arial" w:eastAsia="Times New Roman" w:hAnsi="Arial" w:cs="Arial"/>
                <w:b/>
                <w:bCs/>
                <w:color w:val="000000"/>
                <w:sz w:val="20"/>
                <w:szCs w:val="20"/>
                <w:lang w:eastAsia="en-AU"/>
              </w:rPr>
            </w:pPr>
            <w:r w:rsidRPr="00F46260">
              <w:rPr>
                <w:rFonts w:ascii="Arial" w:eastAsia="Times New Roman" w:hAnsi="Arial" w:cs="Arial"/>
                <w:b/>
                <w:bCs/>
                <w:color w:val="000000"/>
                <w:sz w:val="20"/>
                <w:szCs w:val="20"/>
                <w:lang w:eastAsia="en-AU"/>
              </w:rPr>
              <w:t>Secured</w:t>
            </w:r>
          </w:p>
        </w:tc>
        <w:tc>
          <w:tcPr>
            <w:tcW w:w="658" w:type="pct"/>
            <w:shd w:val="pct15" w:color="auto" w:fill="auto"/>
            <w:vAlign w:val="bottom"/>
          </w:tcPr>
          <w:p w14:paraId="7FA1FA35" w14:textId="77777777" w:rsidR="00F46260" w:rsidRPr="00F46260" w:rsidRDefault="00F46260" w:rsidP="00F46260">
            <w:pPr>
              <w:spacing w:after="0" w:line="240" w:lineRule="auto"/>
              <w:rPr>
                <w:rFonts w:ascii="Arial" w:eastAsia="Times New Roman" w:hAnsi="Arial" w:cs="Arial"/>
                <w:color w:val="000000"/>
                <w:sz w:val="20"/>
                <w:szCs w:val="20"/>
                <w:lang w:eastAsia="en-AU"/>
              </w:rPr>
            </w:pPr>
          </w:p>
        </w:tc>
        <w:tc>
          <w:tcPr>
            <w:tcW w:w="125" w:type="pct"/>
            <w:shd w:val="clear" w:color="auto" w:fill="auto"/>
            <w:vAlign w:val="bottom"/>
          </w:tcPr>
          <w:p w14:paraId="0408B6B9"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shd w:val="clear" w:color="auto" w:fill="auto"/>
            <w:vAlign w:val="bottom"/>
          </w:tcPr>
          <w:p w14:paraId="5D56873C" w14:textId="77777777" w:rsidR="00F46260" w:rsidRPr="00F46260" w:rsidRDefault="00F46260" w:rsidP="00F46260">
            <w:pPr>
              <w:spacing w:after="0" w:line="240" w:lineRule="auto"/>
              <w:rPr>
                <w:rFonts w:ascii="Arial" w:eastAsia="Times New Roman" w:hAnsi="Arial" w:cs="Arial"/>
                <w:color w:val="000000"/>
                <w:sz w:val="20"/>
                <w:szCs w:val="20"/>
                <w:lang w:eastAsia="en-AU"/>
              </w:rPr>
            </w:pPr>
          </w:p>
        </w:tc>
      </w:tr>
      <w:tr w:rsidR="00F46260" w:rsidRPr="00F46260" w14:paraId="7D253C3A" w14:textId="77777777" w:rsidTr="00D1524E">
        <w:tc>
          <w:tcPr>
            <w:tcW w:w="3559" w:type="pct"/>
            <w:shd w:val="clear" w:color="auto" w:fill="auto"/>
            <w:vAlign w:val="bottom"/>
          </w:tcPr>
          <w:p w14:paraId="16149C4F"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Current lease liabilities</w:t>
            </w:r>
          </w:p>
        </w:tc>
        <w:tc>
          <w:tcPr>
            <w:tcW w:w="658" w:type="pct"/>
            <w:shd w:val="pct15" w:color="auto" w:fill="auto"/>
            <w:vAlign w:val="bottom"/>
          </w:tcPr>
          <w:p w14:paraId="2FBD3FB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52,276</w:t>
            </w:r>
          </w:p>
        </w:tc>
        <w:tc>
          <w:tcPr>
            <w:tcW w:w="125" w:type="pct"/>
            <w:shd w:val="clear" w:color="auto" w:fill="auto"/>
            <w:vAlign w:val="bottom"/>
          </w:tcPr>
          <w:p w14:paraId="0A413D99"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8" w:type="pct"/>
            <w:shd w:val="clear" w:color="auto" w:fill="auto"/>
            <w:vAlign w:val="bottom"/>
          </w:tcPr>
          <w:p w14:paraId="03E4D753"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7,718</w:t>
            </w:r>
          </w:p>
        </w:tc>
      </w:tr>
      <w:tr w:rsidR="00F46260" w:rsidRPr="00F46260" w14:paraId="7F136F74" w14:textId="77777777" w:rsidTr="00D1524E">
        <w:tc>
          <w:tcPr>
            <w:tcW w:w="3559" w:type="pct"/>
            <w:tcBorders>
              <w:bottom w:val="single" w:sz="2" w:space="0" w:color="auto"/>
            </w:tcBorders>
            <w:shd w:val="clear" w:color="auto" w:fill="auto"/>
            <w:vAlign w:val="bottom"/>
          </w:tcPr>
          <w:p w14:paraId="18847C4D"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Non-current lease liabilities</w:t>
            </w:r>
          </w:p>
        </w:tc>
        <w:tc>
          <w:tcPr>
            <w:tcW w:w="658" w:type="pct"/>
            <w:tcBorders>
              <w:bottom w:val="single" w:sz="2" w:space="0" w:color="auto"/>
            </w:tcBorders>
            <w:shd w:val="pct15" w:color="auto" w:fill="auto"/>
            <w:vAlign w:val="bottom"/>
          </w:tcPr>
          <w:p w14:paraId="2DA159E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125" w:type="pct"/>
            <w:tcBorders>
              <w:bottom w:val="single" w:sz="2" w:space="0" w:color="auto"/>
            </w:tcBorders>
            <w:shd w:val="clear" w:color="auto" w:fill="auto"/>
            <w:vAlign w:val="bottom"/>
          </w:tcPr>
          <w:p w14:paraId="2203F60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8" w:type="pct"/>
            <w:tcBorders>
              <w:bottom w:val="single" w:sz="2" w:space="0" w:color="auto"/>
            </w:tcBorders>
            <w:shd w:val="clear" w:color="auto" w:fill="auto"/>
            <w:vAlign w:val="bottom"/>
          </w:tcPr>
          <w:p w14:paraId="0D011F1E"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sz w:val="20"/>
                <w:szCs w:val="20"/>
                <w:lang w:eastAsia="en-AU"/>
              </w:rPr>
              <w:t>26,976</w:t>
            </w:r>
          </w:p>
        </w:tc>
      </w:tr>
      <w:tr w:rsidR="00F46260" w:rsidRPr="00F46260" w14:paraId="1F8FC97A" w14:textId="77777777" w:rsidTr="00D1524E">
        <w:tc>
          <w:tcPr>
            <w:tcW w:w="3559" w:type="pct"/>
            <w:tcBorders>
              <w:top w:val="single" w:sz="2" w:space="0" w:color="auto"/>
              <w:bottom w:val="single" w:sz="12" w:space="0" w:color="auto"/>
            </w:tcBorders>
            <w:shd w:val="clear" w:color="auto" w:fill="auto"/>
            <w:vAlign w:val="bottom"/>
          </w:tcPr>
          <w:p w14:paraId="27A79FC4" w14:textId="77777777" w:rsidR="00F46260" w:rsidRPr="00F46260" w:rsidRDefault="00F46260" w:rsidP="00F46260">
            <w:pPr>
              <w:spacing w:after="0" w:line="240" w:lineRule="auto"/>
              <w:rPr>
                <w:rFonts w:ascii="Arial" w:eastAsia="Times New Roman" w:hAnsi="Arial" w:cs="Arial"/>
                <w:b/>
                <w:color w:val="000000"/>
                <w:sz w:val="20"/>
                <w:szCs w:val="20"/>
                <w:lang w:eastAsia="en-AU"/>
              </w:rPr>
            </w:pPr>
            <w:r w:rsidRPr="00F46260">
              <w:rPr>
                <w:rFonts w:ascii="Arial" w:eastAsia="Times New Roman" w:hAnsi="Arial" w:cs="Arial"/>
                <w:b/>
                <w:color w:val="000000"/>
                <w:sz w:val="20"/>
                <w:szCs w:val="20"/>
                <w:lang w:eastAsia="en-AU"/>
              </w:rPr>
              <w:t xml:space="preserve">Total Borrowings </w:t>
            </w:r>
          </w:p>
        </w:tc>
        <w:tc>
          <w:tcPr>
            <w:tcW w:w="658" w:type="pct"/>
            <w:tcBorders>
              <w:top w:val="single" w:sz="2" w:space="0" w:color="auto"/>
              <w:bottom w:val="single" w:sz="12" w:space="0" w:color="auto"/>
            </w:tcBorders>
            <w:shd w:val="pct15" w:color="auto" w:fill="auto"/>
            <w:vAlign w:val="bottom"/>
          </w:tcPr>
          <w:p w14:paraId="64A8E7F6" w14:textId="77777777" w:rsidR="00F46260" w:rsidRPr="00F46260" w:rsidRDefault="00F46260" w:rsidP="00F46260">
            <w:pPr>
              <w:spacing w:after="0" w:line="240" w:lineRule="auto"/>
              <w:jc w:val="right"/>
              <w:rPr>
                <w:rFonts w:ascii="Arial" w:eastAsia="Times New Roman" w:hAnsi="Arial" w:cs="Arial"/>
                <w:b/>
                <w:bCs/>
                <w:color w:val="000000"/>
                <w:sz w:val="20"/>
                <w:szCs w:val="20"/>
                <w:lang w:eastAsia="en-AU"/>
              </w:rPr>
            </w:pPr>
            <w:r w:rsidRPr="00F46260">
              <w:rPr>
                <w:rFonts w:ascii="Arial" w:eastAsia="Times New Roman" w:hAnsi="Arial" w:cs="Arial"/>
                <w:b/>
                <w:bCs/>
                <w:sz w:val="20"/>
                <w:szCs w:val="20"/>
                <w:lang w:eastAsia="en-AU"/>
              </w:rPr>
              <w:t>52,276</w:t>
            </w:r>
          </w:p>
        </w:tc>
        <w:tc>
          <w:tcPr>
            <w:tcW w:w="125" w:type="pct"/>
            <w:tcBorders>
              <w:top w:val="single" w:sz="2" w:space="0" w:color="auto"/>
              <w:bottom w:val="single" w:sz="12" w:space="0" w:color="auto"/>
            </w:tcBorders>
            <w:shd w:val="clear" w:color="auto" w:fill="auto"/>
            <w:vAlign w:val="bottom"/>
          </w:tcPr>
          <w:p w14:paraId="3ED7A654"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8" w:type="pct"/>
            <w:tcBorders>
              <w:top w:val="single" w:sz="2" w:space="0" w:color="auto"/>
              <w:bottom w:val="single" w:sz="12" w:space="0" w:color="auto"/>
            </w:tcBorders>
            <w:shd w:val="clear" w:color="auto" w:fill="auto"/>
            <w:vAlign w:val="bottom"/>
          </w:tcPr>
          <w:p w14:paraId="7214B5CF" w14:textId="77777777" w:rsidR="00F46260" w:rsidRPr="00F46260" w:rsidRDefault="00F46260" w:rsidP="00F46260">
            <w:pPr>
              <w:spacing w:after="0" w:line="240" w:lineRule="auto"/>
              <w:jc w:val="right"/>
              <w:rPr>
                <w:rFonts w:ascii="Arial" w:eastAsia="Times New Roman" w:hAnsi="Arial" w:cs="Arial"/>
                <w:b/>
                <w:bCs/>
                <w:color w:val="000000"/>
                <w:sz w:val="20"/>
                <w:szCs w:val="20"/>
                <w:lang w:eastAsia="en-AU"/>
              </w:rPr>
            </w:pPr>
            <w:r w:rsidRPr="00F46260">
              <w:rPr>
                <w:rFonts w:ascii="Arial" w:eastAsia="Times New Roman" w:hAnsi="Arial" w:cs="Arial"/>
                <w:b/>
                <w:bCs/>
                <w:color w:val="000000"/>
                <w:sz w:val="20"/>
                <w:szCs w:val="20"/>
                <w:lang w:eastAsia="en-AU"/>
              </w:rPr>
              <w:t>34,693</w:t>
            </w:r>
          </w:p>
        </w:tc>
      </w:tr>
      <w:tr w:rsidR="00F46260" w:rsidRPr="00F46260" w14:paraId="448FDD65" w14:textId="77777777" w:rsidTr="00D1524E">
        <w:tc>
          <w:tcPr>
            <w:tcW w:w="3559" w:type="pct"/>
            <w:tcBorders>
              <w:top w:val="single" w:sz="12" w:space="0" w:color="auto"/>
            </w:tcBorders>
            <w:shd w:val="clear" w:color="auto" w:fill="auto"/>
            <w:vAlign w:val="bottom"/>
          </w:tcPr>
          <w:p w14:paraId="6A3109C9" w14:textId="77777777" w:rsidR="00F46260" w:rsidRPr="00F46260" w:rsidRDefault="00F46260" w:rsidP="00F46260">
            <w:pPr>
              <w:spacing w:after="0" w:line="240" w:lineRule="auto"/>
              <w:rPr>
                <w:rFonts w:ascii="Arial" w:eastAsia="Times New Roman" w:hAnsi="Arial" w:cs="Arial"/>
                <w:color w:val="000000"/>
                <w:sz w:val="20"/>
                <w:szCs w:val="20"/>
                <w:lang w:eastAsia="en-AU"/>
              </w:rPr>
            </w:pPr>
          </w:p>
        </w:tc>
        <w:tc>
          <w:tcPr>
            <w:tcW w:w="658" w:type="pct"/>
            <w:tcBorders>
              <w:top w:val="single" w:sz="12" w:space="0" w:color="auto"/>
            </w:tcBorders>
            <w:shd w:val="clear" w:color="auto" w:fill="auto"/>
            <w:vAlign w:val="bottom"/>
          </w:tcPr>
          <w:p w14:paraId="76515442"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125" w:type="pct"/>
            <w:tcBorders>
              <w:top w:val="single" w:sz="12" w:space="0" w:color="auto"/>
            </w:tcBorders>
            <w:shd w:val="clear" w:color="auto" w:fill="auto"/>
            <w:vAlign w:val="bottom"/>
          </w:tcPr>
          <w:p w14:paraId="291A6BED"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58" w:type="pct"/>
            <w:tcBorders>
              <w:top w:val="single" w:sz="12" w:space="0" w:color="auto"/>
            </w:tcBorders>
            <w:shd w:val="clear" w:color="auto" w:fill="auto"/>
            <w:vAlign w:val="bottom"/>
          </w:tcPr>
          <w:p w14:paraId="75AB37F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bl>
    <w:p w14:paraId="5E2D4887" w14:textId="77777777" w:rsidR="00F46260" w:rsidRPr="00F46260" w:rsidRDefault="00F46260" w:rsidP="00F46260">
      <w:pPr>
        <w:spacing w:after="0" w:line="240" w:lineRule="auto"/>
        <w:jc w:val="both"/>
        <w:rPr>
          <w:rFonts w:ascii="Arial" w:eastAsia="Times New Roman" w:hAnsi="Arial" w:cs="Arial"/>
          <w:b/>
          <w:sz w:val="20"/>
          <w:szCs w:val="20"/>
          <w:lang w:eastAsia="en-AU"/>
        </w:rPr>
      </w:pPr>
      <w:r w:rsidRPr="00F46260">
        <w:rPr>
          <w:rFonts w:ascii="Arial" w:eastAsia="Times New Roman" w:hAnsi="Arial" w:cs="Arial"/>
          <w:sz w:val="20"/>
          <w:szCs w:val="20"/>
          <w:lang w:eastAsia="en-AU"/>
        </w:rPr>
        <w:t>Borrowings of the Commission relate to lease liabilities on motor vehicles.</w:t>
      </w:r>
    </w:p>
    <w:p w14:paraId="0A443EE9"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772E1847"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Leases are recognised as assets and liabilities of the Commission at amounts equal to the fair value of the lease asset or, if lower, the present value of the minimum lease payments, each determined at the inception of the lease. The lease asset is depreciated over the shorter of the estimated useful life of the asset or the term of the lease. </w:t>
      </w:r>
    </w:p>
    <w:p w14:paraId="3E665F5E"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7865717C"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Minimum lease payments are apportioned between reduction of the lease liability and periodic finance charges which are calculated using the interest rate implicit in the lease and charged directly to the comprehensive operating statement.</w:t>
      </w:r>
    </w:p>
    <w:p w14:paraId="66BFA82B" w14:textId="77777777" w:rsidR="00F46260" w:rsidRPr="00F46260" w:rsidRDefault="00F46260" w:rsidP="00F46260">
      <w:pPr>
        <w:tabs>
          <w:tab w:val="center" w:pos="4320"/>
          <w:tab w:val="right" w:pos="8640"/>
        </w:tabs>
        <w:spacing w:after="0" w:line="240" w:lineRule="auto"/>
        <w:rPr>
          <w:rFonts w:ascii="Arial" w:eastAsia="Times New Roman" w:hAnsi="Arial" w:cs="Arial"/>
          <w:bCs/>
          <w:sz w:val="20"/>
          <w:szCs w:val="20"/>
          <w:lang w:eastAsia="en-AU"/>
        </w:rPr>
      </w:pPr>
    </w:p>
    <w:p w14:paraId="61A358DA" w14:textId="77777777" w:rsidR="00F46260" w:rsidRPr="00F46260" w:rsidRDefault="00F46260" w:rsidP="00F46260">
      <w:pPr>
        <w:tabs>
          <w:tab w:val="center" w:pos="4320"/>
          <w:tab w:val="right" w:pos="8640"/>
        </w:tabs>
        <w:spacing w:after="0" w:line="240" w:lineRule="auto"/>
        <w:rPr>
          <w:rFonts w:ascii="Arial" w:eastAsia="Times New Roman" w:hAnsi="Arial" w:cs="Arial"/>
          <w:bCs/>
          <w:sz w:val="20"/>
          <w:szCs w:val="20"/>
          <w:lang w:eastAsia="en-AU"/>
        </w:rPr>
      </w:pPr>
      <w:r w:rsidRPr="00F46260">
        <w:rPr>
          <w:rFonts w:ascii="Arial" w:eastAsia="Times New Roman" w:hAnsi="Arial" w:cs="Arial"/>
          <w:bCs/>
          <w:sz w:val="20"/>
          <w:szCs w:val="20"/>
          <w:lang w:eastAsia="en-AU"/>
        </w:rPr>
        <w:t>Leases are secured borrowings as the rights to the leased assets will revert to the lessor in the event of a default.</w:t>
      </w:r>
    </w:p>
    <w:p w14:paraId="52949E3A" w14:textId="77777777" w:rsidR="00F46260" w:rsidRPr="00F46260" w:rsidRDefault="00F46260" w:rsidP="00F46260">
      <w:pPr>
        <w:tabs>
          <w:tab w:val="center" w:pos="4320"/>
          <w:tab w:val="right" w:pos="8640"/>
        </w:tabs>
        <w:spacing w:after="0" w:line="240" w:lineRule="auto"/>
        <w:rPr>
          <w:rFonts w:ascii="Arial" w:eastAsia="Times New Roman" w:hAnsi="Arial" w:cs="Arial"/>
          <w:bCs/>
          <w:sz w:val="20"/>
          <w:szCs w:val="20"/>
          <w:lang w:eastAsia="en-AU"/>
        </w:rPr>
      </w:pPr>
    </w:p>
    <w:p w14:paraId="2A86FAA7"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There were no defaults and breaches of any lease condition during the current or previous year.</w:t>
      </w:r>
    </w:p>
    <w:p w14:paraId="174A9B82"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243C7E9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6.2 Reconciliation of net result for the year to cash flow from operating activities</w:t>
      </w:r>
    </w:p>
    <w:tbl>
      <w:tblPr>
        <w:tblW w:w="5000" w:type="pct"/>
        <w:tblInd w:w="-108" w:type="dxa"/>
        <w:tblLook w:val="0000" w:firstRow="0" w:lastRow="0" w:firstColumn="0" w:lastColumn="0" w:noHBand="0" w:noVBand="0"/>
      </w:tblPr>
      <w:tblGrid>
        <w:gridCol w:w="6424"/>
        <w:gridCol w:w="1448"/>
        <w:gridCol w:w="239"/>
        <w:gridCol w:w="1244"/>
      </w:tblGrid>
      <w:tr w:rsidR="00F46260" w:rsidRPr="00F46260" w14:paraId="5ECFA786" w14:textId="77777777" w:rsidTr="00D1524E">
        <w:trPr>
          <w:trHeight w:val="255"/>
        </w:trPr>
        <w:tc>
          <w:tcPr>
            <w:tcW w:w="3433" w:type="pct"/>
            <w:tcBorders>
              <w:top w:val="nil"/>
              <w:left w:val="nil"/>
              <w:right w:val="nil"/>
            </w:tcBorders>
            <w:shd w:val="clear" w:color="auto" w:fill="auto"/>
            <w:vAlign w:val="bottom"/>
          </w:tcPr>
          <w:p w14:paraId="3FD1B283"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74" w:type="pct"/>
            <w:tcBorders>
              <w:top w:val="nil"/>
              <w:left w:val="nil"/>
              <w:right w:val="nil"/>
            </w:tcBorders>
            <w:shd w:val="clear" w:color="auto" w:fill="auto"/>
          </w:tcPr>
          <w:p w14:paraId="6ABA19E3"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28" w:type="pct"/>
            <w:tcBorders>
              <w:top w:val="nil"/>
              <w:left w:val="nil"/>
              <w:right w:val="nil"/>
            </w:tcBorders>
            <w:shd w:val="clear" w:color="auto" w:fill="auto"/>
          </w:tcPr>
          <w:p w14:paraId="0080128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right w:val="nil"/>
            </w:tcBorders>
            <w:shd w:val="clear" w:color="auto" w:fill="auto"/>
          </w:tcPr>
          <w:p w14:paraId="4C547314"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2A575BA4" w14:textId="77777777" w:rsidTr="00D1524E">
        <w:trPr>
          <w:trHeight w:val="510"/>
        </w:trPr>
        <w:tc>
          <w:tcPr>
            <w:tcW w:w="3433" w:type="pct"/>
            <w:tcBorders>
              <w:top w:val="nil"/>
              <w:left w:val="nil"/>
              <w:bottom w:val="nil"/>
              <w:right w:val="nil"/>
            </w:tcBorders>
            <w:shd w:val="pct50" w:color="auto" w:fill="auto"/>
            <w:vAlign w:val="bottom"/>
          </w:tcPr>
          <w:p w14:paraId="5F5A9C24"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74" w:type="pct"/>
            <w:tcBorders>
              <w:top w:val="nil"/>
              <w:left w:val="nil"/>
              <w:right w:val="nil"/>
            </w:tcBorders>
            <w:shd w:val="pct50" w:color="auto" w:fill="auto"/>
          </w:tcPr>
          <w:p w14:paraId="3224F077"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4E29C179"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28" w:type="pct"/>
            <w:tcBorders>
              <w:top w:val="nil"/>
              <w:left w:val="nil"/>
              <w:bottom w:val="nil"/>
              <w:right w:val="nil"/>
            </w:tcBorders>
            <w:shd w:val="pct50" w:color="auto" w:fill="auto"/>
          </w:tcPr>
          <w:p w14:paraId="32F01A4C" w14:textId="77777777" w:rsidR="00F46260" w:rsidRPr="00F46260" w:rsidRDefault="00F46260" w:rsidP="00F46260">
            <w:pPr>
              <w:spacing w:after="0" w:line="240" w:lineRule="auto"/>
              <w:jc w:val="right"/>
              <w:rPr>
                <w:rFonts w:ascii="Arial" w:eastAsia="Times New Roman" w:hAnsi="Arial" w:cs="Arial"/>
                <w:b/>
                <w:bCs/>
                <w:color w:val="FFFFFF"/>
                <w:sz w:val="20"/>
                <w:szCs w:val="20"/>
                <w:lang w:eastAsia="en-AU"/>
              </w:rPr>
            </w:pPr>
          </w:p>
        </w:tc>
        <w:tc>
          <w:tcPr>
            <w:tcW w:w="665" w:type="pct"/>
            <w:tcBorders>
              <w:top w:val="nil"/>
              <w:left w:val="nil"/>
              <w:right w:val="nil"/>
            </w:tcBorders>
            <w:shd w:val="pct50" w:color="auto" w:fill="auto"/>
          </w:tcPr>
          <w:p w14:paraId="402D9932"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305AE6DC"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22B14476" w14:textId="77777777" w:rsidTr="00D1524E">
        <w:trPr>
          <w:trHeight w:val="255"/>
        </w:trPr>
        <w:tc>
          <w:tcPr>
            <w:tcW w:w="3433" w:type="pct"/>
            <w:tcBorders>
              <w:top w:val="nil"/>
              <w:left w:val="nil"/>
              <w:bottom w:val="nil"/>
              <w:right w:val="nil"/>
            </w:tcBorders>
            <w:shd w:val="clear" w:color="auto" w:fill="auto"/>
            <w:vAlign w:val="bottom"/>
          </w:tcPr>
          <w:p w14:paraId="7463749F"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Net result for the year</w:t>
            </w:r>
          </w:p>
        </w:tc>
        <w:tc>
          <w:tcPr>
            <w:tcW w:w="774" w:type="pct"/>
            <w:tcBorders>
              <w:top w:val="nil"/>
              <w:left w:val="nil"/>
              <w:bottom w:val="nil"/>
              <w:right w:val="nil"/>
            </w:tcBorders>
            <w:shd w:val="pct15" w:color="auto" w:fill="auto"/>
            <w:vAlign w:val="bottom"/>
          </w:tcPr>
          <w:p w14:paraId="267DF3F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(2,242,454)</w:t>
            </w:r>
          </w:p>
        </w:tc>
        <w:tc>
          <w:tcPr>
            <w:tcW w:w="128" w:type="pct"/>
            <w:tcBorders>
              <w:top w:val="nil"/>
              <w:left w:val="nil"/>
              <w:bottom w:val="nil"/>
              <w:right w:val="nil"/>
            </w:tcBorders>
            <w:shd w:val="clear" w:color="auto" w:fill="auto"/>
            <w:vAlign w:val="bottom"/>
          </w:tcPr>
          <w:p w14:paraId="49063768"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bottom w:val="nil"/>
              <w:right w:val="nil"/>
            </w:tcBorders>
            <w:shd w:val="clear" w:color="auto" w:fill="auto"/>
            <w:vAlign w:val="bottom"/>
          </w:tcPr>
          <w:p w14:paraId="0E886C59"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(186,142)</w:t>
            </w:r>
          </w:p>
        </w:tc>
      </w:tr>
      <w:tr w:rsidR="00F46260" w:rsidRPr="00F46260" w14:paraId="153EE554" w14:textId="77777777" w:rsidTr="00D1524E">
        <w:trPr>
          <w:trHeight w:val="255"/>
        </w:trPr>
        <w:tc>
          <w:tcPr>
            <w:tcW w:w="3433" w:type="pct"/>
            <w:tcBorders>
              <w:top w:val="nil"/>
              <w:left w:val="nil"/>
              <w:bottom w:val="nil"/>
              <w:right w:val="nil"/>
            </w:tcBorders>
            <w:shd w:val="clear" w:color="auto" w:fill="auto"/>
            <w:vAlign w:val="bottom"/>
          </w:tcPr>
          <w:p w14:paraId="059C2A34"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Non-cash movements</w:t>
            </w:r>
          </w:p>
        </w:tc>
        <w:tc>
          <w:tcPr>
            <w:tcW w:w="774" w:type="pct"/>
            <w:tcBorders>
              <w:top w:val="nil"/>
              <w:left w:val="nil"/>
              <w:bottom w:val="nil"/>
              <w:right w:val="nil"/>
            </w:tcBorders>
            <w:shd w:val="pct15" w:color="auto" w:fill="auto"/>
            <w:vAlign w:val="bottom"/>
          </w:tcPr>
          <w:p w14:paraId="530BBD5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8" w:type="pct"/>
            <w:tcBorders>
              <w:top w:val="nil"/>
              <w:left w:val="nil"/>
              <w:bottom w:val="nil"/>
              <w:right w:val="nil"/>
            </w:tcBorders>
            <w:shd w:val="clear" w:color="auto" w:fill="auto"/>
            <w:vAlign w:val="bottom"/>
          </w:tcPr>
          <w:p w14:paraId="046CACF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bottom w:val="nil"/>
              <w:right w:val="nil"/>
            </w:tcBorders>
            <w:shd w:val="clear" w:color="auto" w:fill="auto"/>
            <w:vAlign w:val="bottom"/>
          </w:tcPr>
          <w:p w14:paraId="5835710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06E827A2" w14:textId="77777777" w:rsidTr="00D1524E">
        <w:trPr>
          <w:trHeight w:val="255"/>
        </w:trPr>
        <w:tc>
          <w:tcPr>
            <w:tcW w:w="3433" w:type="pct"/>
            <w:tcBorders>
              <w:top w:val="nil"/>
              <w:left w:val="nil"/>
              <w:bottom w:val="nil"/>
              <w:right w:val="nil"/>
            </w:tcBorders>
            <w:shd w:val="clear" w:color="auto" w:fill="auto"/>
            <w:vAlign w:val="bottom"/>
          </w:tcPr>
          <w:p w14:paraId="28F086A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Depreciation</w:t>
            </w:r>
          </w:p>
        </w:tc>
        <w:tc>
          <w:tcPr>
            <w:tcW w:w="774" w:type="pct"/>
            <w:tcBorders>
              <w:top w:val="nil"/>
              <w:left w:val="nil"/>
              <w:bottom w:val="nil"/>
              <w:right w:val="nil"/>
            </w:tcBorders>
            <w:shd w:val="pct15" w:color="auto" w:fill="auto"/>
            <w:vAlign w:val="bottom"/>
          </w:tcPr>
          <w:p w14:paraId="2E6B9FC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308,188</w:t>
            </w:r>
          </w:p>
        </w:tc>
        <w:tc>
          <w:tcPr>
            <w:tcW w:w="128" w:type="pct"/>
            <w:tcBorders>
              <w:top w:val="nil"/>
              <w:left w:val="nil"/>
              <w:bottom w:val="nil"/>
              <w:right w:val="nil"/>
            </w:tcBorders>
            <w:shd w:val="clear" w:color="auto" w:fill="auto"/>
            <w:vAlign w:val="bottom"/>
          </w:tcPr>
          <w:p w14:paraId="71DD2B3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bottom w:val="nil"/>
              <w:right w:val="nil"/>
            </w:tcBorders>
            <w:shd w:val="clear" w:color="auto" w:fill="auto"/>
            <w:vAlign w:val="bottom"/>
          </w:tcPr>
          <w:p w14:paraId="4CD0F231"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568,938</w:t>
            </w:r>
          </w:p>
        </w:tc>
      </w:tr>
      <w:tr w:rsidR="00F46260" w:rsidRPr="00F46260" w14:paraId="63EBCCDD" w14:textId="77777777" w:rsidTr="00D1524E">
        <w:trPr>
          <w:trHeight w:val="255"/>
        </w:trPr>
        <w:tc>
          <w:tcPr>
            <w:tcW w:w="3433" w:type="pct"/>
            <w:tcBorders>
              <w:top w:val="nil"/>
              <w:left w:val="nil"/>
              <w:bottom w:val="nil"/>
              <w:right w:val="nil"/>
            </w:tcBorders>
            <w:shd w:val="clear" w:color="auto" w:fill="auto"/>
            <w:vAlign w:val="bottom"/>
          </w:tcPr>
          <w:p w14:paraId="13451F90"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Change in operating assets and liabilities</w:t>
            </w:r>
            <w:r w:rsidRPr="00F46260">
              <w:rPr>
                <w:rFonts w:ascii="Arial" w:eastAsia="Times New Roman" w:hAnsi="Arial" w:cs="Arial"/>
                <w:sz w:val="20"/>
                <w:szCs w:val="20"/>
                <w:lang w:eastAsia="en-AU"/>
              </w:rPr>
              <w:t>:</w:t>
            </w:r>
          </w:p>
        </w:tc>
        <w:tc>
          <w:tcPr>
            <w:tcW w:w="774" w:type="pct"/>
            <w:tcBorders>
              <w:top w:val="nil"/>
              <w:left w:val="nil"/>
              <w:bottom w:val="nil"/>
              <w:right w:val="nil"/>
            </w:tcBorders>
            <w:shd w:val="pct15" w:color="auto" w:fill="auto"/>
            <w:vAlign w:val="bottom"/>
          </w:tcPr>
          <w:p w14:paraId="5DD8832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128" w:type="pct"/>
            <w:tcBorders>
              <w:top w:val="nil"/>
              <w:left w:val="nil"/>
              <w:bottom w:val="nil"/>
              <w:right w:val="nil"/>
            </w:tcBorders>
            <w:shd w:val="clear" w:color="auto" w:fill="auto"/>
            <w:vAlign w:val="bottom"/>
          </w:tcPr>
          <w:p w14:paraId="562C063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bottom w:val="nil"/>
              <w:right w:val="nil"/>
            </w:tcBorders>
            <w:shd w:val="clear" w:color="auto" w:fill="auto"/>
            <w:vAlign w:val="bottom"/>
          </w:tcPr>
          <w:p w14:paraId="71F876A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r>
      <w:tr w:rsidR="00F46260" w:rsidRPr="00F46260" w14:paraId="36CC9CD3" w14:textId="77777777" w:rsidTr="00D1524E">
        <w:trPr>
          <w:trHeight w:val="255"/>
        </w:trPr>
        <w:tc>
          <w:tcPr>
            <w:tcW w:w="3433" w:type="pct"/>
            <w:tcBorders>
              <w:top w:val="nil"/>
              <w:left w:val="nil"/>
              <w:bottom w:val="nil"/>
              <w:right w:val="nil"/>
            </w:tcBorders>
            <w:shd w:val="clear" w:color="auto" w:fill="auto"/>
            <w:vAlign w:val="bottom"/>
          </w:tcPr>
          <w:p w14:paraId="681F141F" w14:textId="77777777" w:rsidR="00F46260" w:rsidRPr="00F46260" w:rsidRDefault="00F46260" w:rsidP="00F46260">
            <w:pPr>
              <w:spacing w:after="0" w:line="240" w:lineRule="auto"/>
              <w:ind w:firstLineChars="100" w:firstLine="200"/>
              <w:rPr>
                <w:rFonts w:ascii="Arial" w:eastAsia="Times New Roman" w:hAnsi="Arial" w:cs="Arial"/>
                <w:sz w:val="20"/>
                <w:szCs w:val="20"/>
                <w:lang w:eastAsia="en-AU"/>
              </w:rPr>
            </w:pPr>
            <w:r w:rsidRPr="00F46260">
              <w:rPr>
                <w:rFonts w:ascii="Arial" w:eastAsia="Times New Roman" w:hAnsi="Arial" w:cs="Arial"/>
                <w:sz w:val="20"/>
                <w:szCs w:val="20"/>
                <w:lang w:eastAsia="en-AU"/>
              </w:rPr>
              <w:t>(Increase)/decrease in receivables</w:t>
            </w:r>
          </w:p>
        </w:tc>
        <w:tc>
          <w:tcPr>
            <w:tcW w:w="774" w:type="pct"/>
            <w:tcBorders>
              <w:top w:val="nil"/>
              <w:left w:val="nil"/>
              <w:bottom w:val="nil"/>
              <w:right w:val="nil"/>
            </w:tcBorders>
            <w:shd w:val="pct15" w:color="auto" w:fill="auto"/>
            <w:vAlign w:val="bottom"/>
          </w:tcPr>
          <w:p w14:paraId="0B53E14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2,879,235</w:t>
            </w:r>
          </w:p>
        </w:tc>
        <w:tc>
          <w:tcPr>
            <w:tcW w:w="128" w:type="pct"/>
            <w:tcBorders>
              <w:top w:val="nil"/>
              <w:left w:val="nil"/>
              <w:bottom w:val="nil"/>
              <w:right w:val="nil"/>
            </w:tcBorders>
            <w:shd w:val="clear" w:color="auto" w:fill="auto"/>
            <w:vAlign w:val="bottom"/>
          </w:tcPr>
          <w:p w14:paraId="2BF6FA0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bottom w:val="nil"/>
              <w:right w:val="nil"/>
            </w:tcBorders>
            <w:shd w:val="clear" w:color="auto" w:fill="auto"/>
            <w:vAlign w:val="bottom"/>
          </w:tcPr>
          <w:p w14:paraId="3CE1A03A"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(645,254)</w:t>
            </w:r>
          </w:p>
        </w:tc>
      </w:tr>
      <w:tr w:rsidR="00F46260" w:rsidRPr="00F46260" w14:paraId="0E9E284E" w14:textId="77777777" w:rsidTr="00D1524E">
        <w:trPr>
          <w:trHeight w:val="255"/>
        </w:trPr>
        <w:tc>
          <w:tcPr>
            <w:tcW w:w="3433" w:type="pct"/>
            <w:tcBorders>
              <w:top w:val="nil"/>
              <w:left w:val="nil"/>
              <w:bottom w:val="nil"/>
              <w:right w:val="nil"/>
            </w:tcBorders>
            <w:shd w:val="clear" w:color="auto" w:fill="auto"/>
            <w:vAlign w:val="bottom"/>
          </w:tcPr>
          <w:p w14:paraId="62A916A1" w14:textId="77777777" w:rsidR="00F46260" w:rsidRPr="00F46260" w:rsidRDefault="00F46260" w:rsidP="00F46260">
            <w:pPr>
              <w:spacing w:after="0" w:line="240" w:lineRule="auto"/>
              <w:ind w:firstLineChars="100" w:firstLine="200"/>
              <w:rPr>
                <w:rFonts w:ascii="Arial" w:eastAsia="Times New Roman" w:hAnsi="Arial" w:cs="Arial"/>
                <w:sz w:val="20"/>
                <w:szCs w:val="20"/>
                <w:lang w:eastAsia="en-AU"/>
              </w:rPr>
            </w:pPr>
            <w:r w:rsidRPr="00F46260">
              <w:rPr>
                <w:rFonts w:ascii="Arial" w:eastAsia="Times New Roman" w:hAnsi="Arial" w:cs="Arial"/>
                <w:sz w:val="20"/>
                <w:szCs w:val="20"/>
                <w:lang w:eastAsia="en-AU"/>
              </w:rPr>
              <w:t>(Increase)/decrease in prepayments</w:t>
            </w:r>
          </w:p>
        </w:tc>
        <w:tc>
          <w:tcPr>
            <w:tcW w:w="774" w:type="pct"/>
            <w:tcBorders>
              <w:top w:val="nil"/>
              <w:left w:val="nil"/>
              <w:bottom w:val="nil"/>
              <w:right w:val="nil"/>
            </w:tcBorders>
            <w:shd w:val="pct15" w:color="auto" w:fill="auto"/>
            <w:vAlign w:val="bottom"/>
          </w:tcPr>
          <w:p w14:paraId="0BD5FF6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(230,555)</w:t>
            </w:r>
          </w:p>
        </w:tc>
        <w:tc>
          <w:tcPr>
            <w:tcW w:w="128" w:type="pct"/>
            <w:tcBorders>
              <w:top w:val="nil"/>
              <w:left w:val="nil"/>
              <w:bottom w:val="nil"/>
              <w:right w:val="nil"/>
            </w:tcBorders>
            <w:shd w:val="clear" w:color="auto" w:fill="auto"/>
            <w:vAlign w:val="bottom"/>
          </w:tcPr>
          <w:p w14:paraId="2BB2B408"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bottom w:val="nil"/>
              <w:right w:val="nil"/>
            </w:tcBorders>
            <w:shd w:val="clear" w:color="auto" w:fill="auto"/>
            <w:vAlign w:val="bottom"/>
          </w:tcPr>
          <w:p w14:paraId="01B16C8E"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10,176</w:t>
            </w:r>
          </w:p>
        </w:tc>
      </w:tr>
      <w:tr w:rsidR="00F46260" w:rsidRPr="00F46260" w14:paraId="50F7607F" w14:textId="77777777" w:rsidTr="00D1524E">
        <w:trPr>
          <w:trHeight w:val="255"/>
        </w:trPr>
        <w:tc>
          <w:tcPr>
            <w:tcW w:w="3433" w:type="pct"/>
            <w:tcBorders>
              <w:top w:val="nil"/>
              <w:left w:val="nil"/>
              <w:bottom w:val="nil"/>
              <w:right w:val="nil"/>
            </w:tcBorders>
            <w:shd w:val="clear" w:color="auto" w:fill="auto"/>
            <w:vAlign w:val="bottom"/>
          </w:tcPr>
          <w:p w14:paraId="647CEBF6" w14:textId="77777777" w:rsidR="00F46260" w:rsidRPr="00F46260" w:rsidRDefault="00F46260" w:rsidP="00F46260">
            <w:pPr>
              <w:spacing w:after="0" w:line="240" w:lineRule="auto"/>
              <w:ind w:firstLineChars="100" w:firstLine="200"/>
              <w:rPr>
                <w:rFonts w:ascii="Arial" w:eastAsia="Times New Roman" w:hAnsi="Arial" w:cs="Arial"/>
                <w:sz w:val="20"/>
                <w:szCs w:val="20"/>
                <w:lang w:eastAsia="en-AU"/>
              </w:rPr>
            </w:pPr>
            <w:r w:rsidRPr="00F46260">
              <w:rPr>
                <w:rFonts w:ascii="Arial" w:eastAsia="Times New Roman" w:hAnsi="Arial" w:cs="Arial"/>
                <w:sz w:val="20"/>
                <w:szCs w:val="20"/>
                <w:lang w:eastAsia="en-AU"/>
              </w:rPr>
              <w:t>Increase/(decrease) in creditors and accruals</w:t>
            </w:r>
          </w:p>
        </w:tc>
        <w:tc>
          <w:tcPr>
            <w:tcW w:w="774" w:type="pct"/>
            <w:tcBorders>
              <w:top w:val="nil"/>
              <w:left w:val="nil"/>
              <w:bottom w:val="nil"/>
              <w:right w:val="nil"/>
            </w:tcBorders>
            <w:shd w:val="pct15" w:color="auto" w:fill="auto"/>
            <w:vAlign w:val="bottom"/>
          </w:tcPr>
          <w:p w14:paraId="277532FB"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(986,646)</w:t>
            </w:r>
          </w:p>
        </w:tc>
        <w:tc>
          <w:tcPr>
            <w:tcW w:w="128" w:type="pct"/>
            <w:tcBorders>
              <w:top w:val="nil"/>
              <w:left w:val="nil"/>
              <w:bottom w:val="nil"/>
              <w:right w:val="nil"/>
            </w:tcBorders>
            <w:shd w:val="clear" w:color="auto" w:fill="auto"/>
            <w:vAlign w:val="bottom"/>
          </w:tcPr>
          <w:p w14:paraId="56318F43"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bottom w:val="nil"/>
              <w:right w:val="nil"/>
            </w:tcBorders>
            <w:shd w:val="clear" w:color="auto" w:fill="auto"/>
            <w:vAlign w:val="bottom"/>
          </w:tcPr>
          <w:p w14:paraId="4651F38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499,657</w:t>
            </w:r>
          </w:p>
        </w:tc>
      </w:tr>
      <w:tr w:rsidR="00F46260" w:rsidRPr="00F46260" w14:paraId="38302620" w14:textId="77777777" w:rsidTr="00D1524E">
        <w:trPr>
          <w:trHeight w:val="255"/>
        </w:trPr>
        <w:tc>
          <w:tcPr>
            <w:tcW w:w="3433" w:type="pct"/>
            <w:tcBorders>
              <w:top w:val="nil"/>
              <w:left w:val="nil"/>
              <w:bottom w:val="nil"/>
              <w:right w:val="nil"/>
            </w:tcBorders>
            <w:shd w:val="clear" w:color="auto" w:fill="auto"/>
            <w:vAlign w:val="bottom"/>
          </w:tcPr>
          <w:p w14:paraId="3D3DD0AA" w14:textId="77777777" w:rsidR="00F46260" w:rsidRPr="00F46260" w:rsidRDefault="00F46260" w:rsidP="00F46260">
            <w:pPr>
              <w:spacing w:after="0" w:line="240" w:lineRule="auto"/>
              <w:ind w:firstLineChars="100" w:firstLine="200"/>
              <w:rPr>
                <w:rFonts w:ascii="Arial" w:eastAsia="Times New Roman" w:hAnsi="Arial" w:cs="Arial"/>
                <w:sz w:val="20"/>
                <w:szCs w:val="20"/>
                <w:lang w:eastAsia="en-AU"/>
              </w:rPr>
            </w:pPr>
            <w:r w:rsidRPr="00F46260">
              <w:rPr>
                <w:rFonts w:ascii="Arial" w:eastAsia="Times New Roman" w:hAnsi="Arial" w:cs="Arial"/>
                <w:sz w:val="20"/>
                <w:szCs w:val="20"/>
                <w:lang w:eastAsia="en-AU"/>
              </w:rPr>
              <w:t>Increase/(decrease) in provisions</w:t>
            </w:r>
          </w:p>
        </w:tc>
        <w:tc>
          <w:tcPr>
            <w:tcW w:w="774" w:type="pct"/>
            <w:tcBorders>
              <w:top w:val="nil"/>
              <w:left w:val="nil"/>
              <w:bottom w:val="nil"/>
              <w:right w:val="nil"/>
            </w:tcBorders>
            <w:shd w:val="pct15" w:color="auto" w:fill="auto"/>
            <w:vAlign w:val="bottom"/>
          </w:tcPr>
          <w:p w14:paraId="077ACC2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899,697</w:t>
            </w:r>
          </w:p>
        </w:tc>
        <w:tc>
          <w:tcPr>
            <w:tcW w:w="128" w:type="pct"/>
            <w:tcBorders>
              <w:top w:val="nil"/>
              <w:left w:val="nil"/>
              <w:bottom w:val="nil"/>
              <w:right w:val="nil"/>
            </w:tcBorders>
            <w:shd w:val="clear" w:color="auto" w:fill="auto"/>
            <w:vAlign w:val="bottom"/>
          </w:tcPr>
          <w:p w14:paraId="0CF67EBC"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bottom w:val="nil"/>
              <w:right w:val="nil"/>
            </w:tcBorders>
            <w:shd w:val="clear" w:color="auto" w:fill="auto"/>
            <w:vAlign w:val="bottom"/>
          </w:tcPr>
          <w:p w14:paraId="6768BD39"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1,574</w:t>
            </w:r>
          </w:p>
        </w:tc>
      </w:tr>
      <w:tr w:rsidR="00F46260" w:rsidRPr="00F46260" w14:paraId="2FF90901" w14:textId="77777777" w:rsidTr="00D1524E">
        <w:trPr>
          <w:trHeight w:val="255"/>
        </w:trPr>
        <w:tc>
          <w:tcPr>
            <w:tcW w:w="3433" w:type="pct"/>
            <w:tcBorders>
              <w:top w:val="nil"/>
              <w:left w:val="nil"/>
              <w:bottom w:val="single" w:sz="2" w:space="0" w:color="auto"/>
              <w:right w:val="nil"/>
            </w:tcBorders>
            <w:shd w:val="clear" w:color="auto" w:fill="auto"/>
            <w:vAlign w:val="bottom"/>
          </w:tcPr>
          <w:p w14:paraId="2A335B1D" w14:textId="77777777" w:rsidR="00F46260" w:rsidRPr="00F46260" w:rsidRDefault="00F46260" w:rsidP="00F46260">
            <w:pPr>
              <w:spacing w:after="0" w:line="240" w:lineRule="auto"/>
              <w:ind w:firstLineChars="100" w:firstLine="200"/>
              <w:rPr>
                <w:rFonts w:ascii="Arial" w:eastAsia="Times New Roman" w:hAnsi="Arial" w:cs="Arial"/>
                <w:sz w:val="20"/>
                <w:szCs w:val="20"/>
                <w:lang w:eastAsia="en-AU"/>
              </w:rPr>
            </w:pPr>
            <w:r w:rsidRPr="00F46260">
              <w:rPr>
                <w:rFonts w:ascii="Arial" w:eastAsia="Times New Roman" w:hAnsi="Arial" w:cs="Arial"/>
                <w:sz w:val="20"/>
                <w:szCs w:val="20"/>
                <w:lang w:eastAsia="en-AU"/>
              </w:rPr>
              <w:t>Increase/(decrease) in other liabilities</w:t>
            </w:r>
          </w:p>
        </w:tc>
        <w:tc>
          <w:tcPr>
            <w:tcW w:w="774" w:type="pct"/>
            <w:tcBorders>
              <w:top w:val="nil"/>
              <w:left w:val="nil"/>
              <w:bottom w:val="single" w:sz="2" w:space="0" w:color="auto"/>
              <w:right w:val="nil"/>
            </w:tcBorders>
            <w:shd w:val="pct15" w:color="auto" w:fill="auto"/>
            <w:vAlign w:val="bottom"/>
          </w:tcPr>
          <w:p w14:paraId="0F3B37F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91,013</w:t>
            </w:r>
          </w:p>
        </w:tc>
        <w:tc>
          <w:tcPr>
            <w:tcW w:w="128" w:type="pct"/>
            <w:tcBorders>
              <w:top w:val="nil"/>
              <w:left w:val="nil"/>
              <w:bottom w:val="single" w:sz="2" w:space="0" w:color="auto"/>
              <w:right w:val="nil"/>
            </w:tcBorders>
            <w:shd w:val="clear" w:color="auto" w:fill="auto"/>
            <w:vAlign w:val="bottom"/>
          </w:tcPr>
          <w:p w14:paraId="6DDDA1D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nil"/>
              <w:left w:val="nil"/>
              <w:bottom w:val="single" w:sz="2" w:space="0" w:color="auto"/>
              <w:right w:val="nil"/>
            </w:tcBorders>
            <w:shd w:val="clear" w:color="auto" w:fill="auto"/>
            <w:vAlign w:val="bottom"/>
          </w:tcPr>
          <w:p w14:paraId="6A96A306"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463,160</w:t>
            </w:r>
          </w:p>
        </w:tc>
      </w:tr>
      <w:tr w:rsidR="00F46260" w:rsidRPr="00F46260" w14:paraId="14CB7413" w14:textId="77777777" w:rsidTr="00D1524E">
        <w:trPr>
          <w:trHeight w:val="270"/>
        </w:trPr>
        <w:tc>
          <w:tcPr>
            <w:tcW w:w="3433" w:type="pct"/>
            <w:tcBorders>
              <w:top w:val="single" w:sz="2" w:space="0" w:color="auto"/>
              <w:left w:val="nil"/>
              <w:bottom w:val="single" w:sz="12" w:space="0" w:color="auto"/>
              <w:right w:val="nil"/>
            </w:tcBorders>
            <w:shd w:val="clear" w:color="auto" w:fill="auto"/>
            <w:vAlign w:val="bottom"/>
          </w:tcPr>
          <w:p w14:paraId="7FDB2D72"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Net cash flows from operating activities</w:t>
            </w:r>
          </w:p>
        </w:tc>
        <w:tc>
          <w:tcPr>
            <w:tcW w:w="774" w:type="pct"/>
            <w:tcBorders>
              <w:top w:val="single" w:sz="2" w:space="0" w:color="auto"/>
              <w:left w:val="nil"/>
              <w:bottom w:val="single" w:sz="12" w:space="0" w:color="auto"/>
              <w:right w:val="nil"/>
            </w:tcBorders>
            <w:shd w:val="pct15" w:color="auto" w:fill="auto"/>
            <w:vAlign w:val="bottom"/>
          </w:tcPr>
          <w:p w14:paraId="166B769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718,478</w:t>
            </w:r>
          </w:p>
        </w:tc>
        <w:tc>
          <w:tcPr>
            <w:tcW w:w="128" w:type="pct"/>
            <w:tcBorders>
              <w:top w:val="single" w:sz="2" w:space="0" w:color="auto"/>
              <w:left w:val="nil"/>
              <w:bottom w:val="single" w:sz="12" w:space="0" w:color="auto"/>
              <w:right w:val="nil"/>
            </w:tcBorders>
            <w:shd w:val="clear" w:color="auto" w:fill="auto"/>
            <w:vAlign w:val="bottom"/>
          </w:tcPr>
          <w:p w14:paraId="33B02770"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665" w:type="pct"/>
            <w:tcBorders>
              <w:top w:val="single" w:sz="2" w:space="0" w:color="auto"/>
              <w:left w:val="nil"/>
              <w:bottom w:val="single" w:sz="12" w:space="0" w:color="auto"/>
              <w:right w:val="nil"/>
            </w:tcBorders>
            <w:shd w:val="clear" w:color="auto" w:fill="auto"/>
            <w:vAlign w:val="bottom"/>
          </w:tcPr>
          <w:p w14:paraId="07E5C537"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712,109</w:t>
            </w:r>
          </w:p>
        </w:tc>
      </w:tr>
    </w:tbl>
    <w:p w14:paraId="5C30AD01" w14:textId="77777777" w:rsidR="00F46260" w:rsidRPr="00F46260" w:rsidRDefault="00F46260" w:rsidP="00F46260">
      <w:pPr>
        <w:spacing w:after="0" w:line="240" w:lineRule="auto"/>
        <w:rPr>
          <w:rFonts w:ascii="Arial" w:eastAsia="Times New Roman" w:hAnsi="Arial" w:cs="Arial"/>
          <w:b/>
          <w:sz w:val="20"/>
          <w:szCs w:val="20"/>
          <w:lang w:eastAsia="en-AU"/>
        </w:rPr>
      </w:pPr>
    </w:p>
    <w:p w14:paraId="5269F0BB" w14:textId="77777777" w:rsidR="00F46260" w:rsidRPr="00F46260" w:rsidRDefault="00F46260" w:rsidP="00F46260">
      <w:pPr>
        <w:spacing w:after="0" w:line="240" w:lineRule="auto"/>
        <w:rPr>
          <w:rFonts w:ascii="Arial" w:eastAsia="Times New Roman" w:hAnsi="Arial" w:cs="Arial"/>
          <w:b/>
          <w:sz w:val="20"/>
          <w:szCs w:val="20"/>
          <w:lang w:eastAsia="en-AU"/>
        </w:rPr>
      </w:pPr>
    </w:p>
    <w:p w14:paraId="454508F4" w14:textId="77777777" w:rsidR="00F46260" w:rsidRPr="00F46260" w:rsidRDefault="00F46260" w:rsidP="00F46260">
      <w:pPr>
        <w:spacing w:after="0" w:line="240" w:lineRule="auto"/>
        <w:rPr>
          <w:rFonts w:ascii="Arial" w:eastAsia="Times New Roman" w:hAnsi="Arial" w:cs="Arial"/>
          <w:b/>
          <w:sz w:val="20"/>
          <w:szCs w:val="20"/>
          <w:lang w:eastAsia="en-AU"/>
        </w:rPr>
      </w:pPr>
    </w:p>
    <w:p w14:paraId="04755C60" w14:textId="77777777" w:rsidR="00F46260" w:rsidRPr="00F46260" w:rsidRDefault="00F46260" w:rsidP="00F46260">
      <w:pPr>
        <w:spacing w:after="0" w:line="240" w:lineRule="auto"/>
        <w:rPr>
          <w:rFonts w:ascii="Arial" w:eastAsia="Times New Roman" w:hAnsi="Arial" w:cs="Arial"/>
          <w:b/>
          <w:sz w:val="20"/>
          <w:szCs w:val="20"/>
          <w:lang w:eastAsia="en-AU"/>
        </w:rPr>
      </w:pPr>
    </w:p>
    <w:p w14:paraId="25657949" w14:textId="77777777" w:rsidR="00F46260" w:rsidRPr="00F46260" w:rsidRDefault="00F46260" w:rsidP="00F46260">
      <w:pPr>
        <w:spacing w:after="0" w:line="240" w:lineRule="auto"/>
        <w:rPr>
          <w:rFonts w:ascii="Arial" w:eastAsia="Times New Roman" w:hAnsi="Arial" w:cs="Arial"/>
          <w:b/>
          <w:sz w:val="20"/>
          <w:szCs w:val="20"/>
          <w:lang w:eastAsia="en-AU"/>
        </w:rPr>
      </w:pPr>
    </w:p>
    <w:p w14:paraId="40EAB804" w14:textId="77777777" w:rsidR="00F46260" w:rsidRPr="00F46260" w:rsidRDefault="00F46260" w:rsidP="00F46260">
      <w:pPr>
        <w:spacing w:after="0" w:line="240" w:lineRule="auto"/>
        <w:rPr>
          <w:rFonts w:ascii="Arial" w:eastAsia="Times New Roman" w:hAnsi="Arial" w:cs="Arial"/>
          <w:b/>
          <w:sz w:val="20"/>
          <w:szCs w:val="20"/>
          <w:lang w:eastAsia="en-AU"/>
        </w:rPr>
      </w:pPr>
    </w:p>
    <w:p w14:paraId="07A24AC5"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lastRenderedPageBreak/>
        <w:t>6.3 Commitments for expenditure</w:t>
      </w:r>
    </w:p>
    <w:p w14:paraId="781B2ED2" w14:textId="77777777" w:rsidR="00F46260" w:rsidRPr="00F46260" w:rsidRDefault="00F46260" w:rsidP="00F46260">
      <w:pPr>
        <w:spacing w:after="0" w:line="240" w:lineRule="auto"/>
        <w:rPr>
          <w:rFonts w:ascii="Arial" w:eastAsia="Times New Roman" w:hAnsi="Arial" w:cs="Arial"/>
          <w:sz w:val="20"/>
          <w:szCs w:val="20"/>
          <w:lang w:eastAsia="en-AU"/>
        </w:rPr>
      </w:pPr>
    </w:p>
    <w:p w14:paraId="45E02487"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Commitments for future expenditure include operating and capital commitments arising from contracts. These commitments are recorded below at their nominal value and inclusive of GST. Where it is considered appropriate, additional relevant information such as the net present values of significant individual projects are stated. These future expenditures cease to be disclosed as commitments once the related liabilities are recognised in the balance sheet.</w:t>
      </w:r>
    </w:p>
    <w:p w14:paraId="42E61ACC" w14:textId="77777777" w:rsidR="00F46260" w:rsidRPr="00F46260" w:rsidRDefault="00F46260" w:rsidP="00F46260">
      <w:pPr>
        <w:spacing w:after="0" w:line="240" w:lineRule="auto"/>
        <w:rPr>
          <w:rFonts w:ascii="Arial" w:eastAsia="Times New Roman" w:hAnsi="Arial" w:cs="Arial"/>
          <w:sz w:val="20"/>
          <w:szCs w:val="20"/>
          <w:lang w:eastAsia="en-AU"/>
        </w:rPr>
      </w:pPr>
    </w:p>
    <w:tbl>
      <w:tblPr>
        <w:tblW w:w="5000" w:type="pct"/>
        <w:tblInd w:w="-108" w:type="dxa"/>
        <w:tblLook w:val="01E0" w:firstRow="1" w:lastRow="1" w:firstColumn="1" w:lastColumn="1" w:noHBand="0" w:noVBand="0"/>
      </w:tblPr>
      <w:tblGrid>
        <w:gridCol w:w="6424"/>
        <w:gridCol w:w="7"/>
        <w:gridCol w:w="1452"/>
        <w:gridCol w:w="239"/>
        <w:gridCol w:w="1233"/>
      </w:tblGrid>
      <w:tr w:rsidR="00F46260" w:rsidRPr="00F46260" w14:paraId="60EC4866" w14:textId="77777777" w:rsidTr="00D1524E">
        <w:tc>
          <w:tcPr>
            <w:tcW w:w="3437" w:type="pct"/>
            <w:gridSpan w:val="2"/>
            <w:shd w:val="pct50" w:color="auto" w:fill="auto"/>
            <w:vAlign w:val="bottom"/>
          </w:tcPr>
          <w:p w14:paraId="109ED017" w14:textId="77777777" w:rsidR="00F46260" w:rsidRPr="00F46260" w:rsidRDefault="00F46260" w:rsidP="00F46260">
            <w:pPr>
              <w:spacing w:after="0" w:line="240" w:lineRule="auto"/>
              <w:rPr>
                <w:rFonts w:ascii="Arial" w:eastAsia="Times New Roman" w:hAnsi="Arial" w:cs="Arial"/>
                <w:sz w:val="20"/>
                <w:szCs w:val="20"/>
                <w:lang w:eastAsia="en-AU"/>
              </w:rPr>
            </w:pPr>
            <w:bookmarkStart w:id="55" w:name="_Hlk48907648"/>
          </w:p>
        </w:tc>
        <w:tc>
          <w:tcPr>
            <w:tcW w:w="776" w:type="pct"/>
            <w:shd w:val="pct50" w:color="auto" w:fill="auto"/>
            <w:vAlign w:val="bottom"/>
          </w:tcPr>
          <w:p w14:paraId="37A1BCE0"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52D7B1E5"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28" w:type="pct"/>
            <w:shd w:val="pct50" w:color="auto" w:fill="auto"/>
            <w:vAlign w:val="bottom"/>
          </w:tcPr>
          <w:p w14:paraId="37D073D6"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59" w:type="pct"/>
            <w:shd w:val="pct50" w:color="auto" w:fill="auto"/>
            <w:vAlign w:val="bottom"/>
          </w:tcPr>
          <w:p w14:paraId="52F8A3D2"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27B18948"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4BE2BCC7" w14:textId="77777777" w:rsidTr="00D1524E">
        <w:tblPrEx>
          <w:tblLook w:val="0000" w:firstRow="0" w:lastRow="0" w:firstColumn="0" w:lastColumn="0" w:noHBand="0" w:noVBand="0"/>
        </w:tblPrEx>
        <w:tc>
          <w:tcPr>
            <w:tcW w:w="3433" w:type="pct"/>
            <w:tcBorders>
              <w:top w:val="nil"/>
              <w:left w:val="nil"/>
              <w:bottom w:val="nil"/>
              <w:right w:val="nil"/>
            </w:tcBorders>
            <w:shd w:val="clear" w:color="auto" w:fill="auto"/>
            <w:vAlign w:val="bottom"/>
          </w:tcPr>
          <w:p w14:paraId="63A26890"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bCs/>
                <w:sz w:val="20"/>
                <w:szCs w:val="20"/>
                <w:lang w:eastAsia="en-AU"/>
              </w:rPr>
              <w:t>Outsourcing commitments</w:t>
            </w:r>
          </w:p>
        </w:tc>
        <w:tc>
          <w:tcPr>
            <w:tcW w:w="780" w:type="pct"/>
            <w:gridSpan w:val="2"/>
            <w:tcBorders>
              <w:top w:val="nil"/>
              <w:left w:val="nil"/>
              <w:right w:val="nil"/>
            </w:tcBorders>
            <w:shd w:val="pct15" w:color="auto" w:fill="auto"/>
            <w:vAlign w:val="bottom"/>
          </w:tcPr>
          <w:p w14:paraId="689251A6"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8" w:type="pct"/>
            <w:tcBorders>
              <w:top w:val="nil"/>
              <w:left w:val="nil"/>
              <w:bottom w:val="nil"/>
              <w:right w:val="nil"/>
            </w:tcBorders>
            <w:vAlign w:val="bottom"/>
          </w:tcPr>
          <w:p w14:paraId="5053386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right w:val="nil"/>
            </w:tcBorders>
            <w:shd w:val="clear" w:color="auto" w:fill="auto"/>
            <w:vAlign w:val="bottom"/>
          </w:tcPr>
          <w:p w14:paraId="23A6AA5F"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096C2AC2" w14:textId="77777777" w:rsidTr="00D1524E">
        <w:tblPrEx>
          <w:tblLook w:val="0000" w:firstRow="0" w:lastRow="0" w:firstColumn="0" w:lastColumn="0" w:noHBand="0" w:noVBand="0"/>
        </w:tblPrEx>
        <w:trPr>
          <w:trHeight w:val="487"/>
        </w:trPr>
        <w:tc>
          <w:tcPr>
            <w:tcW w:w="3433" w:type="pct"/>
            <w:tcBorders>
              <w:top w:val="nil"/>
              <w:left w:val="nil"/>
              <w:bottom w:val="nil"/>
              <w:right w:val="nil"/>
            </w:tcBorders>
            <w:shd w:val="clear" w:color="auto" w:fill="auto"/>
            <w:vAlign w:val="bottom"/>
          </w:tcPr>
          <w:p w14:paraId="5470F5F5"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Commitments for outsourcing recruitment services and other contractual obligations, are payable as follows:</w:t>
            </w:r>
          </w:p>
        </w:tc>
        <w:tc>
          <w:tcPr>
            <w:tcW w:w="780" w:type="pct"/>
            <w:gridSpan w:val="2"/>
            <w:tcBorders>
              <w:top w:val="nil"/>
              <w:left w:val="nil"/>
              <w:right w:val="nil"/>
            </w:tcBorders>
            <w:shd w:val="pct15" w:color="auto" w:fill="auto"/>
            <w:vAlign w:val="bottom"/>
          </w:tcPr>
          <w:p w14:paraId="0C98A5C7"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8" w:type="pct"/>
            <w:tcBorders>
              <w:top w:val="nil"/>
              <w:left w:val="nil"/>
              <w:bottom w:val="nil"/>
              <w:right w:val="nil"/>
            </w:tcBorders>
            <w:vAlign w:val="bottom"/>
          </w:tcPr>
          <w:p w14:paraId="571C7AB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right w:val="nil"/>
            </w:tcBorders>
            <w:shd w:val="clear" w:color="auto" w:fill="auto"/>
            <w:vAlign w:val="bottom"/>
          </w:tcPr>
          <w:p w14:paraId="7A9D8E61"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4EED323B" w14:textId="77777777" w:rsidTr="00D1524E">
        <w:tblPrEx>
          <w:tblLook w:val="0000" w:firstRow="0" w:lastRow="0" w:firstColumn="0" w:lastColumn="0" w:noHBand="0" w:noVBand="0"/>
        </w:tblPrEx>
        <w:tc>
          <w:tcPr>
            <w:tcW w:w="3433" w:type="pct"/>
            <w:tcBorders>
              <w:top w:val="nil"/>
              <w:left w:val="nil"/>
              <w:bottom w:val="nil"/>
              <w:right w:val="nil"/>
            </w:tcBorders>
            <w:shd w:val="clear" w:color="auto" w:fill="auto"/>
            <w:vAlign w:val="bottom"/>
          </w:tcPr>
          <w:p w14:paraId="15B11059"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Within one year </w:t>
            </w:r>
          </w:p>
        </w:tc>
        <w:tc>
          <w:tcPr>
            <w:tcW w:w="780" w:type="pct"/>
            <w:gridSpan w:val="2"/>
            <w:tcBorders>
              <w:top w:val="nil"/>
              <w:left w:val="nil"/>
              <w:right w:val="nil"/>
            </w:tcBorders>
            <w:shd w:val="pct15" w:color="auto" w:fill="auto"/>
            <w:vAlign w:val="bottom"/>
          </w:tcPr>
          <w:p w14:paraId="44CCDED4"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1,239,645</w:t>
            </w:r>
          </w:p>
        </w:tc>
        <w:tc>
          <w:tcPr>
            <w:tcW w:w="128" w:type="pct"/>
            <w:tcBorders>
              <w:top w:val="nil"/>
              <w:left w:val="nil"/>
              <w:bottom w:val="nil"/>
              <w:right w:val="nil"/>
            </w:tcBorders>
            <w:shd w:val="clear" w:color="auto" w:fill="auto"/>
            <w:vAlign w:val="bottom"/>
          </w:tcPr>
          <w:p w14:paraId="028D4336"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right w:val="nil"/>
            </w:tcBorders>
            <w:shd w:val="clear" w:color="auto" w:fill="auto"/>
            <w:vAlign w:val="bottom"/>
          </w:tcPr>
          <w:p w14:paraId="00581A14"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1,465,332</w:t>
            </w:r>
          </w:p>
        </w:tc>
      </w:tr>
      <w:tr w:rsidR="00F46260" w:rsidRPr="00F46260" w14:paraId="31C5D86B" w14:textId="77777777" w:rsidTr="00D1524E">
        <w:tblPrEx>
          <w:tblLook w:val="0000" w:firstRow="0" w:lastRow="0" w:firstColumn="0" w:lastColumn="0" w:noHBand="0" w:noVBand="0"/>
        </w:tblPrEx>
        <w:tc>
          <w:tcPr>
            <w:tcW w:w="3433" w:type="pct"/>
            <w:tcBorders>
              <w:top w:val="nil"/>
              <w:left w:val="nil"/>
              <w:bottom w:val="nil"/>
              <w:right w:val="nil"/>
            </w:tcBorders>
            <w:shd w:val="clear" w:color="auto" w:fill="auto"/>
            <w:vAlign w:val="bottom"/>
          </w:tcPr>
          <w:p w14:paraId="7CACDE69"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Later than one year but not later than five years</w:t>
            </w:r>
          </w:p>
        </w:tc>
        <w:tc>
          <w:tcPr>
            <w:tcW w:w="780" w:type="pct"/>
            <w:gridSpan w:val="2"/>
            <w:tcBorders>
              <w:top w:val="nil"/>
              <w:left w:val="nil"/>
              <w:right w:val="nil"/>
            </w:tcBorders>
            <w:shd w:val="pct15" w:color="auto" w:fill="auto"/>
            <w:vAlign w:val="bottom"/>
          </w:tcPr>
          <w:p w14:paraId="0EDD620D"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748,000</w:t>
            </w:r>
          </w:p>
        </w:tc>
        <w:tc>
          <w:tcPr>
            <w:tcW w:w="128" w:type="pct"/>
            <w:tcBorders>
              <w:top w:val="nil"/>
              <w:left w:val="nil"/>
              <w:bottom w:val="nil"/>
              <w:right w:val="nil"/>
            </w:tcBorders>
            <w:shd w:val="clear" w:color="auto" w:fill="auto"/>
            <w:vAlign w:val="bottom"/>
          </w:tcPr>
          <w:p w14:paraId="5E074298"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right w:val="nil"/>
            </w:tcBorders>
            <w:shd w:val="clear" w:color="auto" w:fill="auto"/>
            <w:vAlign w:val="bottom"/>
          </w:tcPr>
          <w:p w14:paraId="5792B20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998,250</w:t>
            </w:r>
          </w:p>
        </w:tc>
      </w:tr>
      <w:tr w:rsidR="00F46260" w:rsidRPr="00F46260" w14:paraId="73CDCC20" w14:textId="77777777" w:rsidTr="00D1524E">
        <w:tblPrEx>
          <w:tblLook w:val="0000" w:firstRow="0" w:lastRow="0" w:firstColumn="0" w:lastColumn="0" w:noHBand="0" w:noVBand="0"/>
        </w:tblPrEx>
        <w:tc>
          <w:tcPr>
            <w:tcW w:w="3433" w:type="pct"/>
            <w:tcBorders>
              <w:top w:val="single" w:sz="2" w:space="0" w:color="auto"/>
              <w:left w:val="nil"/>
              <w:bottom w:val="single" w:sz="2" w:space="0" w:color="auto"/>
              <w:right w:val="nil"/>
            </w:tcBorders>
            <w:shd w:val="clear" w:color="auto" w:fill="auto"/>
            <w:vAlign w:val="bottom"/>
          </w:tcPr>
          <w:p w14:paraId="0E0C5B17"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commitments (inclusive of GST)</w:t>
            </w:r>
          </w:p>
        </w:tc>
        <w:tc>
          <w:tcPr>
            <w:tcW w:w="780" w:type="pct"/>
            <w:gridSpan w:val="2"/>
            <w:tcBorders>
              <w:top w:val="single" w:sz="2" w:space="0" w:color="auto"/>
              <w:left w:val="nil"/>
              <w:bottom w:val="single" w:sz="2" w:space="0" w:color="auto"/>
              <w:right w:val="nil"/>
            </w:tcBorders>
            <w:shd w:val="pct15" w:color="auto" w:fill="auto"/>
            <w:vAlign w:val="bottom"/>
          </w:tcPr>
          <w:p w14:paraId="0B0F2925"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1,987,645</w:t>
            </w:r>
          </w:p>
        </w:tc>
        <w:tc>
          <w:tcPr>
            <w:tcW w:w="128" w:type="pct"/>
            <w:tcBorders>
              <w:top w:val="single" w:sz="2" w:space="0" w:color="auto"/>
              <w:left w:val="nil"/>
              <w:bottom w:val="single" w:sz="2" w:space="0" w:color="auto"/>
              <w:right w:val="nil"/>
            </w:tcBorders>
            <w:shd w:val="clear" w:color="auto" w:fill="auto"/>
            <w:vAlign w:val="bottom"/>
          </w:tcPr>
          <w:p w14:paraId="5FAA3539"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9" w:type="pct"/>
            <w:tcBorders>
              <w:top w:val="single" w:sz="2" w:space="0" w:color="auto"/>
              <w:left w:val="nil"/>
              <w:bottom w:val="single" w:sz="2" w:space="0" w:color="auto"/>
              <w:right w:val="nil"/>
            </w:tcBorders>
            <w:shd w:val="clear" w:color="auto" w:fill="auto"/>
            <w:vAlign w:val="bottom"/>
          </w:tcPr>
          <w:p w14:paraId="1FC8C22C"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2,463,582</w:t>
            </w:r>
          </w:p>
        </w:tc>
      </w:tr>
      <w:tr w:rsidR="00F46260" w:rsidRPr="00F46260" w14:paraId="0AEBFE20" w14:textId="77777777" w:rsidTr="00D1524E">
        <w:tblPrEx>
          <w:tblLook w:val="0000" w:firstRow="0" w:lastRow="0" w:firstColumn="0" w:lastColumn="0" w:noHBand="0" w:noVBand="0"/>
        </w:tblPrEx>
        <w:tc>
          <w:tcPr>
            <w:tcW w:w="3433" w:type="pct"/>
            <w:tcBorders>
              <w:top w:val="single" w:sz="2" w:space="0" w:color="auto"/>
              <w:left w:val="nil"/>
              <w:bottom w:val="single" w:sz="2" w:space="0" w:color="auto"/>
              <w:right w:val="nil"/>
            </w:tcBorders>
            <w:shd w:val="clear" w:color="auto" w:fill="auto"/>
            <w:vAlign w:val="bottom"/>
          </w:tcPr>
          <w:p w14:paraId="391CE608"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Less GST recoverable</w:t>
            </w:r>
          </w:p>
        </w:tc>
        <w:tc>
          <w:tcPr>
            <w:tcW w:w="780" w:type="pct"/>
            <w:gridSpan w:val="2"/>
            <w:tcBorders>
              <w:top w:val="single" w:sz="2" w:space="0" w:color="auto"/>
              <w:left w:val="nil"/>
              <w:bottom w:val="single" w:sz="2" w:space="0" w:color="auto"/>
              <w:right w:val="nil"/>
            </w:tcBorders>
            <w:shd w:val="pct15" w:color="auto" w:fill="auto"/>
            <w:vAlign w:val="bottom"/>
          </w:tcPr>
          <w:p w14:paraId="24B184DE"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(180,695)</w:t>
            </w:r>
          </w:p>
        </w:tc>
        <w:tc>
          <w:tcPr>
            <w:tcW w:w="128" w:type="pct"/>
            <w:tcBorders>
              <w:top w:val="single" w:sz="2" w:space="0" w:color="auto"/>
              <w:left w:val="nil"/>
              <w:bottom w:val="single" w:sz="2" w:space="0" w:color="auto"/>
              <w:right w:val="nil"/>
            </w:tcBorders>
            <w:shd w:val="clear" w:color="auto" w:fill="auto"/>
            <w:vAlign w:val="bottom"/>
          </w:tcPr>
          <w:p w14:paraId="494308D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single" w:sz="2" w:space="0" w:color="auto"/>
              <w:left w:val="nil"/>
              <w:bottom w:val="single" w:sz="2" w:space="0" w:color="auto"/>
              <w:right w:val="nil"/>
            </w:tcBorders>
            <w:shd w:val="clear" w:color="auto" w:fill="auto"/>
            <w:vAlign w:val="bottom"/>
          </w:tcPr>
          <w:p w14:paraId="2BB647C4"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(223,962)</w:t>
            </w:r>
          </w:p>
        </w:tc>
      </w:tr>
      <w:tr w:rsidR="00F46260" w:rsidRPr="00F46260" w14:paraId="7FBF2193" w14:textId="77777777" w:rsidTr="00D1524E">
        <w:tblPrEx>
          <w:tblLook w:val="0000" w:firstRow="0" w:lastRow="0" w:firstColumn="0" w:lastColumn="0" w:noHBand="0" w:noVBand="0"/>
        </w:tblPrEx>
        <w:tc>
          <w:tcPr>
            <w:tcW w:w="3433" w:type="pct"/>
            <w:tcBorders>
              <w:top w:val="single" w:sz="2" w:space="0" w:color="auto"/>
              <w:left w:val="nil"/>
              <w:bottom w:val="single" w:sz="12" w:space="0" w:color="auto"/>
              <w:right w:val="nil"/>
            </w:tcBorders>
            <w:shd w:val="clear" w:color="auto" w:fill="auto"/>
            <w:vAlign w:val="bottom"/>
          </w:tcPr>
          <w:p w14:paraId="1A80D5E3"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commitments (exclusive of GST)</w:t>
            </w:r>
          </w:p>
        </w:tc>
        <w:tc>
          <w:tcPr>
            <w:tcW w:w="780" w:type="pct"/>
            <w:gridSpan w:val="2"/>
            <w:tcBorders>
              <w:top w:val="single" w:sz="2" w:space="0" w:color="auto"/>
              <w:left w:val="nil"/>
              <w:bottom w:val="single" w:sz="12" w:space="0" w:color="auto"/>
              <w:right w:val="nil"/>
            </w:tcBorders>
            <w:shd w:val="pct15" w:color="auto" w:fill="auto"/>
            <w:vAlign w:val="bottom"/>
          </w:tcPr>
          <w:p w14:paraId="5B9A2B26"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1,806,950</w:t>
            </w:r>
          </w:p>
        </w:tc>
        <w:tc>
          <w:tcPr>
            <w:tcW w:w="128" w:type="pct"/>
            <w:tcBorders>
              <w:top w:val="single" w:sz="2" w:space="0" w:color="auto"/>
              <w:left w:val="nil"/>
              <w:bottom w:val="single" w:sz="12" w:space="0" w:color="auto"/>
              <w:right w:val="nil"/>
            </w:tcBorders>
            <w:shd w:val="clear" w:color="auto" w:fill="auto"/>
            <w:vAlign w:val="bottom"/>
          </w:tcPr>
          <w:p w14:paraId="447627CC"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9" w:type="pct"/>
            <w:tcBorders>
              <w:top w:val="single" w:sz="2" w:space="0" w:color="auto"/>
              <w:left w:val="nil"/>
              <w:bottom w:val="single" w:sz="12" w:space="0" w:color="auto"/>
              <w:right w:val="nil"/>
            </w:tcBorders>
            <w:shd w:val="clear" w:color="auto" w:fill="auto"/>
            <w:vAlign w:val="bottom"/>
          </w:tcPr>
          <w:p w14:paraId="03E19288"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2,239,620</w:t>
            </w:r>
          </w:p>
        </w:tc>
      </w:tr>
      <w:tr w:rsidR="00F46260" w:rsidRPr="00F46260" w14:paraId="108F8D46" w14:textId="77777777" w:rsidTr="00D1524E">
        <w:tblPrEx>
          <w:tblLook w:val="0000" w:firstRow="0" w:lastRow="0" w:firstColumn="0" w:lastColumn="0" w:noHBand="0" w:noVBand="0"/>
        </w:tblPrEx>
        <w:tc>
          <w:tcPr>
            <w:tcW w:w="3433" w:type="pct"/>
            <w:tcBorders>
              <w:top w:val="single" w:sz="18" w:space="0" w:color="auto"/>
              <w:left w:val="nil"/>
              <w:bottom w:val="nil"/>
              <w:right w:val="nil"/>
            </w:tcBorders>
            <w:shd w:val="clear" w:color="auto" w:fill="auto"/>
            <w:vAlign w:val="bottom"/>
          </w:tcPr>
          <w:p w14:paraId="6278111E"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780" w:type="pct"/>
            <w:gridSpan w:val="2"/>
            <w:tcBorders>
              <w:top w:val="single" w:sz="18" w:space="0" w:color="auto"/>
              <w:left w:val="nil"/>
              <w:right w:val="nil"/>
            </w:tcBorders>
            <w:shd w:val="pct15" w:color="auto" w:fill="auto"/>
            <w:vAlign w:val="bottom"/>
          </w:tcPr>
          <w:p w14:paraId="33358A89"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8" w:type="pct"/>
            <w:tcBorders>
              <w:top w:val="single" w:sz="18" w:space="0" w:color="auto"/>
              <w:left w:val="nil"/>
              <w:bottom w:val="nil"/>
              <w:right w:val="nil"/>
            </w:tcBorders>
            <w:vAlign w:val="bottom"/>
          </w:tcPr>
          <w:p w14:paraId="28106D0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single" w:sz="18" w:space="0" w:color="auto"/>
              <w:left w:val="nil"/>
              <w:right w:val="nil"/>
            </w:tcBorders>
            <w:shd w:val="clear" w:color="auto" w:fill="auto"/>
            <w:vAlign w:val="bottom"/>
          </w:tcPr>
          <w:p w14:paraId="19349046"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21069F22" w14:textId="77777777" w:rsidTr="00D1524E">
        <w:tblPrEx>
          <w:tblLook w:val="0000" w:firstRow="0" w:lastRow="0" w:firstColumn="0" w:lastColumn="0" w:noHBand="0" w:noVBand="0"/>
        </w:tblPrEx>
        <w:tc>
          <w:tcPr>
            <w:tcW w:w="3433" w:type="pct"/>
            <w:tcBorders>
              <w:top w:val="nil"/>
              <w:left w:val="nil"/>
              <w:bottom w:val="nil"/>
              <w:right w:val="nil"/>
            </w:tcBorders>
            <w:shd w:val="clear" w:color="auto" w:fill="auto"/>
            <w:vAlign w:val="bottom"/>
          </w:tcPr>
          <w:p w14:paraId="6E2B609D"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bCs/>
                <w:sz w:val="20"/>
                <w:szCs w:val="20"/>
                <w:lang w:eastAsia="en-AU"/>
              </w:rPr>
              <w:t xml:space="preserve">Centralised Accommodation Management (CAM) commitments </w:t>
            </w:r>
            <w:r w:rsidRPr="00F46260">
              <w:rPr>
                <w:rFonts w:ascii="Arial" w:eastAsia="Times New Roman" w:hAnsi="Arial" w:cs="Arial"/>
                <w:i/>
                <w:iCs/>
                <w:sz w:val="20"/>
                <w:szCs w:val="20"/>
                <w:vertAlign w:val="superscript"/>
                <w:lang w:eastAsia="en-AU"/>
              </w:rPr>
              <w:t>(a)</w:t>
            </w:r>
          </w:p>
        </w:tc>
        <w:tc>
          <w:tcPr>
            <w:tcW w:w="780" w:type="pct"/>
            <w:gridSpan w:val="2"/>
            <w:tcBorders>
              <w:left w:val="nil"/>
              <w:right w:val="nil"/>
            </w:tcBorders>
            <w:shd w:val="pct15" w:color="auto" w:fill="auto"/>
            <w:vAlign w:val="bottom"/>
          </w:tcPr>
          <w:p w14:paraId="11264AFE"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8" w:type="pct"/>
            <w:tcBorders>
              <w:top w:val="nil"/>
              <w:left w:val="nil"/>
              <w:bottom w:val="nil"/>
              <w:right w:val="nil"/>
            </w:tcBorders>
            <w:vAlign w:val="bottom"/>
          </w:tcPr>
          <w:p w14:paraId="0517B1BE"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left w:val="nil"/>
              <w:right w:val="nil"/>
            </w:tcBorders>
            <w:shd w:val="clear" w:color="auto" w:fill="auto"/>
            <w:vAlign w:val="bottom"/>
          </w:tcPr>
          <w:p w14:paraId="790A73BA"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2173F139" w14:textId="77777777" w:rsidTr="00D1524E">
        <w:tblPrEx>
          <w:tblLook w:val="0000" w:firstRow="0" w:lastRow="0" w:firstColumn="0" w:lastColumn="0" w:noHBand="0" w:noVBand="0"/>
        </w:tblPrEx>
        <w:tc>
          <w:tcPr>
            <w:tcW w:w="3433" w:type="pct"/>
            <w:tcBorders>
              <w:top w:val="nil"/>
              <w:left w:val="nil"/>
              <w:bottom w:val="nil"/>
              <w:right w:val="nil"/>
            </w:tcBorders>
            <w:shd w:val="clear" w:color="auto" w:fill="auto"/>
            <w:vAlign w:val="bottom"/>
          </w:tcPr>
          <w:p w14:paraId="161398DF"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sz w:val="20"/>
                <w:szCs w:val="20"/>
                <w:lang w:eastAsia="en-AU"/>
              </w:rPr>
              <w:t>Commitments for management of accommodation leases by Department of Treasury and Finance (DTF) as follows:</w:t>
            </w:r>
          </w:p>
        </w:tc>
        <w:tc>
          <w:tcPr>
            <w:tcW w:w="780" w:type="pct"/>
            <w:gridSpan w:val="2"/>
            <w:tcBorders>
              <w:left w:val="nil"/>
              <w:right w:val="nil"/>
            </w:tcBorders>
            <w:shd w:val="pct15" w:color="auto" w:fill="auto"/>
            <w:vAlign w:val="bottom"/>
          </w:tcPr>
          <w:p w14:paraId="08DC5B5D"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8" w:type="pct"/>
            <w:tcBorders>
              <w:top w:val="nil"/>
              <w:left w:val="nil"/>
              <w:bottom w:val="nil"/>
              <w:right w:val="nil"/>
            </w:tcBorders>
            <w:vAlign w:val="bottom"/>
          </w:tcPr>
          <w:p w14:paraId="08A9A2AE"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left w:val="nil"/>
              <w:right w:val="nil"/>
            </w:tcBorders>
            <w:shd w:val="clear" w:color="auto" w:fill="auto"/>
            <w:vAlign w:val="bottom"/>
          </w:tcPr>
          <w:p w14:paraId="6ED2A0E9"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5442D144" w14:textId="77777777" w:rsidTr="00D1524E">
        <w:tblPrEx>
          <w:tblLook w:val="0000" w:firstRow="0" w:lastRow="0" w:firstColumn="0" w:lastColumn="0" w:noHBand="0" w:noVBand="0"/>
        </w:tblPrEx>
        <w:tc>
          <w:tcPr>
            <w:tcW w:w="3433" w:type="pct"/>
            <w:tcBorders>
              <w:top w:val="nil"/>
              <w:left w:val="nil"/>
              <w:bottom w:val="nil"/>
              <w:right w:val="nil"/>
            </w:tcBorders>
            <w:shd w:val="clear" w:color="auto" w:fill="auto"/>
            <w:vAlign w:val="bottom"/>
          </w:tcPr>
          <w:p w14:paraId="77F9E4C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Within one year</w:t>
            </w:r>
          </w:p>
        </w:tc>
        <w:tc>
          <w:tcPr>
            <w:tcW w:w="780" w:type="pct"/>
            <w:gridSpan w:val="2"/>
            <w:tcBorders>
              <w:top w:val="nil"/>
              <w:left w:val="nil"/>
              <w:right w:val="nil"/>
            </w:tcBorders>
            <w:shd w:val="pct15" w:color="auto" w:fill="auto"/>
            <w:vAlign w:val="bottom"/>
          </w:tcPr>
          <w:p w14:paraId="48CBAF84"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277,773</w:t>
            </w:r>
          </w:p>
        </w:tc>
        <w:tc>
          <w:tcPr>
            <w:tcW w:w="128" w:type="pct"/>
            <w:tcBorders>
              <w:top w:val="nil"/>
              <w:left w:val="nil"/>
              <w:bottom w:val="nil"/>
              <w:right w:val="nil"/>
            </w:tcBorders>
            <w:shd w:val="clear" w:color="auto" w:fill="auto"/>
            <w:vAlign w:val="bottom"/>
          </w:tcPr>
          <w:p w14:paraId="49193E62"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right w:val="nil"/>
            </w:tcBorders>
            <w:shd w:val="clear" w:color="auto" w:fill="auto"/>
            <w:vAlign w:val="bottom"/>
          </w:tcPr>
          <w:p w14:paraId="687B10D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832,113</w:t>
            </w:r>
          </w:p>
        </w:tc>
      </w:tr>
      <w:tr w:rsidR="00F46260" w:rsidRPr="00F46260" w14:paraId="10A29D38" w14:textId="77777777" w:rsidTr="00D1524E">
        <w:tblPrEx>
          <w:tblLook w:val="0000" w:firstRow="0" w:lastRow="0" w:firstColumn="0" w:lastColumn="0" w:noHBand="0" w:noVBand="0"/>
        </w:tblPrEx>
        <w:tc>
          <w:tcPr>
            <w:tcW w:w="3433" w:type="pct"/>
            <w:tcBorders>
              <w:top w:val="nil"/>
              <w:left w:val="nil"/>
              <w:bottom w:val="nil"/>
              <w:right w:val="nil"/>
            </w:tcBorders>
            <w:shd w:val="clear" w:color="auto" w:fill="auto"/>
            <w:vAlign w:val="bottom"/>
          </w:tcPr>
          <w:p w14:paraId="2262F585"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Later than one year but not later than five years</w:t>
            </w:r>
          </w:p>
        </w:tc>
        <w:tc>
          <w:tcPr>
            <w:tcW w:w="780" w:type="pct"/>
            <w:gridSpan w:val="2"/>
            <w:tcBorders>
              <w:top w:val="nil"/>
              <w:left w:val="nil"/>
              <w:right w:val="nil"/>
            </w:tcBorders>
            <w:shd w:val="pct15" w:color="auto" w:fill="auto"/>
            <w:vAlign w:val="bottom"/>
          </w:tcPr>
          <w:p w14:paraId="4971C4A9"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w:t>
            </w:r>
          </w:p>
        </w:tc>
        <w:tc>
          <w:tcPr>
            <w:tcW w:w="128" w:type="pct"/>
            <w:tcBorders>
              <w:top w:val="nil"/>
              <w:left w:val="nil"/>
              <w:bottom w:val="nil"/>
              <w:right w:val="nil"/>
            </w:tcBorders>
            <w:shd w:val="clear" w:color="auto" w:fill="auto"/>
            <w:vAlign w:val="bottom"/>
          </w:tcPr>
          <w:p w14:paraId="2C925CF7"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right w:val="nil"/>
            </w:tcBorders>
            <w:shd w:val="clear" w:color="auto" w:fill="auto"/>
            <w:vAlign w:val="bottom"/>
          </w:tcPr>
          <w:p w14:paraId="060533D8"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277,773</w:t>
            </w:r>
          </w:p>
        </w:tc>
      </w:tr>
      <w:tr w:rsidR="00F46260" w:rsidRPr="00F46260" w14:paraId="31762AB6" w14:textId="77777777" w:rsidTr="00D1524E">
        <w:tblPrEx>
          <w:tblLook w:val="0000" w:firstRow="0" w:lastRow="0" w:firstColumn="0" w:lastColumn="0" w:noHBand="0" w:noVBand="0"/>
        </w:tblPrEx>
        <w:tc>
          <w:tcPr>
            <w:tcW w:w="3433" w:type="pct"/>
            <w:tcBorders>
              <w:top w:val="single" w:sz="2" w:space="0" w:color="auto"/>
              <w:left w:val="nil"/>
              <w:bottom w:val="single" w:sz="2" w:space="0" w:color="auto"/>
              <w:right w:val="nil"/>
            </w:tcBorders>
            <w:shd w:val="clear" w:color="auto" w:fill="auto"/>
            <w:vAlign w:val="bottom"/>
          </w:tcPr>
          <w:p w14:paraId="49762637"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Total commitments (inclusive of GST)</w:t>
            </w:r>
          </w:p>
        </w:tc>
        <w:tc>
          <w:tcPr>
            <w:tcW w:w="780" w:type="pct"/>
            <w:gridSpan w:val="2"/>
            <w:tcBorders>
              <w:top w:val="single" w:sz="2" w:space="0" w:color="auto"/>
              <w:left w:val="nil"/>
              <w:bottom w:val="single" w:sz="2" w:space="0" w:color="auto"/>
              <w:right w:val="nil"/>
            </w:tcBorders>
            <w:shd w:val="pct15" w:color="auto" w:fill="auto"/>
            <w:vAlign w:val="bottom"/>
          </w:tcPr>
          <w:p w14:paraId="54A4E0A6"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277,773</w:t>
            </w:r>
          </w:p>
        </w:tc>
        <w:tc>
          <w:tcPr>
            <w:tcW w:w="128" w:type="pct"/>
            <w:tcBorders>
              <w:top w:val="single" w:sz="2" w:space="0" w:color="auto"/>
              <w:left w:val="nil"/>
              <w:bottom w:val="single" w:sz="2" w:space="0" w:color="auto"/>
              <w:right w:val="nil"/>
            </w:tcBorders>
            <w:shd w:val="clear" w:color="auto" w:fill="auto"/>
            <w:vAlign w:val="bottom"/>
          </w:tcPr>
          <w:p w14:paraId="544B23E2"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9" w:type="pct"/>
            <w:tcBorders>
              <w:top w:val="single" w:sz="2" w:space="0" w:color="auto"/>
              <w:left w:val="nil"/>
              <w:bottom w:val="single" w:sz="2" w:space="0" w:color="auto"/>
              <w:right w:val="nil"/>
            </w:tcBorders>
            <w:shd w:val="clear" w:color="auto" w:fill="auto"/>
            <w:vAlign w:val="bottom"/>
          </w:tcPr>
          <w:p w14:paraId="61AC7E4D"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1,109,886</w:t>
            </w:r>
          </w:p>
        </w:tc>
      </w:tr>
      <w:tr w:rsidR="00F46260" w:rsidRPr="00F46260" w14:paraId="0EA08D86" w14:textId="77777777" w:rsidTr="00D1524E">
        <w:tblPrEx>
          <w:tblLook w:val="0000" w:firstRow="0" w:lastRow="0" w:firstColumn="0" w:lastColumn="0" w:noHBand="0" w:noVBand="0"/>
        </w:tblPrEx>
        <w:tc>
          <w:tcPr>
            <w:tcW w:w="3433" w:type="pct"/>
            <w:tcBorders>
              <w:top w:val="single" w:sz="2" w:space="0" w:color="auto"/>
              <w:left w:val="nil"/>
              <w:bottom w:val="single" w:sz="2" w:space="0" w:color="auto"/>
              <w:right w:val="nil"/>
            </w:tcBorders>
            <w:shd w:val="clear" w:color="auto" w:fill="auto"/>
            <w:vAlign w:val="bottom"/>
          </w:tcPr>
          <w:p w14:paraId="1D5160A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Less GST recoverable</w:t>
            </w:r>
          </w:p>
        </w:tc>
        <w:tc>
          <w:tcPr>
            <w:tcW w:w="780" w:type="pct"/>
            <w:gridSpan w:val="2"/>
            <w:tcBorders>
              <w:top w:val="single" w:sz="2" w:space="0" w:color="auto"/>
              <w:left w:val="nil"/>
              <w:bottom w:val="single" w:sz="2" w:space="0" w:color="auto"/>
              <w:right w:val="nil"/>
            </w:tcBorders>
            <w:shd w:val="pct15" w:color="auto" w:fill="auto"/>
            <w:vAlign w:val="bottom"/>
          </w:tcPr>
          <w:p w14:paraId="55F6E7E0"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25,252</w:t>
            </w:r>
          </w:p>
        </w:tc>
        <w:tc>
          <w:tcPr>
            <w:tcW w:w="128" w:type="pct"/>
            <w:tcBorders>
              <w:top w:val="single" w:sz="2" w:space="0" w:color="auto"/>
              <w:left w:val="nil"/>
              <w:bottom w:val="single" w:sz="2" w:space="0" w:color="auto"/>
              <w:right w:val="nil"/>
            </w:tcBorders>
            <w:shd w:val="clear" w:color="auto" w:fill="auto"/>
            <w:vAlign w:val="bottom"/>
          </w:tcPr>
          <w:p w14:paraId="7C2A4F18"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single" w:sz="2" w:space="0" w:color="auto"/>
              <w:left w:val="nil"/>
              <w:bottom w:val="single" w:sz="2" w:space="0" w:color="auto"/>
              <w:right w:val="nil"/>
            </w:tcBorders>
            <w:shd w:val="clear" w:color="auto" w:fill="auto"/>
            <w:vAlign w:val="bottom"/>
          </w:tcPr>
          <w:p w14:paraId="7E2939EF"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(100,899)</w:t>
            </w:r>
          </w:p>
        </w:tc>
      </w:tr>
      <w:tr w:rsidR="00F46260" w:rsidRPr="00F46260" w14:paraId="78BA277F" w14:textId="77777777" w:rsidTr="00D1524E">
        <w:tblPrEx>
          <w:tblLook w:val="0000" w:firstRow="0" w:lastRow="0" w:firstColumn="0" w:lastColumn="0" w:noHBand="0" w:noVBand="0"/>
        </w:tblPrEx>
        <w:tc>
          <w:tcPr>
            <w:tcW w:w="3433" w:type="pct"/>
            <w:tcBorders>
              <w:top w:val="single" w:sz="2" w:space="0" w:color="auto"/>
              <w:left w:val="nil"/>
              <w:bottom w:val="single" w:sz="12" w:space="0" w:color="auto"/>
              <w:right w:val="nil"/>
            </w:tcBorders>
            <w:shd w:val="clear" w:color="auto" w:fill="auto"/>
            <w:vAlign w:val="bottom"/>
          </w:tcPr>
          <w:p w14:paraId="4061FF5C"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sz w:val="20"/>
                <w:szCs w:val="20"/>
                <w:lang w:eastAsia="en-AU"/>
              </w:rPr>
              <w:t>Total commitments (exclusive of GST)</w:t>
            </w:r>
          </w:p>
        </w:tc>
        <w:tc>
          <w:tcPr>
            <w:tcW w:w="780" w:type="pct"/>
            <w:gridSpan w:val="2"/>
            <w:tcBorders>
              <w:top w:val="single" w:sz="2" w:space="0" w:color="auto"/>
              <w:left w:val="nil"/>
              <w:bottom w:val="single" w:sz="12" w:space="0" w:color="auto"/>
              <w:right w:val="nil"/>
            </w:tcBorders>
            <w:shd w:val="pct15" w:color="auto" w:fill="auto"/>
            <w:vAlign w:val="bottom"/>
          </w:tcPr>
          <w:p w14:paraId="0A8E304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252,521</w:t>
            </w:r>
          </w:p>
        </w:tc>
        <w:tc>
          <w:tcPr>
            <w:tcW w:w="128" w:type="pct"/>
            <w:tcBorders>
              <w:top w:val="single" w:sz="2" w:space="0" w:color="auto"/>
              <w:left w:val="nil"/>
              <w:bottom w:val="single" w:sz="12" w:space="0" w:color="auto"/>
              <w:right w:val="nil"/>
            </w:tcBorders>
            <w:shd w:val="clear" w:color="auto" w:fill="auto"/>
            <w:vAlign w:val="bottom"/>
          </w:tcPr>
          <w:p w14:paraId="0BE00FE8"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9" w:type="pct"/>
            <w:tcBorders>
              <w:top w:val="single" w:sz="2" w:space="0" w:color="auto"/>
              <w:left w:val="nil"/>
              <w:bottom w:val="single" w:sz="12" w:space="0" w:color="auto"/>
              <w:right w:val="nil"/>
            </w:tcBorders>
            <w:shd w:val="clear" w:color="auto" w:fill="auto"/>
            <w:vAlign w:val="bottom"/>
          </w:tcPr>
          <w:p w14:paraId="2DCEFC84"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1,008,988</w:t>
            </w:r>
          </w:p>
        </w:tc>
      </w:tr>
      <w:bookmarkEnd w:id="55"/>
    </w:tbl>
    <w:p w14:paraId="188A2149" w14:textId="77777777" w:rsidR="00F46260" w:rsidRPr="00F46260" w:rsidRDefault="00F46260" w:rsidP="00F46260">
      <w:pPr>
        <w:spacing w:after="0" w:line="240" w:lineRule="auto"/>
        <w:rPr>
          <w:rFonts w:ascii="Arial" w:eastAsia="Times New Roman" w:hAnsi="Arial" w:cs="Arial"/>
          <w:sz w:val="20"/>
          <w:szCs w:val="20"/>
          <w:lang w:eastAsia="en-AU"/>
        </w:rPr>
      </w:pPr>
    </w:p>
    <w:p w14:paraId="062BA199" w14:textId="77777777" w:rsidR="00F46260" w:rsidRPr="00F46260" w:rsidRDefault="00F46260" w:rsidP="00F46260">
      <w:pPr>
        <w:keepLines/>
        <w:spacing w:before="20" w:after="0" w:line="240" w:lineRule="auto"/>
        <w:contextualSpacing/>
        <w:rPr>
          <w:rFonts w:ascii="Arial" w:eastAsia="Calibri" w:hAnsi="Arial" w:cs="Arial"/>
          <w:b/>
          <w:i/>
          <w:spacing w:val="-2"/>
          <w:sz w:val="16"/>
          <w:szCs w:val="16"/>
          <w:lang w:eastAsia="en-AU"/>
        </w:rPr>
      </w:pPr>
      <w:bookmarkStart w:id="56" w:name="_Hlk46199670"/>
      <w:r w:rsidRPr="00F46260">
        <w:rPr>
          <w:rFonts w:ascii="Arial" w:eastAsia="Calibri" w:hAnsi="Arial" w:cs="Arial"/>
          <w:i/>
          <w:spacing w:val="-2"/>
          <w:sz w:val="16"/>
          <w:szCs w:val="16"/>
          <w:lang w:eastAsia="en-AU"/>
        </w:rPr>
        <w:t xml:space="preserve">Note: </w:t>
      </w:r>
    </w:p>
    <w:bookmarkEnd w:id="56"/>
    <w:p w14:paraId="52E32746" w14:textId="77777777" w:rsidR="00F46260" w:rsidRPr="00F46260" w:rsidRDefault="00F46260" w:rsidP="00F46260">
      <w:pPr>
        <w:keepLines/>
        <w:spacing w:before="20" w:after="0" w:line="240" w:lineRule="auto"/>
        <w:contextualSpacing/>
        <w:rPr>
          <w:rFonts w:ascii="Arial" w:eastAsia="Calibri" w:hAnsi="Arial" w:cs="Arial"/>
          <w:i/>
          <w:spacing w:val="-2"/>
          <w:sz w:val="16"/>
          <w:szCs w:val="16"/>
          <w:lang w:eastAsia="en-AU"/>
        </w:rPr>
      </w:pPr>
      <w:r w:rsidRPr="00F46260">
        <w:rPr>
          <w:rFonts w:ascii="Arial" w:eastAsia="Calibri" w:hAnsi="Arial" w:cs="Arial"/>
          <w:i/>
          <w:spacing w:val="-2"/>
          <w:sz w:val="16"/>
          <w:szCs w:val="16"/>
          <w:lang w:eastAsia="en-AU"/>
        </w:rPr>
        <w:t>(a) In accordance with a Government initiative, from 1 November 2019 most of the Government accommodation leases are centrally managed by DTF. These commitments represent amounts payable to DTF to meet costs associated with the Commissions use of these accommodation facilities that are included in an occupancy agreement between the Commission and DTF.</w:t>
      </w:r>
    </w:p>
    <w:p w14:paraId="6F668736" w14:textId="77777777" w:rsidR="00F46260" w:rsidRPr="00F46260" w:rsidRDefault="00F46260" w:rsidP="00F46260">
      <w:pPr>
        <w:spacing w:after="0" w:line="240" w:lineRule="auto"/>
        <w:rPr>
          <w:rFonts w:ascii="Arial" w:eastAsia="Times New Roman" w:hAnsi="Arial" w:cs="Arial"/>
          <w:sz w:val="20"/>
          <w:szCs w:val="20"/>
          <w:lang w:eastAsia="en-AU"/>
        </w:rPr>
      </w:pPr>
    </w:p>
    <w:p w14:paraId="4B5E1A34" w14:textId="77777777" w:rsidR="00F46260" w:rsidRPr="00F46260" w:rsidRDefault="00F46260" w:rsidP="00F46260">
      <w:pPr>
        <w:spacing w:after="0" w:line="240" w:lineRule="auto"/>
        <w:rPr>
          <w:rFonts w:ascii="Arial" w:eastAsia="Times New Roman" w:hAnsi="Arial" w:cs="Arial"/>
          <w:sz w:val="20"/>
          <w:szCs w:val="20"/>
          <w:lang w:eastAsia="en-AU"/>
        </w:rPr>
      </w:pPr>
    </w:p>
    <w:p w14:paraId="742012D5" w14:textId="77777777" w:rsidR="00F46260" w:rsidRPr="00F46260" w:rsidRDefault="00F46260" w:rsidP="00F46260">
      <w:pPr>
        <w:spacing w:after="0" w:line="240" w:lineRule="auto"/>
        <w:rPr>
          <w:rFonts w:ascii="Arial" w:eastAsia="Times New Roman" w:hAnsi="Arial" w:cs="Arial"/>
          <w:sz w:val="20"/>
          <w:szCs w:val="20"/>
          <w:lang w:eastAsia="en-AU"/>
        </w:rPr>
      </w:pPr>
    </w:p>
    <w:p w14:paraId="0D7F5C55" w14:textId="77777777" w:rsidR="00F46260" w:rsidRPr="00F46260" w:rsidRDefault="00F46260" w:rsidP="00F46260">
      <w:pPr>
        <w:spacing w:after="0" w:line="240" w:lineRule="auto"/>
        <w:rPr>
          <w:rFonts w:ascii="Arial" w:eastAsia="Times New Roman" w:hAnsi="Arial" w:cs="Arial"/>
          <w:sz w:val="20"/>
          <w:szCs w:val="20"/>
          <w:lang w:eastAsia="en-AU"/>
        </w:rPr>
      </w:pPr>
    </w:p>
    <w:p w14:paraId="6A05F288" w14:textId="77777777" w:rsidR="00F46260" w:rsidRPr="00F46260" w:rsidRDefault="00F46260" w:rsidP="00F46260">
      <w:pPr>
        <w:spacing w:after="0" w:line="240" w:lineRule="auto"/>
        <w:rPr>
          <w:rFonts w:ascii="Arial" w:eastAsia="Times New Roman" w:hAnsi="Arial" w:cs="Arial"/>
          <w:sz w:val="20"/>
          <w:szCs w:val="20"/>
          <w:lang w:eastAsia="en-AU"/>
        </w:rPr>
      </w:pPr>
    </w:p>
    <w:p w14:paraId="01363A74" w14:textId="77777777" w:rsidR="00F46260" w:rsidRPr="00F46260" w:rsidRDefault="00F46260" w:rsidP="00F46260">
      <w:pPr>
        <w:spacing w:after="0" w:line="240" w:lineRule="auto"/>
        <w:rPr>
          <w:rFonts w:ascii="Arial" w:eastAsia="Times New Roman" w:hAnsi="Arial" w:cs="Arial"/>
          <w:sz w:val="20"/>
          <w:szCs w:val="20"/>
          <w:lang w:eastAsia="en-AU"/>
        </w:rPr>
      </w:pPr>
    </w:p>
    <w:p w14:paraId="186D2EF6" w14:textId="77777777" w:rsidR="00F46260" w:rsidRPr="00F46260" w:rsidRDefault="00F46260" w:rsidP="00F46260">
      <w:pPr>
        <w:spacing w:after="0" w:line="240" w:lineRule="auto"/>
        <w:rPr>
          <w:rFonts w:ascii="Arial" w:eastAsia="Times New Roman" w:hAnsi="Arial" w:cs="Arial"/>
          <w:sz w:val="20"/>
          <w:szCs w:val="20"/>
          <w:lang w:eastAsia="en-AU"/>
        </w:rPr>
      </w:pPr>
    </w:p>
    <w:p w14:paraId="2FAF5D66" w14:textId="77777777" w:rsidR="00F46260" w:rsidRPr="00F46260" w:rsidRDefault="00F46260" w:rsidP="00F46260">
      <w:pPr>
        <w:spacing w:after="0" w:line="240" w:lineRule="auto"/>
        <w:rPr>
          <w:rFonts w:ascii="Arial" w:eastAsia="Times New Roman" w:hAnsi="Arial" w:cs="Arial"/>
          <w:sz w:val="20"/>
          <w:szCs w:val="20"/>
          <w:lang w:eastAsia="en-AU"/>
        </w:rPr>
      </w:pPr>
    </w:p>
    <w:p w14:paraId="759EE2B6" w14:textId="77777777" w:rsidR="00F46260" w:rsidRPr="00F46260" w:rsidRDefault="00F46260" w:rsidP="00F46260">
      <w:pPr>
        <w:spacing w:after="0" w:line="240" w:lineRule="auto"/>
        <w:rPr>
          <w:rFonts w:ascii="Arial" w:eastAsia="Times New Roman" w:hAnsi="Arial" w:cs="Arial"/>
          <w:sz w:val="20"/>
          <w:szCs w:val="20"/>
          <w:lang w:eastAsia="en-AU"/>
        </w:rPr>
      </w:pPr>
    </w:p>
    <w:p w14:paraId="6B6C61B4" w14:textId="77777777" w:rsidR="00F46260" w:rsidRPr="00F46260" w:rsidRDefault="00F46260" w:rsidP="00F46260">
      <w:pPr>
        <w:spacing w:after="0" w:line="240" w:lineRule="auto"/>
        <w:rPr>
          <w:rFonts w:ascii="Arial" w:eastAsia="Times New Roman" w:hAnsi="Arial" w:cs="Arial"/>
          <w:sz w:val="20"/>
          <w:szCs w:val="20"/>
          <w:lang w:eastAsia="en-AU"/>
        </w:rPr>
      </w:pPr>
    </w:p>
    <w:p w14:paraId="37ED291B" w14:textId="77777777" w:rsidR="00F46260" w:rsidRPr="00F46260" w:rsidRDefault="00F46260" w:rsidP="00F46260">
      <w:pPr>
        <w:spacing w:after="0" w:line="240" w:lineRule="auto"/>
        <w:rPr>
          <w:rFonts w:ascii="Arial" w:eastAsia="Times New Roman" w:hAnsi="Arial" w:cs="Arial"/>
          <w:sz w:val="20"/>
          <w:szCs w:val="20"/>
          <w:lang w:eastAsia="en-AU"/>
        </w:rPr>
      </w:pPr>
    </w:p>
    <w:p w14:paraId="204ECE3F" w14:textId="77777777" w:rsidR="00F46260" w:rsidRPr="00F46260" w:rsidRDefault="00F46260" w:rsidP="00F46260">
      <w:pPr>
        <w:spacing w:after="0" w:line="240" w:lineRule="auto"/>
        <w:rPr>
          <w:rFonts w:ascii="Arial" w:eastAsia="Times New Roman" w:hAnsi="Arial" w:cs="Arial"/>
          <w:sz w:val="20"/>
          <w:szCs w:val="20"/>
          <w:lang w:eastAsia="en-AU"/>
        </w:rPr>
      </w:pPr>
    </w:p>
    <w:p w14:paraId="0A4B0DC6" w14:textId="77777777" w:rsidR="00F46260" w:rsidRPr="00F46260" w:rsidRDefault="00F46260" w:rsidP="00F46260">
      <w:pPr>
        <w:spacing w:after="0" w:line="240" w:lineRule="auto"/>
        <w:rPr>
          <w:rFonts w:ascii="Arial" w:eastAsia="Times New Roman" w:hAnsi="Arial" w:cs="Arial"/>
          <w:sz w:val="20"/>
          <w:szCs w:val="20"/>
          <w:lang w:eastAsia="en-AU"/>
        </w:rPr>
      </w:pPr>
    </w:p>
    <w:p w14:paraId="7C5C11F5" w14:textId="77777777" w:rsidR="00F46260" w:rsidRPr="00F46260" w:rsidRDefault="00F46260" w:rsidP="00F46260">
      <w:pPr>
        <w:spacing w:after="0" w:line="240" w:lineRule="auto"/>
        <w:rPr>
          <w:rFonts w:ascii="Arial" w:eastAsia="Times New Roman" w:hAnsi="Arial" w:cs="Arial"/>
          <w:sz w:val="20"/>
          <w:szCs w:val="20"/>
          <w:lang w:eastAsia="en-AU"/>
        </w:rPr>
      </w:pPr>
    </w:p>
    <w:p w14:paraId="7329EA93" w14:textId="77777777" w:rsidR="00F46260" w:rsidRPr="00F46260" w:rsidRDefault="00F46260" w:rsidP="00F46260">
      <w:pPr>
        <w:spacing w:after="0" w:line="240" w:lineRule="auto"/>
        <w:rPr>
          <w:rFonts w:ascii="Arial" w:eastAsia="Times New Roman" w:hAnsi="Arial" w:cs="Arial"/>
          <w:sz w:val="20"/>
          <w:szCs w:val="20"/>
          <w:lang w:eastAsia="en-AU"/>
        </w:rPr>
      </w:pPr>
    </w:p>
    <w:p w14:paraId="2A18EBEF" w14:textId="77777777" w:rsidR="00F46260" w:rsidRPr="00F46260" w:rsidRDefault="00F46260" w:rsidP="00F46260">
      <w:pPr>
        <w:spacing w:after="0" w:line="240" w:lineRule="auto"/>
        <w:rPr>
          <w:rFonts w:ascii="Arial" w:eastAsia="Times New Roman" w:hAnsi="Arial" w:cs="Arial"/>
          <w:sz w:val="20"/>
          <w:szCs w:val="20"/>
          <w:lang w:eastAsia="en-AU"/>
        </w:rPr>
      </w:pPr>
    </w:p>
    <w:p w14:paraId="19200445" w14:textId="77777777" w:rsidR="00F46260" w:rsidRPr="00F46260" w:rsidRDefault="00F46260" w:rsidP="00F46260">
      <w:pPr>
        <w:spacing w:after="0" w:line="240" w:lineRule="auto"/>
        <w:rPr>
          <w:rFonts w:ascii="Arial" w:eastAsia="Times New Roman" w:hAnsi="Arial" w:cs="Arial"/>
          <w:sz w:val="20"/>
          <w:szCs w:val="20"/>
          <w:lang w:eastAsia="en-AU"/>
        </w:rPr>
      </w:pPr>
    </w:p>
    <w:p w14:paraId="7C5099BD" w14:textId="77777777" w:rsidR="00F46260" w:rsidRPr="00F46260" w:rsidRDefault="00F46260" w:rsidP="00F46260">
      <w:pPr>
        <w:spacing w:after="0" w:line="240" w:lineRule="auto"/>
        <w:rPr>
          <w:rFonts w:ascii="Arial" w:eastAsia="Times New Roman" w:hAnsi="Arial" w:cs="Arial"/>
          <w:sz w:val="20"/>
          <w:szCs w:val="20"/>
          <w:lang w:eastAsia="en-AU"/>
        </w:rPr>
      </w:pPr>
    </w:p>
    <w:p w14:paraId="3B26DD39" w14:textId="77777777" w:rsidR="00F46260" w:rsidRPr="00F46260" w:rsidRDefault="00F46260" w:rsidP="00F46260">
      <w:pPr>
        <w:spacing w:after="0" w:line="240" w:lineRule="auto"/>
        <w:rPr>
          <w:rFonts w:ascii="Arial" w:eastAsia="Times New Roman" w:hAnsi="Arial" w:cs="Arial"/>
          <w:sz w:val="20"/>
          <w:szCs w:val="20"/>
          <w:lang w:eastAsia="en-AU"/>
        </w:rPr>
      </w:pPr>
    </w:p>
    <w:p w14:paraId="5D01AD65" w14:textId="77777777" w:rsidR="00F46260" w:rsidRPr="00F46260" w:rsidRDefault="00F46260" w:rsidP="00F46260">
      <w:pPr>
        <w:spacing w:after="0" w:line="240" w:lineRule="auto"/>
        <w:rPr>
          <w:rFonts w:ascii="Arial" w:eastAsia="Times New Roman" w:hAnsi="Arial" w:cs="Arial"/>
          <w:sz w:val="20"/>
          <w:szCs w:val="20"/>
          <w:lang w:eastAsia="en-AU"/>
        </w:rPr>
      </w:pPr>
    </w:p>
    <w:p w14:paraId="2465E5CB" w14:textId="77777777" w:rsidR="00F46260" w:rsidRPr="00F46260" w:rsidRDefault="00F46260" w:rsidP="00F46260">
      <w:pPr>
        <w:spacing w:after="0" w:line="240" w:lineRule="auto"/>
        <w:rPr>
          <w:rFonts w:ascii="Arial" w:eastAsia="Times New Roman" w:hAnsi="Arial" w:cs="Arial"/>
          <w:sz w:val="20"/>
          <w:szCs w:val="20"/>
          <w:lang w:eastAsia="en-AU"/>
        </w:rPr>
      </w:pPr>
    </w:p>
    <w:p w14:paraId="742D5803" w14:textId="77777777" w:rsidR="00F46260" w:rsidRPr="00F46260" w:rsidRDefault="00F46260" w:rsidP="00F46260">
      <w:pPr>
        <w:spacing w:after="0" w:line="240" w:lineRule="auto"/>
        <w:rPr>
          <w:rFonts w:ascii="Arial" w:eastAsia="Times New Roman" w:hAnsi="Arial" w:cs="Arial"/>
          <w:sz w:val="20"/>
          <w:szCs w:val="20"/>
          <w:lang w:eastAsia="en-AU"/>
        </w:rPr>
      </w:pPr>
    </w:p>
    <w:p w14:paraId="0A965EEF" w14:textId="77777777" w:rsidR="00F46260" w:rsidRPr="00F46260" w:rsidRDefault="00F46260" w:rsidP="00F46260">
      <w:pPr>
        <w:spacing w:after="0" w:line="240" w:lineRule="auto"/>
        <w:rPr>
          <w:rFonts w:ascii="Arial" w:eastAsia="Times New Roman" w:hAnsi="Arial" w:cs="Arial"/>
          <w:sz w:val="20"/>
          <w:szCs w:val="20"/>
          <w:lang w:eastAsia="en-AU"/>
        </w:rPr>
      </w:pPr>
    </w:p>
    <w:p w14:paraId="45C4A368" w14:textId="77777777" w:rsidR="00F46260" w:rsidRPr="00F46260" w:rsidRDefault="00F46260" w:rsidP="00F46260">
      <w:pPr>
        <w:spacing w:after="0" w:line="240" w:lineRule="auto"/>
        <w:rPr>
          <w:rFonts w:ascii="Arial" w:eastAsia="Times New Roman" w:hAnsi="Arial" w:cs="Arial"/>
          <w:sz w:val="20"/>
          <w:szCs w:val="20"/>
          <w:lang w:eastAsia="en-AU"/>
        </w:rPr>
      </w:pPr>
    </w:p>
    <w:p w14:paraId="23BDA98B" w14:textId="77777777" w:rsidR="00F46260" w:rsidRPr="00F46260" w:rsidRDefault="00F46260" w:rsidP="00F46260">
      <w:pPr>
        <w:spacing w:after="0" w:line="240" w:lineRule="auto"/>
        <w:rPr>
          <w:rFonts w:ascii="Arial" w:eastAsia="Times New Roman" w:hAnsi="Arial" w:cs="Arial"/>
          <w:sz w:val="20"/>
          <w:szCs w:val="20"/>
          <w:lang w:eastAsia="en-AU"/>
        </w:rPr>
      </w:pPr>
    </w:p>
    <w:p w14:paraId="3E1E0E64" w14:textId="77777777" w:rsidR="00F46260" w:rsidRPr="00F46260" w:rsidRDefault="00F46260" w:rsidP="00F46260">
      <w:pPr>
        <w:spacing w:after="0" w:line="240" w:lineRule="auto"/>
        <w:rPr>
          <w:rFonts w:ascii="Arial" w:eastAsia="Times New Roman" w:hAnsi="Arial" w:cs="Arial"/>
          <w:sz w:val="20"/>
          <w:szCs w:val="20"/>
          <w:lang w:eastAsia="en-AU"/>
        </w:rPr>
      </w:pPr>
    </w:p>
    <w:p w14:paraId="221AE474" w14:textId="77777777" w:rsidR="00F46260" w:rsidRPr="00F46260" w:rsidRDefault="00F46260" w:rsidP="00F46260">
      <w:pPr>
        <w:spacing w:after="0" w:line="240" w:lineRule="auto"/>
        <w:rPr>
          <w:rFonts w:ascii="Arial" w:eastAsia="Times New Roman" w:hAnsi="Arial" w:cs="Arial"/>
          <w:sz w:val="20"/>
          <w:szCs w:val="20"/>
          <w:lang w:eastAsia="en-AU"/>
        </w:rPr>
      </w:pPr>
    </w:p>
    <w:p w14:paraId="7CBAEC9C" w14:textId="77777777" w:rsidR="00F46260" w:rsidRPr="00F46260" w:rsidRDefault="00F46260" w:rsidP="00F46260">
      <w:pPr>
        <w:spacing w:after="0" w:line="240" w:lineRule="auto"/>
        <w:rPr>
          <w:rFonts w:ascii="Arial" w:eastAsia="Times New Roman" w:hAnsi="Arial" w:cs="Arial"/>
          <w:sz w:val="20"/>
          <w:szCs w:val="20"/>
          <w:lang w:eastAsia="en-AU"/>
        </w:rPr>
      </w:pPr>
    </w:p>
    <w:p w14:paraId="2A141EE6" w14:textId="77777777" w:rsidR="00F46260" w:rsidRPr="00F46260" w:rsidRDefault="00F46260" w:rsidP="00F46260">
      <w:pPr>
        <w:pBdr>
          <w:bottom w:val="single" w:sz="12" w:space="1" w:color="auto"/>
        </w:pBdr>
        <w:tabs>
          <w:tab w:val="left" w:pos="1384"/>
        </w:tabs>
        <w:spacing w:after="0" w:line="240" w:lineRule="auto"/>
        <w:rPr>
          <w:rFonts w:ascii="Arial" w:eastAsia="Times New Roman" w:hAnsi="Arial" w:cs="Arial"/>
          <w:b/>
          <w:sz w:val="24"/>
          <w:szCs w:val="24"/>
          <w:lang w:eastAsia="en-AU"/>
        </w:rPr>
      </w:pPr>
      <w:bookmarkStart w:id="57" w:name="_Toc492305470"/>
      <w:r w:rsidRPr="00F46260">
        <w:rPr>
          <w:rFonts w:ascii="Arial" w:eastAsia="Times New Roman" w:hAnsi="Arial" w:cs="Arial"/>
          <w:b/>
          <w:sz w:val="24"/>
          <w:szCs w:val="24"/>
          <w:lang w:eastAsia="en-AU"/>
        </w:rPr>
        <w:lastRenderedPageBreak/>
        <w:t>7. Risks, contingencies, and valuation judgement</w:t>
      </w:r>
      <w:bookmarkEnd w:id="57"/>
    </w:p>
    <w:p w14:paraId="60F22BB4" w14:textId="77777777" w:rsidR="00F46260" w:rsidRPr="00F46260" w:rsidRDefault="00F46260" w:rsidP="00F46260">
      <w:pPr>
        <w:tabs>
          <w:tab w:val="left" w:pos="1384"/>
        </w:tabs>
        <w:spacing w:after="0" w:line="240" w:lineRule="auto"/>
        <w:ind w:left="1384" w:hanging="1384"/>
        <w:rPr>
          <w:rFonts w:ascii="Arial" w:eastAsia="Times New Roman" w:hAnsi="Arial" w:cs="Arial"/>
          <w:sz w:val="20"/>
          <w:szCs w:val="20"/>
          <w:lang w:eastAsia="en-AU"/>
        </w:rPr>
      </w:pPr>
    </w:p>
    <w:tbl>
      <w:tblPr>
        <w:tblStyle w:val="CVtable1"/>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3"/>
      </w:tblGrid>
      <w:tr w:rsidR="00F46260" w:rsidRPr="00F46260" w14:paraId="5E720EB4" w14:textId="77777777" w:rsidTr="00D1524E">
        <w:tc>
          <w:tcPr>
            <w:tcW w:w="2497" w:type="pct"/>
            <w:tcBorders>
              <w:right w:val="single" w:sz="2" w:space="0" w:color="auto"/>
            </w:tcBorders>
          </w:tcPr>
          <w:p w14:paraId="4583838A" w14:textId="77777777" w:rsidR="00F46260" w:rsidRPr="00F46260" w:rsidRDefault="00F46260" w:rsidP="00D1524E">
            <w:pPr>
              <w:autoSpaceDE w:val="0"/>
              <w:autoSpaceDN w:val="0"/>
              <w:adjustRightInd w:val="0"/>
              <w:spacing w:after="0" w:line="240" w:lineRule="auto"/>
              <w:contextualSpacing/>
              <w:rPr>
                <w:rFonts w:ascii="Arial" w:hAnsi="Arial" w:cs="Arial"/>
                <w:b/>
                <w:bCs/>
              </w:rPr>
            </w:pPr>
            <w:r w:rsidRPr="00F46260">
              <w:rPr>
                <w:rFonts w:ascii="Arial" w:hAnsi="Arial" w:cs="Arial"/>
                <w:b/>
                <w:bCs/>
              </w:rPr>
              <w:t>Introduction</w:t>
            </w:r>
          </w:p>
          <w:p w14:paraId="615A153B" w14:textId="77777777" w:rsidR="00F46260" w:rsidRPr="00F46260" w:rsidRDefault="00F46260" w:rsidP="00D1524E">
            <w:pPr>
              <w:autoSpaceDE w:val="0"/>
              <w:autoSpaceDN w:val="0"/>
              <w:adjustRightInd w:val="0"/>
              <w:spacing w:after="0" w:line="240" w:lineRule="auto"/>
              <w:contextualSpacing/>
              <w:rPr>
                <w:rFonts w:ascii="Arial" w:hAnsi="Arial" w:cs="Arial"/>
                <w:bCs/>
              </w:rPr>
            </w:pPr>
          </w:p>
          <w:p w14:paraId="57ED58F1" w14:textId="77777777" w:rsidR="00F46260" w:rsidRPr="00F46260" w:rsidRDefault="00F46260" w:rsidP="00D1524E">
            <w:pPr>
              <w:autoSpaceDE w:val="0"/>
              <w:autoSpaceDN w:val="0"/>
              <w:adjustRightInd w:val="0"/>
              <w:spacing w:after="0" w:line="240" w:lineRule="auto"/>
              <w:contextualSpacing/>
              <w:rPr>
                <w:rFonts w:ascii="Arial" w:hAnsi="Arial" w:cs="Arial"/>
                <w:bCs/>
              </w:rPr>
            </w:pPr>
            <w:r w:rsidRPr="00F46260">
              <w:rPr>
                <w:rFonts w:ascii="Arial" w:hAnsi="Arial" w:cs="Arial"/>
                <w:bCs/>
              </w:rPr>
              <w:t xml:space="preserve">The Commission is exposed to risk from its activities and outside factors. In addition, it is often necessary to make judgements and estimates associated with recognition and measurement of items in the financial statements. </w:t>
            </w:r>
          </w:p>
          <w:p w14:paraId="4779ED97" w14:textId="77777777" w:rsidR="00F46260" w:rsidRPr="00F46260" w:rsidRDefault="00F46260" w:rsidP="00D1524E">
            <w:pPr>
              <w:autoSpaceDE w:val="0"/>
              <w:autoSpaceDN w:val="0"/>
              <w:adjustRightInd w:val="0"/>
              <w:spacing w:after="0" w:line="240" w:lineRule="auto"/>
              <w:contextualSpacing/>
              <w:rPr>
                <w:rFonts w:ascii="Arial" w:hAnsi="Arial" w:cs="Arial"/>
                <w:bCs/>
              </w:rPr>
            </w:pPr>
          </w:p>
          <w:p w14:paraId="2B9CA41B" w14:textId="77777777" w:rsidR="00F46260" w:rsidRPr="00F46260" w:rsidRDefault="00F46260" w:rsidP="00D1524E">
            <w:pPr>
              <w:autoSpaceDE w:val="0"/>
              <w:autoSpaceDN w:val="0"/>
              <w:adjustRightInd w:val="0"/>
              <w:spacing w:after="0" w:line="240" w:lineRule="auto"/>
              <w:contextualSpacing/>
              <w:rPr>
                <w:rFonts w:ascii="Arial" w:hAnsi="Arial" w:cs="Arial"/>
                <w:color w:val="000000"/>
              </w:rPr>
            </w:pPr>
            <w:r w:rsidRPr="00F46260">
              <w:rPr>
                <w:rFonts w:ascii="Arial" w:hAnsi="Arial" w:cs="Arial"/>
                <w:bCs/>
              </w:rPr>
              <w:t>This section sets out financial instrument specific information (including exposures to financial risks) as well as those items that are contingent in nature or require a higher level of judgement to be applied, which for the Commission relates mainly to fair value determination.</w:t>
            </w:r>
          </w:p>
        </w:tc>
        <w:tc>
          <w:tcPr>
            <w:tcW w:w="2503" w:type="pct"/>
            <w:tcBorders>
              <w:left w:val="single" w:sz="2" w:space="0" w:color="auto"/>
            </w:tcBorders>
          </w:tcPr>
          <w:p w14:paraId="33506904" w14:textId="77777777" w:rsidR="00F46260" w:rsidRPr="00F46260" w:rsidRDefault="00F46260" w:rsidP="00D1524E">
            <w:pPr>
              <w:spacing w:after="0" w:line="240" w:lineRule="auto"/>
              <w:ind w:left="357"/>
              <w:contextualSpacing/>
              <w:rPr>
                <w:rFonts w:ascii="Arial" w:hAnsi="Arial" w:cs="Arial"/>
                <w:b/>
              </w:rPr>
            </w:pPr>
            <w:r w:rsidRPr="00F46260">
              <w:rPr>
                <w:rFonts w:ascii="Arial" w:hAnsi="Arial" w:cs="Arial"/>
                <w:b/>
              </w:rPr>
              <w:t>Structure</w:t>
            </w:r>
          </w:p>
          <w:p w14:paraId="2ED983B0" w14:textId="77777777" w:rsidR="00F46260" w:rsidRPr="00F46260" w:rsidRDefault="00F46260" w:rsidP="00D1524E">
            <w:pPr>
              <w:spacing w:after="0" w:line="240" w:lineRule="auto"/>
              <w:ind w:left="714"/>
              <w:contextualSpacing/>
              <w:rPr>
                <w:rFonts w:ascii="Arial" w:hAnsi="Arial" w:cs="Arial"/>
              </w:rPr>
            </w:pPr>
          </w:p>
          <w:p w14:paraId="699DCA7B" w14:textId="77777777" w:rsidR="00F46260" w:rsidRPr="00F46260" w:rsidRDefault="00F46260" w:rsidP="00F8706A">
            <w:pPr>
              <w:numPr>
                <w:ilvl w:val="1"/>
                <w:numId w:val="31"/>
              </w:numPr>
              <w:spacing w:after="0" w:line="240" w:lineRule="auto"/>
              <w:ind w:left="714" w:hanging="357"/>
              <w:contextualSpacing/>
              <w:rPr>
                <w:rFonts w:ascii="Arial" w:hAnsi="Arial" w:cs="Arial"/>
              </w:rPr>
            </w:pPr>
            <w:r w:rsidRPr="00F46260">
              <w:rPr>
                <w:rFonts w:ascii="Arial" w:hAnsi="Arial" w:cs="Arial"/>
              </w:rPr>
              <w:t>Financial instruments specific disclosures</w:t>
            </w:r>
          </w:p>
          <w:p w14:paraId="656DBED4" w14:textId="77777777" w:rsidR="00F46260" w:rsidRPr="00F46260" w:rsidRDefault="00F46260" w:rsidP="00F8706A">
            <w:pPr>
              <w:numPr>
                <w:ilvl w:val="1"/>
                <w:numId w:val="31"/>
              </w:numPr>
              <w:spacing w:after="0" w:line="240" w:lineRule="auto"/>
              <w:ind w:left="714" w:hanging="357"/>
              <w:contextualSpacing/>
              <w:rPr>
                <w:rFonts w:ascii="Arial" w:hAnsi="Arial" w:cs="Arial"/>
              </w:rPr>
            </w:pPr>
            <w:r w:rsidRPr="00F46260">
              <w:rPr>
                <w:rFonts w:ascii="Arial" w:hAnsi="Arial" w:cs="Arial"/>
              </w:rPr>
              <w:t>Categorisation of financial instruments</w:t>
            </w:r>
          </w:p>
          <w:p w14:paraId="3E3EA54E" w14:textId="77777777" w:rsidR="00F46260" w:rsidRPr="00F46260" w:rsidRDefault="00F46260" w:rsidP="00F8706A">
            <w:pPr>
              <w:numPr>
                <w:ilvl w:val="1"/>
                <w:numId w:val="31"/>
              </w:numPr>
              <w:spacing w:after="0" w:line="240" w:lineRule="auto"/>
              <w:ind w:left="714" w:hanging="357"/>
              <w:contextualSpacing/>
              <w:rPr>
                <w:rFonts w:ascii="Arial" w:hAnsi="Arial" w:cs="Arial"/>
              </w:rPr>
            </w:pPr>
            <w:r w:rsidRPr="00F46260">
              <w:rPr>
                <w:rFonts w:ascii="Arial" w:hAnsi="Arial" w:cs="Arial"/>
              </w:rPr>
              <w:t>Financial risk management objectives and policies</w:t>
            </w:r>
          </w:p>
          <w:p w14:paraId="367C6D18" w14:textId="4582D2ED" w:rsidR="00F46260" w:rsidRPr="00D1524E" w:rsidRDefault="00F46260" w:rsidP="00F8706A">
            <w:pPr>
              <w:numPr>
                <w:ilvl w:val="1"/>
                <w:numId w:val="31"/>
              </w:numPr>
              <w:spacing w:after="0" w:line="240" w:lineRule="auto"/>
              <w:ind w:left="714" w:hanging="357"/>
              <w:contextualSpacing/>
              <w:rPr>
                <w:rFonts w:ascii="Arial" w:hAnsi="Arial" w:cs="Arial"/>
              </w:rPr>
            </w:pPr>
            <w:r w:rsidRPr="00F46260">
              <w:rPr>
                <w:rFonts w:ascii="Arial" w:hAnsi="Arial" w:cs="Arial"/>
              </w:rPr>
              <w:t xml:space="preserve">Contingent assets and contingent liabilities </w:t>
            </w:r>
          </w:p>
        </w:tc>
      </w:tr>
    </w:tbl>
    <w:p w14:paraId="58AAF930"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3226928F"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 xml:space="preserve"> 7.1. Financial instruments specific disclosures </w:t>
      </w:r>
    </w:p>
    <w:p w14:paraId="0CD155EA"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 </w:t>
      </w:r>
    </w:p>
    <w:p w14:paraId="55D99CF1"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Introduction</w:t>
      </w:r>
    </w:p>
    <w:p w14:paraId="1866A677"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350CDFB3"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Financial instruments arise out of contractual agreements between entities that give rise to a financial asset of one entity and a financial liability or equity instrument of another entity. Due to the nature of the Commission’s activities, certain financial assets and financial liabilities arise under statute rather than a contract. Such financial assets and financial liabilities do not meet the definition of financial instruments in AASB 132 </w:t>
      </w:r>
      <w:r w:rsidRPr="00F46260">
        <w:rPr>
          <w:rFonts w:ascii="Arial" w:eastAsia="Times New Roman" w:hAnsi="Arial" w:cs="Arial"/>
          <w:i/>
          <w:sz w:val="20"/>
          <w:szCs w:val="20"/>
          <w:lang w:eastAsia="en-AU"/>
        </w:rPr>
        <w:t>Financial Instruments: Presentation</w:t>
      </w:r>
      <w:r w:rsidRPr="00F46260">
        <w:rPr>
          <w:rFonts w:ascii="Arial" w:eastAsia="Times New Roman" w:hAnsi="Arial" w:cs="Arial"/>
          <w:sz w:val="20"/>
          <w:szCs w:val="20"/>
          <w:lang w:eastAsia="en-AU"/>
        </w:rPr>
        <w:t xml:space="preserve">.  For example, statutory receivables do not meet the definition of financial instruments as they do not arise under contract. The Commission’s statutory receivables are disclosed in note 5.1.  </w:t>
      </w:r>
    </w:p>
    <w:p w14:paraId="49EE9FE8" w14:textId="77777777" w:rsidR="00F46260" w:rsidRPr="00F46260" w:rsidRDefault="00F46260" w:rsidP="00F46260">
      <w:pPr>
        <w:autoSpaceDE w:val="0"/>
        <w:autoSpaceDN w:val="0"/>
        <w:adjustRightInd w:val="0"/>
        <w:spacing w:after="0" w:line="240" w:lineRule="auto"/>
        <w:rPr>
          <w:rFonts w:ascii="Arial" w:eastAsia="Times New Roman" w:hAnsi="Arial" w:cs="Arial"/>
          <w:sz w:val="20"/>
          <w:szCs w:val="20"/>
          <w:lang w:eastAsia="en-AU"/>
        </w:rPr>
      </w:pPr>
    </w:p>
    <w:p w14:paraId="627964DD"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 xml:space="preserve">Categories of financial assets </w:t>
      </w:r>
    </w:p>
    <w:p w14:paraId="661F6D77" w14:textId="77777777" w:rsidR="00F46260" w:rsidRPr="00F46260" w:rsidRDefault="00F46260" w:rsidP="00F46260">
      <w:pPr>
        <w:spacing w:after="0" w:line="240" w:lineRule="auto"/>
        <w:rPr>
          <w:rFonts w:ascii="Times New Roman" w:eastAsia="Times New Roman" w:hAnsi="Times New Roman"/>
          <w:b/>
          <w:sz w:val="20"/>
          <w:szCs w:val="20"/>
          <w:lang w:eastAsia="en-AU"/>
        </w:rPr>
      </w:pPr>
    </w:p>
    <w:p w14:paraId="5EB75FBF"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Financial assets at amortised cost</w:t>
      </w:r>
    </w:p>
    <w:p w14:paraId="3BE10358" w14:textId="77777777" w:rsidR="00F46260" w:rsidRPr="00F46260" w:rsidRDefault="00F46260" w:rsidP="00F46260">
      <w:pPr>
        <w:tabs>
          <w:tab w:val="left" w:pos="72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Financial assets are measured at amortised costs. These assets are initially recognised at fair value plus any directly attributable transaction costs and subsequently measured at amortised cost using the effective interest method less any impairment.</w:t>
      </w:r>
    </w:p>
    <w:p w14:paraId="424A2275" w14:textId="77777777" w:rsidR="00F46260" w:rsidRPr="00F46260" w:rsidRDefault="00F46260" w:rsidP="00F46260">
      <w:pPr>
        <w:spacing w:after="0" w:line="220" w:lineRule="exact"/>
        <w:rPr>
          <w:rFonts w:ascii="Arial" w:eastAsia="Times New Roman" w:hAnsi="Arial" w:cs="Arial"/>
          <w:sz w:val="20"/>
          <w:szCs w:val="20"/>
          <w:lang w:eastAsia="en-AU"/>
        </w:rPr>
      </w:pPr>
    </w:p>
    <w:p w14:paraId="3118B407" w14:textId="77777777" w:rsidR="00F46260" w:rsidRPr="00F46260" w:rsidRDefault="00F46260" w:rsidP="00F46260">
      <w:pPr>
        <w:spacing w:after="0" w:line="220" w:lineRule="exact"/>
        <w:rPr>
          <w:rFonts w:ascii="Arial" w:eastAsia="Times New Roman" w:hAnsi="Arial" w:cs="Arial"/>
          <w:sz w:val="20"/>
          <w:szCs w:val="20"/>
          <w:lang w:eastAsia="en-AU"/>
        </w:rPr>
      </w:pPr>
      <w:r w:rsidRPr="00F46260">
        <w:rPr>
          <w:rFonts w:ascii="Arial" w:eastAsia="Times New Roman" w:hAnsi="Arial" w:cs="Arial"/>
          <w:sz w:val="20"/>
          <w:szCs w:val="20"/>
          <w:lang w:eastAsia="en-AU"/>
        </w:rPr>
        <w:t>The Commission recognises the following assets in this category:</w:t>
      </w:r>
    </w:p>
    <w:p w14:paraId="1BBF3C00" w14:textId="77777777" w:rsidR="00F46260" w:rsidRPr="00F46260" w:rsidRDefault="00F46260" w:rsidP="00F8706A">
      <w:pPr>
        <w:numPr>
          <w:ilvl w:val="1"/>
          <w:numId w:val="20"/>
        </w:numPr>
        <w:spacing w:after="0" w:line="220" w:lineRule="exact"/>
        <w:rPr>
          <w:rFonts w:ascii="Arial" w:eastAsia="Times New Roman" w:hAnsi="Arial" w:cs="Arial"/>
          <w:sz w:val="20"/>
          <w:szCs w:val="20"/>
          <w:lang w:eastAsia="en-AU"/>
        </w:rPr>
      </w:pPr>
      <w:r w:rsidRPr="00F46260">
        <w:rPr>
          <w:rFonts w:ascii="Arial" w:eastAsia="Times New Roman" w:hAnsi="Arial" w:cs="Arial"/>
          <w:sz w:val="20"/>
          <w:szCs w:val="20"/>
          <w:lang w:eastAsia="en-AU"/>
        </w:rPr>
        <w:t>cash and deposits; and</w:t>
      </w:r>
    </w:p>
    <w:p w14:paraId="126D7C1B" w14:textId="77777777" w:rsidR="00F46260" w:rsidRPr="00F46260" w:rsidRDefault="00F46260" w:rsidP="00F8706A">
      <w:pPr>
        <w:numPr>
          <w:ilvl w:val="1"/>
          <w:numId w:val="20"/>
        </w:numPr>
        <w:spacing w:after="0" w:line="220" w:lineRule="exact"/>
        <w:rPr>
          <w:rFonts w:ascii="Arial" w:eastAsia="Times New Roman" w:hAnsi="Arial" w:cs="Arial"/>
          <w:sz w:val="20"/>
          <w:szCs w:val="20"/>
          <w:lang w:eastAsia="en-AU"/>
        </w:rPr>
      </w:pPr>
      <w:r w:rsidRPr="00F46260">
        <w:rPr>
          <w:rFonts w:ascii="Arial" w:eastAsia="Times New Roman" w:hAnsi="Arial" w:cs="Arial"/>
          <w:sz w:val="20"/>
          <w:szCs w:val="20"/>
          <w:lang w:eastAsia="en-AU"/>
        </w:rPr>
        <w:t>trade receivables (excluding statutory receivables)</w:t>
      </w:r>
    </w:p>
    <w:p w14:paraId="0D3EE2D1"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40901895"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Categories of financial liabilities</w:t>
      </w:r>
    </w:p>
    <w:p w14:paraId="730BEFDB"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2BFD9BB2"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Financial liabilities at amortised cost</w:t>
      </w:r>
    </w:p>
    <w:p w14:paraId="3B4ACE50"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Financial instrument liabilities are initially recognised on the date they are originated. They are initially measured at fair value plus any directly attributable transaction costs. </w:t>
      </w:r>
    </w:p>
    <w:p w14:paraId="3FD993F3"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190DB6A8"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Financial instrument liabilities measured at amortised cost include all of the Commission’s contractual payables and borrowings.</w:t>
      </w:r>
    </w:p>
    <w:p w14:paraId="3E251BA8"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30A2C098"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Derecognition of financial assets and liabilities</w:t>
      </w:r>
    </w:p>
    <w:p w14:paraId="6EC34269"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53D7A304" w14:textId="77777777" w:rsidR="00F46260" w:rsidRPr="00F46260" w:rsidRDefault="00F46260" w:rsidP="00F46260">
      <w:pPr>
        <w:tabs>
          <w:tab w:val="left" w:pos="720"/>
        </w:tabs>
        <w:spacing w:after="0" w:line="240" w:lineRule="auto"/>
        <w:rPr>
          <w:rFonts w:ascii="Arial" w:eastAsia="Times New Roman" w:hAnsi="Arial" w:cs="Arial"/>
          <w:b/>
          <w:sz w:val="20"/>
          <w:szCs w:val="20"/>
          <w:lang w:eastAsia="en-AU"/>
        </w:rPr>
      </w:pPr>
      <w:r w:rsidRPr="00F46260">
        <w:rPr>
          <w:rFonts w:ascii="Arial" w:eastAsia="Times New Roman" w:hAnsi="Arial" w:cs="Arial"/>
          <w:b/>
          <w:bCs/>
          <w:sz w:val="20"/>
          <w:szCs w:val="20"/>
          <w:lang w:eastAsia="en-AU"/>
        </w:rPr>
        <w:t>Derecognition of financial assets</w:t>
      </w:r>
    </w:p>
    <w:p w14:paraId="1295A773" w14:textId="77777777" w:rsidR="00F46260" w:rsidRPr="00F46260" w:rsidRDefault="00F46260" w:rsidP="00F46260">
      <w:pPr>
        <w:tabs>
          <w:tab w:val="left" w:pos="72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 financial asset (or, where applicable, a part of a financial asset or part of a group of similar financial assets) is derecognised when the rights to receive cash flows from the asset have expired.</w:t>
      </w:r>
    </w:p>
    <w:p w14:paraId="124595D6" w14:textId="77777777" w:rsidR="00F46260" w:rsidRPr="00F46260" w:rsidRDefault="00F46260" w:rsidP="00F46260">
      <w:pPr>
        <w:tabs>
          <w:tab w:val="left" w:pos="720"/>
        </w:tabs>
        <w:spacing w:after="0" w:line="240" w:lineRule="auto"/>
        <w:rPr>
          <w:rFonts w:ascii="Arial" w:eastAsia="Times New Roman" w:hAnsi="Arial" w:cs="Arial"/>
          <w:sz w:val="20"/>
          <w:szCs w:val="20"/>
          <w:lang w:eastAsia="en-AU"/>
        </w:rPr>
      </w:pPr>
    </w:p>
    <w:p w14:paraId="1291E8EB" w14:textId="77777777" w:rsidR="00F46260" w:rsidRPr="00F46260" w:rsidRDefault="00F46260" w:rsidP="00F46260">
      <w:pPr>
        <w:tabs>
          <w:tab w:val="left" w:pos="720"/>
        </w:tabs>
        <w:spacing w:after="0" w:line="240" w:lineRule="auto"/>
        <w:rPr>
          <w:rFonts w:ascii="Arial" w:eastAsia="Times New Roman" w:hAnsi="Arial" w:cs="Arial"/>
          <w:b/>
          <w:sz w:val="20"/>
          <w:szCs w:val="20"/>
          <w:lang w:eastAsia="en-AU"/>
        </w:rPr>
      </w:pPr>
      <w:r w:rsidRPr="00F46260">
        <w:rPr>
          <w:rFonts w:ascii="Arial" w:eastAsia="Times New Roman" w:hAnsi="Arial" w:cs="Arial"/>
          <w:b/>
          <w:bCs/>
          <w:sz w:val="20"/>
          <w:szCs w:val="20"/>
          <w:lang w:eastAsia="en-AU"/>
        </w:rPr>
        <w:t>Derecognition of financial liabilities</w:t>
      </w:r>
    </w:p>
    <w:p w14:paraId="02A13F5D" w14:textId="77777777" w:rsidR="00F46260" w:rsidRPr="00F46260" w:rsidRDefault="00F46260" w:rsidP="00F46260">
      <w:pPr>
        <w:tabs>
          <w:tab w:val="left" w:pos="72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 financial liability is derecognised when the obligation under the liability is discharged, cancelled or expires.</w:t>
      </w:r>
    </w:p>
    <w:p w14:paraId="7F088AE7" w14:textId="77777777" w:rsidR="00F46260" w:rsidRPr="00F46260" w:rsidRDefault="00F46260" w:rsidP="00F46260">
      <w:pPr>
        <w:tabs>
          <w:tab w:val="left" w:pos="720"/>
        </w:tabs>
        <w:spacing w:after="0" w:line="240" w:lineRule="auto"/>
        <w:rPr>
          <w:rFonts w:ascii="Arial" w:eastAsia="Times New Roman" w:hAnsi="Arial" w:cs="Arial"/>
          <w:sz w:val="20"/>
          <w:szCs w:val="20"/>
          <w:lang w:eastAsia="en-AU"/>
        </w:rPr>
      </w:pPr>
    </w:p>
    <w:p w14:paraId="011D8AAE" w14:textId="77777777" w:rsidR="00D1524E" w:rsidRDefault="00D1524E">
      <w:pPr>
        <w:spacing w:after="0" w:line="240" w:lineRule="auto"/>
        <w:rPr>
          <w:rFonts w:ascii="Arial" w:eastAsia="Times New Roman" w:hAnsi="Arial" w:cs="Arial"/>
          <w:b/>
          <w:sz w:val="20"/>
          <w:szCs w:val="20"/>
          <w:lang w:eastAsia="en-AU"/>
        </w:rPr>
      </w:pPr>
      <w:r>
        <w:rPr>
          <w:rFonts w:ascii="Arial" w:eastAsia="Times New Roman" w:hAnsi="Arial" w:cs="Arial"/>
          <w:b/>
          <w:sz w:val="20"/>
          <w:szCs w:val="20"/>
          <w:lang w:eastAsia="en-AU"/>
        </w:rPr>
        <w:br w:type="page"/>
      </w:r>
    </w:p>
    <w:p w14:paraId="05C5C200" w14:textId="46E2AD42"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lastRenderedPageBreak/>
        <w:t>7.2 Categorisation of financial instruments</w:t>
      </w:r>
    </w:p>
    <w:tbl>
      <w:tblPr>
        <w:tblW w:w="5000" w:type="pct"/>
        <w:tblInd w:w="-108" w:type="dxa"/>
        <w:tblLook w:val="01E0" w:firstRow="1" w:lastRow="1" w:firstColumn="1" w:lastColumn="1" w:noHBand="0" w:noVBand="0"/>
      </w:tblPr>
      <w:tblGrid>
        <w:gridCol w:w="2093"/>
        <w:gridCol w:w="569"/>
        <w:gridCol w:w="3503"/>
        <w:gridCol w:w="1124"/>
        <w:gridCol w:w="239"/>
        <w:gridCol w:w="21"/>
        <w:gridCol w:w="1806"/>
      </w:tblGrid>
      <w:tr w:rsidR="00F46260" w:rsidRPr="00F46260" w14:paraId="6E173C03" w14:textId="77777777" w:rsidTr="00D1524E">
        <w:trPr>
          <w:trHeight w:val="212"/>
        </w:trPr>
        <w:tc>
          <w:tcPr>
            <w:tcW w:w="1119" w:type="pct"/>
            <w:shd w:val="clear" w:color="auto" w:fill="auto"/>
            <w:vAlign w:val="bottom"/>
          </w:tcPr>
          <w:p w14:paraId="0EB02AC8"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304" w:type="pct"/>
            <w:shd w:val="clear" w:color="auto" w:fill="auto"/>
            <w:tcMar>
              <w:left w:w="57" w:type="dxa"/>
              <w:right w:w="57" w:type="dxa"/>
            </w:tcMar>
            <w:vAlign w:val="bottom"/>
          </w:tcPr>
          <w:p w14:paraId="1765F7A7"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1872" w:type="pct"/>
            <w:shd w:val="clear" w:color="auto" w:fill="auto"/>
            <w:vAlign w:val="bottom"/>
          </w:tcPr>
          <w:p w14:paraId="3DDA6F99"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1705" w:type="pct"/>
            <w:gridSpan w:val="4"/>
            <w:shd w:val="clear" w:color="auto" w:fill="auto"/>
            <w:vAlign w:val="bottom"/>
          </w:tcPr>
          <w:p w14:paraId="7FF827AE" w14:textId="77777777" w:rsidR="00F46260" w:rsidRPr="00F46260" w:rsidRDefault="00F46260" w:rsidP="00F46260">
            <w:pPr>
              <w:spacing w:after="0" w:line="240" w:lineRule="auto"/>
              <w:jc w:val="center"/>
              <w:rPr>
                <w:rFonts w:ascii="Arial" w:eastAsia="Times New Roman" w:hAnsi="Arial" w:cs="Arial"/>
                <w:b/>
                <w:sz w:val="20"/>
                <w:szCs w:val="20"/>
                <w:lang w:eastAsia="en-AU"/>
              </w:rPr>
            </w:pPr>
          </w:p>
        </w:tc>
      </w:tr>
      <w:tr w:rsidR="00F46260" w:rsidRPr="00F46260" w14:paraId="2DE75FB4" w14:textId="77777777" w:rsidTr="00D1524E">
        <w:trPr>
          <w:trHeight w:val="212"/>
        </w:trPr>
        <w:tc>
          <w:tcPr>
            <w:tcW w:w="1119" w:type="pct"/>
            <w:shd w:val="pct50" w:color="auto" w:fill="auto"/>
            <w:vAlign w:val="bottom"/>
          </w:tcPr>
          <w:p w14:paraId="0C663E66"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304" w:type="pct"/>
            <w:shd w:val="pct50" w:color="auto" w:fill="auto"/>
            <w:tcMar>
              <w:left w:w="57" w:type="dxa"/>
              <w:right w:w="57" w:type="dxa"/>
            </w:tcMar>
            <w:vAlign w:val="bottom"/>
          </w:tcPr>
          <w:p w14:paraId="4974738B"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1872" w:type="pct"/>
            <w:shd w:val="pct50" w:color="auto" w:fill="auto"/>
            <w:vAlign w:val="bottom"/>
          </w:tcPr>
          <w:p w14:paraId="138186F2"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1705" w:type="pct"/>
            <w:gridSpan w:val="4"/>
            <w:shd w:val="pct50" w:color="auto" w:fill="auto"/>
            <w:vAlign w:val="bottom"/>
          </w:tcPr>
          <w:p w14:paraId="6B22B785"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Carrying amount</w:t>
            </w:r>
          </w:p>
        </w:tc>
      </w:tr>
      <w:tr w:rsidR="00F46260" w:rsidRPr="00F46260" w14:paraId="6EC41035" w14:textId="77777777" w:rsidTr="00D1524E">
        <w:trPr>
          <w:trHeight w:val="418"/>
        </w:trPr>
        <w:tc>
          <w:tcPr>
            <w:tcW w:w="1119" w:type="pct"/>
            <w:shd w:val="pct50" w:color="auto" w:fill="auto"/>
            <w:vAlign w:val="bottom"/>
          </w:tcPr>
          <w:p w14:paraId="204F55EF"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304" w:type="pct"/>
            <w:shd w:val="pct50" w:color="auto" w:fill="auto"/>
            <w:tcMar>
              <w:left w:w="57" w:type="dxa"/>
              <w:right w:w="57" w:type="dxa"/>
            </w:tcMar>
            <w:vAlign w:val="bottom"/>
          </w:tcPr>
          <w:p w14:paraId="1EA067A0" w14:textId="77777777" w:rsidR="00F46260" w:rsidRPr="00F46260" w:rsidRDefault="00F46260" w:rsidP="00F46260">
            <w:pPr>
              <w:spacing w:after="0" w:line="240" w:lineRule="auto"/>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Note</w:t>
            </w:r>
          </w:p>
        </w:tc>
        <w:tc>
          <w:tcPr>
            <w:tcW w:w="1872" w:type="pct"/>
            <w:shd w:val="pct50" w:color="auto" w:fill="auto"/>
            <w:vAlign w:val="bottom"/>
          </w:tcPr>
          <w:p w14:paraId="0AB428A4" w14:textId="77777777" w:rsidR="00F46260" w:rsidRPr="00F46260" w:rsidRDefault="00F46260" w:rsidP="00F46260">
            <w:pPr>
              <w:spacing w:after="0" w:line="240" w:lineRule="auto"/>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Category</w:t>
            </w:r>
          </w:p>
        </w:tc>
        <w:tc>
          <w:tcPr>
            <w:tcW w:w="601" w:type="pct"/>
            <w:shd w:val="pct50" w:color="auto" w:fill="auto"/>
            <w:vAlign w:val="bottom"/>
          </w:tcPr>
          <w:p w14:paraId="3C87C1F1"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2021</w:t>
            </w:r>
          </w:p>
          <w:p w14:paraId="3F281464"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w:t>
            </w:r>
          </w:p>
        </w:tc>
        <w:tc>
          <w:tcPr>
            <w:tcW w:w="128" w:type="pct"/>
            <w:shd w:val="pct50" w:color="auto" w:fill="auto"/>
            <w:vAlign w:val="bottom"/>
          </w:tcPr>
          <w:p w14:paraId="7FA311FF"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p>
        </w:tc>
        <w:tc>
          <w:tcPr>
            <w:tcW w:w="976" w:type="pct"/>
            <w:gridSpan w:val="2"/>
            <w:shd w:val="pct50" w:color="auto" w:fill="auto"/>
            <w:vAlign w:val="bottom"/>
          </w:tcPr>
          <w:p w14:paraId="2DF66364"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2020</w:t>
            </w:r>
          </w:p>
          <w:p w14:paraId="604FC1A0" w14:textId="77777777" w:rsidR="00F46260" w:rsidRPr="00F46260" w:rsidRDefault="00F46260" w:rsidP="00F46260">
            <w:pPr>
              <w:spacing w:after="0" w:line="240" w:lineRule="auto"/>
              <w:jc w:val="center"/>
              <w:rPr>
                <w:rFonts w:ascii="Arial" w:eastAsia="Times New Roman" w:hAnsi="Arial" w:cs="Arial"/>
                <w:b/>
                <w:color w:val="FFFFFF"/>
                <w:sz w:val="20"/>
                <w:szCs w:val="20"/>
                <w:lang w:eastAsia="en-AU"/>
              </w:rPr>
            </w:pPr>
            <w:r w:rsidRPr="00F46260">
              <w:rPr>
                <w:rFonts w:ascii="Arial" w:eastAsia="Times New Roman" w:hAnsi="Arial" w:cs="Arial"/>
                <w:b/>
                <w:color w:val="FFFFFF"/>
                <w:sz w:val="20"/>
                <w:szCs w:val="20"/>
                <w:lang w:eastAsia="en-AU"/>
              </w:rPr>
              <w:t>$</w:t>
            </w:r>
          </w:p>
        </w:tc>
      </w:tr>
      <w:tr w:rsidR="00F46260" w:rsidRPr="00F46260" w14:paraId="056EF1E2" w14:textId="77777777" w:rsidTr="00D1524E">
        <w:trPr>
          <w:trHeight w:val="212"/>
        </w:trPr>
        <w:tc>
          <w:tcPr>
            <w:tcW w:w="1119" w:type="pct"/>
            <w:shd w:val="clear" w:color="auto" w:fill="auto"/>
            <w:vAlign w:val="bottom"/>
          </w:tcPr>
          <w:p w14:paraId="72AEAF78"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Financial assets</w:t>
            </w:r>
          </w:p>
        </w:tc>
        <w:tc>
          <w:tcPr>
            <w:tcW w:w="304" w:type="pct"/>
            <w:shd w:val="clear" w:color="auto" w:fill="auto"/>
            <w:tcMar>
              <w:left w:w="57" w:type="dxa"/>
              <w:right w:w="57" w:type="dxa"/>
            </w:tcMar>
            <w:vAlign w:val="bottom"/>
          </w:tcPr>
          <w:p w14:paraId="328E964A"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1872" w:type="pct"/>
            <w:shd w:val="clear" w:color="auto" w:fill="auto"/>
            <w:vAlign w:val="bottom"/>
          </w:tcPr>
          <w:p w14:paraId="23286CED"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601" w:type="pct"/>
            <w:shd w:val="pct15" w:color="auto" w:fill="auto"/>
            <w:vAlign w:val="bottom"/>
          </w:tcPr>
          <w:p w14:paraId="60E783FB"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128" w:type="pct"/>
            <w:shd w:val="clear" w:color="auto" w:fill="auto"/>
            <w:vAlign w:val="bottom"/>
          </w:tcPr>
          <w:p w14:paraId="2CBF23C1"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c>
          <w:tcPr>
            <w:tcW w:w="976" w:type="pct"/>
            <w:gridSpan w:val="2"/>
            <w:shd w:val="clear" w:color="auto" w:fill="auto"/>
            <w:vAlign w:val="bottom"/>
          </w:tcPr>
          <w:p w14:paraId="3BCB6859" w14:textId="77777777" w:rsidR="00F46260" w:rsidRPr="00F46260" w:rsidRDefault="00F46260" w:rsidP="00F46260">
            <w:pPr>
              <w:spacing w:after="0" w:line="240" w:lineRule="auto"/>
              <w:jc w:val="center"/>
              <w:rPr>
                <w:rFonts w:ascii="Arial" w:eastAsia="Times New Roman" w:hAnsi="Arial" w:cs="Arial"/>
                <w:b/>
                <w:sz w:val="20"/>
                <w:szCs w:val="20"/>
                <w:lang w:eastAsia="en-AU"/>
              </w:rPr>
            </w:pPr>
          </w:p>
        </w:tc>
      </w:tr>
      <w:tr w:rsidR="00F46260" w:rsidRPr="00F46260" w14:paraId="0B7B5F8E" w14:textId="77777777" w:rsidTr="00D1524E">
        <w:trPr>
          <w:trHeight w:val="212"/>
        </w:trPr>
        <w:tc>
          <w:tcPr>
            <w:tcW w:w="1119" w:type="pct"/>
            <w:shd w:val="clear" w:color="auto" w:fill="auto"/>
            <w:vAlign w:val="bottom"/>
          </w:tcPr>
          <w:p w14:paraId="0C420C8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Cash and deposits</w:t>
            </w:r>
            <w:r w:rsidRPr="00F46260">
              <w:rPr>
                <w:rFonts w:ascii="Arial" w:eastAsia="Times New Roman" w:hAnsi="Arial" w:cs="Arial"/>
                <w:sz w:val="20"/>
                <w:szCs w:val="20"/>
                <w:vertAlign w:val="superscript"/>
                <w:lang w:eastAsia="en-AU"/>
              </w:rPr>
              <w:t>(a)</w:t>
            </w:r>
          </w:p>
        </w:tc>
        <w:tc>
          <w:tcPr>
            <w:tcW w:w="304" w:type="pct"/>
            <w:shd w:val="clear" w:color="auto" w:fill="auto"/>
            <w:tcMar>
              <w:left w:w="57" w:type="dxa"/>
              <w:right w:w="57" w:type="dxa"/>
            </w:tcMar>
            <w:vAlign w:val="bottom"/>
          </w:tcPr>
          <w:p w14:paraId="5CE7249B"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1872" w:type="pct"/>
            <w:shd w:val="clear" w:color="auto" w:fill="auto"/>
            <w:vAlign w:val="bottom"/>
          </w:tcPr>
          <w:p w14:paraId="2A74236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Financial assets at amortised cost</w:t>
            </w:r>
          </w:p>
        </w:tc>
        <w:tc>
          <w:tcPr>
            <w:tcW w:w="601" w:type="pct"/>
            <w:shd w:val="pct15" w:color="auto" w:fill="auto"/>
            <w:vAlign w:val="bottom"/>
          </w:tcPr>
          <w:p w14:paraId="447FF3A0"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w:t>
            </w:r>
          </w:p>
        </w:tc>
        <w:tc>
          <w:tcPr>
            <w:tcW w:w="139" w:type="pct"/>
            <w:gridSpan w:val="2"/>
            <w:shd w:val="clear" w:color="auto" w:fill="auto"/>
            <w:vAlign w:val="bottom"/>
          </w:tcPr>
          <w:p w14:paraId="7BB21198"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965" w:type="pct"/>
            <w:shd w:val="clear" w:color="auto" w:fill="auto"/>
            <w:vAlign w:val="bottom"/>
          </w:tcPr>
          <w:p w14:paraId="7959F791"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600</w:t>
            </w:r>
          </w:p>
        </w:tc>
      </w:tr>
      <w:tr w:rsidR="00F46260" w:rsidRPr="00F46260" w14:paraId="7C130D22" w14:textId="77777777" w:rsidTr="00D1524E">
        <w:trPr>
          <w:trHeight w:val="212"/>
        </w:trPr>
        <w:tc>
          <w:tcPr>
            <w:tcW w:w="1119" w:type="pct"/>
            <w:tcBorders>
              <w:bottom w:val="single" w:sz="2" w:space="0" w:color="auto"/>
            </w:tcBorders>
            <w:shd w:val="clear" w:color="auto" w:fill="auto"/>
            <w:vAlign w:val="bottom"/>
          </w:tcPr>
          <w:p w14:paraId="170D7107"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Receivables</w:t>
            </w:r>
            <w:r w:rsidRPr="00F46260">
              <w:rPr>
                <w:rFonts w:ascii="Arial" w:eastAsia="Times New Roman" w:hAnsi="Arial" w:cs="Arial"/>
                <w:sz w:val="20"/>
                <w:szCs w:val="20"/>
                <w:vertAlign w:val="superscript"/>
                <w:lang w:eastAsia="en-AU"/>
              </w:rPr>
              <w:t>(b)</w:t>
            </w:r>
          </w:p>
        </w:tc>
        <w:tc>
          <w:tcPr>
            <w:tcW w:w="304" w:type="pct"/>
            <w:tcBorders>
              <w:bottom w:val="single" w:sz="2" w:space="0" w:color="auto"/>
            </w:tcBorders>
            <w:shd w:val="clear" w:color="auto" w:fill="auto"/>
            <w:tcMar>
              <w:left w:w="57" w:type="dxa"/>
              <w:right w:w="57" w:type="dxa"/>
            </w:tcMar>
            <w:vAlign w:val="bottom"/>
          </w:tcPr>
          <w:p w14:paraId="79B5D3FC" w14:textId="77777777" w:rsidR="00F46260" w:rsidRPr="00F46260" w:rsidRDefault="00F46260" w:rsidP="00F46260">
            <w:pPr>
              <w:spacing w:after="0" w:line="240" w:lineRule="auto"/>
              <w:jc w:val="center"/>
              <w:rPr>
                <w:rFonts w:ascii="Arial" w:eastAsia="Times New Roman" w:hAnsi="Arial" w:cs="Arial"/>
                <w:sz w:val="20"/>
                <w:szCs w:val="20"/>
                <w:lang w:eastAsia="en-AU"/>
              </w:rPr>
            </w:pPr>
            <w:r w:rsidRPr="00F46260">
              <w:rPr>
                <w:rFonts w:ascii="Arial" w:eastAsia="Times New Roman" w:hAnsi="Arial" w:cs="Arial"/>
                <w:sz w:val="20"/>
                <w:szCs w:val="20"/>
                <w:lang w:eastAsia="en-AU"/>
              </w:rPr>
              <w:t>5.1</w:t>
            </w:r>
          </w:p>
        </w:tc>
        <w:tc>
          <w:tcPr>
            <w:tcW w:w="1872" w:type="pct"/>
            <w:tcBorders>
              <w:bottom w:val="single" w:sz="2" w:space="0" w:color="auto"/>
            </w:tcBorders>
            <w:shd w:val="clear" w:color="auto" w:fill="auto"/>
            <w:vAlign w:val="bottom"/>
          </w:tcPr>
          <w:p w14:paraId="4F925E7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Financial assets at amortised cost</w:t>
            </w:r>
          </w:p>
        </w:tc>
        <w:tc>
          <w:tcPr>
            <w:tcW w:w="601" w:type="pct"/>
            <w:tcBorders>
              <w:bottom w:val="single" w:sz="2" w:space="0" w:color="auto"/>
            </w:tcBorders>
            <w:shd w:val="pct15" w:color="auto" w:fill="auto"/>
            <w:vAlign w:val="bottom"/>
          </w:tcPr>
          <w:p w14:paraId="3D3EAEB5"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995,116</w:t>
            </w:r>
          </w:p>
        </w:tc>
        <w:tc>
          <w:tcPr>
            <w:tcW w:w="139" w:type="pct"/>
            <w:gridSpan w:val="2"/>
            <w:tcBorders>
              <w:bottom w:val="single" w:sz="2" w:space="0" w:color="auto"/>
            </w:tcBorders>
            <w:shd w:val="clear" w:color="auto" w:fill="auto"/>
            <w:vAlign w:val="bottom"/>
          </w:tcPr>
          <w:p w14:paraId="28C1276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965" w:type="pct"/>
            <w:tcBorders>
              <w:bottom w:val="single" w:sz="2" w:space="0" w:color="auto"/>
            </w:tcBorders>
            <w:shd w:val="clear" w:color="auto" w:fill="auto"/>
            <w:vAlign w:val="bottom"/>
          </w:tcPr>
          <w:p w14:paraId="151259FD"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1,457,590</w:t>
            </w:r>
          </w:p>
        </w:tc>
      </w:tr>
      <w:tr w:rsidR="00F46260" w:rsidRPr="00F46260" w14:paraId="5694131A" w14:textId="77777777" w:rsidTr="00D1524E">
        <w:trPr>
          <w:trHeight w:val="212"/>
        </w:trPr>
        <w:tc>
          <w:tcPr>
            <w:tcW w:w="1119" w:type="pct"/>
            <w:tcBorders>
              <w:top w:val="single" w:sz="2" w:space="0" w:color="auto"/>
              <w:bottom w:val="single" w:sz="12" w:space="0" w:color="auto"/>
            </w:tcBorders>
            <w:shd w:val="clear" w:color="auto" w:fill="auto"/>
            <w:vAlign w:val="bottom"/>
          </w:tcPr>
          <w:p w14:paraId="01EBC379"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304" w:type="pct"/>
            <w:tcBorders>
              <w:top w:val="single" w:sz="2" w:space="0" w:color="auto"/>
              <w:bottom w:val="single" w:sz="12" w:space="0" w:color="auto"/>
            </w:tcBorders>
            <w:shd w:val="clear" w:color="auto" w:fill="auto"/>
            <w:tcMar>
              <w:left w:w="57" w:type="dxa"/>
              <w:right w:w="57" w:type="dxa"/>
            </w:tcMar>
            <w:vAlign w:val="bottom"/>
          </w:tcPr>
          <w:p w14:paraId="4CB69EA5"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1872" w:type="pct"/>
            <w:tcBorders>
              <w:top w:val="single" w:sz="2" w:space="0" w:color="auto"/>
              <w:bottom w:val="single" w:sz="12" w:space="0" w:color="auto"/>
            </w:tcBorders>
            <w:shd w:val="clear" w:color="auto" w:fill="auto"/>
            <w:vAlign w:val="bottom"/>
          </w:tcPr>
          <w:p w14:paraId="14F107CC"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01" w:type="pct"/>
            <w:tcBorders>
              <w:top w:val="single" w:sz="2" w:space="0" w:color="auto"/>
              <w:bottom w:val="single" w:sz="12" w:space="0" w:color="auto"/>
            </w:tcBorders>
            <w:shd w:val="pct15" w:color="auto" w:fill="auto"/>
            <w:vAlign w:val="bottom"/>
          </w:tcPr>
          <w:p w14:paraId="7DC4DE25"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995,116</w:t>
            </w:r>
          </w:p>
        </w:tc>
        <w:tc>
          <w:tcPr>
            <w:tcW w:w="139" w:type="pct"/>
            <w:gridSpan w:val="2"/>
            <w:tcBorders>
              <w:top w:val="single" w:sz="2" w:space="0" w:color="auto"/>
              <w:bottom w:val="single" w:sz="12" w:space="0" w:color="auto"/>
            </w:tcBorders>
            <w:shd w:val="clear" w:color="auto" w:fill="auto"/>
            <w:vAlign w:val="bottom"/>
          </w:tcPr>
          <w:p w14:paraId="048B24C3"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965" w:type="pct"/>
            <w:tcBorders>
              <w:top w:val="single" w:sz="2" w:space="0" w:color="auto"/>
              <w:bottom w:val="single" w:sz="12" w:space="0" w:color="auto"/>
            </w:tcBorders>
            <w:shd w:val="clear" w:color="auto" w:fill="auto"/>
            <w:vAlign w:val="bottom"/>
          </w:tcPr>
          <w:p w14:paraId="690DEEEE"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1,458,190</w:t>
            </w:r>
          </w:p>
        </w:tc>
      </w:tr>
      <w:tr w:rsidR="00F46260" w:rsidRPr="00F46260" w14:paraId="27160E45" w14:textId="77777777" w:rsidTr="00D1524E">
        <w:trPr>
          <w:trHeight w:val="204"/>
        </w:trPr>
        <w:tc>
          <w:tcPr>
            <w:tcW w:w="1119" w:type="pct"/>
            <w:tcBorders>
              <w:top w:val="single" w:sz="12" w:space="0" w:color="auto"/>
            </w:tcBorders>
            <w:shd w:val="clear" w:color="auto" w:fill="auto"/>
            <w:vAlign w:val="bottom"/>
          </w:tcPr>
          <w:p w14:paraId="09ADA2D7" w14:textId="77777777" w:rsidR="00F46260" w:rsidRPr="00F46260" w:rsidRDefault="00F46260" w:rsidP="00F46260">
            <w:pPr>
              <w:spacing w:after="0" w:line="240" w:lineRule="auto"/>
              <w:rPr>
                <w:rFonts w:ascii="Arial" w:eastAsia="Times New Roman" w:hAnsi="Arial" w:cs="Arial"/>
                <w:b/>
                <w:sz w:val="20"/>
                <w:szCs w:val="20"/>
                <w:lang w:eastAsia="en-AU"/>
              </w:rPr>
            </w:pPr>
          </w:p>
        </w:tc>
        <w:tc>
          <w:tcPr>
            <w:tcW w:w="304" w:type="pct"/>
            <w:tcBorders>
              <w:top w:val="single" w:sz="12" w:space="0" w:color="auto"/>
            </w:tcBorders>
            <w:shd w:val="clear" w:color="auto" w:fill="auto"/>
            <w:tcMar>
              <w:left w:w="57" w:type="dxa"/>
              <w:right w:w="57" w:type="dxa"/>
            </w:tcMar>
            <w:vAlign w:val="bottom"/>
          </w:tcPr>
          <w:p w14:paraId="654CD623"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1872" w:type="pct"/>
            <w:tcBorders>
              <w:top w:val="single" w:sz="12" w:space="0" w:color="auto"/>
            </w:tcBorders>
            <w:shd w:val="clear" w:color="auto" w:fill="auto"/>
            <w:vAlign w:val="bottom"/>
          </w:tcPr>
          <w:p w14:paraId="4FBFFA38"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01" w:type="pct"/>
            <w:tcBorders>
              <w:top w:val="single" w:sz="12" w:space="0" w:color="auto"/>
            </w:tcBorders>
            <w:shd w:val="pct15" w:color="auto" w:fill="auto"/>
            <w:vAlign w:val="bottom"/>
          </w:tcPr>
          <w:p w14:paraId="12EF19B4"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39" w:type="pct"/>
            <w:gridSpan w:val="2"/>
            <w:tcBorders>
              <w:top w:val="single" w:sz="12" w:space="0" w:color="auto"/>
            </w:tcBorders>
            <w:shd w:val="clear" w:color="auto" w:fill="auto"/>
            <w:vAlign w:val="bottom"/>
          </w:tcPr>
          <w:p w14:paraId="79B9BC52"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965" w:type="pct"/>
            <w:tcBorders>
              <w:top w:val="single" w:sz="12" w:space="0" w:color="auto"/>
            </w:tcBorders>
            <w:shd w:val="clear" w:color="auto" w:fill="auto"/>
            <w:vAlign w:val="bottom"/>
          </w:tcPr>
          <w:p w14:paraId="657A7CE3"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15D4AE63" w14:textId="77777777" w:rsidTr="00D1524E">
        <w:trPr>
          <w:trHeight w:val="426"/>
        </w:trPr>
        <w:tc>
          <w:tcPr>
            <w:tcW w:w="1119" w:type="pct"/>
            <w:shd w:val="clear" w:color="auto" w:fill="auto"/>
          </w:tcPr>
          <w:p w14:paraId="142E45EF"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Financial liabilities</w:t>
            </w:r>
          </w:p>
          <w:p w14:paraId="4E3DA5A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Payables</w:t>
            </w:r>
          </w:p>
        </w:tc>
        <w:tc>
          <w:tcPr>
            <w:tcW w:w="304" w:type="pct"/>
            <w:shd w:val="clear" w:color="auto" w:fill="auto"/>
            <w:tcMar>
              <w:left w:w="57" w:type="dxa"/>
              <w:right w:w="57" w:type="dxa"/>
            </w:tcMar>
            <w:vAlign w:val="bottom"/>
          </w:tcPr>
          <w:p w14:paraId="2E082074" w14:textId="77777777" w:rsidR="00F46260" w:rsidRPr="00F46260" w:rsidRDefault="00F46260" w:rsidP="00F46260">
            <w:pPr>
              <w:spacing w:after="0" w:line="240" w:lineRule="auto"/>
              <w:jc w:val="center"/>
              <w:rPr>
                <w:rFonts w:ascii="Arial" w:eastAsia="Times New Roman" w:hAnsi="Arial" w:cs="Arial"/>
                <w:sz w:val="20"/>
                <w:szCs w:val="20"/>
                <w:lang w:eastAsia="en-AU"/>
              </w:rPr>
            </w:pPr>
            <w:r w:rsidRPr="00F46260">
              <w:rPr>
                <w:rFonts w:ascii="Arial" w:eastAsia="Times New Roman" w:hAnsi="Arial" w:cs="Arial"/>
                <w:sz w:val="20"/>
                <w:szCs w:val="20"/>
                <w:lang w:eastAsia="en-AU"/>
              </w:rPr>
              <w:t>5.2</w:t>
            </w:r>
          </w:p>
        </w:tc>
        <w:tc>
          <w:tcPr>
            <w:tcW w:w="1872" w:type="pct"/>
            <w:shd w:val="clear" w:color="auto" w:fill="auto"/>
            <w:vAlign w:val="bottom"/>
          </w:tcPr>
          <w:p w14:paraId="08D1CB80"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Financial liabilities at amortised cost</w:t>
            </w:r>
          </w:p>
        </w:tc>
        <w:tc>
          <w:tcPr>
            <w:tcW w:w="601" w:type="pct"/>
            <w:shd w:val="pct15" w:color="auto" w:fill="auto"/>
            <w:vAlign w:val="bottom"/>
          </w:tcPr>
          <w:p w14:paraId="73789A4E"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1,131,801</w:t>
            </w:r>
          </w:p>
        </w:tc>
        <w:tc>
          <w:tcPr>
            <w:tcW w:w="139" w:type="pct"/>
            <w:gridSpan w:val="2"/>
            <w:shd w:val="clear" w:color="auto" w:fill="auto"/>
            <w:vAlign w:val="bottom"/>
          </w:tcPr>
          <w:p w14:paraId="74C49400"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965" w:type="pct"/>
            <w:shd w:val="clear" w:color="auto" w:fill="auto"/>
            <w:vAlign w:val="bottom"/>
          </w:tcPr>
          <w:p w14:paraId="346EB2F8"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2,118,447</w:t>
            </w:r>
          </w:p>
        </w:tc>
      </w:tr>
      <w:tr w:rsidR="00F46260" w:rsidRPr="00F46260" w14:paraId="46ED408D" w14:textId="77777777" w:rsidTr="00D1524E">
        <w:trPr>
          <w:trHeight w:val="83"/>
        </w:trPr>
        <w:tc>
          <w:tcPr>
            <w:tcW w:w="1119" w:type="pct"/>
            <w:tcBorders>
              <w:bottom w:val="single" w:sz="2" w:space="0" w:color="auto"/>
            </w:tcBorders>
            <w:shd w:val="clear" w:color="auto" w:fill="auto"/>
          </w:tcPr>
          <w:p w14:paraId="1B32BAB9"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Borrowings</w:t>
            </w:r>
          </w:p>
        </w:tc>
        <w:tc>
          <w:tcPr>
            <w:tcW w:w="304" w:type="pct"/>
            <w:tcBorders>
              <w:bottom w:val="single" w:sz="2" w:space="0" w:color="auto"/>
            </w:tcBorders>
            <w:shd w:val="clear" w:color="auto" w:fill="auto"/>
            <w:tcMar>
              <w:left w:w="57" w:type="dxa"/>
              <w:right w:w="57" w:type="dxa"/>
            </w:tcMar>
            <w:vAlign w:val="bottom"/>
          </w:tcPr>
          <w:p w14:paraId="04320BE0" w14:textId="77777777" w:rsidR="00F46260" w:rsidRPr="00F46260" w:rsidRDefault="00F46260" w:rsidP="00F46260">
            <w:pPr>
              <w:spacing w:after="0" w:line="240" w:lineRule="auto"/>
              <w:jc w:val="center"/>
              <w:rPr>
                <w:rFonts w:ascii="Arial" w:eastAsia="Times New Roman" w:hAnsi="Arial" w:cs="Arial"/>
                <w:sz w:val="20"/>
                <w:szCs w:val="20"/>
                <w:lang w:eastAsia="en-AU"/>
              </w:rPr>
            </w:pPr>
            <w:r w:rsidRPr="00F46260">
              <w:rPr>
                <w:rFonts w:ascii="Arial" w:eastAsia="Times New Roman" w:hAnsi="Arial" w:cs="Arial"/>
                <w:sz w:val="20"/>
                <w:szCs w:val="20"/>
                <w:lang w:eastAsia="en-AU"/>
              </w:rPr>
              <w:t>6.1</w:t>
            </w:r>
          </w:p>
        </w:tc>
        <w:tc>
          <w:tcPr>
            <w:tcW w:w="1872" w:type="pct"/>
            <w:tcBorders>
              <w:bottom w:val="single" w:sz="2" w:space="0" w:color="auto"/>
            </w:tcBorders>
            <w:shd w:val="clear" w:color="auto" w:fill="auto"/>
            <w:vAlign w:val="bottom"/>
          </w:tcPr>
          <w:p w14:paraId="0EFE3A7D"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Financial liabilities at amortised cost</w:t>
            </w:r>
          </w:p>
        </w:tc>
        <w:tc>
          <w:tcPr>
            <w:tcW w:w="601" w:type="pct"/>
            <w:tcBorders>
              <w:bottom w:val="single" w:sz="2" w:space="0" w:color="auto"/>
            </w:tcBorders>
            <w:shd w:val="pct15" w:color="auto" w:fill="auto"/>
            <w:vAlign w:val="bottom"/>
          </w:tcPr>
          <w:p w14:paraId="4A168408"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52,276</w:t>
            </w:r>
          </w:p>
        </w:tc>
        <w:tc>
          <w:tcPr>
            <w:tcW w:w="139" w:type="pct"/>
            <w:gridSpan w:val="2"/>
            <w:tcBorders>
              <w:bottom w:val="single" w:sz="2" w:space="0" w:color="auto"/>
            </w:tcBorders>
            <w:shd w:val="clear" w:color="auto" w:fill="auto"/>
            <w:vAlign w:val="bottom"/>
          </w:tcPr>
          <w:p w14:paraId="5CD410B4"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965" w:type="pct"/>
            <w:tcBorders>
              <w:bottom w:val="single" w:sz="2" w:space="0" w:color="auto"/>
            </w:tcBorders>
            <w:shd w:val="clear" w:color="auto" w:fill="auto"/>
            <w:vAlign w:val="bottom"/>
          </w:tcPr>
          <w:p w14:paraId="4E91B583"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bCs/>
                <w:sz w:val="20"/>
                <w:szCs w:val="20"/>
                <w:lang w:eastAsia="en-AU"/>
              </w:rPr>
              <w:t>33,970</w:t>
            </w:r>
          </w:p>
        </w:tc>
      </w:tr>
      <w:tr w:rsidR="00F46260" w:rsidRPr="00F46260" w14:paraId="566D1B12" w14:textId="77777777" w:rsidTr="00D1524E">
        <w:trPr>
          <w:trHeight w:val="204"/>
        </w:trPr>
        <w:tc>
          <w:tcPr>
            <w:tcW w:w="1119" w:type="pct"/>
            <w:tcBorders>
              <w:top w:val="single" w:sz="2" w:space="0" w:color="auto"/>
              <w:bottom w:val="single" w:sz="12" w:space="0" w:color="auto"/>
            </w:tcBorders>
            <w:shd w:val="clear" w:color="auto" w:fill="auto"/>
          </w:tcPr>
          <w:p w14:paraId="16D23286"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304" w:type="pct"/>
            <w:tcBorders>
              <w:top w:val="single" w:sz="2" w:space="0" w:color="auto"/>
              <w:bottom w:val="single" w:sz="12" w:space="0" w:color="auto"/>
            </w:tcBorders>
            <w:shd w:val="clear" w:color="auto" w:fill="auto"/>
            <w:tcMar>
              <w:left w:w="57" w:type="dxa"/>
              <w:right w:w="57" w:type="dxa"/>
            </w:tcMar>
            <w:vAlign w:val="bottom"/>
          </w:tcPr>
          <w:p w14:paraId="18E8F53B"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1872" w:type="pct"/>
            <w:tcBorders>
              <w:top w:val="single" w:sz="2" w:space="0" w:color="auto"/>
              <w:bottom w:val="single" w:sz="12" w:space="0" w:color="auto"/>
            </w:tcBorders>
            <w:shd w:val="clear" w:color="auto" w:fill="auto"/>
            <w:vAlign w:val="bottom"/>
          </w:tcPr>
          <w:p w14:paraId="3C1494E7"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601" w:type="pct"/>
            <w:tcBorders>
              <w:top w:val="single" w:sz="2" w:space="0" w:color="auto"/>
              <w:bottom w:val="single" w:sz="12" w:space="0" w:color="auto"/>
            </w:tcBorders>
            <w:shd w:val="pct15" w:color="auto" w:fill="auto"/>
            <w:vAlign w:val="bottom"/>
          </w:tcPr>
          <w:p w14:paraId="7CA12BCB"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1,184,077</w:t>
            </w:r>
          </w:p>
        </w:tc>
        <w:tc>
          <w:tcPr>
            <w:tcW w:w="139" w:type="pct"/>
            <w:gridSpan w:val="2"/>
            <w:tcBorders>
              <w:top w:val="single" w:sz="2" w:space="0" w:color="auto"/>
              <w:bottom w:val="single" w:sz="12" w:space="0" w:color="auto"/>
            </w:tcBorders>
            <w:shd w:val="clear" w:color="auto" w:fill="auto"/>
            <w:vAlign w:val="bottom"/>
          </w:tcPr>
          <w:p w14:paraId="4E1A0EB2"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965" w:type="pct"/>
            <w:tcBorders>
              <w:top w:val="single" w:sz="2" w:space="0" w:color="auto"/>
              <w:bottom w:val="single" w:sz="12" w:space="0" w:color="auto"/>
            </w:tcBorders>
            <w:shd w:val="clear" w:color="auto" w:fill="auto"/>
            <w:vAlign w:val="bottom"/>
          </w:tcPr>
          <w:p w14:paraId="58B2978E" w14:textId="77777777" w:rsidR="00F46260" w:rsidRPr="00F46260" w:rsidRDefault="00F46260" w:rsidP="00F46260">
            <w:pPr>
              <w:spacing w:after="0" w:line="240" w:lineRule="auto"/>
              <w:jc w:val="right"/>
              <w:rPr>
                <w:rFonts w:ascii="Arial" w:eastAsia="Times New Roman" w:hAnsi="Arial" w:cs="Arial"/>
                <w:b/>
                <w:sz w:val="20"/>
                <w:szCs w:val="20"/>
                <w:lang w:eastAsia="en-AU"/>
              </w:rPr>
            </w:pPr>
            <w:r w:rsidRPr="00F46260">
              <w:rPr>
                <w:rFonts w:ascii="Arial" w:eastAsia="Times New Roman" w:hAnsi="Arial" w:cs="Arial"/>
                <w:b/>
                <w:bCs/>
                <w:sz w:val="20"/>
                <w:szCs w:val="20"/>
                <w:lang w:eastAsia="en-AU"/>
              </w:rPr>
              <w:t>2,152,417</w:t>
            </w:r>
          </w:p>
        </w:tc>
      </w:tr>
    </w:tbl>
    <w:p w14:paraId="32B45E60" w14:textId="77777777" w:rsidR="00F46260" w:rsidRPr="00F46260" w:rsidRDefault="00F46260" w:rsidP="00F46260">
      <w:pPr>
        <w:keepLines/>
        <w:spacing w:before="20" w:after="0" w:line="240" w:lineRule="auto"/>
        <w:ind w:left="284" w:hanging="284"/>
        <w:contextualSpacing/>
        <w:rPr>
          <w:rFonts w:ascii="Arial" w:eastAsia="Calibri" w:hAnsi="Arial" w:cs="Arial"/>
          <w:i/>
          <w:spacing w:val="-2"/>
          <w:sz w:val="14"/>
          <w:szCs w:val="18"/>
          <w:lang w:eastAsia="en-AU"/>
        </w:rPr>
      </w:pPr>
    </w:p>
    <w:p w14:paraId="4C9564BD" w14:textId="77777777" w:rsidR="00F46260" w:rsidRPr="00F46260" w:rsidRDefault="00F46260" w:rsidP="00F46260">
      <w:pPr>
        <w:keepLines/>
        <w:spacing w:before="20" w:after="0" w:line="240" w:lineRule="auto"/>
        <w:ind w:left="284" w:hanging="284"/>
        <w:contextualSpacing/>
        <w:rPr>
          <w:rFonts w:ascii="Arial" w:eastAsia="Calibri" w:hAnsi="Arial" w:cs="Arial"/>
          <w:i/>
          <w:spacing w:val="-2"/>
          <w:sz w:val="16"/>
          <w:szCs w:val="16"/>
          <w:lang w:eastAsia="en-AU"/>
        </w:rPr>
      </w:pPr>
      <w:r w:rsidRPr="00F46260">
        <w:rPr>
          <w:rFonts w:ascii="Arial" w:eastAsia="Calibri" w:hAnsi="Arial" w:cs="Arial"/>
          <w:i/>
          <w:spacing w:val="-2"/>
          <w:sz w:val="16"/>
          <w:szCs w:val="16"/>
          <w:lang w:eastAsia="en-AU"/>
        </w:rPr>
        <w:t>Note:</w:t>
      </w:r>
    </w:p>
    <w:p w14:paraId="1A4674AA" w14:textId="77777777" w:rsidR="00F46260" w:rsidRPr="00F46260" w:rsidRDefault="00F46260" w:rsidP="00F46260">
      <w:pPr>
        <w:keepLines/>
        <w:spacing w:before="20" w:after="0" w:line="240" w:lineRule="auto"/>
        <w:ind w:left="284" w:hanging="284"/>
        <w:contextualSpacing/>
        <w:rPr>
          <w:rFonts w:ascii="Arial" w:eastAsia="Calibri" w:hAnsi="Arial" w:cs="Arial"/>
          <w:i/>
          <w:spacing w:val="-2"/>
          <w:sz w:val="16"/>
          <w:szCs w:val="16"/>
          <w:lang w:eastAsia="en-AU"/>
        </w:rPr>
      </w:pPr>
      <w:r w:rsidRPr="00F46260">
        <w:rPr>
          <w:rFonts w:ascii="Arial" w:eastAsia="Calibri" w:hAnsi="Arial" w:cs="Arial"/>
          <w:i/>
          <w:spacing w:val="-2"/>
          <w:sz w:val="16"/>
          <w:szCs w:val="16"/>
          <w:lang w:eastAsia="en-AU"/>
        </w:rPr>
        <w:t>(a)  The Commission has relinquished petty cash float previously held.</w:t>
      </w:r>
    </w:p>
    <w:p w14:paraId="1BF6549C" w14:textId="77777777" w:rsidR="00F46260" w:rsidRPr="00F46260" w:rsidRDefault="00F46260" w:rsidP="00F46260">
      <w:pPr>
        <w:keepLines/>
        <w:spacing w:before="20" w:after="0" w:line="240" w:lineRule="auto"/>
        <w:ind w:left="284" w:hanging="284"/>
        <w:contextualSpacing/>
        <w:rPr>
          <w:rFonts w:ascii="Arial" w:eastAsia="Calibri" w:hAnsi="Arial" w:cs="Arial"/>
          <w:i/>
          <w:spacing w:val="-2"/>
          <w:sz w:val="16"/>
          <w:szCs w:val="16"/>
          <w:lang w:eastAsia="en-AU"/>
        </w:rPr>
      </w:pPr>
      <w:r w:rsidRPr="00F46260">
        <w:rPr>
          <w:rFonts w:ascii="Arial" w:eastAsia="Calibri" w:hAnsi="Arial" w:cs="Arial"/>
          <w:i/>
          <w:spacing w:val="-2"/>
          <w:sz w:val="16"/>
          <w:szCs w:val="16"/>
          <w:lang w:eastAsia="en-AU"/>
        </w:rPr>
        <w:t>(b)  Receivables disclosed here exclude statutory receivables (i.e. amounts receivable from government departments and GST recoverable).</w:t>
      </w:r>
    </w:p>
    <w:p w14:paraId="541896A6" w14:textId="77777777" w:rsidR="00F46260" w:rsidRPr="00F46260" w:rsidRDefault="00F46260" w:rsidP="00F46260">
      <w:pPr>
        <w:spacing w:after="0" w:line="240" w:lineRule="auto"/>
        <w:jc w:val="both"/>
        <w:rPr>
          <w:rFonts w:ascii="Arial" w:eastAsia="Times New Roman" w:hAnsi="Arial" w:cs="Arial"/>
          <w:sz w:val="20"/>
          <w:szCs w:val="20"/>
          <w:lang w:eastAsia="en-AU"/>
        </w:rPr>
      </w:pPr>
    </w:p>
    <w:p w14:paraId="4E583E10"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7.3 Financial risk management objectives and policies</w:t>
      </w:r>
    </w:p>
    <w:p w14:paraId="2A51CAE6" w14:textId="77777777" w:rsidR="00F46260" w:rsidRPr="00F46260" w:rsidRDefault="00F46260" w:rsidP="00F46260">
      <w:pPr>
        <w:spacing w:after="0" w:line="240" w:lineRule="auto"/>
        <w:rPr>
          <w:rFonts w:ascii="Arial" w:eastAsia="Times New Roman" w:hAnsi="Arial" w:cs="Arial"/>
          <w:sz w:val="20"/>
          <w:szCs w:val="20"/>
          <w:lang w:eastAsia="en-AU"/>
        </w:rPr>
      </w:pPr>
    </w:p>
    <w:p w14:paraId="1EE1A04A"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As a whole, the Commission’s financial risk management program seeks to manage the risks arising from volatility in financial instruments.</w:t>
      </w:r>
    </w:p>
    <w:p w14:paraId="50CEFC57" w14:textId="77777777" w:rsidR="00F46260" w:rsidRPr="00F46260" w:rsidRDefault="00F46260" w:rsidP="00F46260">
      <w:pPr>
        <w:spacing w:after="0" w:line="240" w:lineRule="auto"/>
        <w:rPr>
          <w:rFonts w:ascii="Arial" w:eastAsia="Times New Roman" w:hAnsi="Arial" w:cs="Arial"/>
          <w:sz w:val="20"/>
          <w:szCs w:val="20"/>
          <w:lang w:eastAsia="en-AU"/>
        </w:rPr>
      </w:pPr>
    </w:p>
    <w:p w14:paraId="2FB37E0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Commission’s main financial risks include credit risk, liquidity risk and market risk. The Commission manages these financial risks in accordance with its financial risk management policy.</w:t>
      </w:r>
    </w:p>
    <w:p w14:paraId="13F7C0DF" w14:textId="77777777" w:rsidR="00F46260" w:rsidRPr="00F46260" w:rsidRDefault="00F46260" w:rsidP="00F46260">
      <w:pPr>
        <w:spacing w:after="0" w:line="240" w:lineRule="auto"/>
        <w:rPr>
          <w:rFonts w:ascii="Arial" w:eastAsia="Times New Roman" w:hAnsi="Arial" w:cs="Arial"/>
          <w:sz w:val="20"/>
          <w:szCs w:val="20"/>
          <w:lang w:eastAsia="en-AU"/>
        </w:rPr>
      </w:pPr>
    </w:p>
    <w:p w14:paraId="22AEE010" w14:textId="77777777" w:rsidR="00F46260" w:rsidRPr="00F46260" w:rsidRDefault="00F46260" w:rsidP="00F46260">
      <w:pPr>
        <w:spacing w:after="6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Credit risk</w:t>
      </w:r>
    </w:p>
    <w:p w14:paraId="29D6905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Credit risk arises from the financial assets of the Commission, which comprise cash and receivables. The Commission’s exposure to credit risk arises from the potential default of counterparties on their contractual obligations resulting in financial loss to the Commission. Credit risk is measured at fair value and is monitored on a regular basis.</w:t>
      </w:r>
    </w:p>
    <w:p w14:paraId="276D35B9" w14:textId="77777777" w:rsidR="00F46260" w:rsidRPr="00F46260" w:rsidRDefault="00F46260" w:rsidP="00F46260">
      <w:pPr>
        <w:spacing w:after="0" w:line="240" w:lineRule="auto"/>
        <w:rPr>
          <w:rFonts w:ascii="Arial" w:eastAsia="Times New Roman" w:hAnsi="Arial" w:cs="Arial"/>
          <w:sz w:val="20"/>
          <w:szCs w:val="20"/>
          <w:lang w:eastAsia="en-AU"/>
        </w:rPr>
      </w:pPr>
    </w:p>
    <w:p w14:paraId="23B2D04D"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Credit risk associated with the Commission’s financial assets is minimal because the main debtor is the Victorian Government.  </w:t>
      </w:r>
    </w:p>
    <w:p w14:paraId="1DEDE880" w14:textId="77777777" w:rsidR="00F46260" w:rsidRPr="00F46260" w:rsidRDefault="00F46260" w:rsidP="00F46260">
      <w:pPr>
        <w:spacing w:after="0" w:line="240" w:lineRule="auto"/>
        <w:rPr>
          <w:rFonts w:ascii="Arial" w:eastAsia="Times New Roman" w:hAnsi="Arial" w:cs="Arial"/>
          <w:b/>
          <w:sz w:val="20"/>
          <w:szCs w:val="20"/>
          <w:lang w:eastAsia="en-AU"/>
        </w:rPr>
      </w:pPr>
    </w:p>
    <w:p w14:paraId="4AFD37C3" w14:textId="77777777" w:rsidR="00F46260" w:rsidRPr="00F46260" w:rsidRDefault="00F46260" w:rsidP="00F46260">
      <w:pPr>
        <w:spacing w:after="6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Liquidity risk</w:t>
      </w:r>
    </w:p>
    <w:p w14:paraId="6F5115B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Liquidity risk arises when the Commission is unable to meet its financial obligations as they fall due.  The Commission operates under the Victorian Government’s fair payments policy of settling financial obligations within 30 days and in the event of a dispute, making payments within 30 days from the date of resolution.</w:t>
      </w:r>
    </w:p>
    <w:p w14:paraId="14BA300C" w14:textId="77777777" w:rsidR="00F46260" w:rsidRPr="00F46260" w:rsidRDefault="00F46260" w:rsidP="00F46260">
      <w:pPr>
        <w:spacing w:after="0" w:line="240" w:lineRule="auto"/>
        <w:rPr>
          <w:rFonts w:ascii="Arial" w:eastAsia="Times New Roman" w:hAnsi="Arial" w:cs="Arial"/>
          <w:sz w:val="20"/>
          <w:szCs w:val="20"/>
          <w:lang w:eastAsia="en-AU"/>
        </w:rPr>
      </w:pPr>
    </w:p>
    <w:p w14:paraId="45D202DE"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Commission’s exposure to liquidity risk is deemed insignificant based on prior period data and a current assessment of this risk.  Maximum exposure to liquidity risk is the carrying amount of financial liabilities. The Commission manages its liquidity risk by maintaining an adequate level of uncommitted funds that can be used at short notice to meet its short-term obligations.</w:t>
      </w:r>
    </w:p>
    <w:p w14:paraId="24C4D591" w14:textId="77777777" w:rsidR="00F46260" w:rsidRPr="00F46260" w:rsidRDefault="00F46260" w:rsidP="00F46260">
      <w:pPr>
        <w:spacing w:after="0" w:line="240" w:lineRule="auto"/>
        <w:rPr>
          <w:rFonts w:ascii="Arial" w:eastAsia="Times New Roman" w:hAnsi="Arial" w:cs="Arial"/>
          <w:sz w:val="20"/>
          <w:szCs w:val="20"/>
          <w:lang w:eastAsia="en-AU"/>
        </w:rPr>
      </w:pPr>
    </w:p>
    <w:p w14:paraId="2E41EA21" w14:textId="77777777" w:rsidR="00F46260" w:rsidRPr="00F46260" w:rsidRDefault="00F46260" w:rsidP="00F46260">
      <w:pPr>
        <w:spacing w:after="6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Market risk</w:t>
      </w:r>
    </w:p>
    <w:p w14:paraId="31BFAE49"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Commission has no material exposure to interest rate, foreign currency or other price risks. Interest rates on the Commission’s lease liabilities are fixed.</w:t>
      </w:r>
    </w:p>
    <w:p w14:paraId="218DE623" w14:textId="77777777" w:rsidR="00F46260" w:rsidRPr="00F46260" w:rsidRDefault="00F46260" w:rsidP="00F46260">
      <w:pPr>
        <w:spacing w:after="0" w:line="240" w:lineRule="auto"/>
        <w:rPr>
          <w:rFonts w:ascii="Arial" w:eastAsia="Times New Roman" w:hAnsi="Arial" w:cs="Arial"/>
          <w:sz w:val="20"/>
          <w:szCs w:val="20"/>
          <w:lang w:eastAsia="en-AU"/>
        </w:rPr>
      </w:pPr>
    </w:p>
    <w:p w14:paraId="4DA0710B" w14:textId="77777777"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7.4 Contingent assets and contingent liabilities</w:t>
      </w:r>
    </w:p>
    <w:p w14:paraId="1F1D9335" w14:textId="77777777" w:rsidR="00F46260" w:rsidRPr="00F46260" w:rsidRDefault="00F46260" w:rsidP="00F46260">
      <w:pPr>
        <w:spacing w:after="0" w:line="240" w:lineRule="auto"/>
        <w:rPr>
          <w:rFonts w:ascii="Arial" w:eastAsia="Times New Roman" w:hAnsi="Arial" w:cs="Arial"/>
          <w:sz w:val="20"/>
          <w:szCs w:val="20"/>
          <w:lang w:eastAsia="en-AU"/>
        </w:rPr>
      </w:pPr>
    </w:p>
    <w:p w14:paraId="4CA5146C"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Contingent assets and contingent liabilities are not recognised in the balance sheet but are disclosed and, if quantifiable, are measured at nominal value.</w:t>
      </w:r>
    </w:p>
    <w:p w14:paraId="740D479A" w14:textId="77777777" w:rsidR="00F46260" w:rsidRPr="00F46260" w:rsidRDefault="00F46260" w:rsidP="00F46260">
      <w:pPr>
        <w:spacing w:after="0" w:line="240" w:lineRule="auto"/>
        <w:rPr>
          <w:rFonts w:ascii="Arial" w:eastAsia="Times New Roman" w:hAnsi="Arial" w:cs="Arial"/>
          <w:sz w:val="20"/>
          <w:szCs w:val="20"/>
          <w:lang w:eastAsia="en-AU"/>
        </w:rPr>
      </w:pPr>
    </w:p>
    <w:p w14:paraId="3C80CD0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Contingent assets and liabilities are presented inclusive of GST receivable or payable respectively.</w:t>
      </w:r>
    </w:p>
    <w:p w14:paraId="3445E5D9" w14:textId="77777777" w:rsidR="00F46260" w:rsidRPr="00F46260" w:rsidRDefault="00F46260" w:rsidP="00F46260">
      <w:pPr>
        <w:spacing w:after="0" w:line="240" w:lineRule="auto"/>
        <w:rPr>
          <w:rFonts w:ascii="Arial" w:eastAsia="Times New Roman" w:hAnsi="Arial" w:cs="Arial"/>
          <w:sz w:val="20"/>
          <w:szCs w:val="20"/>
          <w:lang w:eastAsia="en-AU"/>
        </w:rPr>
      </w:pPr>
    </w:p>
    <w:p w14:paraId="788F9609" w14:textId="77777777" w:rsidR="00F46260" w:rsidRPr="00F46260" w:rsidRDefault="00F46260" w:rsidP="00F46260">
      <w:pPr>
        <w:keepNext/>
        <w:spacing w:after="6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lastRenderedPageBreak/>
        <w:t>Contingent assets</w:t>
      </w:r>
    </w:p>
    <w:p w14:paraId="377BE02A" w14:textId="77777777" w:rsidR="00F46260" w:rsidRPr="00F46260" w:rsidRDefault="00F46260" w:rsidP="00F46260">
      <w:pPr>
        <w:keepNext/>
        <w:autoSpaceDE w:val="0"/>
        <w:autoSpaceDN w:val="0"/>
        <w:adjustRightInd w:val="0"/>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 xml:space="preserve">Contingent assets are possible assets that arise from past events, whose existence will be confirmed only by the occurrence or non-occurrence of one or more uncertain future events not wholly within the control of the entity. </w:t>
      </w:r>
    </w:p>
    <w:p w14:paraId="26537FB4"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6C56EB10"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 xml:space="preserve">These are classified as either quantifiable, where the potential economic benefit is known, or non-quantifiable. </w:t>
      </w:r>
    </w:p>
    <w:p w14:paraId="5D84BA60"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p>
    <w:p w14:paraId="47EECE90"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bookmarkStart w:id="58" w:name="_Hlk46200928"/>
      <w:r w:rsidRPr="00F46260">
        <w:rPr>
          <w:rFonts w:ascii="Arial" w:eastAsia="Times New Roman" w:hAnsi="Arial" w:cs="Arial"/>
          <w:sz w:val="20"/>
          <w:szCs w:val="20"/>
          <w:lang w:eastAsia="en-AU"/>
        </w:rPr>
        <w:t>There were no contingent assets relating to the Commission as at 30 June 2021 (30 June 2020: Nil).</w:t>
      </w:r>
    </w:p>
    <w:bookmarkEnd w:id="58"/>
    <w:p w14:paraId="2F77546A"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0FEE21C8" w14:textId="77777777" w:rsidR="00F46260" w:rsidRPr="00F46260" w:rsidRDefault="00F46260" w:rsidP="00F46260">
      <w:pPr>
        <w:autoSpaceDE w:val="0"/>
        <w:autoSpaceDN w:val="0"/>
        <w:adjustRightInd w:val="0"/>
        <w:spacing w:after="60" w:line="240" w:lineRule="auto"/>
        <w:rPr>
          <w:rFonts w:ascii="Arial" w:eastAsia="Times New Roman" w:hAnsi="Arial" w:cs="Arial"/>
          <w:b/>
          <w:color w:val="000000"/>
          <w:sz w:val="20"/>
          <w:szCs w:val="20"/>
          <w:lang w:eastAsia="en-AU"/>
        </w:rPr>
      </w:pPr>
      <w:r w:rsidRPr="00F46260">
        <w:rPr>
          <w:rFonts w:ascii="Arial" w:eastAsia="Times New Roman" w:hAnsi="Arial" w:cs="Arial"/>
          <w:b/>
          <w:color w:val="000000"/>
          <w:sz w:val="20"/>
          <w:szCs w:val="20"/>
          <w:lang w:eastAsia="en-AU"/>
        </w:rPr>
        <w:t>Contingent liabilities</w:t>
      </w:r>
    </w:p>
    <w:p w14:paraId="3D929CC5" w14:textId="77777777" w:rsidR="00F46260" w:rsidRPr="00F46260" w:rsidRDefault="00F46260" w:rsidP="00F46260">
      <w:pPr>
        <w:keepNext/>
        <w:keepLines/>
        <w:autoSpaceDE w:val="0"/>
        <w:autoSpaceDN w:val="0"/>
        <w:adjustRightInd w:val="0"/>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 xml:space="preserve">Contingent liabilities are: </w:t>
      </w:r>
    </w:p>
    <w:p w14:paraId="3C95045D" w14:textId="77777777" w:rsidR="00F46260" w:rsidRPr="00F46260" w:rsidRDefault="00F46260" w:rsidP="00F8706A">
      <w:pPr>
        <w:keepNext/>
        <w:keepLines/>
        <w:numPr>
          <w:ilvl w:val="0"/>
          <w:numId w:val="34"/>
        </w:numPr>
        <w:autoSpaceDE w:val="0"/>
        <w:autoSpaceDN w:val="0"/>
        <w:adjustRightInd w:val="0"/>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possible obligations that arise from past events, whose existence will be confirmed only by the occurrence or non-occurrence of one or more uncertain future events not wholly within the control of the entity; or </w:t>
      </w:r>
    </w:p>
    <w:p w14:paraId="3BD5329C" w14:textId="77777777" w:rsidR="00F46260" w:rsidRPr="00F46260" w:rsidRDefault="00F46260" w:rsidP="00F8706A">
      <w:pPr>
        <w:keepNext/>
        <w:keepLines/>
        <w:numPr>
          <w:ilvl w:val="0"/>
          <w:numId w:val="34"/>
        </w:numPr>
        <w:autoSpaceDE w:val="0"/>
        <w:autoSpaceDN w:val="0"/>
        <w:adjustRightInd w:val="0"/>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present obligations that arise from past events but are not recognised because: </w:t>
      </w:r>
    </w:p>
    <w:p w14:paraId="7D0367CE" w14:textId="77777777" w:rsidR="00F46260" w:rsidRPr="00F46260" w:rsidRDefault="00F46260" w:rsidP="00F8706A">
      <w:pPr>
        <w:keepNext/>
        <w:keepLines/>
        <w:numPr>
          <w:ilvl w:val="0"/>
          <w:numId w:val="37"/>
        </w:numPr>
        <w:autoSpaceDE w:val="0"/>
        <w:autoSpaceDN w:val="0"/>
        <w:adjustRightInd w:val="0"/>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 xml:space="preserve">it is not probable that an outflow of resources embodying economic benefits will be required to settle the obligations; or </w:t>
      </w:r>
    </w:p>
    <w:p w14:paraId="06B24193" w14:textId="77777777" w:rsidR="00F46260" w:rsidRPr="00F46260" w:rsidRDefault="00F46260" w:rsidP="00F8706A">
      <w:pPr>
        <w:keepNext/>
        <w:keepLines/>
        <w:numPr>
          <w:ilvl w:val="0"/>
          <w:numId w:val="37"/>
        </w:numPr>
        <w:autoSpaceDE w:val="0"/>
        <w:autoSpaceDN w:val="0"/>
        <w:adjustRightInd w:val="0"/>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the amount of the obligations cannot be measured with sufficient reliability.</w:t>
      </w:r>
    </w:p>
    <w:p w14:paraId="7F8A6211" w14:textId="77777777" w:rsidR="00F46260" w:rsidRPr="00F46260" w:rsidRDefault="00F46260" w:rsidP="00F46260">
      <w:pPr>
        <w:keepNext/>
        <w:keepLines/>
        <w:autoSpaceDE w:val="0"/>
        <w:autoSpaceDN w:val="0"/>
        <w:adjustRightInd w:val="0"/>
        <w:spacing w:after="0" w:line="240" w:lineRule="auto"/>
        <w:rPr>
          <w:rFonts w:ascii="Arial" w:eastAsia="Times New Roman" w:hAnsi="Arial" w:cs="Arial"/>
          <w:sz w:val="20"/>
          <w:szCs w:val="20"/>
          <w:lang w:eastAsia="en-AU"/>
        </w:rPr>
      </w:pPr>
    </w:p>
    <w:p w14:paraId="7AE112D2" w14:textId="77777777" w:rsidR="00F46260" w:rsidRPr="00F46260" w:rsidRDefault="00F46260" w:rsidP="00F46260">
      <w:pPr>
        <w:keepNext/>
        <w:keepLines/>
        <w:autoSpaceDE w:val="0"/>
        <w:autoSpaceDN w:val="0"/>
        <w:adjustRightInd w:val="0"/>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Contingent liabilities are also classified as either quantifiable or non-quantifiable. </w:t>
      </w:r>
    </w:p>
    <w:p w14:paraId="279BEAD1" w14:textId="77777777" w:rsidR="00F46260" w:rsidRPr="00F46260" w:rsidRDefault="00F46260" w:rsidP="00F46260">
      <w:pPr>
        <w:autoSpaceDE w:val="0"/>
        <w:autoSpaceDN w:val="0"/>
        <w:adjustRightInd w:val="0"/>
        <w:spacing w:after="0" w:line="240" w:lineRule="auto"/>
        <w:rPr>
          <w:rFonts w:ascii="Arial" w:eastAsia="Times New Roman" w:hAnsi="Arial" w:cs="Arial"/>
          <w:color w:val="000000"/>
          <w:sz w:val="20"/>
          <w:szCs w:val="20"/>
          <w:lang w:eastAsia="en-AU"/>
        </w:rPr>
      </w:pPr>
    </w:p>
    <w:p w14:paraId="238C1664" w14:textId="77777777" w:rsidR="00F46260" w:rsidRPr="00F46260" w:rsidRDefault="00F46260" w:rsidP="00F46260">
      <w:pPr>
        <w:tabs>
          <w:tab w:val="left" w:pos="284"/>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There were no contingent liabilities relating to the Commission as at 30 June 2021 (30 June 2020: Nil).</w:t>
      </w:r>
    </w:p>
    <w:p w14:paraId="5043B239" w14:textId="77777777" w:rsidR="00F46260" w:rsidRPr="00F46260" w:rsidRDefault="00F46260" w:rsidP="00F46260">
      <w:pPr>
        <w:spacing w:after="0" w:line="240" w:lineRule="auto"/>
        <w:rPr>
          <w:rFonts w:ascii="Arial" w:eastAsia="Times New Roman" w:hAnsi="Arial" w:cs="Arial"/>
          <w:b/>
          <w:sz w:val="20"/>
          <w:szCs w:val="24"/>
          <w:lang w:eastAsia="en-AU"/>
        </w:rPr>
      </w:pPr>
      <w:r w:rsidRPr="00F46260">
        <w:rPr>
          <w:rFonts w:ascii="Arial" w:eastAsia="Times New Roman" w:hAnsi="Arial" w:cs="Arial"/>
          <w:sz w:val="20"/>
          <w:szCs w:val="24"/>
          <w:lang w:eastAsia="en-AU"/>
        </w:rPr>
        <w:br w:type="page"/>
      </w:r>
    </w:p>
    <w:p w14:paraId="501921E0" w14:textId="77777777" w:rsidR="00F46260" w:rsidRPr="00F46260" w:rsidRDefault="00F46260" w:rsidP="00F46260">
      <w:pPr>
        <w:pBdr>
          <w:bottom w:val="single" w:sz="12" w:space="1" w:color="auto"/>
        </w:pBdr>
        <w:tabs>
          <w:tab w:val="left" w:pos="1384"/>
        </w:tabs>
        <w:spacing w:after="0" w:line="240" w:lineRule="auto"/>
        <w:ind w:left="1384" w:hanging="1384"/>
        <w:rPr>
          <w:rFonts w:ascii="Arial" w:eastAsia="Times New Roman" w:hAnsi="Arial" w:cs="Arial"/>
          <w:b/>
          <w:sz w:val="24"/>
          <w:szCs w:val="24"/>
          <w:lang w:eastAsia="en-AU"/>
        </w:rPr>
      </w:pPr>
      <w:bookmarkStart w:id="59" w:name="_Toc492305471"/>
      <w:r w:rsidRPr="00F46260">
        <w:rPr>
          <w:rFonts w:ascii="Arial" w:eastAsia="Times New Roman" w:hAnsi="Arial" w:cs="Arial"/>
          <w:b/>
          <w:sz w:val="24"/>
          <w:szCs w:val="24"/>
          <w:lang w:eastAsia="en-AU"/>
        </w:rPr>
        <w:lastRenderedPageBreak/>
        <w:t>8. Other disclosures</w:t>
      </w:r>
      <w:bookmarkEnd w:id="59"/>
    </w:p>
    <w:p w14:paraId="6F35812A" w14:textId="77777777" w:rsidR="00F46260" w:rsidRPr="00F46260" w:rsidRDefault="00F46260" w:rsidP="00F46260">
      <w:pPr>
        <w:tabs>
          <w:tab w:val="left" w:pos="1384"/>
        </w:tabs>
        <w:spacing w:after="0" w:line="240" w:lineRule="auto"/>
        <w:ind w:left="1384" w:hanging="1384"/>
        <w:rPr>
          <w:rFonts w:ascii="Arial" w:eastAsia="Times New Roman" w:hAnsi="Arial" w:cs="Arial"/>
          <w:b/>
          <w:sz w:val="20"/>
          <w:szCs w:val="20"/>
          <w:lang w:eastAsia="en-AU"/>
        </w:rPr>
      </w:pPr>
    </w:p>
    <w:tbl>
      <w:tblPr>
        <w:tblStyle w:val="CVtable1"/>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9"/>
      </w:tblGrid>
      <w:tr w:rsidR="00F46260" w:rsidRPr="00F46260" w14:paraId="73E98714" w14:textId="77777777" w:rsidTr="00D1524E">
        <w:tc>
          <w:tcPr>
            <w:tcW w:w="2499" w:type="pct"/>
            <w:tcBorders>
              <w:right w:val="single" w:sz="2" w:space="0" w:color="auto"/>
            </w:tcBorders>
          </w:tcPr>
          <w:p w14:paraId="72A90C96" w14:textId="77777777" w:rsidR="00F46260" w:rsidRPr="00F46260" w:rsidRDefault="00F46260" w:rsidP="00D1524E">
            <w:pPr>
              <w:autoSpaceDE w:val="0"/>
              <w:autoSpaceDN w:val="0"/>
              <w:adjustRightInd w:val="0"/>
              <w:spacing w:after="0" w:line="240" w:lineRule="auto"/>
              <w:contextualSpacing/>
              <w:rPr>
                <w:rFonts w:ascii="Arial" w:hAnsi="Arial" w:cs="Arial"/>
                <w:b/>
                <w:bCs/>
              </w:rPr>
            </w:pPr>
            <w:r w:rsidRPr="00F46260">
              <w:rPr>
                <w:rFonts w:ascii="Arial" w:hAnsi="Arial" w:cs="Arial"/>
                <w:b/>
                <w:bCs/>
              </w:rPr>
              <w:t>Introduction</w:t>
            </w:r>
          </w:p>
          <w:p w14:paraId="5A54B8B9" w14:textId="77777777" w:rsidR="00F46260" w:rsidRPr="00F46260" w:rsidRDefault="00F46260" w:rsidP="00D1524E">
            <w:pPr>
              <w:autoSpaceDE w:val="0"/>
              <w:autoSpaceDN w:val="0"/>
              <w:adjustRightInd w:val="0"/>
              <w:spacing w:after="0" w:line="240" w:lineRule="auto"/>
              <w:contextualSpacing/>
              <w:rPr>
                <w:rFonts w:ascii="Arial" w:hAnsi="Arial" w:cs="Arial"/>
                <w:bCs/>
              </w:rPr>
            </w:pPr>
          </w:p>
          <w:p w14:paraId="7F3F7023" w14:textId="77777777" w:rsidR="00F46260" w:rsidRPr="00F46260" w:rsidRDefault="00F46260" w:rsidP="00D1524E">
            <w:pPr>
              <w:autoSpaceDE w:val="0"/>
              <w:autoSpaceDN w:val="0"/>
              <w:adjustRightInd w:val="0"/>
              <w:spacing w:after="0" w:line="240" w:lineRule="auto"/>
              <w:contextualSpacing/>
              <w:rPr>
                <w:rFonts w:ascii="Arial" w:hAnsi="Arial" w:cs="Arial"/>
                <w:color w:val="000000"/>
              </w:rPr>
            </w:pPr>
            <w:r w:rsidRPr="00F46260">
              <w:rPr>
                <w:rFonts w:ascii="Arial" w:hAnsi="Arial" w:cs="Arial"/>
                <w:bCs/>
              </w:rPr>
              <w:t>This section includes additional material disclosures required by accounting standards or otherwise for the understanding of this financial report.</w:t>
            </w:r>
          </w:p>
        </w:tc>
        <w:tc>
          <w:tcPr>
            <w:tcW w:w="2501" w:type="pct"/>
            <w:tcBorders>
              <w:left w:val="single" w:sz="2" w:space="0" w:color="auto"/>
            </w:tcBorders>
          </w:tcPr>
          <w:p w14:paraId="3FBDF43D" w14:textId="77777777" w:rsidR="00F46260" w:rsidRPr="00F46260" w:rsidRDefault="00F46260" w:rsidP="00F46260">
            <w:pPr>
              <w:spacing w:after="0" w:line="240" w:lineRule="auto"/>
              <w:rPr>
                <w:rFonts w:ascii="Arial" w:hAnsi="Arial" w:cs="Arial"/>
                <w:b/>
              </w:rPr>
            </w:pPr>
            <w:r w:rsidRPr="00F46260">
              <w:rPr>
                <w:rFonts w:ascii="Arial" w:hAnsi="Arial" w:cs="Arial"/>
                <w:b/>
              </w:rPr>
              <w:t>Structure</w:t>
            </w:r>
          </w:p>
          <w:p w14:paraId="754F9602" w14:textId="77777777" w:rsidR="00F46260" w:rsidRPr="00F46260" w:rsidRDefault="00F46260" w:rsidP="00D1524E">
            <w:pPr>
              <w:spacing w:after="0" w:line="240" w:lineRule="auto"/>
              <w:contextualSpacing/>
              <w:rPr>
                <w:rFonts w:ascii="Arial" w:hAnsi="Arial" w:cs="Arial"/>
              </w:rPr>
            </w:pPr>
          </w:p>
          <w:p w14:paraId="093AC05E" w14:textId="77777777" w:rsidR="00F46260" w:rsidRPr="00F46260" w:rsidRDefault="00F46260" w:rsidP="00F8706A">
            <w:pPr>
              <w:numPr>
                <w:ilvl w:val="1"/>
                <w:numId w:val="32"/>
              </w:numPr>
              <w:spacing w:after="0" w:line="240" w:lineRule="auto"/>
              <w:contextualSpacing/>
              <w:rPr>
                <w:rFonts w:ascii="Arial" w:hAnsi="Arial" w:cs="Arial"/>
              </w:rPr>
            </w:pPr>
            <w:r w:rsidRPr="00F46260">
              <w:rPr>
                <w:rFonts w:ascii="Arial" w:hAnsi="Arial" w:cs="Arial"/>
              </w:rPr>
              <w:t>Restructuring of administrative arrangements</w:t>
            </w:r>
          </w:p>
          <w:p w14:paraId="2DF29085" w14:textId="77777777" w:rsidR="00F46260" w:rsidRPr="00F46260" w:rsidRDefault="00F46260" w:rsidP="00F8706A">
            <w:pPr>
              <w:numPr>
                <w:ilvl w:val="1"/>
                <w:numId w:val="32"/>
              </w:numPr>
              <w:spacing w:after="0" w:line="240" w:lineRule="auto"/>
              <w:contextualSpacing/>
              <w:rPr>
                <w:rFonts w:ascii="Arial" w:hAnsi="Arial" w:cs="Arial"/>
              </w:rPr>
            </w:pPr>
            <w:r w:rsidRPr="00F46260">
              <w:rPr>
                <w:rFonts w:ascii="Arial" w:hAnsi="Arial" w:cs="Arial"/>
              </w:rPr>
              <w:t>Subsequent events</w:t>
            </w:r>
          </w:p>
          <w:p w14:paraId="4D9F04E6" w14:textId="77777777" w:rsidR="00F46260" w:rsidRPr="00F46260" w:rsidRDefault="00F46260" w:rsidP="00F8706A">
            <w:pPr>
              <w:numPr>
                <w:ilvl w:val="1"/>
                <w:numId w:val="32"/>
              </w:numPr>
              <w:spacing w:after="0" w:line="240" w:lineRule="auto"/>
              <w:contextualSpacing/>
              <w:rPr>
                <w:rFonts w:ascii="Arial" w:hAnsi="Arial" w:cs="Arial"/>
              </w:rPr>
            </w:pPr>
            <w:r w:rsidRPr="00F46260">
              <w:rPr>
                <w:rFonts w:ascii="Arial" w:hAnsi="Arial" w:cs="Arial"/>
              </w:rPr>
              <w:t>Responsible persons</w:t>
            </w:r>
          </w:p>
          <w:p w14:paraId="688BC970" w14:textId="77777777" w:rsidR="00F46260" w:rsidRPr="00F46260" w:rsidRDefault="00F46260" w:rsidP="00F8706A">
            <w:pPr>
              <w:numPr>
                <w:ilvl w:val="1"/>
                <w:numId w:val="32"/>
              </w:numPr>
              <w:spacing w:after="0" w:line="240" w:lineRule="auto"/>
              <w:contextualSpacing/>
              <w:rPr>
                <w:rFonts w:ascii="Arial" w:hAnsi="Arial" w:cs="Arial"/>
              </w:rPr>
            </w:pPr>
            <w:r w:rsidRPr="00F46260">
              <w:rPr>
                <w:rFonts w:ascii="Arial" w:hAnsi="Arial" w:cs="Arial"/>
              </w:rPr>
              <w:t>Remuneration of executives</w:t>
            </w:r>
          </w:p>
          <w:p w14:paraId="55BBBE61" w14:textId="77777777" w:rsidR="00F46260" w:rsidRPr="00F46260" w:rsidRDefault="00F46260" w:rsidP="00F8706A">
            <w:pPr>
              <w:numPr>
                <w:ilvl w:val="1"/>
                <w:numId w:val="32"/>
              </w:numPr>
              <w:spacing w:after="0" w:line="240" w:lineRule="auto"/>
              <w:contextualSpacing/>
              <w:rPr>
                <w:rFonts w:ascii="Arial" w:hAnsi="Arial" w:cs="Arial"/>
              </w:rPr>
            </w:pPr>
            <w:r w:rsidRPr="00F46260">
              <w:rPr>
                <w:rFonts w:ascii="Arial" w:hAnsi="Arial" w:cs="Arial"/>
              </w:rPr>
              <w:t>Related parties</w:t>
            </w:r>
          </w:p>
          <w:p w14:paraId="1E837046" w14:textId="77777777" w:rsidR="00F46260" w:rsidRPr="00F46260" w:rsidRDefault="00F46260" w:rsidP="00F8706A">
            <w:pPr>
              <w:numPr>
                <w:ilvl w:val="1"/>
                <w:numId w:val="32"/>
              </w:numPr>
              <w:spacing w:after="0" w:line="240" w:lineRule="auto"/>
              <w:contextualSpacing/>
              <w:rPr>
                <w:rFonts w:ascii="Arial" w:hAnsi="Arial" w:cs="Arial"/>
              </w:rPr>
            </w:pPr>
            <w:r w:rsidRPr="00F46260">
              <w:rPr>
                <w:rFonts w:ascii="Arial" w:hAnsi="Arial" w:cs="Arial"/>
              </w:rPr>
              <w:t>Remuneration of auditors</w:t>
            </w:r>
          </w:p>
          <w:p w14:paraId="3376E986" w14:textId="77777777" w:rsidR="00F46260" w:rsidRPr="00F46260" w:rsidRDefault="00F46260" w:rsidP="00F8706A">
            <w:pPr>
              <w:numPr>
                <w:ilvl w:val="1"/>
                <w:numId w:val="32"/>
              </w:numPr>
              <w:spacing w:after="0" w:line="240" w:lineRule="auto"/>
              <w:contextualSpacing/>
              <w:rPr>
                <w:rFonts w:ascii="Arial" w:hAnsi="Arial" w:cs="Arial"/>
                <w:color w:val="000000"/>
              </w:rPr>
            </w:pPr>
            <w:r w:rsidRPr="00F46260">
              <w:rPr>
                <w:rFonts w:ascii="Arial" w:hAnsi="Arial" w:cs="Arial"/>
              </w:rPr>
              <w:t>Australian Accounting Standards issued that are not yet effective</w:t>
            </w:r>
          </w:p>
        </w:tc>
      </w:tr>
    </w:tbl>
    <w:p w14:paraId="60EFFC74"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71B4E772"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sz w:val="20"/>
          <w:szCs w:val="20"/>
          <w:lang w:eastAsia="en-AU"/>
        </w:rPr>
        <w:t xml:space="preserve">8.1 </w:t>
      </w:r>
      <w:r w:rsidRPr="00F46260">
        <w:rPr>
          <w:rFonts w:ascii="Arial" w:eastAsia="Times New Roman" w:hAnsi="Arial" w:cs="Arial"/>
          <w:b/>
          <w:bCs/>
          <w:sz w:val="20"/>
          <w:szCs w:val="20"/>
          <w:lang w:eastAsia="en-AU"/>
        </w:rPr>
        <w:t>Restructuring of administrative arrangements</w:t>
      </w:r>
    </w:p>
    <w:p w14:paraId="4420038A" w14:textId="77777777" w:rsidR="00F46260" w:rsidRPr="00F46260" w:rsidRDefault="00F46260" w:rsidP="00F46260">
      <w:pPr>
        <w:spacing w:after="0" w:line="240" w:lineRule="auto"/>
        <w:rPr>
          <w:rFonts w:ascii="Arial" w:eastAsia="Times New Roman" w:hAnsi="Arial" w:cs="Arial"/>
          <w:b/>
          <w:bCs/>
          <w:sz w:val="20"/>
          <w:szCs w:val="20"/>
          <w:lang w:eastAsia="en-AU"/>
        </w:rPr>
      </w:pPr>
    </w:p>
    <w:p w14:paraId="1B349A2E"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With effect from 1 December </w:t>
      </w:r>
      <w:r w:rsidRPr="00F46260">
        <w:rPr>
          <w:rFonts w:ascii="Arial" w:eastAsia="Times New Roman" w:hAnsi="Arial" w:cs="Arial"/>
          <w:sz w:val="20"/>
          <w:szCs w:val="20"/>
          <w:lang w:eastAsia="en-AU"/>
        </w:rPr>
        <w:fldChar w:fldCharType="begin"/>
      </w:r>
      <w:r w:rsidRPr="00F46260">
        <w:rPr>
          <w:rFonts w:ascii="Arial" w:eastAsia="Times New Roman" w:hAnsi="Arial" w:cs="Arial"/>
          <w:sz w:val="20"/>
          <w:szCs w:val="20"/>
          <w:lang w:eastAsia="en-AU"/>
        </w:rPr>
        <w:instrText xml:space="preserve"> DOCPROPERTY  YearPrevious  \* MERGEFORMAT </w:instrText>
      </w:r>
      <w:r w:rsidRPr="00F46260">
        <w:rPr>
          <w:rFonts w:ascii="Arial" w:eastAsia="Times New Roman" w:hAnsi="Arial" w:cs="Arial"/>
          <w:sz w:val="20"/>
          <w:szCs w:val="20"/>
          <w:lang w:eastAsia="en-AU"/>
        </w:rPr>
        <w:fldChar w:fldCharType="separate"/>
      </w:r>
      <w:r w:rsidRPr="00F46260">
        <w:rPr>
          <w:rFonts w:ascii="Arial" w:eastAsia="Times New Roman" w:hAnsi="Arial" w:cs="Arial"/>
          <w:sz w:val="20"/>
          <w:szCs w:val="20"/>
          <w:lang w:eastAsia="en-AU"/>
        </w:rPr>
        <w:t>2020</w:t>
      </w:r>
      <w:r w:rsidRPr="00F46260">
        <w:rPr>
          <w:rFonts w:ascii="Arial" w:eastAsia="Times New Roman" w:hAnsi="Arial" w:cs="Arial"/>
          <w:sz w:val="20"/>
          <w:szCs w:val="20"/>
          <w:lang w:eastAsia="en-AU"/>
        </w:rPr>
        <w:fldChar w:fldCharType="end"/>
      </w:r>
      <w:r w:rsidRPr="00F46260">
        <w:rPr>
          <w:rFonts w:ascii="Arial" w:eastAsia="Times New Roman" w:hAnsi="Arial" w:cs="Arial"/>
          <w:sz w:val="20"/>
          <w:szCs w:val="20"/>
          <w:lang w:eastAsia="en-AU"/>
        </w:rPr>
        <w:t>, as part of a machinery of government restructure, the Commission (Transferee) assumed responsibility for the Jobs and Skills Exchange, from the Department of Premier and Cabinet (Transferor).</w:t>
      </w:r>
    </w:p>
    <w:p w14:paraId="4C0B9068"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72AFBA5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net assets assumed by the Commission for the Jobs and Skills Exchange due to the administrative restructure is recognised in the balance sheet at the carrying amount of those assets in the transferor’s balance sheet immediately before the transfer.</w:t>
      </w:r>
    </w:p>
    <w:p w14:paraId="5A8DD17C" w14:textId="77777777" w:rsidR="00F46260" w:rsidRPr="00F46260" w:rsidRDefault="00F46260" w:rsidP="00F46260">
      <w:pPr>
        <w:spacing w:after="0" w:line="240" w:lineRule="auto"/>
        <w:rPr>
          <w:rFonts w:ascii="Arial" w:eastAsia="Times New Roman" w:hAnsi="Arial" w:cs="Arial"/>
          <w:sz w:val="20"/>
          <w:szCs w:val="20"/>
          <w:lang w:eastAsia="en-AU"/>
        </w:rPr>
      </w:pPr>
    </w:p>
    <w:p w14:paraId="0DAA6F5F"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The net asset transfers were treated as a contribution of capital by the State. </w:t>
      </w:r>
    </w:p>
    <w:tbl>
      <w:tblPr>
        <w:tblW w:w="5000" w:type="pct"/>
        <w:tblInd w:w="-43" w:type="dxa"/>
        <w:tblCellMar>
          <w:left w:w="43" w:type="dxa"/>
          <w:right w:w="43" w:type="dxa"/>
        </w:tblCellMar>
        <w:tblLook w:val="0000" w:firstRow="0" w:lastRow="0" w:firstColumn="0" w:lastColumn="0" w:noHBand="0" w:noVBand="0"/>
      </w:tblPr>
      <w:tblGrid>
        <w:gridCol w:w="7894"/>
        <w:gridCol w:w="1454"/>
        <w:gridCol w:w="7"/>
      </w:tblGrid>
      <w:tr w:rsidR="00F46260" w:rsidRPr="00F46260" w14:paraId="534DD4AD" w14:textId="77777777" w:rsidTr="00D1524E">
        <w:trPr>
          <w:gridAfter w:val="1"/>
          <w:wAfter w:w="4" w:type="pct"/>
          <w:cantSplit/>
          <w:trHeight w:val="263"/>
        </w:trPr>
        <w:tc>
          <w:tcPr>
            <w:tcW w:w="4996" w:type="pct"/>
            <w:gridSpan w:val="2"/>
            <w:vAlign w:val="bottom"/>
          </w:tcPr>
          <w:p w14:paraId="5E7F4383" w14:textId="77777777" w:rsidR="00F46260" w:rsidRPr="00F46260" w:rsidRDefault="00F46260" w:rsidP="00F46260">
            <w:pPr>
              <w:spacing w:after="0" w:line="240" w:lineRule="auto"/>
              <w:rPr>
                <w:rFonts w:ascii="Arial" w:eastAsia="Tahoma" w:hAnsi="Arial" w:cs="Arial"/>
                <w:iCs/>
                <w:noProof/>
                <w:sz w:val="20"/>
                <w:szCs w:val="20"/>
                <w:lang w:eastAsia="en-AU"/>
              </w:rPr>
            </w:pPr>
          </w:p>
        </w:tc>
      </w:tr>
      <w:tr w:rsidR="00F46260" w:rsidRPr="00F46260" w14:paraId="3EB3ADE8" w14:textId="77777777" w:rsidTr="00D1524E">
        <w:trPr>
          <w:cantSplit/>
          <w:trHeight w:val="263"/>
        </w:trPr>
        <w:tc>
          <w:tcPr>
            <w:tcW w:w="4219" w:type="pct"/>
            <w:shd w:val="pct50" w:color="auto" w:fill="auto"/>
            <w:vAlign w:val="bottom"/>
          </w:tcPr>
          <w:p w14:paraId="6BE4D3C0" w14:textId="77777777" w:rsidR="00F46260" w:rsidRPr="00F46260" w:rsidRDefault="00F46260" w:rsidP="00F46260">
            <w:pPr>
              <w:spacing w:after="0" w:line="240" w:lineRule="auto"/>
              <w:rPr>
                <w:rFonts w:ascii="Arial" w:eastAsia="Tahoma" w:hAnsi="Arial" w:cs="Arial"/>
                <w:iCs/>
                <w:noProof/>
                <w:color w:val="FFFFFF"/>
                <w:sz w:val="20"/>
                <w:szCs w:val="20"/>
                <w:lang w:eastAsia="en-AU"/>
              </w:rPr>
            </w:pPr>
          </w:p>
        </w:tc>
        <w:tc>
          <w:tcPr>
            <w:tcW w:w="781" w:type="pct"/>
            <w:gridSpan w:val="2"/>
            <w:shd w:val="pct50" w:color="auto" w:fill="auto"/>
          </w:tcPr>
          <w:p w14:paraId="449C63F6" w14:textId="77777777" w:rsidR="00F46260" w:rsidRPr="00F46260" w:rsidRDefault="00F46260" w:rsidP="00F46260">
            <w:pPr>
              <w:spacing w:after="0" w:line="240" w:lineRule="auto"/>
              <w:jc w:val="center"/>
              <w:rPr>
                <w:rFonts w:ascii="Arial" w:eastAsia="Times New Roman" w:hAnsi="Arial" w:cs="Arial"/>
                <w:iCs/>
                <w:noProof/>
                <w:color w:val="FFFFFF"/>
                <w:sz w:val="20"/>
                <w:szCs w:val="18"/>
                <w:lang w:eastAsia="en-AU"/>
              </w:rPr>
            </w:pPr>
            <w:r w:rsidRPr="00F46260">
              <w:rPr>
                <w:rFonts w:ascii="Arial" w:eastAsia="Times New Roman" w:hAnsi="Arial" w:cs="Arial"/>
                <w:b/>
                <w:iCs/>
                <w:noProof/>
                <w:color w:val="FFFFFF"/>
                <w:sz w:val="20"/>
                <w:szCs w:val="20"/>
                <w:lang w:eastAsia="en-AU"/>
              </w:rPr>
              <w:t xml:space="preserve">Transfer in      </w:t>
            </w:r>
            <w:r w:rsidRPr="00F46260">
              <w:rPr>
                <w:rFonts w:ascii="Arial" w:eastAsia="Times New Roman" w:hAnsi="Arial" w:cs="Arial"/>
                <w:b/>
                <w:iCs/>
                <w:noProof/>
                <w:color w:val="FFFFFF"/>
                <w:sz w:val="20"/>
                <w:szCs w:val="18"/>
                <w:lang w:eastAsia="en-AU"/>
              </w:rPr>
              <w:t>$</w:t>
            </w:r>
          </w:p>
        </w:tc>
      </w:tr>
      <w:tr w:rsidR="00F46260" w:rsidRPr="00F46260" w14:paraId="7446C9D2" w14:textId="77777777" w:rsidTr="00D1524E">
        <w:trPr>
          <w:cantSplit/>
          <w:trHeight w:val="250"/>
        </w:trPr>
        <w:tc>
          <w:tcPr>
            <w:tcW w:w="4219" w:type="pct"/>
            <w:vAlign w:val="bottom"/>
          </w:tcPr>
          <w:p w14:paraId="0E237972" w14:textId="77777777" w:rsidR="00F46260" w:rsidRPr="00F46260" w:rsidRDefault="00F46260" w:rsidP="00F46260">
            <w:pPr>
              <w:spacing w:before="100" w:beforeAutospacing="1" w:after="100" w:afterAutospacing="1" w:line="240" w:lineRule="auto"/>
              <w:rPr>
                <w:rFonts w:ascii="Arial" w:eastAsia="Calibri" w:hAnsi="Arial" w:cs="Arial"/>
                <w:b/>
                <w:bCs/>
                <w:sz w:val="20"/>
                <w:szCs w:val="20"/>
              </w:rPr>
            </w:pPr>
            <w:r w:rsidRPr="00F46260">
              <w:rPr>
                <w:rFonts w:ascii="Arial" w:eastAsia="Calibri" w:hAnsi="Arial" w:cs="Arial"/>
                <w:b/>
                <w:bCs/>
                <w:sz w:val="20"/>
                <w:szCs w:val="20"/>
              </w:rPr>
              <w:t>Assets</w:t>
            </w:r>
          </w:p>
        </w:tc>
        <w:tc>
          <w:tcPr>
            <w:tcW w:w="781" w:type="pct"/>
            <w:gridSpan w:val="2"/>
            <w:shd w:val="pct15" w:color="auto" w:fill="auto"/>
          </w:tcPr>
          <w:p w14:paraId="01F6CDEE" w14:textId="77777777" w:rsidR="00F46260" w:rsidRPr="00F46260" w:rsidRDefault="00F46260" w:rsidP="00F46260">
            <w:pPr>
              <w:spacing w:before="100" w:beforeAutospacing="1" w:after="100" w:afterAutospacing="1" w:line="240" w:lineRule="auto"/>
              <w:jc w:val="right"/>
              <w:rPr>
                <w:rFonts w:ascii="Arial" w:eastAsia="Times New Roman" w:hAnsi="Arial" w:cs="Arial"/>
                <w:sz w:val="20"/>
                <w:szCs w:val="20"/>
                <w:lang w:eastAsia="en-AU"/>
              </w:rPr>
            </w:pPr>
          </w:p>
        </w:tc>
      </w:tr>
      <w:tr w:rsidR="00F46260" w:rsidRPr="00F46260" w14:paraId="1D92931A" w14:textId="77777777" w:rsidTr="00D1524E">
        <w:trPr>
          <w:cantSplit/>
          <w:trHeight w:val="250"/>
        </w:trPr>
        <w:tc>
          <w:tcPr>
            <w:tcW w:w="4219" w:type="pct"/>
            <w:vAlign w:val="bottom"/>
          </w:tcPr>
          <w:p w14:paraId="5AB97D7E" w14:textId="77777777" w:rsidR="00F46260" w:rsidRPr="00F46260" w:rsidRDefault="00F46260" w:rsidP="00F46260">
            <w:pPr>
              <w:spacing w:before="100" w:beforeAutospacing="1" w:after="100" w:afterAutospacing="1" w:line="240" w:lineRule="auto"/>
              <w:rPr>
                <w:rFonts w:ascii="Arial" w:eastAsia="Calibri" w:hAnsi="Arial" w:cs="Arial"/>
                <w:sz w:val="20"/>
                <w:szCs w:val="20"/>
              </w:rPr>
            </w:pPr>
            <w:r w:rsidRPr="00F46260">
              <w:rPr>
                <w:rFonts w:ascii="Arial" w:eastAsia="Calibri" w:hAnsi="Arial" w:cs="Arial"/>
                <w:sz w:val="20"/>
                <w:szCs w:val="20"/>
              </w:rPr>
              <w:t xml:space="preserve">Receivables </w:t>
            </w:r>
            <w:r w:rsidRPr="00F46260">
              <w:rPr>
                <w:rFonts w:ascii="Arial" w:eastAsia="Calibri" w:hAnsi="Arial" w:cs="Arial"/>
                <w:i/>
                <w:iCs/>
                <w:sz w:val="20"/>
                <w:szCs w:val="20"/>
                <w:vertAlign w:val="superscript"/>
              </w:rPr>
              <w:t>(a)</w:t>
            </w:r>
          </w:p>
        </w:tc>
        <w:tc>
          <w:tcPr>
            <w:tcW w:w="781" w:type="pct"/>
            <w:gridSpan w:val="2"/>
            <w:shd w:val="pct15" w:color="auto" w:fill="auto"/>
          </w:tcPr>
          <w:p w14:paraId="19103373" w14:textId="77777777" w:rsidR="00F46260" w:rsidRPr="00F46260" w:rsidRDefault="00F46260" w:rsidP="00F46260">
            <w:pPr>
              <w:spacing w:before="100" w:beforeAutospacing="1" w:after="100" w:afterAutospacing="1"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         230,476</w:t>
            </w:r>
          </w:p>
        </w:tc>
      </w:tr>
      <w:tr w:rsidR="00F46260" w:rsidRPr="00F46260" w14:paraId="4FC3F0EF" w14:textId="77777777" w:rsidTr="00D1524E">
        <w:trPr>
          <w:cantSplit/>
          <w:trHeight w:val="263"/>
        </w:trPr>
        <w:tc>
          <w:tcPr>
            <w:tcW w:w="4219" w:type="pct"/>
            <w:vAlign w:val="bottom"/>
          </w:tcPr>
          <w:p w14:paraId="1B221B7F" w14:textId="77777777" w:rsidR="00F46260" w:rsidRPr="00F46260" w:rsidRDefault="00F46260" w:rsidP="00F46260">
            <w:pPr>
              <w:spacing w:before="100" w:beforeAutospacing="1" w:after="100" w:afterAutospacing="1" w:line="240" w:lineRule="auto"/>
              <w:rPr>
                <w:rFonts w:ascii="Arial" w:eastAsia="Calibri" w:hAnsi="Arial" w:cs="Arial"/>
                <w:b/>
                <w:bCs/>
                <w:sz w:val="20"/>
                <w:szCs w:val="20"/>
              </w:rPr>
            </w:pPr>
            <w:r w:rsidRPr="00F46260">
              <w:rPr>
                <w:rFonts w:ascii="Arial" w:eastAsia="Calibri" w:hAnsi="Arial" w:cs="Arial"/>
                <w:b/>
                <w:bCs/>
                <w:sz w:val="20"/>
                <w:szCs w:val="20"/>
              </w:rPr>
              <w:t xml:space="preserve">Liabilities </w:t>
            </w:r>
          </w:p>
        </w:tc>
        <w:tc>
          <w:tcPr>
            <w:tcW w:w="781" w:type="pct"/>
            <w:gridSpan w:val="2"/>
            <w:shd w:val="pct15" w:color="auto" w:fill="auto"/>
          </w:tcPr>
          <w:p w14:paraId="0685A2D1" w14:textId="77777777" w:rsidR="00F46260" w:rsidRPr="00F46260" w:rsidRDefault="00F46260" w:rsidP="00F46260">
            <w:pPr>
              <w:spacing w:before="100" w:beforeAutospacing="1" w:after="100" w:afterAutospacing="1" w:line="240" w:lineRule="auto"/>
              <w:jc w:val="right"/>
              <w:rPr>
                <w:rFonts w:ascii="Arial" w:eastAsia="Times New Roman" w:hAnsi="Arial" w:cs="Arial"/>
                <w:sz w:val="20"/>
                <w:szCs w:val="20"/>
                <w:lang w:eastAsia="en-AU"/>
              </w:rPr>
            </w:pPr>
          </w:p>
        </w:tc>
      </w:tr>
      <w:tr w:rsidR="00F46260" w:rsidRPr="00F46260" w14:paraId="652F600F" w14:textId="77777777" w:rsidTr="00D1524E">
        <w:trPr>
          <w:cantSplit/>
          <w:trHeight w:val="250"/>
        </w:trPr>
        <w:tc>
          <w:tcPr>
            <w:tcW w:w="4219" w:type="pct"/>
            <w:vAlign w:val="bottom"/>
          </w:tcPr>
          <w:p w14:paraId="2AFEE5D4" w14:textId="77777777" w:rsidR="00F46260" w:rsidRPr="00F46260" w:rsidRDefault="00F46260" w:rsidP="00F46260">
            <w:pPr>
              <w:spacing w:before="100" w:beforeAutospacing="1" w:after="100" w:afterAutospacing="1" w:line="240" w:lineRule="auto"/>
              <w:rPr>
                <w:rFonts w:ascii="Arial" w:eastAsia="Calibri" w:hAnsi="Arial" w:cs="Arial"/>
                <w:bCs/>
                <w:sz w:val="20"/>
                <w:szCs w:val="20"/>
              </w:rPr>
            </w:pPr>
            <w:r w:rsidRPr="00F46260">
              <w:rPr>
                <w:rFonts w:ascii="Arial" w:eastAsia="Calibri" w:hAnsi="Arial" w:cs="Arial"/>
                <w:bCs/>
                <w:sz w:val="20"/>
                <w:szCs w:val="20"/>
              </w:rPr>
              <w:t xml:space="preserve">Employee benefits </w:t>
            </w:r>
          </w:p>
        </w:tc>
        <w:tc>
          <w:tcPr>
            <w:tcW w:w="781" w:type="pct"/>
            <w:gridSpan w:val="2"/>
            <w:shd w:val="pct15" w:color="auto" w:fill="auto"/>
          </w:tcPr>
          <w:p w14:paraId="0FC3CA2A" w14:textId="77777777" w:rsidR="00F46260" w:rsidRPr="00F46260" w:rsidRDefault="00F46260" w:rsidP="00F46260">
            <w:pPr>
              <w:spacing w:before="100" w:beforeAutospacing="1" w:after="100" w:afterAutospacing="1"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(122,244)</w:t>
            </w:r>
          </w:p>
        </w:tc>
      </w:tr>
      <w:tr w:rsidR="00F46260" w:rsidRPr="00F46260" w14:paraId="40F22D73" w14:textId="77777777" w:rsidTr="00D1524E">
        <w:trPr>
          <w:cantSplit/>
          <w:trHeight w:val="263"/>
        </w:trPr>
        <w:tc>
          <w:tcPr>
            <w:tcW w:w="4219" w:type="pct"/>
            <w:tcBorders>
              <w:bottom w:val="single" w:sz="6" w:space="0" w:color="auto"/>
            </w:tcBorders>
            <w:vAlign w:val="bottom"/>
          </w:tcPr>
          <w:p w14:paraId="6584FF21" w14:textId="77777777" w:rsidR="00F46260" w:rsidRPr="00F46260" w:rsidRDefault="00F46260" w:rsidP="00F46260">
            <w:pPr>
              <w:spacing w:before="100" w:beforeAutospacing="1" w:after="100" w:afterAutospacing="1" w:line="240" w:lineRule="auto"/>
              <w:rPr>
                <w:rFonts w:ascii="Arial" w:eastAsia="Calibri" w:hAnsi="Arial" w:cs="Arial"/>
                <w:bCs/>
                <w:sz w:val="20"/>
                <w:szCs w:val="20"/>
              </w:rPr>
            </w:pPr>
            <w:r w:rsidRPr="00F46260">
              <w:rPr>
                <w:rFonts w:ascii="Arial" w:eastAsia="Calibri" w:hAnsi="Arial" w:cs="Arial"/>
                <w:bCs/>
                <w:sz w:val="20"/>
                <w:szCs w:val="20"/>
              </w:rPr>
              <w:t>Creditors and Accruals</w:t>
            </w:r>
          </w:p>
        </w:tc>
        <w:tc>
          <w:tcPr>
            <w:tcW w:w="781" w:type="pct"/>
            <w:gridSpan w:val="2"/>
            <w:tcBorders>
              <w:bottom w:val="single" w:sz="6" w:space="0" w:color="auto"/>
            </w:tcBorders>
            <w:shd w:val="pct15" w:color="auto" w:fill="auto"/>
          </w:tcPr>
          <w:p w14:paraId="3A3C9378" w14:textId="77777777" w:rsidR="00F46260" w:rsidRPr="00F46260" w:rsidRDefault="00F46260" w:rsidP="00F46260">
            <w:pPr>
              <w:spacing w:before="100" w:beforeAutospacing="1" w:after="100" w:afterAutospacing="1"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(88,374)</w:t>
            </w:r>
          </w:p>
        </w:tc>
      </w:tr>
      <w:tr w:rsidR="00F46260" w:rsidRPr="00F46260" w14:paraId="49FD7937" w14:textId="77777777" w:rsidTr="00D1524E">
        <w:trPr>
          <w:cantSplit/>
          <w:trHeight w:val="263"/>
        </w:trPr>
        <w:tc>
          <w:tcPr>
            <w:tcW w:w="4219" w:type="pct"/>
            <w:tcBorders>
              <w:top w:val="single" w:sz="6" w:space="0" w:color="auto"/>
              <w:bottom w:val="single" w:sz="12" w:space="0" w:color="auto"/>
            </w:tcBorders>
            <w:vAlign w:val="bottom"/>
          </w:tcPr>
          <w:p w14:paraId="25C659DD" w14:textId="77777777" w:rsidR="00F46260" w:rsidRPr="00F46260" w:rsidRDefault="00F46260" w:rsidP="00F46260">
            <w:pPr>
              <w:spacing w:after="0" w:line="240" w:lineRule="auto"/>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Net assets</w:t>
            </w:r>
          </w:p>
        </w:tc>
        <w:tc>
          <w:tcPr>
            <w:tcW w:w="781" w:type="pct"/>
            <w:gridSpan w:val="2"/>
            <w:tcBorders>
              <w:top w:val="single" w:sz="6" w:space="0" w:color="auto"/>
              <w:bottom w:val="single" w:sz="12" w:space="0" w:color="auto"/>
            </w:tcBorders>
            <w:shd w:val="pct15" w:color="auto" w:fill="auto"/>
          </w:tcPr>
          <w:p w14:paraId="457238E5"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sz w:val="20"/>
                <w:szCs w:val="20"/>
                <w:lang w:eastAsia="en-AU"/>
              </w:rPr>
              <w:t xml:space="preserve">             </w:t>
            </w:r>
            <w:r w:rsidRPr="00F46260">
              <w:rPr>
                <w:rFonts w:ascii="Arial" w:eastAsia="Times New Roman" w:hAnsi="Arial" w:cs="Arial"/>
                <w:b/>
                <w:bCs/>
                <w:sz w:val="20"/>
                <w:szCs w:val="20"/>
                <w:lang w:eastAsia="en-AU"/>
              </w:rPr>
              <w:t>19,858</w:t>
            </w:r>
          </w:p>
        </w:tc>
      </w:tr>
      <w:tr w:rsidR="00F46260" w:rsidRPr="00F46260" w14:paraId="1463E6AC" w14:textId="77777777" w:rsidTr="00D1524E">
        <w:trPr>
          <w:gridAfter w:val="1"/>
          <w:wAfter w:w="4" w:type="pct"/>
          <w:cantSplit/>
          <w:trHeight w:val="263"/>
        </w:trPr>
        <w:tc>
          <w:tcPr>
            <w:tcW w:w="4996" w:type="pct"/>
            <w:gridSpan w:val="2"/>
            <w:tcBorders>
              <w:top w:val="single" w:sz="4" w:space="0" w:color="auto"/>
            </w:tcBorders>
            <w:vAlign w:val="bottom"/>
          </w:tcPr>
          <w:p w14:paraId="1C200C86" w14:textId="77777777" w:rsidR="00F46260" w:rsidRPr="00F46260" w:rsidRDefault="00F46260" w:rsidP="00F46260">
            <w:pPr>
              <w:keepLines/>
              <w:spacing w:before="20" w:after="0" w:line="240" w:lineRule="auto"/>
              <w:contextualSpacing/>
              <w:rPr>
                <w:rFonts w:ascii="Arial" w:eastAsia="Calibri" w:hAnsi="Arial" w:cs="Arial"/>
                <w:i/>
                <w:spacing w:val="-2"/>
                <w:sz w:val="16"/>
                <w:szCs w:val="16"/>
                <w:lang w:eastAsia="en-AU"/>
              </w:rPr>
            </w:pPr>
          </w:p>
          <w:p w14:paraId="148D267B" w14:textId="77777777" w:rsidR="00F46260" w:rsidRPr="00F46260" w:rsidRDefault="00F46260" w:rsidP="00F46260">
            <w:pPr>
              <w:keepLines/>
              <w:spacing w:before="20" w:after="0" w:line="240" w:lineRule="auto"/>
              <w:ind w:left="284" w:hanging="284"/>
              <w:contextualSpacing/>
              <w:rPr>
                <w:rFonts w:ascii="Arial" w:eastAsia="Calibri" w:hAnsi="Arial" w:cs="Arial"/>
                <w:i/>
                <w:spacing w:val="-2"/>
                <w:sz w:val="16"/>
                <w:szCs w:val="16"/>
                <w:lang w:eastAsia="en-AU"/>
              </w:rPr>
            </w:pPr>
            <w:r w:rsidRPr="00F46260">
              <w:rPr>
                <w:rFonts w:ascii="Arial" w:eastAsia="Calibri" w:hAnsi="Arial" w:cs="Arial"/>
                <w:i/>
                <w:spacing w:val="-2"/>
                <w:sz w:val="16"/>
                <w:szCs w:val="16"/>
                <w:lang w:eastAsia="en-AU"/>
              </w:rPr>
              <w:t>Note:</w:t>
            </w:r>
          </w:p>
          <w:p w14:paraId="060A0033" w14:textId="77777777" w:rsidR="00F46260" w:rsidRPr="00F46260" w:rsidRDefault="00F46260" w:rsidP="00F46260">
            <w:pPr>
              <w:keepLines/>
              <w:spacing w:before="20" w:after="0" w:line="240" w:lineRule="auto"/>
              <w:ind w:left="284" w:hanging="284"/>
              <w:contextualSpacing/>
              <w:rPr>
                <w:rFonts w:ascii="Arial" w:eastAsia="Calibri" w:hAnsi="Arial" w:cs="Arial"/>
                <w:i/>
                <w:spacing w:val="-2"/>
                <w:sz w:val="16"/>
                <w:szCs w:val="16"/>
                <w:lang w:eastAsia="en-AU"/>
              </w:rPr>
            </w:pPr>
            <w:r w:rsidRPr="00F46260">
              <w:rPr>
                <w:rFonts w:ascii="Arial" w:eastAsia="Calibri" w:hAnsi="Arial" w:cs="Arial"/>
                <w:i/>
                <w:spacing w:val="-2"/>
                <w:sz w:val="16"/>
                <w:szCs w:val="16"/>
                <w:lang w:eastAsia="en-AU"/>
              </w:rPr>
              <w:t>(a)  This includes cash transferred, which is recognised as part of the amount recoverable from the government by the Commission.</w:t>
            </w:r>
          </w:p>
          <w:p w14:paraId="48B64AE4" w14:textId="77777777" w:rsidR="00F46260" w:rsidRPr="00F46260" w:rsidRDefault="00F46260" w:rsidP="00F46260">
            <w:pPr>
              <w:keepLines/>
              <w:spacing w:before="20" w:after="0" w:line="240" w:lineRule="auto"/>
              <w:contextualSpacing/>
              <w:rPr>
                <w:rFonts w:ascii="Arial" w:eastAsia="Calibri" w:hAnsi="Arial" w:cs="Arial"/>
                <w:i/>
                <w:spacing w:val="-2"/>
                <w:sz w:val="16"/>
                <w:szCs w:val="16"/>
                <w:lang w:eastAsia="en-AU"/>
              </w:rPr>
            </w:pPr>
          </w:p>
        </w:tc>
      </w:tr>
    </w:tbl>
    <w:p w14:paraId="5794FFCB"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8.2 Subsequent events</w:t>
      </w:r>
    </w:p>
    <w:p w14:paraId="0A25E824"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6B4754F0"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Due to further machinery of government administrative restructuring, certain sections of the Public Sector Reform Unit within the Department of Premier and Cabinet, will be transitioned to the Commission. The effective date for this transfer is 1 July 2021.</w:t>
      </w:r>
    </w:p>
    <w:p w14:paraId="2A926D4E"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4E781563" w14:textId="77777777" w:rsidR="00F46260" w:rsidRPr="00F46260" w:rsidRDefault="00F46260" w:rsidP="00F8706A">
      <w:pPr>
        <w:numPr>
          <w:ilvl w:val="1"/>
          <w:numId w:val="44"/>
        </w:numPr>
        <w:spacing w:after="0" w:line="240" w:lineRule="auto"/>
        <w:contextualSpacing/>
        <w:rPr>
          <w:rFonts w:ascii="Arial" w:eastAsia="Times New Roman" w:hAnsi="Arial" w:cs="Arial"/>
          <w:b/>
          <w:sz w:val="20"/>
          <w:szCs w:val="20"/>
          <w:lang w:eastAsia="en-AU"/>
        </w:rPr>
      </w:pPr>
      <w:r w:rsidRPr="00F46260">
        <w:rPr>
          <w:rFonts w:ascii="Arial" w:eastAsia="Times New Roman" w:hAnsi="Arial" w:cs="Arial"/>
          <w:b/>
          <w:sz w:val="20"/>
          <w:szCs w:val="20"/>
          <w:lang w:eastAsia="en-AU"/>
        </w:rPr>
        <w:t>Responsible persons</w:t>
      </w:r>
    </w:p>
    <w:p w14:paraId="6FD95ED0" w14:textId="77777777" w:rsidR="00F46260" w:rsidRPr="00F46260" w:rsidRDefault="00F46260" w:rsidP="00D1524E">
      <w:pPr>
        <w:spacing w:after="0" w:line="240" w:lineRule="auto"/>
        <w:ind w:left="360"/>
        <w:contextualSpacing/>
        <w:rPr>
          <w:rFonts w:ascii="Arial" w:eastAsia="Times New Roman" w:hAnsi="Arial" w:cs="Arial"/>
          <w:sz w:val="20"/>
          <w:szCs w:val="20"/>
          <w:lang w:eastAsia="en-AU"/>
        </w:rPr>
      </w:pPr>
    </w:p>
    <w:p w14:paraId="0117485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In accordance with the Ministerial Directions issued by the Assistant Treasurer under the </w:t>
      </w:r>
      <w:r w:rsidRPr="00F46260">
        <w:rPr>
          <w:rFonts w:ascii="Arial" w:eastAsia="Times New Roman" w:hAnsi="Arial" w:cs="Arial"/>
          <w:i/>
          <w:sz w:val="20"/>
          <w:szCs w:val="20"/>
          <w:lang w:eastAsia="en-AU"/>
        </w:rPr>
        <w:t>Financial Management Act 1994</w:t>
      </w:r>
      <w:r w:rsidRPr="00F46260">
        <w:rPr>
          <w:rFonts w:ascii="Arial" w:eastAsia="Times New Roman" w:hAnsi="Arial" w:cs="Arial"/>
          <w:sz w:val="20"/>
          <w:szCs w:val="20"/>
          <w:lang w:eastAsia="en-AU"/>
        </w:rPr>
        <w:t>, the following disclosures are made regarding responsible persons for the reporting period.</w:t>
      </w:r>
    </w:p>
    <w:p w14:paraId="753E6E3E" w14:textId="77777777" w:rsidR="00F46260" w:rsidRPr="00F46260" w:rsidRDefault="00F46260" w:rsidP="00F46260">
      <w:pPr>
        <w:spacing w:after="0" w:line="240" w:lineRule="auto"/>
        <w:rPr>
          <w:rFonts w:ascii="Arial" w:eastAsia="Times New Roman" w:hAnsi="Arial" w:cs="Arial"/>
          <w:sz w:val="20"/>
          <w:szCs w:val="20"/>
          <w:lang w:eastAsia="en-AU"/>
        </w:rPr>
      </w:pPr>
    </w:p>
    <w:p w14:paraId="60C841AF" w14:textId="77777777" w:rsidR="00D1524E" w:rsidRDefault="00D1524E">
      <w:pPr>
        <w:spacing w:after="0" w:line="240" w:lineRule="auto"/>
        <w:rPr>
          <w:rFonts w:ascii="Arial" w:eastAsia="Times New Roman" w:hAnsi="Arial" w:cs="Arial"/>
          <w:b/>
          <w:sz w:val="20"/>
          <w:szCs w:val="20"/>
          <w:lang w:eastAsia="en-AU"/>
        </w:rPr>
      </w:pPr>
      <w:r>
        <w:rPr>
          <w:rFonts w:ascii="Arial" w:eastAsia="Times New Roman" w:hAnsi="Arial" w:cs="Arial"/>
          <w:b/>
          <w:sz w:val="20"/>
          <w:szCs w:val="20"/>
          <w:lang w:eastAsia="en-AU"/>
        </w:rPr>
        <w:br w:type="page"/>
      </w:r>
    </w:p>
    <w:p w14:paraId="6A56A761" w14:textId="655DF68C" w:rsidR="00F46260" w:rsidRPr="00F46260" w:rsidRDefault="00F46260" w:rsidP="00F46260">
      <w:pPr>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lastRenderedPageBreak/>
        <w:t>Names</w:t>
      </w:r>
    </w:p>
    <w:p w14:paraId="196028E8" w14:textId="77777777" w:rsidR="00F46260" w:rsidRPr="00F46260" w:rsidRDefault="00F46260" w:rsidP="00F46260">
      <w:pPr>
        <w:spacing w:after="0" w:line="240" w:lineRule="auto"/>
        <w:rPr>
          <w:rFonts w:ascii="Arial" w:eastAsia="Times New Roman" w:hAnsi="Arial" w:cs="Arial"/>
          <w:sz w:val="20"/>
          <w:szCs w:val="20"/>
          <w:lang w:eastAsia="en-AU"/>
        </w:rPr>
      </w:pPr>
    </w:p>
    <w:p w14:paraId="190DF8A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The persons who held the positions of Minister and Accountable Officer in the Commission during the financial year were as follows:</w:t>
      </w:r>
    </w:p>
    <w:p w14:paraId="4808736F" w14:textId="77777777" w:rsidR="00F46260" w:rsidRPr="00F46260" w:rsidRDefault="00F46260" w:rsidP="00F46260">
      <w:pPr>
        <w:spacing w:after="0" w:line="240" w:lineRule="auto"/>
        <w:rPr>
          <w:rFonts w:ascii="Arial" w:eastAsia="Times New Roman" w:hAnsi="Arial" w:cs="Arial"/>
          <w:sz w:val="20"/>
          <w:szCs w:val="20"/>
          <w:lang w:eastAsia="en-AU"/>
        </w:rPr>
      </w:pPr>
    </w:p>
    <w:tbl>
      <w:tblPr>
        <w:tblStyle w:val="CVtable1"/>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3852"/>
        <w:gridCol w:w="2868"/>
      </w:tblGrid>
      <w:tr w:rsidR="00F46260" w:rsidRPr="00F46260" w14:paraId="110D5F7F" w14:textId="77777777" w:rsidTr="00D1524E">
        <w:tc>
          <w:tcPr>
            <w:tcW w:w="1408" w:type="pct"/>
          </w:tcPr>
          <w:p w14:paraId="07414A96" w14:textId="77777777" w:rsidR="00F46260" w:rsidRPr="00F46260" w:rsidRDefault="00F46260" w:rsidP="00F46260">
            <w:pPr>
              <w:spacing w:after="0" w:line="240" w:lineRule="auto"/>
              <w:rPr>
                <w:rFonts w:ascii="Arial" w:hAnsi="Arial" w:cs="Arial"/>
                <w:b/>
              </w:rPr>
            </w:pPr>
            <w:r w:rsidRPr="00F46260">
              <w:rPr>
                <w:rFonts w:ascii="Arial" w:hAnsi="Arial" w:cs="Arial"/>
                <w:b/>
              </w:rPr>
              <w:t>Position</w:t>
            </w:r>
          </w:p>
        </w:tc>
        <w:tc>
          <w:tcPr>
            <w:tcW w:w="2059" w:type="pct"/>
          </w:tcPr>
          <w:p w14:paraId="6ED70720" w14:textId="77777777" w:rsidR="00F46260" w:rsidRPr="00F46260" w:rsidRDefault="00F46260" w:rsidP="00F46260">
            <w:pPr>
              <w:spacing w:after="0" w:line="240" w:lineRule="auto"/>
              <w:rPr>
                <w:rFonts w:ascii="Arial" w:hAnsi="Arial" w:cs="Arial"/>
                <w:b/>
              </w:rPr>
            </w:pPr>
            <w:r w:rsidRPr="00F46260">
              <w:rPr>
                <w:rFonts w:ascii="Arial" w:hAnsi="Arial" w:cs="Arial"/>
                <w:b/>
              </w:rPr>
              <w:t>Name</w:t>
            </w:r>
          </w:p>
        </w:tc>
        <w:tc>
          <w:tcPr>
            <w:tcW w:w="1533" w:type="pct"/>
          </w:tcPr>
          <w:p w14:paraId="4A393E07" w14:textId="77777777" w:rsidR="00F46260" w:rsidRPr="00F46260" w:rsidRDefault="00F46260" w:rsidP="00F46260">
            <w:pPr>
              <w:spacing w:after="0" w:line="240" w:lineRule="auto"/>
              <w:rPr>
                <w:rFonts w:ascii="Arial" w:hAnsi="Arial" w:cs="Arial"/>
                <w:b/>
              </w:rPr>
            </w:pPr>
            <w:r w:rsidRPr="00F46260">
              <w:rPr>
                <w:rFonts w:ascii="Arial" w:hAnsi="Arial" w:cs="Arial"/>
                <w:b/>
              </w:rPr>
              <w:t>Term</w:t>
            </w:r>
          </w:p>
        </w:tc>
      </w:tr>
      <w:tr w:rsidR="00F46260" w:rsidRPr="00F46260" w14:paraId="6C14853C" w14:textId="77777777" w:rsidTr="00D1524E">
        <w:trPr>
          <w:trHeight w:val="524"/>
        </w:trPr>
        <w:tc>
          <w:tcPr>
            <w:tcW w:w="1408" w:type="pct"/>
          </w:tcPr>
          <w:p w14:paraId="49155384" w14:textId="77777777" w:rsidR="00F46260" w:rsidRPr="00F46260" w:rsidRDefault="00F46260" w:rsidP="00F46260">
            <w:pPr>
              <w:spacing w:after="0" w:line="240" w:lineRule="auto"/>
              <w:rPr>
                <w:rFonts w:ascii="Arial" w:hAnsi="Arial" w:cs="Arial"/>
              </w:rPr>
            </w:pPr>
            <w:r w:rsidRPr="00F46260">
              <w:rPr>
                <w:rFonts w:ascii="Arial" w:hAnsi="Arial" w:cs="Arial"/>
              </w:rPr>
              <w:t>Responsible Minister</w:t>
            </w:r>
          </w:p>
        </w:tc>
        <w:tc>
          <w:tcPr>
            <w:tcW w:w="2059" w:type="pct"/>
          </w:tcPr>
          <w:p w14:paraId="5231DAA0" w14:textId="77777777" w:rsidR="00F46260" w:rsidRPr="00F46260" w:rsidRDefault="00F46260" w:rsidP="00F46260">
            <w:pPr>
              <w:spacing w:after="0" w:line="240" w:lineRule="auto"/>
              <w:rPr>
                <w:rFonts w:ascii="Arial" w:hAnsi="Arial" w:cs="Arial"/>
              </w:rPr>
            </w:pPr>
            <w:r w:rsidRPr="00F46260">
              <w:rPr>
                <w:rFonts w:ascii="Arial" w:hAnsi="Arial" w:cs="Arial"/>
              </w:rPr>
              <w:t>The Hon Daniel Andrews, MP, Premier</w:t>
            </w:r>
          </w:p>
        </w:tc>
        <w:tc>
          <w:tcPr>
            <w:tcW w:w="1533" w:type="pct"/>
          </w:tcPr>
          <w:p w14:paraId="5D9D06A3" w14:textId="77777777" w:rsidR="00F46260" w:rsidRPr="00F46260" w:rsidRDefault="00F46260" w:rsidP="00F46260">
            <w:pPr>
              <w:spacing w:after="0" w:line="240" w:lineRule="auto"/>
              <w:rPr>
                <w:rFonts w:ascii="Arial" w:hAnsi="Arial" w:cs="Arial"/>
              </w:rPr>
            </w:pPr>
            <w:r w:rsidRPr="00F46260">
              <w:rPr>
                <w:rFonts w:ascii="Arial" w:hAnsi="Arial" w:cs="Arial"/>
              </w:rPr>
              <w:t>01 July 2020 to 07 July 2020</w:t>
            </w:r>
          </w:p>
        </w:tc>
      </w:tr>
      <w:tr w:rsidR="00F46260" w:rsidRPr="00F46260" w14:paraId="05230CC4" w14:textId="77777777" w:rsidTr="00D1524E">
        <w:trPr>
          <w:trHeight w:val="650"/>
        </w:trPr>
        <w:tc>
          <w:tcPr>
            <w:tcW w:w="1408" w:type="pct"/>
          </w:tcPr>
          <w:p w14:paraId="6A484FD2" w14:textId="77777777" w:rsidR="00F46260" w:rsidRPr="00F46260" w:rsidRDefault="00F46260" w:rsidP="00F46260">
            <w:pPr>
              <w:spacing w:after="0" w:line="240" w:lineRule="auto"/>
              <w:rPr>
                <w:rFonts w:ascii="Arial" w:hAnsi="Arial" w:cs="Arial"/>
              </w:rPr>
            </w:pPr>
            <w:r w:rsidRPr="00F46260">
              <w:rPr>
                <w:rFonts w:ascii="Arial" w:hAnsi="Arial" w:cs="Arial"/>
              </w:rPr>
              <w:t>Responsible Minister</w:t>
            </w:r>
          </w:p>
        </w:tc>
        <w:tc>
          <w:tcPr>
            <w:tcW w:w="2059" w:type="pct"/>
          </w:tcPr>
          <w:p w14:paraId="732B2365" w14:textId="69818366" w:rsidR="00F46260" w:rsidRPr="00F46260" w:rsidRDefault="00F46260" w:rsidP="00F46260">
            <w:pPr>
              <w:spacing w:after="0" w:line="240" w:lineRule="auto"/>
              <w:rPr>
                <w:rFonts w:ascii="Arial" w:hAnsi="Arial" w:cs="Arial"/>
              </w:rPr>
            </w:pPr>
            <w:r w:rsidRPr="00F46260">
              <w:rPr>
                <w:rFonts w:ascii="Arial" w:hAnsi="Arial" w:cs="Arial"/>
              </w:rPr>
              <w:t>The Hon Danny Pearson, MP, Minister for Government Services</w:t>
            </w:r>
          </w:p>
        </w:tc>
        <w:tc>
          <w:tcPr>
            <w:tcW w:w="1533" w:type="pct"/>
          </w:tcPr>
          <w:p w14:paraId="58F9E069" w14:textId="77777777" w:rsidR="00F46260" w:rsidRPr="00F46260" w:rsidRDefault="00F46260" w:rsidP="00F46260">
            <w:pPr>
              <w:spacing w:after="0" w:line="240" w:lineRule="auto"/>
              <w:rPr>
                <w:rFonts w:ascii="Arial" w:hAnsi="Arial" w:cs="Arial"/>
              </w:rPr>
            </w:pPr>
            <w:r w:rsidRPr="00F46260">
              <w:rPr>
                <w:rFonts w:ascii="Arial" w:hAnsi="Arial" w:cs="Arial"/>
              </w:rPr>
              <w:t>08 July 2020 to 30 June 2021</w:t>
            </w:r>
          </w:p>
        </w:tc>
      </w:tr>
      <w:tr w:rsidR="00F46260" w:rsidRPr="00F46260" w14:paraId="1F57459C" w14:textId="77777777" w:rsidTr="00D1524E">
        <w:trPr>
          <w:trHeight w:val="277"/>
        </w:trPr>
        <w:tc>
          <w:tcPr>
            <w:tcW w:w="1408" w:type="pct"/>
          </w:tcPr>
          <w:p w14:paraId="2CAD6EE8" w14:textId="77777777" w:rsidR="00F46260" w:rsidRPr="00F46260" w:rsidRDefault="00F46260" w:rsidP="00F46260">
            <w:pPr>
              <w:spacing w:after="0" w:line="240" w:lineRule="auto"/>
              <w:rPr>
                <w:rFonts w:ascii="Arial" w:hAnsi="Arial" w:cs="Arial"/>
              </w:rPr>
            </w:pPr>
            <w:r w:rsidRPr="00F46260">
              <w:rPr>
                <w:rFonts w:ascii="Arial" w:hAnsi="Arial" w:cs="Arial"/>
              </w:rPr>
              <w:t>Accountable Officer</w:t>
            </w:r>
          </w:p>
        </w:tc>
        <w:tc>
          <w:tcPr>
            <w:tcW w:w="2059" w:type="pct"/>
          </w:tcPr>
          <w:p w14:paraId="14847A7F" w14:textId="77777777" w:rsidR="00F46260" w:rsidRPr="00F46260" w:rsidRDefault="00F46260" w:rsidP="00F46260">
            <w:pPr>
              <w:spacing w:after="0" w:line="240" w:lineRule="auto"/>
              <w:rPr>
                <w:rFonts w:ascii="Arial" w:hAnsi="Arial" w:cs="Arial"/>
              </w:rPr>
            </w:pPr>
            <w:r w:rsidRPr="00F46260">
              <w:rPr>
                <w:rFonts w:ascii="Arial" w:hAnsi="Arial" w:cs="Arial"/>
                <w:bCs/>
              </w:rPr>
              <w:t>Adam Fennessy</w:t>
            </w:r>
            <w:r w:rsidRPr="00F46260">
              <w:rPr>
                <w:rFonts w:ascii="Arial" w:hAnsi="Arial" w:cs="Arial"/>
              </w:rPr>
              <w:t>, Commissioner</w:t>
            </w:r>
          </w:p>
        </w:tc>
        <w:tc>
          <w:tcPr>
            <w:tcW w:w="1533" w:type="pct"/>
          </w:tcPr>
          <w:p w14:paraId="395C272A" w14:textId="77777777" w:rsidR="00F46260" w:rsidRPr="00F46260" w:rsidRDefault="00F46260" w:rsidP="00F46260">
            <w:pPr>
              <w:spacing w:after="0" w:line="240" w:lineRule="auto"/>
              <w:rPr>
                <w:rFonts w:ascii="Arial" w:hAnsi="Arial" w:cs="Arial"/>
              </w:rPr>
            </w:pPr>
            <w:r w:rsidRPr="00F46260">
              <w:rPr>
                <w:rFonts w:ascii="Arial" w:hAnsi="Arial" w:cs="Arial"/>
              </w:rPr>
              <w:t>01 July 2020 to 30 June 2021</w:t>
            </w:r>
          </w:p>
        </w:tc>
      </w:tr>
    </w:tbl>
    <w:p w14:paraId="721632DB" w14:textId="77777777" w:rsidR="00F46260" w:rsidRPr="00F46260" w:rsidRDefault="00F46260" w:rsidP="00F46260">
      <w:pPr>
        <w:spacing w:before="60" w:after="0" w:line="240" w:lineRule="auto"/>
        <w:rPr>
          <w:rFonts w:ascii="Arial" w:eastAsia="Times New Roman" w:hAnsi="Arial" w:cs="Arial"/>
          <w:sz w:val="20"/>
          <w:szCs w:val="20"/>
          <w:lang w:eastAsia="en-AU"/>
        </w:rPr>
      </w:pPr>
    </w:p>
    <w:p w14:paraId="58A9FCCF" w14:textId="77777777" w:rsidR="00F46260" w:rsidRPr="00F46260" w:rsidRDefault="00F46260" w:rsidP="00F46260">
      <w:pPr>
        <w:spacing w:after="12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Remuneration</w:t>
      </w:r>
    </w:p>
    <w:p w14:paraId="0C5477C8" w14:textId="77777777" w:rsidR="00F46260" w:rsidRPr="00F46260" w:rsidRDefault="00F46260" w:rsidP="00F46260">
      <w:pPr>
        <w:spacing w:after="0" w:line="240" w:lineRule="auto"/>
        <w:jc w:val="both"/>
        <w:rPr>
          <w:rFonts w:ascii="Arial" w:eastAsia="Times New Roman" w:hAnsi="Arial" w:cs="Arial"/>
          <w:sz w:val="20"/>
          <w:szCs w:val="20"/>
          <w:lang w:eastAsia="en-AU"/>
        </w:rPr>
      </w:pPr>
      <w:r w:rsidRPr="00F46260">
        <w:rPr>
          <w:rFonts w:ascii="Arial" w:eastAsia="Times New Roman" w:hAnsi="Arial" w:cs="Arial"/>
          <w:sz w:val="20"/>
          <w:szCs w:val="20"/>
          <w:lang w:eastAsia="en-AU"/>
        </w:rPr>
        <w:t>Remuneration received or receivable by the Accountable Officer, in connection with the management of the Commission during the reporting period was in the range of $490,000 - $499,000 ($520,000 - $529,999 in 2019-20).</w:t>
      </w:r>
    </w:p>
    <w:p w14:paraId="1F83DA52" w14:textId="77777777" w:rsidR="00F46260" w:rsidRPr="00F46260" w:rsidRDefault="00F46260" w:rsidP="00F46260">
      <w:pPr>
        <w:spacing w:after="0" w:line="240" w:lineRule="auto"/>
        <w:rPr>
          <w:rFonts w:ascii="Arial" w:eastAsia="Times New Roman" w:hAnsi="Arial" w:cs="Arial"/>
          <w:sz w:val="20"/>
          <w:szCs w:val="20"/>
          <w:lang w:eastAsia="en-AU"/>
        </w:rPr>
      </w:pPr>
    </w:p>
    <w:p w14:paraId="205B4B24"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Amounts relating to the Minister are reported in the financial statements of the Department of Parliamentary Services. </w:t>
      </w:r>
    </w:p>
    <w:p w14:paraId="695E6543" w14:textId="77777777" w:rsidR="00F46260" w:rsidRPr="00F46260" w:rsidRDefault="00F46260" w:rsidP="00F46260">
      <w:pPr>
        <w:spacing w:after="0" w:line="240" w:lineRule="auto"/>
        <w:rPr>
          <w:rFonts w:ascii="Arial" w:eastAsia="Times New Roman" w:hAnsi="Arial" w:cs="Arial"/>
          <w:sz w:val="20"/>
          <w:szCs w:val="20"/>
          <w:lang w:eastAsia="en-AU"/>
        </w:rPr>
      </w:pPr>
    </w:p>
    <w:p w14:paraId="655FBC97"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8.4 Remuneration of executives</w:t>
      </w:r>
    </w:p>
    <w:p w14:paraId="24D2D35C" w14:textId="77777777" w:rsidR="00F46260" w:rsidRPr="00F46260" w:rsidRDefault="00F46260" w:rsidP="00F46260">
      <w:pPr>
        <w:spacing w:after="0" w:line="240" w:lineRule="auto"/>
        <w:rPr>
          <w:rFonts w:ascii="Arial" w:eastAsia="Times New Roman" w:hAnsi="Arial" w:cs="Arial"/>
          <w:sz w:val="20"/>
          <w:szCs w:val="20"/>
          <w:lang w:eastAsia="en-AU"/>
        </w:rPr>
      </w:pPr>
    </w:p>
    <w:p w14:paraId="4703367B" w14:textId="77777777" w:rsidR="00F46260" w:rsidRPr="00F46260" w:rsidRDefault="00F46260" w:rsidP="00F46260">
      <w:pPr>
        <w:spacing w:after="120" w:line="240" w:lineRule="atLeast"/>
        <w:rPr>
          <w:rFonts w:ascii="Arial" w:eastAsia="Times New Roman" w:hAnsi="Arial" w:cs="Arial"/>
          <w:sz w:val="20"/>
          <w:szCs w:val="20"/>
          <w:lang w:eastAsia="en-AU"/>
        </w:rPr>
      </w:pPr>
      <w:r w:rsidRPr="00F46260">
        <w:rPr>
          <w:rFonts w:ascii="Arial" w:eastAsia="Times New Roman" w:hAnsi="Arial" w:cs="Arial"/>
          <w:sz w:val="20"/>
          <w:szCs w:val="20"/>
          <w:lang w:eastAsia="en-AU"/>
        </w:rPr>
        <w:t>The number of executive officers, other than Ministers and Accountable Officers, and their total remuneration during the reporting period are shown in the table below. Total annualised employee equivalents provide a measure of full time equivalent executive officers over the reporting period.</w:t>
      </w:r>
    </w:p>
    <w:p w14:paraId="614DE027" w14:textId="77777777" w:rsidR="00F46260" w:rsidRPr="00F46260" w:rsidRDefault="00F46260" w:rsidP="00F46260">
      <w:pPr>
        <w:spacing w:after="120" w:line="240" w:lineRule="atLeast"/>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Remuneration comprises employee expenses in all forms of consideration paid, payable or provided by the entity or on behalf of the entity, in exchange for services rendered, and is disclosed in the following categories: </w:t>
      </w:r>
    </w:p>
    <w:p w14:paraId="039D1F59" w14:textId="77777777" w:rsidR="00F46260" w:rsidRPr="00F46260" w:rsidRDefault="00F46260" w:rsidP="00F8706A">
      <w:pPr>
        <w:numPr>
          <w:ilvl w:val="0"/>
          <w:numId w:val="36"/>
        </w:numPr>
        <w:spacing w:after="120" w:line="240" w:lineRule="atLeast"/>
        <w:contextualSpacing/>
        <w:rPr>
          <w:rFonts w:ascii="Arial" w:eastAsia="Times New Roman" w:hAnsi="Arial" w:cs="Arial"/>
          <w:i/>
          <w:sz w:val="20"/>
          <w:szCs w:val="20"/>
          <w:lang w:eastAsia="en-AU"/>
        </w:rPr>
      </w:pPr>
      <w:r w:rsidRPr="00F46260">
        <w:rPr>
          <w:rFonts w:ascii="Arial" w:eastAsia="Times New Roman" w:hAnsi="Arial" w:cs="Arial"/>
          <w:sz w:val="20"/>
          <w:szCs w:val="20"/>
          <w:lang w:eastAsia="en-AU"/>
        </w:rPr>
        <w:t>short-term employee expenses include amounts such as wages, salaries, annual leave or sick leave that are usually paid or payable on a regular basis, as well as non-monetary benefits such as allowances and free or subsidised goods or services;</w:t>
      </w:r>
    </w:p>
    <w:p w14:paraId="3DC85161" w14:textId="77777777" w:rsidR="00F46260" w:rsidRPr="00F46260" w:rsidRDefault="00F46260" w:rsidP="00F8706A">
      <w:pPr>
        <w:numPr>
          <w:ilvl w:val="0"/>
          <w:numId w:val="36"/>
        </w:numPr>
        <w:spacing w:after="120" w:line="240" w:lineRule="atLeast"/>
        <w:contextualSpacing/>
        <w:rPr>
          <w:rFonts w:ascii="Arial" w:eastAsia="Times New Roman" w:hAnsi="Arial" w:cs="Arial"/>
          <w:i/>
          <w:sz w:val="20"/>
          <w:szCs w:val="20"/>
          <w:lang w:eastAsia="en-AU"/>
        </w:rPr>
      </w:pPr>
      <w:r w:rsidRPr="00F46260">
        <w:rPr>
          <w:rFonts w:ascii="Arial" w:eastAsia="Times New Roman" w:hAnsi="Arial" w:cs="Arial"/>
          <w:sz w:val="20"/>
          <w:szCs w:val="20"/>
          <w:lang w:eastAsia="en-AU"/>
        </w:rPr>
        <w:t>post-employment benefits include employer contributions for members of both defined benefit and defined contribution superannuation plans;</w:t>
      </w:r>
    </w:p>
    <w:p w14:paraId="48E6CAFB" w14:textId="77777777" w:rsidR="00F46260" w:rsidRPr="00F46260" w:rsidRDefault="00F46260" w:rsidP="00F8706A">
      <w:pPr>
        <w:numPr>
          <w:ilvl w:val="0"/>
          <w:numId w:val="36"/>
        </w:numPr>
        <w:spacing w:after="120" w:line="240" w:lineRule="atLeast"/>
        <w:contextualSpacing/>
        <w:rPr>
          <w:rFonts w:ascii="Arial" w:eastAsia="Times New Roman" w:hAnsi="Arial" w:cs="Arial"/>
          <w:sz w:val="20"/>
          <w:szCs w:val="20"/>
          <w:lang w:eastAsia="en-AU"/>
        </w:rPr>
      </w:pPr>
      <w:r w:rsidRPr="00F46260">
        <w:rPr>
          <w:rFonts w:ascii="Arial" w:eastAsia="Times New Roman" w:hAnsi="Arial" w:cs="Arial"/>
          <w:sz w:val="20"/>
          <w:szCs w:val="20"/>
          <w:lang w:eastAsia="en-AU"/>
        </w:rPr>
        <w:t>other long-term benefits include long service leave, other long-service benefit or deferred compensation; and</w:t>
      </w:r>
    </w:p>
    <w:p w14:paraId="5905E9BB" w14:textId="77777777" w:rsidR="00F46260" w:rsidRPr="00F46260" w:rsidRDefault="00F46260" w:rsidP="00F8706A">
      <w:pPr>
        <w:numPr>
          <w:ilvl w:val="0"/>
          <w:numId w:val="36"/>
        </w:numPr>
        <w:spacing w:after="120" w:line="240" w:lineRule="atLeast"/>
        <w:contextualSpacing/>
        <w:rPr>
          <w:rFonts w:ascii="Times New Roman" w:eastAsia="Times New Roman" w:hAnsi="Times New Roman"/>
          <w:sz w:val="20"/>
          <w:szCs w:val="20"/>
          <w:lang w:eastAsia="en-AU"/>
        </w:rPr>
      </w:pPr>
      <w:r w:rsidRPr="00F46260">
        <w:rPr>
          <w:rFonts w:ascii="Arial" w:eastAsia="Times New Roman" w:hAnsi="Arial" w:cs="Arial"/>
          <w:sz w:val="20"/>
          <w:szCs w:val="20"/>
          <w:lang w:eastAsia="en-AU"/>
        </w:rPr>
        <w:t>termination benefits include termination of employment payments, such as severance packages.</w:t>
      </w:r>
    </w:p>
    <w:p w14:paraId="447BA5F8" w14:textId="77777777" w:rsidR="00D1524E" w:rsidRDefault="00D1524E" w:rsidP="00F46260">
      <w:pPr>
        <w:spacing w:after="0" w:line="240" w:lineRule="auto"/>
        <w:rPr>
          <w:rFonts w:ascii="Arial" w:eastAsia="Times New Roman" w:hAnsi="Arial"/>
          <w:b/>
          <w:sz w:val="20"/>
          <w:szCs w:val="20"/>
          <w:lang w:eastAsia="en-AU"/>
        </w:rPr>
      </w:pPr>
    </w:p>
    <w:p w14:paraId="52E49003" w14:textId="2197023F" w:rsidR="00F46260" w:rsidRDefault="00F46260" w:rsidP="00F46260">
      <w:pPr>
        <w:spacing w:after="0" w:line="240" w:lineRule="auto"/>
        <w:rPr>
          <w:rFonts w:ascii="Arial" w:eastAsia="Times New Roman" w:hAnsi="Arial"/>
          <w:b/>
          <w:sz w:val="20"/>
          <w:szCs w:val="20"/>
          <w:lang w:eastAsia="en-AU"/>
        </w:rPr>
      </w:pPr>
      <w:r w:rsidRPr="00F46260">
        <w:rPr>
          <w:rFonts w:ascii="Arial" w:eastAsia="Times New Roman" w:hAnsi="Arial"/>
          <w:b/>
          <w:sz w:val="20"/>
          <w:szCs w:val="20"/>
          <w:lang w:eastAsia="en-AU"/>
        </w:rPr>
        <w:t>Remuneration of executive officers</w:t>
      </w:r>
    </w:p>
    <w:p w14:paraId="393DDE83" w14:textId="77777777" w:rsidR="00D1524E" w:rsidRPr="00F46260" w:rsidRDefault="00D1524E" w:rsidP="00F46260">
      <w:pPr>
        <w:spacing w:after="0" w:line="240" w:lineRule="auto"/>
        <w:rPr>
          <w:rFonts w:ascii="Arial" w:eastAsia="Times New Roman" w:hAnsi="Arial" w:cs="Arial"/>
          <w:b/>
          <w:sz w:val="20"/>
          <w:szCs w:val="20"/>
          <w:lang w:eastAsia="en-AU"/>
        </w:rPr>
      </w:pPr>
    </w:p>
    <w:tbl>
      <w:tblPr>
        <w:tblW w:w="5000" w:type="pct"/>
        <w:tblInd w:w="-43" w:type="dxa"/>
        <w:tblCellMar>
          <w:left w:w="43" w:type="dxa"/>
          <w:right w:w="43" w:type="dxa"/>
        </w:tblCellMar>
        <w:tblLook w:val="0000" w:firstRow="0" w:lastRow="0" w:firstColumn="0" w:lastColumn="0" w:noHBand="0" w:noVBand="0"/>
      </w:tblPr>
      <w:tblGrid>
        <w:gridCol w:w="6829"/>
        <w:gridCol w:w="1263"/>
        <w:gridCol w:w="1263"/>
      </w:tblGrid>
      <w:tr w:rsidR="00F46260" w:rsidRPr="00F46260" w14:paraId="1E0BD8F9" w14:textId="77777777" w:rsidTr="00D1524E">
        <w:trPr>
          <w:cantSplit/>
          <w:trHeight w:val="266"/>
        </w:trPr>
        <w:tc>
          <w:tcPr>
            <w:tcW w:w="3650" w:type="pct"/>
            <w:shd w:val="pct50" w:color="auto" w:fill="auto"/>
            <w:vAlign w:val="bottom"/>
          </w:tcPr>
          <w:p w14:paraId="5CEB7C46" w14:textId="77777777" w:rsidR="00F46260" w:rsidRPr="00F46260" w:rsidRDefault="00F46260" w:rsidP="00F46260">
            <w:pPr>
              <w:spacing w:after="0" w:line="240" w:lineRule="auto"/>
              <w:rPr>
                <w:rFonts w:ascii="Arial" w:eastAsia="Tahoma" w:hAnsi="Arial" w:cs="Arial"/>
                <w:iCs/>
                <w:noProof/>
                <w:color w:val="FFFFFF"/>
                <w:sz w:val="20"/>
                <w:szCs w:val="20"/>
                <w:lang w:eastAsia="en-AU"/>
              </w:rPr>
            </w:pPr>
          </w:p>
        </w:tc>
        <w:tc>
          <w:tcPr>
            <w:tcW w:w="675" w:type="pct"/>
            <w:shd w:val="pct50" w:color="auto" w:fill="auto"/>
          </w:tcPr>
          <w:p w14:paraId="510B76C0" w14:textId="77777777" w:rsidR="00F46260" w:rsidRPr="00F46260" w:rsidRDefault="00F46260" w:rsidP="00F46260">
            <w:pPr>
              <w:spacing w:after="0" w:line="240" w:lineRule="auto"/>
              <w:jc w:val="center"/>
              <w:rPr>
                <w:rFonts w:ascii="Arial" w:eastAsia="Times New Roman" w:hAnsi="Arial" w:cs="Arial"/>
                <w:b/>
                <w:iCs/>
                <w:noProof/>
                <w:color w:val="FFFFFF"/>
                <w:sz w:val="20"/>
                <w:szCs w:val="20"/>
                <w:lang w:eastAsia="en-AU"/>
              </w:rPr>
            </w:pPr>
            <w:r w:rsidRPr="00F46260">
              <w:rPr>
                <w:rFonts w:ascii="Arial" w:eastAsia="Times New Roman" w:hAnsi="Arial" w:cs="Arial"/>
                <w:b/>
                <w:iCs/>
                <w:noProof/>
                <w:color w:val="FFFFFF"/>
                <w:sz w:val="20"/>
                <w:szCs w:val="20"/>
                <w:lang w:eastAsia="en-AU"/>
              </w:rPr>
              <w:t>2021</w:t>
            </w:r>
          </w:p>
          <w:p w14:paraId="3FD77E1D" w14:textId="77777777" w:rsidR="00F46260" w:rsidRPr="00F46260" w:rsidRDefault="00F46260" w:rsidP="00F46260">
            <w:pPr>
              <w:spacing w:after="0" w:line="240" w:lineRule="auto"/>
              <w:jc w:val="center"/>
              <w:rPr>
                <w:rFonts w:ascii="Arial" w:eastAsia="Tahoma" w:hAnsi="Arial" w:cs="Arial"/>
                <w:iCs/>
                <w:color w:val="FFFFFF"/>
                <w:sz w:val="20"/>
                <w:szCs w:val="20"/>
                <w:lang w:eastAsia="en-AU"/>
              </w:rPr>
            </w:pPr>
            <w:r w:rsidRPr="00F46260">
              <w:rPr>
                <w:rFonts w:ascii="Arial" w:eastAsia="Tahoma" w:hAnsi="Arial" w:cs="Arial"/>
                <w:b/>
                <w:iCs/>
                <w:color w:val="FFFFFF"/>
                <w:sz w:val="20"/>
                <w:szCs w:val="20"/>
                <w:lang w:eastAsia="en-AU"/>
              </w:rPr>
              <w:t>$</w:t>
            </w:r>
          </w:p>
        </w:tc>
        <w:tc>
          <w:tcPr>
            <w:tcW w:w="675" w:type="pct"/>
            <w:shd w:val="pct50" w:color="auto" w:fill="auto"/>
          </w:tcPr>
          <w:p w14:paraId="490DFA9F" w14:textId="77777777" w:rsidR="00F46260" w:rsidRPr="00F46260" w:rsidRDefault="00F46260" w:rsidP="00F46260">
            <w:pPr>
              <w:spacing w:after="0" w:line="240" w:lineRule="auto"/>
              <w:jc w:val="center"/>
              <w:rPr>
                <w:rFonts w:ascii="Arial" w:eastAsia="Times New Roman" w:hAnsi="Arial" w:cs="Arial"/>
                <w:b/>
                <w:iCs/>
                <w:noProof/>
                <w:color w:val="FFFFFF"/>
                <w:sz w:val="20"/>
                <w:szCs w:val="20"/>
                <w:lang w:eastAsia="en-AU"/>
              </w:rPr>
            </w:pPr>
            <w:r w:rsidRPr="00F46260">
              <w:rPr>
                <w:rFonts w:ascii="Arial" w:eastAsia="Times New Roman" w:hAnsi="Arial" w:cs="Arial"/>
                <w:b/>
                <w:iCs/>
                <w:noProof/>
                <w:color w:val="FFFFFF"/>
                <w:sz w:val="20"/>
                <w:szCs w:val="20"/>
                <w:lang w:eastAsia="en-AU"/>
              </w:rPr>
              <w:t>2020</w:t>
            </w:r>
          </w:p>
          <w:p w14:paraId="385488AB" w14:textId="77777777" w:rsidR="00F46260" w:rsidRPr="00F46260" w:rsidRDefault="00F46260" w:rsidP="00F46260">
            <w:pPr>
              <w:spacing w:after="0" w:line="240" w:lineRule="auto"/>
              <w:jc w:val="center"/>
              <w:rPr>
                <w:rFonts w:ascii="Arial" w:eastAsia="Tahoma" w:hAnsi="Arial" w:cs="Arial"/>
                <w:iCs/>
                <w:color w:val="FFFFFF"/>
                <w:sz w:val="20"/>
                <w:szCs w:val="20"/>
                <w:lang w:eastAsia="en-AU"/>
              </w:rPr>
            </w:pPr>
            <w:r w:rsidRPr="00F46260">
              <w:rPr>
                <w:rFonts w:ascii="Arial" w:eastAsia="Tahoma" w:hAnsi="Arial" w:cs="Arial"/>
                <w:b/>
                <w:iCs/>
                <w:color w:val="FFFFFF"/>
                <w:sz w:val="20"/>
                <w:szCs w:val="20"/>
                <w:lang w:eastAsia="en-AU"/>
              </w:rPr>
              <w:t>$</w:t>
            </w:r>
          </w:p>
        </w:tc>
      </w:tr>
      <w:tr w:rsidR="00F46260" w:rsidRPr="00F46260" w14:paraId="1E4CCE42" w14:textId="77777777" w:rsidTr="00D1524E">
        <w:trPr>
          <w:cantSplit/>
          <w:trHeight w:val="253"/>
        </w:trPr>
        <w:tc>
          <w:tcPr>
            <w:tcW w:w="3650" w:type="pct"/>
            <w:vAlign w:val="bottom"/>
          </w:tcPr>
          <w:p w14:paraId="478F7B8F" w14:textId="77777777" w:rsidR="00F46260" w:rsidRPr="00F46260" w:rsidRDefault="00F46260" w:rsidP="00F46260">
            <w:pPr>
              <w:spacing w:before="100" w:beforeAutospacing="1" w:after="100" w:afterAutospacing="1" w:line="240" w:lineRule="auto"/>
              <w:rPr>
                <w:rFonts w:ascii="Arial" w:eastAsia="Calibri" w:hAnsi="Arial" w:cs="Arial"/>
                <w:sz w:val="20"/>
                <w:szCs w:val="20"/>
              </w:rPr>
            </w:pPr>
            <w:r w:rsidRPr="00F46260">
              <w:rPr>
                <w:rFonts w:ascii="Arial" w:eastAsia="Calibri" w:hAnsi="Arial" w:cs="Arial"/>
                <w:sz w:val="20"/>
                <w:szCs w:val="20"/>
              </w:rPr>
              <w:t>Short-term employee benefits</w:t>
            </w:r>
          </w:p>
        </w:tc>
        <w:tc>
          <w:tcPr>
            <w:tcW w:w="675" w:type="pct"/>
            <w:shd w:val="pct15" w:color="auto" w:fill="auto"/>
          </w:tcPr>
          <w:p w14:paraId="6683F224" w14:textId="77777777" w:rsidR="00F46260" w:rsidRPr="00F46260" w:rsidRDefault="00F46260" w:rsidP="00F46260">
            <w:pPr>
              <w:spacing w:before="100" w:beforeAutospacing="1" w:after="100" w:afterAutospacing="1"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1,270,943</w:t>
            </w:r>
          </w:p>
        </w:tc>
        <w:tc>
          <w:tcPr>
            <w:tcW w:w="675" w:type="pct"/>
            <w:shd w:val="clear" w:color="auto" w:fill="auto"/>
          </w:tcPr>
          <w:p w14:paraId="6EED3D12" w14:textId="77777777" w:rsidR="00F46260" w:rsidRPr="00F46260" w:rsidRDefault="00F46260" w:rsidP="00F46260">
            <w:pPr>
              <w:spacing w:before="100" w:beforeAutospacing="1" w:after="100" w:afterAutospacing="1"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1,189,156</w:t>
            </w:r>
          </w:p>
        </w:tc>
      </w:tr>
      <w:tr w:rsidR="00F46260" w:rsidRPr="00F46260" w14:paraId="4A7208AC" w14:textId="77777777" w:rsidTr="00D1524E">
        <w:trPr>
          <w:cantSplit/>
          <w:trHeight w:val="266"/>
        </w:trPr>
        <w:tc>
          <w:tcPr>
            <w:tcW w:w="3650" w:type="pct"/>
            <w:vAlign w:val="bottom"/>
          </w:tcPr>
          <w:p w14:paraId="0391710E" w14:textId="77777777" w:rsidR="00F46260" w:rsidRPr="00F46260" w:rsidRDefault="00F46260" w:rsidP="00F46260">
            <w:pPr>
              <w:spacing w:before="100" w:beforeAutospacing="1" w:after="100" w:afterAutospacing="1" w:line="240" w:lineRule="auto"/>
              <w:rPr>
                <w:rFonts w:ascii="Arial" w:eastAsia="Calibri" w:hAnsi="Arial" w:cs="Arial"/>
                <w:sz w:val="20"/>
                <w:szCs w:val="20"/>
              </w:rPr>
            </w:pPr>
            <w:r w:rsidRPr="00F46260">
              <w:rPr>
                <w:rFonts w:ascii="Arial" w:eastAsia="Calibri" w:hAnsi="Arial" w:cs="Arial"/>
                <w:sz w:val="20"/>
                <w:szCs w:val="20"/>
              </w:rPr>
              <w:t xml:space="preserve">Post-employment benefits </w:t>
            </w:r>
          </w:p>
        </w:tc>
        <w:tc>
          <w:tcPr>
            <w:tcW w:w="675" w:type="pct"/>
            <w:shd w:val="pct15" w:color="auto" w:fill="auto"/>
          </w:tcPr>
          <w:p w14:paraId="7DAAC69A" w14:textId="77777777" w:rsidR="00F46260" w:rsidRPr="00F46260" w:rsidRDefault="00F46260" w:rsidP="00F46260">
            <w:pPr>
              <w:spacing w:before="100" w:beforeAutospacing="1" w:after="100" w:afterAutospacing="1"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140,483</w:t>
            </w:r>
          </w:p>
        </w:tc>
        <w:tc>
          <w:tcPr>
            <w:tcW w:w="675" w:type="pct"/>
            <w:shd w:val="clear" w:color="auto" w:fill="auto"/>
          </w:tcPr>
          <w:p w14:paraId="1B91FBB5" w14:textId="77777777" w:rsidR="00F46260" w:rsidRPr="00F46260" w:rsidRDefault="00F46260" w:rsidP="00F46260">
            <w:pPr>
              <w:spacing w:before="100" w:beforeAutospacing="1" w:after="100" w:afterAutospacing="1"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110,589</w:t>
            </w:r>
          </w:p>
        </w:tc>
      </w:tr>
      <w:tr w:rsidR="00F46260" w:rsidRPr="00F46260" w14:paraId="6D363799" w14:textId="77777777" w:rsidTr="00D1524E">
        <w:trPr>
          <w:cantSplit/>
          <w:trHeight w:val="253"/>
        </w:trPr>
        <w:tc>
          <w:tcPr>
            <w:tcW w:w="3650" w:type="pct"/>
            <w:vAlign w:val="bottom"/>
          </w:tcPr>
          <w:p w14:paraId="13C397FD" w14:textId="77777777" w:rsidR="00F46260" w:rsidRPr="00F46260" w:rsidRDefault="00F46260" w:rsidP="00F46260">
            <w:pPr>
              <w:spacing w:before="100" w:beforeAutospacing="1" w:after="100" w:afterAutospacing="1" w:line="240" w:lineRule="auto"/>
              <w:rPr>
                <w:rFonts w:ascii="Arial" w:eastAsia="Calibri" w:hAnsi="Arial" w:cs="Arial"/>
                <w:sz w:val="20"/>
                <w:szCs w:val="20"/>
              </w:rPr>
            </w:pPr>
            <w:r w:rsidRPr="00F46260">
              <w:rPr>
                <w:rFonts w:ascii="Arial" w:eastAsia="Calibri" w:hAnsi="Arial" w:cs="Arial"/>
                <w:sz w:val="20"/>
                <w:szCs w:val="20"/>
              </w:rPr>
              <w:t xml:space="preserve">Other long-term benefits </w:t>
            </w:r>
          </w:p>
        </w:tc>
        <w:tc>
          <w:tcPr>
            <w:tcW w:w="675" w:type="pct"/>
            <w:shd w:val="pct15" w:color="auto" w:fill="auto"/>
          </w:tcPr>
          <w:p w14:paraId="51AA6ECB" w14:textId="77777777" w:rsidR="00F46260" w:rsidRPr="00F46260" w:rsidRDefault="00F46260" w:rsidP="00F46260">
            <w:pPr>
              <w:spacing w:before="100" w:beforeAutospacing="1" w:after="100" w:afterAutospacing="1"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(6,421)</w:t>
            </w:r>
          </w:p>
        </w:tc>
        <w:tc>
          <w:tcPr>
            <w:tcW w:w="675" w:type="pct"/>
            <w:shd w:val="clear" w:color="auto" w:fill="auto"/>
          </w:tcPr>
          <w:p w14:paraId="12695032" w14:textId="77777777" w:rsidR="00F46260" w:rsidRPr="00F46260" w:rsidRDefault="00F46260" w:rsidP="00F46260">
            <w:pPr>
              <w:spacing w:before="100" w:beforeAutospacing="1" w:after="100" w:afterAutospacing="1"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(60,328)</w:t>
            </w:r>
          </w:p>
        </w:tc>
      </w:tr>
      <w:tr w:rsidR="00F46260" w:rsidRPr="00F46260" w14:paraId="0C582626" w14:textId="77777777" w:rsidTr="00D1524E">
        <w:trPr>
          <w:cantSplit/>
          <w:trHeight w:val="253"/>
        </w:trPr>
        <w:tc>
          <w:tcPr>
            <w:tcW w:w="3650" w:type="pct"/>
            <w:tcBorders>
              <w:top w:val="single" w:sz="2" w:space="0" w:color="auto"/>
              <w:bottom w:val="single" w:sz="2" w:space="0" w:color="auto"/>
            </w:tcBorders>
            <w:vAlign w:val="bottom"/>
          </w:tcPr>
          <w:p w14:paraId="53FFD394" w14:textId="77777777" w:rsidR="00F46260" w:rsidRPr="00F46260" w:rsidRDefault="00F46260" w:rsidP="00F46260">
            <w:pPr>
              <w:spacing w:before="100" w:beforeAutospacing="1" w:after="100" w:afterAutospacing="1" w:line="240" w:lineRule="auto"/>
              <w:rPr>
                <w:rFonts w:ascii="Arial" w:eastAsia="Calibri" w:hAnsi="Arial" w:cs="Arial"/>
                <w:b/>
                <w:sz w:val="20"/>
                <w:szCs w:val="20"/>
              </w:rPr>
            </w:pPr>
            <w:r w:rsidRPr="00F46260">
              <w:rPr>
                <w:rFonts w:ascii="Arial" w:eastAsia="Calibri" w:hAnsi="Arial" w:cs="Arial"/>
                <w:b/>
                <w:sz w:val="20"/>
                <w:szCs w:val="20"/>
              </w:rPr>
              <w:t xml:space="preserve">Total remuneration </w:t>
            </w:r>
          </w:p>
        </w:tc>
        <w:tc>
          <w:tcPr>
            <w:tcW w:w="675" w:type="pct"/>
            <w:tcBorders>
              <w:top w:val="single" w:sz="2" w:space="0" w:color="auto"/>
              <w:bottom w:val="single" w:sz="2" w:space="0" w:color="auto"/>
            </w:tcBorders>
            <w:shd w:val="pct15" w:color="auto" w:fill="auto"/>
          </w:tcPr>
          <w:p w14:paraId="1864BD4B"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1,405,005</w:t>
            </w:r>
          </w:p>
        </w:tc>
        <w:tc>
          <w:tcPr>
            <w:tcW w:w="675" w:type="pct"/>
            <w:tcBorders>
              <w:top w:val="single" w:sz="2" w:space="0" w:color="auto"/>
              <w:bottom w:val="single" w:sz="2" w:space="0" w:color="auto"/>
            </w:tcBorders>
            <w:shd w:val="clear" w:color="auto" w:fill="auto"/>
          </w:tcPr>
          <w:p w14:paraId="6BBEA8A1"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1,239,416</w:t>
            </w:r>
          </w:p>
        </w:tc>
      </w:tr>
      <w:tr w:rsidR="00F46260" w:rsidRPr="00F46260" w14:paraId="553C73DC" w14:textId="77777777" w:rsidTr="00D1524E">
        <w:trPr>
          <w:cantSplit/>
          <w:trHeight w:val="266"/>
        </w:trPr>
        <w:tc>
          <w:tcPr>
            <w:tcW w:w="3650" w:type="pct"/>
            <w:tcBorders>
              <w:top w:val="single" w:sz="2" w:space="0" w:color="auto"/>
              <w:bottom w:val="single" w:sz="2" w:space="0" w:color="auto"/>
            </w:tcBorders>
            <w:vAlign w:val="bottom"/>
          </w:tcPr>
          <w:p w14:paraId="2CBC2472" w14:textId="77777777" w:rsidR="00F46260" w:rsidRPr="00F46260" w:rsidRDefault="00F46260" w:rsidP="00F46260">
            <w:pPr>
              <w:spacing w:before="100" w:beforeAutospacing="1" w:after="100" w:afterAutospacing="1" w:line="240" w:lineRule="auto"/>
              <w:rPr>
                <w:rFonts w:ascii="Arial" w:eastAsia="Calibri" w:hAnsi="Arial" w:cs="Arial"/>
                <w:b/>
                <w:sz w:val="20"/>
                <w:szCs w:val="20"/>
              </w:rPr>
            </w:pPr>
            <w:r w:rsidRPr="00F46260">
              <w:rPr>
                <w:rFonts w:ascii="Arial" w:eastAsia="Calibri" w:hAnsi="Arial" w:cs="Arial"/>
                <w:b/>
                <w:sz w:val="20"/>
                <w:szCs w:val="20"/>
              </w:rPr>
              <w:t>Total number of executives</w:t>
            </w:r>
          </w:p>
        </w:tc>
        <w:tc>
          <w:tcPr>
            <w:tcW w:w="675" w:type="pct"/>
            <w:tcBorders>
              <w:top w:val="single" w:sz="2" w:space="0" w:color="auto"/>
              <w:bottom w:val="single" w:sz="2" w:space="0" w:color="auto"/>
            </w:tcBorders>
            <w:shd w:val="pct15" w:color="auto" w:fill="auto"/>
          </w:tcPr>
          <w:p w14:paraId="48CEFC6F"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6</w:t>
            </w:r>
          </w:p>
        </w:tc>
        <w:tc>
          <w:tcPr>
            <w:tcW w:w="675" w:type="pct"/>
            <w:tcBorders>
              <w:top w:val="single" w:sz="2" w:space="0" w:color="auto"/>
              <w:bottom w:val="single" w:sz="2" w:space="0" w:color="auto"/>
            </w:tcBorders>
            <w:shd w:val="clear" w:color="auto" w:fill="auto"/>
          </w:tcPr>
          <w:p w14:paraId="47B7120E"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7</w:t>
            </w:r>
          </w:p>
        </w:tc>
      </w:tr>
      <w:tr w:rsidR="00F46260" w:rsidRPr="00F46260" w14:paraId="3713DB8A" w14:textId="77777777" w:rsidTr="00D1524E">
        <w:trPr>
          <w:cantSplit/>
          <w:trHeight w:val="266"/>
        </w:trPr>
        <w:tc>
          <w:tcPr>
            <w:tcW w:w="3650" w:type="pct"/>
            <w:tcBorders>
              <w:top w:val="single" w:sz="2" w:space="0" w:color="auto"/>
              <w:bottom w:val="single" w:sz="12" w:space="0" w:color="auto"/>
            </w:tcBorders>
            <w:vAlign w:val="bottom"/>
          </w:tcPr>
          <w:p w14:paraId="0B35916C" w14:textId="77777777" w:rsidR="00F46260" w:rsidRPr="00F46260" w:rsidRDefault="00F46260" w:rsidP="00F46260">
            <w:pPr>
              <w:spacing w:before="100" w:beforeAutospacing="1" w:after="100" w:afterAutospacing="1" w:line="240" w:lineRule="auto"/>
              <w:rPr>
                <w:rFonts w:ascii="Arial" w:eastAsia="Calibri" w:hAnsi="Arial" w:cs="Arial"/>
                <w:b/>
                <w:sz w:val="20"/>
                <w:szCs w:val="20"/>
              </w:rPr>
            </w:pPr>
            <w:r w:rsidRPr="00F46260">
              <w:rPr>
                <w:rFonts w:ascii="Arial" w:eastAsia="Calibri" w:hAnsi="Arial" w:cs="Arial"/>
                <w:b/>
                <w:sz w:val="20"/>
                <w:szCs w:val="20"/>
              </w:rPr>
              <w:t xml:space="preserve">Total annualised employee equivalents </w:t>
            </w:r>
            <w:r w:rsidRPr="00F46260">
              <w:rPr>
                <w:rFonts w:ascii="Arial" w:eastAsia="Calibri" w:hAnsi="Arial" w:cs="Arial"/>
                <w:b/>
                <w:sz w:val="20"/>
                <w:szCs w:val="20"/>
                <w:vertAlign w:val="superscript"/>
              </w:rPr>
              <w:t>(a)</w:t>
            </w:r>
          </w:p>
        </w:tc>
        <w:tc>
          <w:tcPr>
            <w:tcW w:w="675" w:type="pct"/>
            <w:tcBorders>
              <w:top w:val="single" w:sz="2" w:space="0" w:color="auto"/>
              <w:bottom w:val="single" w:sz="12" w:space="0" w:color="auto"/>
            </w:tcBorders>
            <w:shd w:val="pct15" w:color="auto" w:fill="auto"/>
          </w:tcPr>
          <w:p w14:paraId="21188F30"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4.81</w:t>
            </w:r>
          </w:p>
        </w:tc>
        <w:tc>
          <w:tcPr>
            <w:tcW w:w="675" w:type="pct"/>
            <w:tcBorders>
              <w:top w:val="single" w:sz="2" w:space="0" w:color="auto"/>
              <w:bottom w:val="single" w:sz="12" w:space="0" w:color="auto"/>
            </w:tcBorders>
            <w:shd w:val="clear" w:color="auto" w:fill="auto"/>
          </w:tcPr>
          <w:p w14:paraId="4639EBB2" w14:textId="77777777" w:rsidR="00F46260" w:rsidRPr="00F46260" w:rsidRDefault="00F46260" w:rsidP="00F46260">
            <w:pPr>
              <w:spacing w:before="100" w:beforeAutospacing="1" w:after="100" w:afterAutospacing="1" w:line="240" w:lineRule="auto"/>
              <w:jc w:val="right"/>
              <w:rPr>
                <w:rFonts w:ascii="Arial" w:eastAsia="Times New Roman" w:hAnsi="Arial" w:cs="Arial"/>
                <w:b/>
                <w:sz w:val="20"/>
                <w:szCs w:val="20"/>
                <w:lang w:eastAsia="en-AU"/>
              </w:rPr>
            </w:pPr>
            <w:r w:rsidRPr="00F46260">
              <w:rPr>
                <w:rFonts w:ascii="Arial" w:eastAsia="Times New Roman" w:hAnsi="Arial" w:cs="Arial"/>
                <w:b/>
                <w:sz w:val="20"/>
                <w:szCs w:val="20"/>
                <w:lang w:eastAsia="en-AU"/>
              </w:rPr>
              <w:t>6.12</w:t>
            </w:r>
          </w:p>
        </w:tc>
      </w:tr>
    </w:tbl>
    <w:p w14:paraId="0982A0AE" w14:textId="77777777" w:rsidR="00D1524E" w:rsidRDefault="00D1524E" w:rsidP="00F46260">
      <w:pPr>
        <w:autoSpaceDE w:val="0"/>
        <w:autoSpaceDN w:val="0"/>
        <w:adjustRightInd w:val="0"/>
        <w:spacing w:after="0" w:line="240" w:lineRule="auto"/>
        <w:rPr>
          <w:rFonts w:ascii="Arial" w:eastAsia="Times New Roman" w:hAnsi="Arial" w:cs="Arial"/>
          <w:bCs/>
          <w:i/>
          <w:sz w:val="18"/>
          <w:szCs w:val="20"/>
          <w:lang w:eastAsia="en-AU"/>
        </w:rPr>
      </w:pPr>
    </w:p>
    <w:p w14:paraId="18DF6707" w14:textId="158E2734" w:rsidR="00F46260" w:rsidRPr="00F46260" w:rsidRDefault="00F46260" w:rsidP="00F46260">
      <w:pPr>
        <w:autoSpaceDE w:val="0"/>
        <w:autoSpaceDN w:val="0"/>
        <w:adjustRightInd w:val="0"/>
        <w:spacing w:after="0" w:line="240" w:lineRule="auto"/>
        <w:rPr>
          <w:rFonts w:ascii="Arial" w:eastAsia="Times New Roman" w:hAnsi="Arial" w:cs="Arial"/>
          <w:bCs/>
          <w:i/>
          <w:sz w:val="18"/>
          <w:szCs w:val="20"/>
          <w:lang w:eastAsia="en-AU"/>
        </w:rPr>
      </w:pPr>
      <w:r w:rsidRPr="00F46260">
        <w:rPr>
          <w:rFonts w:ascii="Arial" w:eastAsia="Times New Roman" w:hAnsi="Arial" w:cs="Arial"/>
          <w:bCs/>
          <w:i/>
          <w:sz w:val="18"/>
          <w:szCs w:val="20"/>
          <w:lang w:eastAsia="en-AU"/>
        </w:rPr>
        <w:t>Notes:</w:t>
      </w:r>
    </w:p>
    <w:p w14:paraId="4D802D0B" w14:textId="77777777" w:rsidR="00F46260" w:rsidRPr="00F46260" w:rsidRDefault="00F46260" w:rsidP="00F46260">
      <w:pPr>
        <w:autoSpaceDE w:val="0"/>
        <w:autoSpaceDN w:val="0"/>
        <w:adjustRightInd w:val="0"/>
        <w:spacing w:after="0" w:line="240" w:lineRule="auto"/>
        <w:ind w:left="284" w:hanging="284"/>
        <w:rPr>
          <w:rFonts w:ascii="Times New Roman" w:eastAsia="Times New Roman" w:hAnsi="Times New Roman"/>
          <w:sz w:val="20"/>
          <w:szCs w:val="20"/>
          <w:lang w:eastAsia="en-AU"/>
        </w:rPr>
      </w:pPr>
      <w:r w:rsidRPr="00F46260">
        <w:rPr>
          <w:rFonts w:ascii="Arial" w:eastAsia="Times New Roman" w:hAnsi="Arial" w:cs="Arial"/>
          <w:bCs/>
          <w:i/>
          <w:sz w:val="16"/>
          <w:szCs w:val="20"/>
          <w:lang w:eastAsia="en-AU"/>
        </w:rPr>
        <w:t>(a)  Annualised employee equivalent is based on paid working hours of 38 ordinary hours per week over the 52 weeks for the reporting period</w:t>
      </w:r>
    </w:p>
    <w:p w14:paraId="494CCCFF"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22612FDA"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0575702D"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055D27BF"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61CA831B"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31148FE8"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p>
    <w:p w14:paraId="7CE17CBD" w14:textId="77777777" w:rsidR="00F46260" w:rsidRPr="00F46260" w:rsidRDefault="00F46260" w:rsidP="00F46260">
      <w:pPr>
        <w:tabs>
          <w:tab w:val="center" w:pos="4320"/>
          <w:tab w:val="right" w:pos="8640"/>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t>8.5 Related parties</w:t>
      </w:r>
    </w:p>
    <w:p w14:paraId="717B471C" w14:textId="77777777" w:rsidR="00F46260" w:rsidRPr="00F46260" w:rsidRDefault="00F46260" w:rsidP="00D1524E">
      <w:pPr>
        <w:spacing w:after="0" w:line="240" w:lineRule="auto"/>
        <w:contextualSpacing/>
        <w:rPr>
          <w:rFonts w:ascii="Arial" w:eastAsia="Arial" w:hAnsi="Arial" w:cs="Arial"/>
          <w:sz w:val="20"/>
          <w:szCs w:val="20"/>
          <w:lang w:eastAsia="en-AU"/>
        </w:rPr>
      </w:pPr>
    </w:p>
    <w:p w14:paraId="2163DF1B" w14:textId="77777777" w:rsidR="00F46260" w:rsidRPr="00F46260" w:rsidRDefault="00F46260" w:rsidP="00D1524E">
      <w:pPr>
        <w:spacing w:after="0" w:line="240" w:lineRule="auto"/>
        <w:contextualSpacing/>
        <w:rPr>
          <w:rFonts w:ascii="Times New Roman" w:eastAsia="Times New Roman" w:hAnsi="Times New Roman"/>
          <w:sz w:val="20"/>
          <w:szCs w:val="20"/>
          <w:lang w:eastAsia="en-AU"/>
        </w:rPr>
      </w:pPr>
      <w:r w:rsidRPr="00F46260">
        <w:rPr>
          <w:rFonts w:ascii="Arial" w:eastAsia="Times New Roman" w:hAnsi="Arial" w:cs="Arial"/>
          <w:sz w:val="20"/>
          <w:szCs w:val="20"/>
          <w:lang w:eastAsia="en-AU"/>
        </w:rPr>
        <w:t>The Commission is a wholly owned and controlled entity of the State of Victoria. Related parties of the Commission include</w:t>
      </w:r>
    </w:p>
    <w:p w14:paraId="0F72D1DF" w14:textId="77777777" w:rsidR="00F46260" w:rsidRPr="00F46260" w:rsidRDefault="00F46260" w:rsidP="00F8706A">
      <w:pPr>
        <w:numPr>
          <w:ilvl w:val="0"/>
          <w:numId w:val="35"/>
        </w:numPr>
        <w:spacing w:after="0" w:line="240" w:lineRule="auto"/>
        <w:contextualSpacing/>
        <w:rPr>
          <w:rFonts w:ascii="Arial" w:eastAsia="Times New Roman" w:hAnsi="Arial" w:cs="Arial"/>
          <w:sz w:val="20"/>
          <w:szCs w:val="20"/>
          <w:lang w:eastAsia="en-AU"/>
        </w:rPr>
      </w:pPr>
      <w:r w:rsidRPr="00F46260">
        <w:rPr>
          <w:rFonts w:ascii="Arial" w:eastAsia="Times New Roman" w:hAnsi="Arial" w:cs="Arial"/>
          <w:sz w:val="20"/>
          <w:szCs w:val="20"/>
          <w:lang w:eastAsia="en-AU"/>
        </w:rPr>
        <w:t>all key management personnel and their close family members;</w:t>
      </w:r>
    </w:p>
    <w:p w14:paraId="42EA214B" w14:textId="77777777" w:rsidR="00F46260" w:rsidRPr="00F46260" w:rsidRDefault="00F46260" w:rsidP="00F8706A">
      <w:pPr>
        <w:numPr>
          <w:ilvl w:val="0"/>
          <w:numId w:val="35"/>
        </w:numPr>
        <w:spacing w:after="0" w:line="240" w:lineRule="auto"/>
        <w:contextualSpacing/>
        <w:rPr>
          <w:rFonts w:ascii="Arial" w:eastAsia="Times New Roman" w:hAnsi="Arial" w:cs="Arial"/>
          <w:sz w:val="20"/>
          <w:szCs w:val="20"/>
          <w:lang w:eastAsia="en-AU"/>
        </w:rPr>
      </w:pPr>
      <w:r w:rsidRPr="00F46260">
        <w:rPr>
          <w:rFonts w:ascii="Arial" w:eastAsia="Times New Roman" w:hAnsi="Arial" w:cs="Arial"/>
          <w:sz w:val="20"/>
          <w:szCs w:val="20"/>
          <w:lang w:eastAsia="en-AU"/>
        </w:rPr>
        <w:t>all cabinet ministers and their close family members; and</w:t>
      </w:r>
    </w:p>
    <w:p w14:paraId="2B0C0673" w14:textId="77777777" w:rsidR="00F46260" w:rsidRPr="00F46260" w:rsidRDefault="00F46260" w:rsidP="00F8706A">
      <w:pPr>
        <w:numPr>
          <w:ilvl w:val="0"/>
          <w:numId w:val="35"/>
        </w:numPr>
        <w:spacing w:after="0" w:line="240" w:lineRule="auto"/>
        <w:contextualSpacing/>
        <w:rPr>
          <w:rFonts w:ascii="Arial" w:eastAsia="Times New Roman" w:hAnsi="Arial" w:cs="Arial"/>
          <w:sz w:val="20"/>
          <w:szCs w:val="20"/>
          <w:lang w:eastAsia="en-AU"/>
        </w:rPr>
      </w:pPr>
      <w:r w:rsidRPr="00F46260">
        <w:rPr>
          <w:rFonts w:ascii="Arial" w:eastAsia="Times New Roman" w:hAnsi="Arial" w:cs="Arial"/>
          <w:sz w:val="20"/>
          <w:szCs w:val="20"/>
          <w:lang w:eastAsia="en-AU"/>
        </w:rPr>
        <w:t>all departments and public sector entities that are controlled and consolidated into the whole of State consolidated financial statements.</w:t>
      </w:r>
    </w:p>
    <w:p w14:paraId="07603935" w14:textId="77777777" w:rsidR="00F46260" w:rsidRPr="00F46260" w:rsidRDefault="00F46260" w:rsidP="00F46260">
      <w:pPr>
        <w:spacing w:after="0" w:line="240" w:lineRule="auto"/>
        <w:rPr>
          <w:rFonts w:ascii="Arial" w:eastAsia="Times New Roman" w:hAnsi="Arial" w:cs="Arial"/>
          <w:sz w:val="20"/>
          <w:szCs w:val="20"/>
          <w:lang w:eastAsia="en-AU"/>
        </w:rPr>
      </w:pPr>
    </w:p>
    <w:p w14:paraId="117F480D" w14:textId="77777777" w:rsidR="00F46260" w:rsidRPr="00F46260" w:rsidRDefault="00F46260" w:rsidP="00D1524E">
      <w:pPr>
        <w:spacing w:after="0" w:line="240" w:lineRule="auto"/>
        <w:contextualSpacing/>
        <w:rPr>
          <w:rFonts w:ascii="Arial" w:eastAsia="Times New Roman" w:hAnsi="Arial" w:cs="Arial"/>
          <w:b/>
          <w:sz w:val="20"/>
          <w:szCs w:val="20"/>
          <w:lang w:eastAsia="en-AU"/>
        </w:rPr>
      </w:pPr>
      <w:r w:rsidRPr="00F46260">
        <w:rPr>
          <w:rFonts w:ascii="Arial" w:eastAsia="Times New Roman" w:hAnsi="Arial" w:cs="Arial"/>
          <w:b/>
          <w:sz w:val="20"/>
          <w:szCs w:val="20"/>
          <w:lang w:eastAsia="en-AU"/>
        </w:rPr>
        <w:t>Significant transactions with government-related entities</w:t>
      </w:r>
    </w:p>
    <w:p w14:paraId="5AFBCB20" w14:textId="77777777" w:rsidR="00F46260" w:rsidRPr="00F46260" w:rsidRDefault="00F46260" w:rsidP="00D1524E">
      <w:pPr>
        <w:spacing w:after="0" w:line="240" w:lineRule="auto"/>
        <w:contextualSpacing/>
        <w:rPr>
          <w:rFonts w:ascii="Arial" w:eastAsia="Times New Roman" w:hAnsi="Arial" w:cs="Arial"/>
          <w:sz w:val="20"/>
          <w:szCs w:val="20"/>
          <w:lang w:eastAsia="en-AU"/>
        </w:rPr>
      </w:pPr>
    </w:p>
    <w:p w14:paraId="280C6381" w14:textId="77777777" w:rsidR="00D1524E" w:rsidRDefault="00F46260" w:rsidP="00D1524E">
      <w:pPr>
        <w:spacing w:after="0" w:line="240" w:lineRule="auto"/>
        <w:contextualSpacing/>
        <w:rPr>
          <w:rFonts w:ascii="Arial" w:eastAsia="Times New Roman" w:hAnsi="Arial" w:cs="Arial"/>
          <w:sz w:val="20"/>
          <w:szCs w:val="20"/>
          <w:lang w:eastAsia="en-AU"/>
        </w:rPr>
      </w:pPr>
      <w:r w:rsidRPr="00F46260">
        <w:rPr>
          <w:rFonts w:ascii="Arial" w:eastAsia="Times New Roman" w:hAnsi="Arial" w:cs="Arial"/>
          <w:sz w:val="20"/>
          <w:szCs w:val="20"/>
          <w:lang w:eastAsia="en-AU"/>
        </w:rPr>
        <w:t>The Commission received grants from the Department of Premier and Cabinet of $12 million (2020: $10 million)</w:t>
      </w:r>
    </w:p>
    <w:p w14:paraId="2C8689B7" w14:textId="77777777" w:rsidR="00D1524E" w:rsidRDefault="00D1524E" w:rsidP="00D1524E">
      <w:pPr>
        <w:spacing w:after="0" w:line="240" w:lineRule="auto"/>
        <w:contextualSpacing/>
        <w:rPr>
          <w:rFonts w:ascii="Arial" w:eastAsia="Times New Roman" w:hAnsi="Arial" w:cs="Arial"/>
          <w:sz w:val="20"/>
          <w:szCs w:val="20"/>
          <w:lang w:eastAsia="en-AU"/>
        </w:rPr>
      </w:pPr>
    </w:p>
    <w:p w14:paraId="4FFBAD34" w14:textId="7E520B40" w:rsidR="00F46260" w:rsidRPr="00D1524E" w:rsidRDefault="00F46260" w:rsidP="00D1524E">
      <w:pPr>
        <w:spacing w:after="0" w:line="240" w:lineRule="auto"/>
        <w:contextualSpacing/>
        <w:rPr>
          <w:rFonts w:ascii="Arial" w:eastAsia="Times New Roman" w:hAnsi="Arial" w:cs="Arial"/>
          <w:sz w:val="20"/>
          <w:szCs w:val="20"/>
          <w:lang w:eastAsia="en-AU"/>
        </w:rPr>
      </w:pPr>
      <w:r w:rsidRPr="00D1524E">
        <w:rPr>
          <w:rFonts w:ascii="Arial" w:eastAsia="Times New Roman" w:hAnsi="Arial" w:cs="Arial"/>
          <w:sz w:val="20"/>
          <w:szCs w:val="20"/>
          <w:lang w:eastAsia="en-AU"/>
        </w:rPr>
        <w:t xml:space="preserve">Key management personnel (KMP) of the Commission during the financial year include the Portfolio Minister, the Commissioner and the members of the Senior Executive Team as detailed below.   </w:t>
      </w:r>
      <w:r w:rsidRPr="00F46260">
        <w:rPr>
          <w:rFonts w:ascii="Arial" w:eastAsia="Times New Roman" w:hAnsi="Arial" w:cs="Arial"/>
          <w:b/>
          <w:bCs/>
          <w:sz w:val="20"/>
          <w:szCs w:val="20"/>
          <w:highlight w:val="yellow"/>
          <w:lang w:eastAsia="en-AU"/>
        </w:rPr>
        <w:br/>
      </w:r>
    </w:p>
    <w:tbl>
      <w:tblPr>
        <w:tblStyle w:val="CVtable1"/>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6189"/>
      </w:tblGrid>
      <w:tr w:rsidR="00F46260" w:rsidRPr="00F46260" w14:paraId="443722BE" w14:textId="77777777" w:rsidTr="00D1524E">
        <w:trPr>
          <w:trHeight w:val="387"/>
        </w:trPr>
        <w:tc>
          <w:tcPr>
            <w:tcW w:w="1692" w:type="pct"/>
            <w:tcBorders>
              <w:bottom w:val="single" w:sz="12" w:space="0" w:color="auto"/>
            </w:tcBorders>
          </w:tcPr>
          <w:p w14:paraId="0530970F" w14:textId="77777777" w:rsidR="00F46260" w:rsidRPr="00F46260" w:rsidRDefault="00F46260" w:rsidP="00D1524E">
            <w:pPr>
              <w:spacing w:after="0" w:line="240" w:lineRule="auto"/>
              <w:ind w:right="458"/>
              <w:contextualSpacing/>
              <w:rPr>
                <w:rFonts w:ascii="Arial" w:hAnsi="Arial" w:cs="Arial"/>
                <w:b/>
              </w:rPr>
            </w:pPr>
            <w:r w:rsidRPr="00F46260">
              <w:rPr>
                <w:rFonts w:ascii="Arial" w:hAnsi="Arial" w:cs="Arial"/>
                <w:b/>
              </w:rPr>
              <w:t>Key management personnel</w:t>
            </w:r>
          </w:p>
        </w:tc>
        <w:tc>
          <w:tcPr>
            <w:tcW w:w="3308" w:type="pct"/>
            <w:tcBorders>
              <w:bottom w:val="single" w:sz="12" w:space="0" w:color="auto"/>
            </w:tcBorders>
          </w:tcPr>
          <w:p w14:paraId="341FD4E5" w14:textId="77777777" w:rsidR="00F46260" w:rsidRPr="00F46260" w:rsidRDefault="00F46260" w:rsidP="00D1524E">
            <w:pPr>
              <w:spacing w:after="0" w:line="240" w:lineRule="auto"/>
              <w:contextualSpacing/>
              <w:rPr>
                <w:rFonts w:ascii="Arial" w:hAnsi="Arial" w:cs="Arial"/>
                <w:b/>
              </w:rPr>
            </w:pPr>
            <w:r w:rsidRPr="00F46260">
              <w:rPr>
                <w:rFonts w:ascii="Arial" w:hAnsi="Arial" w:cs="Arial"/>
                <w:b/>
              </w:rPr>
              <w:t>Role</w:t>
            </w:r>
          </w:p>
        </w:tc>
      </w:tr>
      <w:tr w:rsidR="00F46260" w:rsidRPr="00F46260" w14:paraId="4EB40581" w14:textId="77777777" w:rsidTr="00D1524E">
        <w:trPr>
          <w:trHeight w:val="264"/>
        </w:trPr>
        <w:tc>
          <w:tcPr>
            <w:tcW w:w="1692" w:type="pct"/>
          </w:tcPr>
          <w:p w14:paraId="123CACCA"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Adam Fennessy PSM</w:t>
            </w:r>
          </w:p>
        </w:tc>
        <w:tc>
          <w:tcPr>
            <w:tcW w:w="3308" w:type="pct"/>
          </w:tcPr>
          <w:p w14:paraId="3CBD8C16"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Commissioner (27 July 2020 to 30 June 2021)</w:t>
            </w:r>
          </w:p>
        </w:tc>
      </w:tr>
      <w:tr w:rsidR="00F46260" w:rsidRPr="00F46260" w14:paraId="214A06D9" w14:textId="77777777" w:rsidTr="00D1524E">
        <w:trPr>
          <w:trHeight w:val="264"/>
        </w:trPr>
        <w:tc>
          <w:tcPr>
            <w:tcW w:w="1692" w:type="pct"/>
          </w:tcPr>
          <w:p w14:paraId="6B43F3B6"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Julia Griffith PSM</w:t>
            </w:r>
          </w:p>
        </w:tc>
        <w:tc>
          <w:tcPr>
            <w:tcW w:w="3308" w:type="pct"/>
          </w:tcPr>
          <w:p w14:paraId="28E982C2"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Acting Commissioner (1 July 2020 to 26 July 2020, 11 January 2021 to 19 January 2021, 1 April 2021 to 9 April 2021)</w:t>
            </w:r>
          </w:p>
        </w:tc>
      </w:tr>
      <w:tr w:rsidR="00F46260" w:rsidRPr="00F46260" w14:paraId="621EAE05" w14:textId="77777777" w:rsidTr="00D1524E">
        <w:trPr>
          <w:trHeight w:val="264"/>
        </w:trPr>
        <w:tc>
          <w:tcPr>
            <w:tcW w:w="1692" w:type="pct"/>
          </w:tcPr>
          <w:p w14:paraId="2FF5796A"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Julia Griffith PSM</w:t>
            </w:r>
          </w:p>
        </w:tc>
        <w:tc>
          <w:tcPr>
            <w:tcW w:w="3308" w:type="pct"/>
          </w:tcPr>
          <w:p w14:paraId="773FB564"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Deputy Commissioner (27 July 2020 to 10 January 2021, 20 January to 30 June 2021)</w:t>
            </w:r>
          </w:p>
        </w:tc>
      </w:tr>
      <w:tr w:rsidR="00F46260" w:rsidRPr="00F46260" w14:paraId="313C5549" w14:textId="77777777" w:rsidTr="00D1524E">
        <w:trPr>
          <w:trHeight w:val="264"/>
        </w:trPr>
        <w:tc>
          <w:tcPr>
            <w:tcW w:w="1692" w:type="pct"/>
          </w:tcPr>
          <w:p w14:paraId="4E06D6D9"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Elizabeth Langdon</w:t>
            </w:r>
          </w:p>
        </w:tc>
        <w:tc>
          <w:tcPr>
            <w:tcW w:w="3308" w:type="pct"/>
          </w:tcPr>
          <w:p w14:paraId="776D2549"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Deputy Commissioner (1 December 2020 to 8 March 2021)</w:t>
            </w:r>
          </w:p>
        </w:tc>
      </w:tr>
      <w:tr w:rsidR="00F46260" w:rsidRPr="00F46260" w14:paraId="7AF91471" w14:textId="77777777" w:rsidTr="00D1524E">
        <w:trPr>
          <w:trHeight w:val="264"/>
        </w:trPr>
        <w:tc>
          <w:tcPr>
            <w:tcW w:w="1692" w:type="pct"/>
          </w:tcPr>
          <w:p w14:paraId="72A09D6B"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Natasha Thompson</w:t>
            </w:r>
          </w:p>
        </w:tc>
        <w:tc>
          <w:tcPr>
            <w:tcW w:w="3308" w:type="pct"/>
          </w:tcPr>
          <w:p w14:paraId="16C41227"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Executive Director (1 July 2020 to 30 June 2021)</w:t>
            </w:r>
          </w:p>
        </w:tc>
      </w:tr>
      <w:tr w:rsidR="00F46260" w:rsidRPr="00F46260" w14:paraId="34334C52" w14:textId="77777777" w:rsidTr="00D1524E">
        <w:trPr>
          <w:trHeight w:val="264"/>
        </w:trPr>
        <w:tc>
          <w:tcPr>
            <w:tcW w:w="1692" w:type="pct"/>
          </w:tcPr>
          <w:p w14:paraId="40922EAF"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Daen Dorazio</w:t>
            </w:r>
          </w:p>
        </w:tc>
        <w:tc>
          <w:tcPr>
            <w:tcW w:w="3308" w:type="pct"/>
          </w:tcPr>
          <w:p w14:paraId="4315BE53"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Executive Director (1 July 2020 to 30 June 2021)</w:t>
            </w:r>
          </w:p>
        </w:tc>
      </w:tr>
      <w:tr w:rsidR="00F46260" w:rsidRPr="00F46260" w14:paraId="266AE1A1" w14:textId="77777777" w:rsidTr="00D1524E">
        <w:trPr>
          <w:trHeight w:val="264"/>
        </w:trPr>
        <w:tc>
          <w:tcPr>
            <w:tcW w:w="1692" w:type="pct"/>
          </w:tcPr>
          <w:p w14:paraId="2F03BB49"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Verity Harris</w:t>
            </w:r>
          </w:p>
        </w:tc>
        <w:tc>
          <w:tcPr>
            <w:tcW w:w="3308" w:type="pct"/>
          </w:tcPr>
          <w:p w14:paraId="3D349CA9"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Executive Director (1 July 2020 to 30 June 2021)</w:t>
            </w:r>
          </w:p>
        </w:tc>
      </w:tr>
      <w:tr w:rsidR="00F46260" w:rsidRPr="00F46260" w14:paraId="5DD1708E" w14:textId="77777777" w:rsidTr="00D1524E">
        <w:trPr>
          <w:trHeight w:val="264"/>
        </w:trPr>
        <w:tc>
          <w:tcPr>
            <w:tcW w:w="1692" w:type="pct"/>
          </w:tcPr>
          <w:p w14:paraId="6D5E95FB"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Christian Hofmann</w:t>
            </w:r>
          </w:p>
        </w:tc>
        <w:tc>
          <w:tcPr>
            <w:tcW w:w="3308" w:type="pct"/>
          </w:tcPr>
          <w:p w14:paraId="60ACBCBC" w14:textId="77777777" w:rsidR="00F46260" w:rsidRPr="00F46260" w:rsidRDefault="00F46260" w:rsidP="00D1524E">
            <w:pPr>
              <w:spacing w:after="0" w:line="240" w:lineRule="auto"/>
              <w:ind w:right="458"/>
              <w:contextualSpacing/>
              <w:rPr>
                <w:rFonts w:ascii="Arial" w:hAnsi="Arial" w:cs="Arial"/>
              </w:rPr>
            </w:pPr>
            <w:r w:rsidRPr="00F46260">
              <w:rPr>
                <w:rFonts w:ascii="Arial" w:hAnsi="Arial" w:cs="Arial"/>
              </w:rPr>
              <w:t>Director (8 March to 30 June 2021)</w:t>
            </w:r>
          </w:p>
        </w:tc>
      </w:tr>
    </w:tbl>
    <w:p w14:paraId="46D7E5E1" w14:textId="77777777" w:rsidR="00F46260" w:rsidRPr="00F46260" w:rsidRDefault="00F46260" w:rsidP="00F46260">
      <w:pPr>
        <w:spacing w:after="0" w:line="240" w:lineRule="auto"/>
        <w:rPr>
          <w:rFonts w:ascii="Arial" w:eastAsia="Times New Roman" w:hAnsi="Arial" w:cs="Arial"/>
          <w:sz w:val="20"/>
          <w:szCs w:val="20"/>
          <w:lang w:eastAsia="en-AU"/>
        </w:rPr>
      </w:pPr>
    </w:p>
    <w:p w14:paraId="639AD0F6"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The compensation detailed below excludes the salary and benefit the Portfolio Minister receives. The Minister’s remuneration and allowance are set by the </w:t>
      </w:r>
      <w:r w:rsidRPr="00F46260">
        <w:rPr>
          <w:rFonts w:ascii="Arial" w:eastAsia="Times New Roman" w:hAnsi="Arial" w:cs="Arial"/>
          <w:i/>
          <w:sz w:val="20"/>
          <w:szCs w:val="20"/>
          <w:lang w:eastAsia="en-AU"/>
        </w:rPr>
        <w:t xml:space="preserve">Parliamentary Salaries and Superannuation Act 1968 </w:t>
      </w:r>
      <w:r w:rsidRPr="00F46260">
        <w:rPr>
          <w:rFonts w:ascii="Arial" w:eastAsia="Times New Roman" w:hAnsi="Arial" w:cs="Arial"/>
          <w:sz w:val="20"/>
          <w:szCs w:val="20"/>
          <w:lang w:eastAsia="en-AU"/>
        </w:rPr>
        <w:t>and are reported in the financial report of the Department of Parliamentary Services.</w:t>
      </w:r>
    </w:p>
    <w:tbl>
      <w:tblPr>
        <w:tblW w:w="5000" w:type="pct"/>
        <w:tblInd w:w="-108" w:type="dxa"/>
        <w:tblLook w:val="01E0" w:firstRow="1" w:lastRow="1" w:firstColumn="1" w:lastColumn="1" w:noHBand="0" w:noVBand="0"/>
      </w:tblPr>
      <w:tblGrid>
        <w:gridCol w:w="6431"/>
        <w:gridCol w:w="1452"/>
        <w:gridCol w:w="239"/>
        <w:gridCol w:w="1233"/>
      </w:tblGrid>
      <w:tr w:rsidR="00F46260" w:rsidRPr="00F46260" w14:paraId="5BD0F621" w14:textId="77777777" w:rsidTr="00D1524E">
        <w:tc>
          <w:tcPr>
            <w:tcW w:w="3437" w:type="pct"/>
            <w:shd w:val="clear" w:color="auto" w:fill="auto"/>
          </w:tcPr>
          <w:p w14:paraId="454F609B"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76" w:type="pct"/>
            <w:shd w:val="clear" w:color="auto" w:fill="auto"/>
            <w:vAlign w:val="bottom"/>
          </w:tcPr>
          <w:p w14:paraId="113A0216"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28" w:type="pct"/>
            <w:shd w:val="clear" w:color="auto" w:fill="auto"/>
            <w:vAlign w:val="bottom"/>
          </w:tcPr>
          <w:p w14:paraId="796ECF6B"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59" w:type="pct"/>
            <w:shd w:val="clear" w:color="auto" w:fill="auto"/>
            <w:vAlign w:val="bottom"/>
          </w:tcPr>
          <w:p w14:paraId="2B183C60"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62BBCC45" w14:textId="77777777" w:rsidTr="00D1524E">
        <w:tc>
          <w:tcPr>
            <w:tcW w:w="3437" w:type="pct"/>
            <w:shd w:val="pct50" w:color="auto" w:fill="auto"/>
            <w:vAlign w:val="bottom"/>
          </w:tcPr>
          <w:p w14:paraId="7A7F4639" w14:textId="77777777" w:rsidR="00F46260" w:rsidRPr="00F46260" w:rsidRDefault="00F46260" w:rsidP="00F46260">
            <w:pPr>
              <w:spacing w:after="0" w:line="240" w:lineRule="auto"/>
              <w:rPr>
                <w:rFonts w:ascii="Arial" w:eastAsia="Times New Roman" w:hAnsi="Arial" w:cs="Arial"/>
                <w:color w:val="FFFFFF"/>
                <w:sz w:val="20"/>
                <w:szCs w:val="20"/>
                <w:lang w:eastAsia="en-AU"/>
              </w:rPr>
            </w:pPr>
            <w:r w:rsidRPr="00F46260">
              <w:rPr>
                <w:rFonts w:ascii="Arial" w:eastAsia="Times New Roman" w:hAnsi="Arial"/>
                <w:b/>
                <w:i/>
                <w:color w:val="FFFFFF"/>
                <w:sz w:val="20"/>
                <w:szCs w:val="20"/>
                <w:lang w:eastAsia="en-AU"/>
              </w:rPr>
              <w:t>Compensation of KMP</w:t>
            </w:r>
          </w:p>
        </w:tc>
        <w:tc>
          <w:tcPr>
            <w:tcW w:w="776" w:type="pct"/>
            <w:shd w:val="pct50" w:color="auto" w:fill="auto"/>
            <w:vAlign w:val="bottom"/>
          </w:tcPr>
          <w:p w14:paraId="7FB5EAAB"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00F8ACF8"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28" w:type="pct"/>
            <w:shd w:val="pct50" w:color="auto" w:fill="auto"/>
            <w:vAlign w:val="bottom"/>
          </w:tcPr>
          <w:p w14:paraId="5F104989"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59" w:type="pct"/>
            <w:shd w:val="pct50" w:color="auto" w:fill="auto"/>
            <w:vAlign w:val="bottom"/>
          </w:tcPr>
          <w:p w14:paraId="0EE1E364"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0ADD315F" w14:textId="77777777" w:rsidR="00F46260" w:rsidRPr="00F46260" w:rsidRDefault="00F46260" w:rsidP="00F46260">
            <w:pPr>
              <w:spacing w:after="0" w:line="240" w:lineRule="auto"/>
              <w:jc w:val="center"/>
              <w:rPr>
                <w:rFonts w:ascii="Arial" w:eastAsia="Times New Roman" w:hAnsi="Arial" w:cs="Arial"/>
                <w:bCs/>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06670825" w14:textId="77777777" w:rsidTr="00D1524E">
        <w:tblPrEx>
          <w:tblLook w:val="0000" w:firstRow="0" w:lastRow="0" w:firstColumn="0" w:lastColumn="0" w:noHBand="0" w:noVBand="0"/>
        </w:tblPrEx>
        <w:trPr>
          <w:trHeight w:val="255"/>
        </w:trPr>
        <w:tc>
          <w:tcPr>
            <w:tcW w:w="3437" w:type="pct"/>
            <w:tcBorders>
              <w:top w:val="nil"/>
              <w:bottom w:val="nil"/>
              <w:right w:val="nil"/>
            </w:tcBorders>
            <w:shd w:val="clear" w:color="auto" w:fill="auto"/>
            <w:vAlign w:val="bottom"/>
          </w:tcPr>
          <w:p w14:paraId="59986D33" w14:textId="77777777" w:rsidR="00F46260" w:rsidRPr="00F46260" w:rsidRDefault="00F46260" w:rsidP="00F46260">
            <w:pPr>
              <w:spacing w:before="100" w:beforeAutospacing="1" w:after="100" w:afterAutospacing="1" w:line="240" w:lineRule="auto"/>
              <w:rPr>
                <w:rFonts w:ascii="Arial" w:eastAsia="Calibri" w:hAnsi="Arial" w:cs="Arial"/>
                <w:sz w:val="20"/>
                <w:szCs w:val="20"/>
              </w:rPr>
            </w:pPr>
            <w:r w:rsidRPr="00F46260">
              <w:rPr>
                <w:rFonts w:ascii="Arial" w:eastAsia="Calibri" w:hAnsi="Arial" w:cs="Arial"/>
                <w:sz w:val="20"/>
                <w:szCs w:val="20"/>
              </w:rPr>
              <w:t>Short-term employee benefits</w:t>
            </w:r>
          </w:p>
        </w:tc>
        <w:tc>
          <w:tcPr>
            <w:tcW w:w="776" w:type="pct"/>
            <w:tcBorders>
              <w:top w:val="nil"/>
              <w:left w:val="nil"/>
              <w:right w:val="nil"/>
            </w:tcBorders>
            <w:shd w:val="pct15" w:color="auto" w:fill="auto"/>
            <w:vAlign w:val="bottom"/>
          </w:tcPr>
          <w:p w14:paraId="47A21A37"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1,737,573</w:t>
            </w:r>
          </w:p>
        </w:tc>
        <w:tc>
          <w:tcPr>
            <w:tcW w:w="128" w:type="pct"/>
            <w:tcBorders>
              <w:top w:val="nil"/>
              <w:left w:val="nil"/>
              <w:right w:val="nil"/>
            </w:tcBorders>
            <w:shd w:val="clear" w:color="auto" w:fill="auto"/>
            <w:vAlign w:val="bottom"/>
          </w:tcPr>
          <w:p w14:paraId="30D47DE8"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tcBorders>
            <w:shd w:val="clear" w:color="auto" w:fill="auto"/>
            <w:vAlign w:val="bottom"/>
          </w:tcPr>
          <w:p w14:paraId="62EF0386"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1,497,964</w:t>
            </w:r>
          </w:p>
        </w:tc>
      </w:tr>
      <w:tr w:rsidR="00F46260" w:rsidRPr="00F46260" w14:paraId="5E2AE2DC" w14:textId="77777777" w:rsidTr="00D1524E">
        <w:tblPrEx>
          <w:tblLook w:val="0000" w:firstRow="0" w:lastRow="0" w:firstColumn="0" w:lastColumn="0" w:noHBand="0" w:noVBand="0"/>
        </w:tblPrEx>
        <w:trPr>
          <w:trHeight w:val="255"/>
        </w:trPr>
        <w:tc>
          <w:tcPr>
            <w:tcW w:w="3437" w:type="pct"/>
            <w:tcBorders>
              <w:top w:val="nil"/>
              <w:bottom w:val="nil"/>
              <w:right w:val="nil"/>
            </w:tcBorders>
            <w:shd w:val="clear" w:color="auto" w:fill="auto"/>
            <w:vAlign w:val="bottom"/>
          </w:tcPr>
          <w:p w14:paraId="39B02C76" w14:textId="77777777" w:rsidR="00F46260" w:rsidRPr="00F46260" w:rsidRDefault="00F46260" w:rsidP="00F46260">
            <w:pPr>
              <w:spacing w:before="100" w:beforeAutospacing="1" w:after="100" w:afterAutospacing="1" w:line="240" w:lineRule="auto"/>
              <w:rPr>
                <w:rFonts w:ascii="Arial" w:eastAsia="Calibri" w:hAnsi="Arial" w:cs="Arial"/>
                <w:sz w:val="20"/>
                <w:szCs w:val="20"/>
              </w:rPr>
            </w:pPr>
            <w:r w:rsidRPr="00F46260">
              <w:rPr>
                <w:rFonts w:ascii="Arial" w:eastAsia="Calibri" w:hAnsi="Arial" w:cs="Arial"/>
                <w:sz w:val="20"/>
                <w:szCs w:val="20"/>
              </w:rPr>
              <w:t xml:space="preserve">Post-employment benefits </w:t>
            </w:r>
          </w:p>
        </w:tc>
        <w:tc>
          <w:tcPr>
            <w:tcW w:w="776" w:type="pct"/>
            <w:tcBorders>
              <w:top w:val="nil"/>
              <w:left w:val="nil"/>
              <w:right w:val="nil"/>
            </w:tcBorders>
            <w:shd w:val="pct15" w:color="auto" w:fill="auto"/>
            <w:vAlign w:val="bottom"/>
          </w:tcPr>
          <w:p w14:paraId="36A68D79"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162,177</w:t>
            </w:r>
          </w:p>
        </w:tc>
        <w:tc>
          <w:tcPr>
            <w:tcW w:w="128" w:type="pct"/>
            <w:tcBorders>
              <w:top w:val="nil"/>
              <w:left w:val="nil"/>
              <w:right w:val="nil"/>
            </w:tcBorders>
            <w:shd w:val="clear" w:color="auto" w:fill="auto"/>
            <w:vAlign w:val="bottom"/>
          </w:tcPr>
          <w:p w14:paraId="2E8E364C"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tcBorders>
            <w:shd w:val="clear" w:color="auto" w:fill="auto"/>
            <w:vAlign w:val="bottom"/>
          </w:tcPr>
          <w:p w14:paraId="20C5C532"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119,734</w:t>
            </w:r>
          </w:p>
        </w:tc>
      </w:tr>
      <w:tr w:rsidR="00F46260" w:rsidRPr="00F46260" w14:paraId="7D24B857" w14:textId="77777777" w:rsidTr="00D1524E">
        <w:tblPrEx>
          <w:tblLook w:val="0000" w:firstRow="0" w:lastRow="0" w:firstColumn="0" w:lastColumn="0" w:noHBand="0" w:noVBand="0"/>
        </w:tblPrEx>
        <w:trPr>
          <w:trHeight w:val="255"/>
        </w:trPr>
        <w:tc>
          <w:tcPr>
            <w:tcW w:w="3437" w:type="pct"/>
            <w:tcBorders>
              <w:top w:val="nil"/>
              <w:bottom w:val="nil"/>
              <w:right w:val="nil"/>
            </w:tcBorders>
            <w:shd w:val="clear" w:color="auto" w:fill="auto"/>
            <w:vAlign w:val="bottom"/>
          </w:tcPr>
          <w:p w14:paraId="2E4DE7A4" w14:textId="77777777" w:rsidR="00F46260" w:rsidRPr="00F46260" w:rsidRDefault="00F46260" w:rsidP="00F46260">
            <w:pPr>
              <w:spacing w:before="100" w:beforeAutospacing="1" w:after="100" w:afterAutospacing="1" w:line="240" w:lineRule="auto"/>
              <w:rPr>
                <w:rFonts w:ascii="Arial" w:eastAsia="Calibri" w:hAnsi="Arial" w:cs="Arial"/>
                <w:sz w:val="20"/>
                <w:szCs w:val="20"/>
              </w:rPr>
            </w:pPr>
            <w:r w:rsidRPr="00F46260">
              <w:rPr>
                <w:rFonts w:ascii="Arial" w:eastAsia="Calibri" w:hAnsi="Arial" w:cs="Arial"/>
                <w:sz w:val="20"/>
                <w:szCs w:val="20"/>
              </w:rPr>
              <w:t xml:space="preserve">Other long-term benefits </w:t>
            </w:r>
          </w:p>
        </w:tc>
        <w:tc>
          <w:tcPr>
            <w:tcW w:w="776" w:type="pct"/>
            <w:tcBorders>
              <w:top w:val="nil"/>
              <w:left w:val="nil"/>
              <w:right w:val="nil"/>
            </w:tcBorders>
            <w:shd w:val="pct15" w:color="auto" w:fill="auto"/>
            <w:vAlign w:val="bottom"/>
          </w:tcPr>
          <w:p w14:paraId="7DBC509F"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(3,320)</w:t>
            </w:r>
          </w:p>
        </w:tc>
        <w:tc>
          <w:tcPr>
            <w:tcW w:w="128" w:type="pct"/>
            <w:tcBorders>
              <w:top w:val="nil"/>
              <w:left w:val="nil"/>
              <w:right w:val="nil"/>
            </w:tcBorders>
            <w:shd w:val="clear" w:color="auto" w:fill="auto"/>
            <w:vAlign w:val="bottom"/>
          </w:tcPr>
          <w:p w14:paraId="3C6DDFFE"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tcBorders>
            <w:shd w:val="clear" w:color="auto" w:fill="auto"/>
            <w:vAlign w:val="bottom"/>
          </w:tcPr>
          <w:p w14:paraId="5E36F368" w14:textId="77777777" w:rsidR="00F46260" w:rsidRPr="00F46260" w:rsidRDefault="00F46260" w:rsidP="00F46260">
            <w:pPr>
              <w:spacing w:after="0" w:line="240" w:lineRule="auto"/>
              <w:jc w:val="right"/>
              <w:rPr>
                <w:rFonts w:ascii="Arial" w:eastAsia="Times New Roman" w:hAnsi="Arial" w:cs="Arial"/>
                <w:bCs/>
                <w:sz w:val="20"/>
                <w:szCs w:val="20"/>
                <w:lang w:eastAsia="en-AU"/>
              </w:rPr>
            </w:pPr>
            <w:r w:rsidRPr="00F46260">
              <w:rPr>
                <w:rFonts w:ascii="Arial" w:eastAsia="Times New Roman" w:hAnsi="Arial" w:cs="Arial"/>
                <w:bCs/>
                <w:sz w:val="20"/>
                <w:szCs w:val="20"/>
                <w:lang w:eastAsia="en-AU"/>
              </w:rPr>
              <w:t>15,805</w:t>
            </w:r>
          </w:p>
        </w:tc>
      </w:tr>
      <w:tr w:rsidR="00F46260" w:rsidRPr="00F46260" w14:paraId="32041D42" w14:textId="77777777" w:rsidTr="00D1524E">
        <w:tblPrEx>
          <w:tblLook w:val="0000" w:firstRow="0" w:lastRow="0" w:firstColumn="0" w:lastColumn="0" w:noHBand="0" w:noVBand="0"/>
        </w:tblPrEx>
        <w:trPr>
          <w:trHeight w:val="255"/>
        </w:trPr>
        <w:tc>
          <w:tcPr>
            <w:tcW w:w="3437" w:type="pct"/>
            <w:tcBorders>
              <w:top w:val="single" w:sz="2" w:space="0" w:color="auto"/>
              <w:bottom w:val="single" w:sz="12" w:space="0" w:color="auto"/>
              <w:right w:val="nil"/>
            </w:tcBorders>
            <w:shd w:val="clear" w:color="auto" w:fill="auto"/>
            <w:vAlign w:val="bottom"/>
          </w:tcPr>
          <w:p w14:paraId="04C0E077" w14:textId="77777777" w:rsidR="00F46260" w:rsidRPr="00F46260" w:rsidRDefault="00F46260" w:rsidP="00F46260">
            <w:pPr>
              <w:spacing w:before="100" w:beforeAutospacing="1" w:after="100" w:afterAutospacing="1" w:line="240" w:lineRule="auto"/>
              <w:rPr>
                <w:rFonts w:ascii="Arial" w:eastAsia="Calibri" w:hAnsi="Arial" w:cs="Arial"/>
                <w:b/>
                <w:sz w:val="20"/>
                <w:szCs w:val="20"/>
              </w:rPr>
            </w:pPr>
            <w:r w:rsidRPr="00F46260">
              <w:rPr>
                <w:rFonts w:ascii="Arial" w:eastAsia="Calibri" w:hAnsi="Arial" w:cs="Arial"/>
                <w:b/>
                <w:sz w:val="20"/>
                <w:szCs w:val="20"/>
              </w:rPr>
              <w:t xml:space="preserve">Total remuneration </w:t>
            </w:r>
            <w:r w:rsidRPr="00F46260">
              <w:rPr>
                <w:rFonts w:ascii="Arial" w:eastAsia="Calibri" w:hAnsi="Arial" w:cs="Arial"/>
                <w:b/>
                <w:sz w:val="20"/>
                <w:szCs w:val="20"/>
                <w:vertAlign w:val="superscript"/>
              </w:rPr>
              <w:t>(a)</w:t>
            </w:r>
          </w:p>
        </w:tc>
        <w:tc>
          <w:tcPr>
            <w:tcW w:w="776" w:type="pct"/>
            <w:tcBorders>
              <w:top w:val="single" w:sz="2" w:space="0" w:color="auto"/>
              <w:left w:val="nil"/>
              <w:bottom w:val="single" w:sz="12" w:space="0" w:color="auto"/>
              <w:right w:val="nil"/>
            </w:tcBorders>
            <w:shd w:val="pct15" w:color="auto" w:fill="auto"/>
            <w:vAlign w:val="bottom"/>
          </w:tcPr>
          <w:p w14:paraId="766FD645"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1,896,430</w:t>
            </w:r>
          </w:p>
        </w:tc>
        <w:tc>
          <w:tcPr>
            <w:tcW w:w="128" w:type="pct"/>
            <w:tcBorders>
              <w:top w:val="single" w:sz="2" w:space="0" w:color="auto"/>
              <w:left w:val="nil"/>
              <w:bottom w:val="single" w:sz="12" w:space="0" w:color="auto"/>
              <w:right w:val="nil"/>
            </w:tcBorders>
            <w:shd w:val="clear" w:color="auto" w:fill="auto"/>
            <w:vAlign w:val="bottom"/>
          </w:tcPr>
          <w:p w14:paraId="3B7C193E" w14:textId="77777777" w:rsidR="00F46260" w:rsidRPr="00F46260" w:rsidRDefault="00F46260" w:rsidP="00F46260">
            <w:pPr>
              <w:spacing w:after="0" w:line="240" w:lineRule="auto"/>
              <w:jc w:val="right"/>
              <w:rPr>
                <w:rFonts w:ascii="Arial" w:eastAsia="Times New Roman" w:hAnsi="Arial" w:cs="Arial"/>
                <w:b/>
                <w:sz w:val="20"/>
                <w:szCs w:val="20"/>
                <w:lang w:eastAsia="en-AU"/>
              </w:rPr>
            </w:pPr>
          </w:p>
        </w:tc>
        <w:tc>
          <w:tcPr>
            <w:tcW w:w="659" w:type="pct"/>
            <w:tcBorders>
              <w:top w:val="single" w:sz="2" w:space="0" w:color="auto"/>
              <w:left w:val="nil"/>
              <w:bottom w:val="single" w:sz="12" w:space="0" w:color="auto"/>
            </w:tcBorders>
            <w:shd w:val="clear" w:color="auto" w:fill="auto"/>
            <w:vAlign w:val="bottom"/>
          </w:tcPr>
          <w:p w14:paraId="22E122E3"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1,633,503</w:t>
            </w:r>
          </w:p>
        </w:tc>
      </w:tr>
    </w:tbl>
    <w:p w14:paraId="62E328B1" w14:textId="77777777" w:rsidR="00F46260" w:rsidRPr="00F46260" w:rsidRDefault="00F46260" w:rsidP="00F46260">
      <w:pPr>
        <w:autoSpaceDE w:val="0"/>
        <w:autoSpaceDN w:val="0"/>
        <w:adjustRightInd w:val="0"/>
        <w:spacing w:after="0" w:line="240" w:lineRule="auto"/>
        <w:rPr>
          <w:rFonts w:ascii="Arial" w:eastAsia="Times New Roman" w:hAnsi="Arial" w:cs="Arial"/>
          <w:b/>
          <w:sz w:val="20"/>
          <w:szCs w:val="20"/>
          <w:lang w:eastAsia="en-AU"/>
        </w:rPr>
      </w:pPr>
      <w:bookmarkStart w:id="60" w:name="_Toc420672838"/>
    </w:p>
    <w:p w14:paraId="3F9D0596" w14:textId="77777777" w:rsidR="00F46260" w:rsidRPr="00F46260" w:rsidRDefault="00F46260" w:rsidP="00F46260">
      <w:pPr>
        <w:autoSpaceDE w:val="0"/>
        <w:autoSpaceDN w:val="0"/>
        <w:adjustRightInd w:val="0"/>
        <w:spacing w:after="0" w:line="240" w:lineRule="auto"/>
        <w:rPr>
          <w:rFonts w:ascii="Arial" w:eastAsia="Times New Roman" w:hAnsi="Arial" w:cs="Arial"/>
          <w:bCs/>
          <w:i/>
          <w:sz w:val="18"/>
          <w:szCs w:val="20"/>
          <w:lang w:eastAsia="en-AU"/>
        </w:rPr>
      </w:pPr>
      <w:r w:rsidRPr="00F46260">
        <w:rPr>
          <w:rFonts w:ascii="Arial" w:eastAsia="Times New Roman" w:hAnsi="Arial" w:cs="Arial"/>
          <w:bCs/>
          <w:i/>
          <w:sz w:val="18"/>
          <w:szCs w:val="20"/>
          <w:lang w:eastAsia="en-AU"/>
        </w:rPr>
        <w:t>Notes:</w:t>
      </w:r>
    </w:p>
    <w:p w14:paraId="05EC2BEE" w14:textId="77777777" w:rsidR="00F46260" w:rsidRPr="00F46260" w:rsidRDefault="00F46260" w:rsidP="00F46260">
      <w:pPr>
        <w:autoSpaceDE w:val="0"/>
        <w:autoSpaceDN w:val="0"/>
        <w:adjustRightInd w:val="0"/>
        <w:spacing w:after="0" w:line="240" w:lineRule="auto"/>
        <w:ind w:left="284" w:hanging="284"/>
        <w:rPr>
          <w:rFonts w:ascii="Times New Roman" w:eastAsia="Times New Roman" w:hAnsi="Times New Roman"/>
          <w:sz w:val="20"/>
          <w:szCs w:val="20"/>
          <w:lang w:eastAsia="en-AU"/>
        </w:rPr>
      </w:pPr>
      <w:r w:rsidRPr="00F46260">
        <w:rPr>
          <w:rFonts w:ascii="Arial" w:eastAsia="Times New Roman" w:hAnsi="Arial" w:cs="Arial"/>
          <w:bCs/>
          <w:i/>
          <w:sz w:val="16"/>
          <w:szCs w:val="20"/>
          <w:lang w:eastAsia="en-AU"/>
        </w:rPr>
        <w:t>(a)  The amount disclosed for 2020 is inclusive of remuneration received/receivable by incumbent acting in the capacity of VPSC Commissioner during the period of the role’s vacancy.</w:t>
      </w:r>
    </w:p>
    <w:p w14:paraId="505DF42B" w14:textId="77777777" w:rsidR="00F46260" w:rsidRPr="00F46260" w:rsidRDefault="00F46260" w:rsidP="00F46260">
      <w:pPr>
        <w:spacing w:after="120" w:line="240" w:lineRule="atLeast"/>
        <w:rPr>
          <w:rFonts w:ascii="Arial" w:eastAsia="Times New Roman" w:hAnsi="Arial" w:cs="Arial"/>
          <w:b/>
          <w:sz w:val="20"/>
          <w:szCs w:val="20"/>
          <w:lang w:eastAsia="en-AU"/>
        </w:rPr>
      </w:pPr>
    </w:p>
    <w:p w14:paraId="3F6D03FE" w14:textId="77777777" w:rsidR="00F46260" w:rsidRPr="00F46260" w:rsidRDefault="00F46260" w:rsidP="00F46260">
      <w:pPr>
        <w:spacing w:after="120" w:line="240" w:lineRule="atLeast"/>
        <w:rPr>
          <w:rFonts w:ascii="Arial" w:eastAsia="Times New Roman" w:hAnsi="Arial" w:cs="Arial"/>
          <w:b/>
          <w:sz w:val="20"/>
          <w:szCs w:val="20"/>
          <w:lang w:eastAsia="en-AU"/>
        </w:rPr>
      </w:pPr>
      <w:r w:rsidRPr="00F46260">
        <w:rPr>
          <w:rFonts w:ascii="Arial" w:eastAsia="Times New Roman" w:hAnsi="Arial" w:cs="Arial"/>
          <w:b/>
          <w:sz w:val="20"/>
          <w:szCs w:val="20"/>
          <w:lang w:eastAsia="en-AU"/>
        </w:rPr>
        <w:t>Transactions with KMPs and other related parties</w:t>
      </w:r>
    </w:p>
    <w:p w14:paraId="543EF01A" w14:textId="77777777" w:rsidR="00F46260" w:rsidRPr="00F46260" w:rsidRDefault="00F46260" w:rsidP="00F46260">
      <w:pPr>
        <w:tabs>
          <w:tab w:val="left" w:pos="72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Given the breadth and depth of State government activities, related parties transact with the Victorian public sector in a manner consistent with other members of the public. Further employment of processes within the Victorian public sector occur on terms and conditions consistent with the </w:t>
      </w:r>
      <w:r w:rsidRPr="00F46260">
        <w:rPr>
          <w:rFonts w:ascii="Arial" w:eastAsia="Times New Roman" w:hAnsi="Arial" w:cs="Arial"/>
          <w:i/>
          <w:sz w:val="20"/>
          <w:szCs w:val="20"/>
          <w:lang w:eastAsia="en-AU"/>
        </w:rPr>
        <w:t>Public Administration Act 2004</w:t>
      </w:r>
      <w:r w:rsidRPr="00F46260">
        <w:rPr>
          <w:rFonts w:ascii="Arial" w:eastAsia="Times New Roman" w:hAnsi="Arial" w:cs="Arial"/>
          <w:sz w:val="20"/>
          <w:szCs w:val="20"/>
          <w:lang w:eastAsia="en-AU"/>
        </w:rPr>
        <w:t xml:space="preserve"> and Codes of Conduct and Standards issued by the Victorian Public Sector Commission. Procurement processes occur on terms and conditions consistent with the Victorian Government Procurement Board requirements. </w:t>
      </w:r>
    </w:p>
    <w:p w14:paraId="0D8E0491" w14:textId="77777777" w:rsidR="00F46260" w:rsidRPr="00F46260" w:rsidRDefault="00F46260" w:rsidP="00F46260">
      <w:pPr>
        <w:tabs>
          <w:tab w:val="left" w:pos="720"/>
        </w:tabs>
        <w:spacing w:after="0" w:line="240" w:lineRule="auto"/>
        <w:rPr>
          <w:rFonts w:ascii="Arial" w:eastAsia="Times New Roman" w:hAnsi="Arial" w:cs="Arial"/>
          <w:sz w:val="20"/>
          <w:szCs w:val="20"/>
          <w:lang w:eastAsia="en-AU"/>
        </w:rPr>
      </w:pPr>
    </w:p>
    <w:p w14:paraId="1C51F077" w14:textId="77777777" w:rsidR="00F46260" w:rsidRPr="00F46260" w:rsidRDefault="00F46260" w:rsidP="00F46260">
      <w:pPr>
        <w:tabs>
          <w:tab w:val="left" w:pos="720"/>
        </w:tabs>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Outside of normal citizen type transactions with the Commission, there were no related party transactions that involved KMPs and their close family members. No provision has been required, nor any expense recognised, for impairment of receivables from related parties.</w:t>
      </w:r>
    </w:p>
    <w:p w14:paraId="0E82CB24" w14:textId="77777777" w:rsidR="00F46260" w:rsidRPr="00F46260" w:rsidRDefault="00F46260" w:rsidP="00F46260">
      <w:pPr>
        <w:tabs>
          <w:tab w:val="left" w:pos="720"/>
        </w:tabs>
        <w:spacing w:after="0" w:line="240" w:lineRule="auto"/>
        <w:rPr>
          <w:rFonts w:ascii="Times New Roman" w:eastAsia="Times New Roman" w:hAnsi="Times New Roman"/>
          <w:b/>
          <w:sz w:val="20"/>
          <w:szCs w:val="20"/>
          <w:lang w:eastAsia="en-AU"/>
        </w:rPr>
      </w:pPr>
    </w:p>
    <w:p w14:paraId="4AB7E99C" w14:textId="77777777" w:rsidR="00F46260" w:rsidRPr="00F46260" w:rsidRDefault="00F46260" w:rsidP="00F46260">
      <w:pPr>
        <w:autoSpaceDE w:val="0"/>
        <w:autoSpaceDN w:val="0"/>
        <w:adjustRightInd w:val="0"/>
        <w:spacing w:after="0" w:line="240" w:lineRule="auto"/>
        <w:rPr>
          <w:rFonts w:ascii="Arial" w:eastAsia="Times New Roman" w:hAnsi="Arial" w:cs="Arial"/>
          <w:bCs/>
          <w:sz w:val="20"/>
          <w:szCs w:val="20"/>
          <w:lang w:eastAsia="en-AU"/>
        </w:rPr>
      </w:pPr>
      <w:r w:rsidRPr="00F46260">
        <w:rPr>
          <w:rFonts w:ascii="Arial" w:eastAsia="Times New Roman" w:hAnsi="Arial" w:cs="Arial"/>
          <w:b/>
          <w:bCs/>
          <w:sz w:val="20"/>
          <w:szCs w:val="20"/>
          <w:lang w:eastAsia="en-AU"/>
        </w:rPr>
        <w:t>8.6 Remuneration of auditor</w:t>
      </w:r>
      <w:bookmarkEnd w:id="60"/>
    </w:p>
    <w:tbl>
      <w:tblPr>
        <w:tblW w:w="5000" w:type="pct"/>
        <w:tblInd w:w="-108" w:type="dxa"/>
        <w:tblLook w:val="01E0" w:firstRow="1" w:lastRow="1" w:firstColumn="1" w:lastColumn="1" w:noHBand="0" w:noVBand="0"/>
      </w:tblPr>
      <w:tblGrid>
        <w:gridCol w:w="6431"/>
        <w:gridCol w:w="1452"/>
        <w:gridCol w:w="239"/>
        <w:gridCol w:w="1233"/>
      </w:tblGrid>
      <w:tr w:rsidR="00F46260" w:rsidRPr="00F46260" w14:paraId="44A3C7EB" w14:textId="77777777" w:rsidTr="00D1524E">
        <w:tc>
          <w:tcPr>
            <w:tcW w:w="3437" w:type="pct"/>
            <w:shd w:val="clear" w:color="auto" w:fill="auto"/>
          </w:tcPr>
          <w:p w14:paraId="0C89F518"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76" w:type="pct"/>
            <w:shd w:val="clear" w:color="auto" w:fill="auto"/>
            <w:vAlign w:val="bottom"/>
          </w:tcPr>
          <w:p w14:paraId="238C5105" w14:textId="77777777" w:rsidR="00F46260" w:rsidRPr="00F46260" w:rsidRDefault="00F46260" w:rsidP="00F46260">
            <w:pPr>
              <w:spacing w:after="0" w:line="240" w:lineRule="auto"/>
              <w:jc w:val="center"/>
              <w:rPr>
                <w:rFonts w:ascii="Arial" w:eastAsia="Times New Roman" w:hAnsi="Arial" w:cs="Arial"/>
                <w:b/>
                <w:bCs/>
                <w:sz w:val="20"/>
                <w:szCs w:val="20"/>
                <w:lang w:eastAsia="en-AU"/>
              </w:rPr>
            </w:pPr>
          </w:p>
        </w:tc>
        <w:tc>
          <w:tcPr>
            <w:tcW w:w="128" w:type="pct"/>
            <w:shd w:val="clear" w:color="auto" w:fill="auto"/>
            <w:vAlign w:val="bottom"/>
          </w:tcPr>
          <w:p w14:paraId="590CE23D" w14:textId="77777777" w:rsidR="00F46260" w:rsidRPr="00F46260" w:rsidRDefault="00F46260" w:rsidP="00F46260">
            <w:pPr>
              <w:spacing w:after="0" w:line="240" w:lineRule="auto"/>
              <w:jc w:val="center"/>
              <w:rPr>
                <w:rFonts w:ascii="Arial" w:eastAsia="Times New Roman" w:hAnsi="Arial" w:cs="Arial"/>
                <w:sz w:val="20"/>
                <w:szCs w:val="20"/>
                <w:lang w:eastAsia="en-AU"/>
              </w:rPr>
            </w:pPr>
          </w:p>
        </w:tc>
        <w:tc>
          <w:tcPr>
            <w:tcW w:w="659" w:type="pct"/>
            <w:shd w:val="clear" w:color="auto" w:fill="auto"/>
            <w:vAlign w:val="bottom"/>
          </w:tcPr>
          <w:p w14:paraId="5E502B8E" w14:textId="77777777" w:rsidR="00F46260" w:rsidRPr="00F46260" w:rsidRDefault="00F46260" w:rsidP="00F46260">
            <w:pPr>
              <w:spacing w:after="0" w:line="240" w:lineRule="auto"/>
              <w:jc w:val="center"/>
              <w:rPr>
                <w:rFonts w:ascii="Arial" w:eastAsia="Times New Roman" w:hAnsi="Arial" w:cs="Arial"/>
                <w:bCs/>
                <w:sz w:val="20"/>
                <w:szCs w:val="20"/>
                <w:lang w:eastAsia="en-AU"/>
              </w:rPr>
            </w:pPr>
          </w:p>
        </w:tc>
      </w:tr>
      <w:tr w:rsidR="00F46260" w:rsidRPr="00F46260" w14:paraId="016025A9" w14:textId="77777777" w:rsidTr="00D1524E">
        <w:tc>
          <w:tcPr>
            <w:tcW w:w="3437" w:type="pct"/>
            <w:shd w:val="pct50" w:color="auto" w:fill="auto"/>
          </w:tcPr>
          <w:p w14:paraId="5A395A56" w14:textId="77777777" w:rsidR="00F46260" w:rsidRPr="00F46260" w:rsidRDefault="00F46260" w:rsidP="00F46260">
            <w:pPr>
              <w:spacing w:after="0" w:line="240" w:lineRule="auto"/>
              <w:rPr>
                <w:rFonts w:ascii="Arial" w:eastAsia="Times New Roman" w:hAnsi="Arial" w:cs="Arial"/>
                <w:color w:val="FFFFFF"/>
                <w:sz w:val="20"/>
                <w:szCs w:val="20"/>
                <w:lang w:eastAsia="en-AU"/>
              </w:rPr>
            </w:pPr>
          </w:p>
        </w:tc>
        <w:tc>
          <w:tcPr>
            <w:tcW w:w="776" w:type="pct"/>
            <w:shd w:val="pct50" w:color="auto" w:fill="auto"/>
            <w:vAlign w:val="bottom"/>
          </w:tcPr>
          <w:p w14:paraId="654B7885"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2021</w:t>
            </w:r>
          </w:p>
          <w:p w14:paraId="1B5B7A02"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c>
          <w:tcPr>
            <w:tcW w:w="128" w:type="pct"/>
            <w:shd w:val="pct50" w:color="auto" w:fill="auto"/>
            <w:vAlign w:val="bottom"/>
          </w:tcPr>
          <w:p w14:paraId="1F646397" w14:textId="77777777" w:rsidR="00F46260" w:rsidRPr="00F46260" w:rsidRDefault="00F46260" w:rsidP="00F46260">
            <w:pPr>
              <w:spacing w:after="0" w:line="240" w:lineRule="auto"/>
              <w:jc w:val="center"/>
              <w:rPr>
                <w:rFonts w:ascii="Arial" w:eastAsia="Times New Roman" w:hAnsi="Arial" w:cs="Arial"/>
                <w:color w:val="FFFFFF"/>
                <w:sz w:val="20"/>
                <w:szCs w:val="20"/>
                <w:lang w:eastAsia="en-AU"/>
              </w:rPr>
            </w:pPr>
          </w:p>
        </w:tc>
        <w:tc>
          <w:tcPr>
            <w:tcW w:w="659" w:type="pct"/>
            <w:shd w:val="pct50" w:color="auto" w:fill="auto"/>
            <w:vAlign w:val="bottom"/>
          </w:tcPr>
          <w:p w14:paraId="694D488F"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2020</w:t>
            </w:r>
          </w:p>
          <w:p w14:paraId="54E57256" w14:textId="77777777" w:rsidR="00F46260" w:rsidRPr="00F46260" w:rsidRDefault="00F46260" w:rsidP="00F46260">
            <w:pPr>
              <w:spacing w:after="0" w:line="240" w:lineRule="auto"/>
              <w:jc w:val="center"/>
              <w:rPr>
                <w:rFonts w:ascii="Arial" w:eastAsia="Times New Roman" w:hAnsi="Arial" w:cs="Arial"/>
                <w:b/>
                <w:bCs/>
                <w:color w:val="FFFFFF"/>
                <w:sz w:val="20"/>
                <w:szCs w:val="20"/>
                <w:lang w:eastAsia="en-AU"/>
              </w:rPr>
            </w:pPr>
            <w:r w:rsidRPr="00F46260">
              <w:rPr>
                <w:rFonts w:ascii="Arial" w:eastAsia="Times New Roman" w:hAnsi="Arial" w:cs="Arial"/>
                <w:b/>
                <w:bCs/>
                <w:color w:val="FFFFFF"/>
                <w:sz w:val="20"/>
                <w:szCs w:val="20"/>
                <w:lang w:eastAsia="en-AU"/>
              </w:rPr>
              <w:t>$</w:t>
            </w:r>
          </w:p>
        </w:tc>
      </w:tr>
      <w:tr w:rsidR="00F46260" w:rsidRPr="00F46260" w14:paraId="2DD7E192" w14:textId="77777777" w:rsidTr="00D1524E">
        <w:tblPrEx>
          <w:tblLook w:val="0000" w:firstRow="0" w:lastRow="0" w:firstColumn="0" w:lastColumn="0" w:noHBand="0" w:noVBand="0"/>
        </w:tblPrEx>
        <w:trPr>
          <w:trHeight w:val="255"/>
        </w:trPr>
        <w:tc>
          <w:tcPr>
            <w:tcW w:w="3437" w:type="pct"/>
            <w:tcBorders>
              <w:top w:val="nil"/>
              <w:right w:val="nil"/>
            </w:tcBorders>
            <w:shd w:val="clear" w:color="auto" w:fill="auto"/>
            <w:vAlign w:val="bottom"/>
          </w:tcPr>
          <w:p w14:paraId="609184C2"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b/>
                <w:sz w:val="20"/>
                <w:szCs w:val="20"/>
                <w:lang w:eastAsia="en-AU"/>
              </w:rPr>
              <w:t>Audit fees paid or payable to the Victorian Auditor-General’s Office</w:t>
            </w:r>
          </w:p>
        </w:tc>
        <w:tc>
          <w:tcPr>
            <w:tcW w:w="776" w:type="pct"/>
            <w:tcBorders>
              <w:top w:val="nil"/>
              <w:left w:val="nil"/>
              <w:right w:val="nil"/>
            </w:tcBorders>
            <w:shd w:val="pct15" w:color="auto" w:fill="auto"/>
            <w:vAlign w:val="bottom"/>
          </w:tcPr>
          <w:p w14:paraId="499EE171"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8" w:type="pct"/>
            <w:tcBorders>
              <w:top w:val="nil"/>
              <w:left w:val="nil"/>
              <w:right w:val="nil"/>
            </w:tcBorders>
            <w:shd w:val="clear" w:color="auto" w:fill="auto"/>
            <w:vAlign w:val="bottom"/>
          </w:tcPr>
          <w:p w14:paraId="6F3B7E9F"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tcBorders>
            <w:shd w:val="clear" w:color="auto" w:fill="auto"/>
            <w:vAlign w:val="bottom"/>
          </w:tcPr>
          <w:p w14:paraId="58757A0B"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r w:rsidR="00F46260" w:rsidRPr="00F46260" w14:paraId="2599427A" w14:textId="77777777" w:rsidTr="00D1524E">
        <w:tblPrEx>
          <w:tblLook w:val="0000" w:firstRow="0" w:lastRow="0" w:firstColumn="0" w:lastColumn="0" w:noHBand="0" w:noVBand="0"/>
        </w:tblPrEx>
        <w:trPr>
          <w:trHeight w:val="255"/>
        </w:trPr>
        <w:tc>
          <w:tcPr>
            <w:tcW w:w="3437" w:type="pct"/>
            <w:tcBorders>
              <w:top w:val="nil"/>
              <w:bottom w:val="single" w:sz="12" w:space="0" w:color="auto"/>
              <w:right w:val="nil"/>
            </w:tcBorders>
            <w:shd w:val="clear" w:color="auto" w:fill="auto"/>
            <w:vAlign w:val="bottom"/>
          </w:tcPr>
          <w:p w14:paraId="4DF57541"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Audit of the annual financial statements</w:t>
            </w:r>
          </w:p>
        </w:tc>
        <w:tc>
          <w:tcPr>
            <w:tcW w:w="776" w:type="pct"/>
            <w:tcBorders>
              <w:top w:val="nil"/>
              <w:left w:val="nil"/>
              <w:bottom w:val="single" w:sz="12" w:space="0" w:color="auto"/>
              <w:right w:val="nil"/>
            </w:tcBorders>
            <w:shd w:val="pct15" w:color="auto" w:fill="auto"/>
            <w:vAlign w:val="bottom"/>
          </w:tcPr>
          <w:p w14:paraId="5CA028E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r w:rsidRPr="00F46260">
              <w:rPr>
                <w:rFonts w:ascii="Arial" w:eastAsia="Times New Roman" w:hAnsi="Arial" w:cs="Arial"/>
                <w:b/>
                <w:bCs/>
                <w:sz w:val="20"/>
                <w:szCs w:val="20"/>
                <w:lang w:eastAsia="en-AU"/>
              </w:rPr>
              <w:t>17,500</w:t>
            </w:r>
          </w:p>
        </w:tc>
        <w:tc>
          <w:tcPr>
            <w:tcW w:w="128" w:type="pct"/>
            <w:tcBorders>
              <w:top w:val="nil"/>
              <w:left w:val="nil"/>
              <w:bottom w:val="single" w:sz="12" w:space="0" w:color="auto"/>
              <w:right w:val="nil"/>
            </w:tcBorders>
            <w:shd w:val="clear" w:color="auto" w:fill="auto"/>
            <w:vAlign w:val="bottom"/>
          </w:tcPr>
          <w:p w14:paraId="074F4F5D"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nil"/>
              <w:left w:val="nil"/>
              <w:bottom w:val="single" w:sz="12" w:space="0" w:color="auto"/>
            </w:tcBorders>
            <w:shd w:val="clear" w:color="auto" w:fill="auto"/>
            <w:vAlign w:val="bottom"/>
          </w:tcPr>
          <w:p w14:paraId="08A463E7" w14:textId="77777777" w:rsidR="00F46260" w:rsidRPr="00F46260" w:rsidRDefault="00F46260" w:rsidP="00F46260">
            <w:pPr>
              <w:spacing w:after="0" w:line="240" w:lineRule="auto"/>
              <w:jc w:val="right"/>
              <w:rPr>
                <w:rFonts w:ascii="Arial" w:eastAsia="Times New Roman" w:hAnsi="Arial" w:cs="Arial"/>
                <w:sz w:val="20"/>
                <w:szCs w:val="20"/>
                <w:lang w:eastAsia="en-AU"/>
              </w:rPr>
            </w:pPr>
            <w:r w:rsidRPr="00F46260">
              <w:rPr>
                <w:rFonts w:ascii="Arial" w:eastAsia="Times New Roman" w:hAnsi="Arial" w:cs="Arial"/>
                <w:sz w:val="20"/>
                <w:szCs w:val="20"/>
                <w:lang w:eastAsia="en-AU"/>
              </w:rPr>
              <w:t>17,600</w:t>
            </w:r>
          </w:p>
        </w:tc>
      </w:tr>
      <w:tr w:rsidR="00F46260" w:rsidRPr="00F46260" w14:paraId="3F8860C5" w14:textId="77777777" w:rsidTr="00D1524E">
        <w:tblPrEx>
          <w:tblLook w:val="0000" w:firstRow="0" w:lastRow="0" w:firstColumn="0" w:lastColumn="0" w:noHBand="0" w:noVBand="0"/>
        </w:tblPrEx>
        <w:trPr>
          <w:trHeight w:val="270"/>
        </w:trPr>
        <w:tc>
          <w:tcPr>
            <w:tcW w:w="3437" w:type="pct"/>
            <w:tcBorders>
              <w:top w:val="single" w:sz="12" w:space="0" w:color="auto"/>
              <w:right w:val="nil"/>
            </w:tcBorders>
            <w:shd w:val="clear" w:color="auto" w:fill="auto"/>
            <w:noWrap/>
            <w:vAlign w:val="bottom"/>
          </w:tcPr>
          <w:p w14:paraId="03980696"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776" w:type="pct"/>
            <w:tcBorders>
              <w:top w:val="single" w:sz="12" w:space="0" w:color="auto"/>
              <w:left w:val="nil"/>
              <w:right w:val="nil"/>
            </w:tcBorders>
            <w:shd w:val="clear" w:color="auto" w:fill="auto"/>
            <w:vAlign w:val="bottom"/>
          </w:tcPr>
          <w:p w14:paraId="7A4147CF" w14:textId="77777777" w:rsidR="00F46260" w:rsidRPr="00F46260" w:rsidRDefault="00F46260" w:rsidP="00F46260">
            <w:pPr>
              <w:spacing w:after="0" w:line="240" w:lineRule="auto"/>
              <w:jc w:val="right"/>
              <w:rPr>
                <w:rFonts w:ascii="Arial" w:eastAsia="Times New Roman" w:hAnsi="Arial" w:cs="Arial"/>
                <w:b/>
                <w:bCs/>
                <w:sz w:val="20"/>
                <w:szCs w:val="20"/>
                <w:lang w:eastAsia="en-AU"/>
              </w:rPr>
            </w:pPr>
          </w:p>
        </w:tc>
        <w:tc>
          <w:tcPr>
            <w:tcW w:w="128" w:type="pct"/>
            <w:tcBorders>
              <w:top w:val="single" w:sz="12" w:space="0" w:color="auto"/>
              <w:left w:val="nil"/>
              <w:right w:val="nil"/>
            </w:tcBorders>
            <w:shd w:val="clear" w:color="auto" w:fill="auto"/>
            <w:vAlign w:val="bottom"/>
          </w:tcPr>
          <w:p w14:paraId="356CCD8E" w14:textId="77777777" w:rsidR="00F46260" w:rsidRPr="00F46260" w:rsidRDefault="00F46260" w:rsidP="00F46260">
            <w:pPr>
              <w:spacing w:after="0" w:line="240" w:lineRule="auto"/>
              <w:jc w:val="right"/>
              <w:rPr>
                <w:rFonts w:ascii="Arial" w:eastAsia="Times New Roman" w:hAnsi="Arial" w:cs="Arial"/>
                <w:sz w:val="20"/>
                <w:szCs w:val="20"/>
                <w:lang w:eastAsia="en-AU"/>
              </w:rPr>
            </w:pPr>
          </w:p>
        </w:tc>
        <w:tc>
          <w:tcPr>
            <w:tcW w:w="659" w:type="pct"/>
            <w:tcBorders>
              <w:top w:val="single" w:sz="12" w:space="0" w:color="auto"/>
              <w:left w:val="nil"/>
            </w:tcBorders>
            <w:shd w:val="clear" w:color="auto" w:fill="auto"/>
            <w:vAlign w:val="bottom"/>
          </w:tcPr>
          <w:p w14:paraId="2A169615" w14:textId="77777777" w:rsidR="00F46260" w:rsidRPr="00F46260" w:rsidRDefault="00F46260" w:rsidP="00F46260">
            <w:pPr>
              <w:spacing w:after="0" w:line="240" w:lineRule="auto"/>
              <w:jc w:val="right"/>
              <w:rPr>
                <w:rFonts w:ascii="Arial" w:eastAsia="Times New Roman" w:hAnsi="Arial" w:cs="Arial"/>
                <w:bCs/>
                <w:sz w:val="20"/>
                <w:szCs w:val="20"/>
                <w:lang w:eastAsia="en-AU"/>
              </w:rPr>
            </w:pPr>
          </w:p>
        </w:tc>
      </w:tr>
    </w:tbl>
    <w:p w14:paraId="6DF547CB"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No other direct services to the Commission were provided by the Victorian Auditor-General’s Office</w:t>
      </w:r>
      <w:r w:rsidRPr="00F46260">
        <w:rPr>
          <w:rFonts w:ascii="Arial" w:eastAsia="Times New Roman" w:hAnsi="Arial" w:cs="Arial"/>
          <w:b/>
          <w:color w:val="000000"/>
          <w:sz w:val="20"/>
          <w:szCs w:val="20"/>
          <w:lang w:eastAsia="en-AU"/>
        </w:rPr>
        <w:t>.</w:t>
      </w:r>
    </w:p>
    <w:p w14:paraId="75D03BF7" w14:textId="77777777" w:rsidR="00F46260" w:rsidRPr="00F46260" w:rsidRDefault="00F46260" w:rsidP="00F46260">
      <w:pPr>
        <w:spacing w:after="0" w:line="240" w:lineRule="auto"/>
        <w:rPr>
          <w:rFonts w:ascii="Arial" w:eastAsia="Times New Roman" w:hAnsi="Arial" w:cs="Arial"/>
          <w:b/>
          <w:color w:val="000000"/>
          <w:sz w:val="20"/>
          <w:szCs w:val="20"/>
          <w:lang w:eastAsia="en-AU"/>
        </w:rPr>
      </w:pPr>
    </w:p>
    <w:p w14:paraId="5099716F" w14:textId="77777777" w:rsidR="00F46260" w:rsidRPr="00F46260" w:rsidRDefault="00F46260" w:rsidP="00F46260">
      <w:pPr>
        <w:spacing w:before="60" w:after="0" w:line="240" w:lineRule="auto"/>
        <w:rPr>
          <w:rFonts w:ascii="Arial" w:eastAsia="Times New Roman" w:hAnsi="Arial" w:cs="Arial"/>
          <w:b/>
          <w:color w:val="000000"/>
          <w:sz w:val="20"/>
          <w:szCs w:val="20"/>
          <w:lang w:eastAsia="en-AU"/>
        </w:rPr>
      </w:pPr>
      <w:r w:rsidRPr="00F46260">
        <w:rPr>
          <w:rFonts w:ascii="Arial" w:eastAsia="Times New Roman" w:hAnsi="Arial" w:cs="Arial"/>
          <w:b/>
          <w:color w:val="000000"/>
          <w:sz w:val="20"/>
          <w:szCs w:val="20"/>
          <w:lang w:eastAsia="en-AU"/>
        </w:rPr>
        <w:t xml:space="preserve">8.7 </w:t>
      </w:r>
      <w:bookmarkStart w:id="61" w:name="_Hlk75376681"/>
      <w:r w:rsidRPr="00F46260">
        <w:rPr>
          <w:rFonts w:ascii="Arial" w:eastAsia="Times New Roman" w:hAnsi="Arial" w:cs="Arial"/>
          <w:b/>
          <w:color w:val="000000"/>
          <w:sz w:val="20"/>
          <w:szCs w:val="20"/>
          <w:lang w:eastAsia="en-AU"/>
        </w:rPr>
        <w:t>Australian Accounting Standards issued that are not yet effective which are applicable to the Commission</w:t>
      </w:r>
    </w:p>
    <w:p w14:paraId="29A18F29" w14:textId="77777777" w:rsidR="00F46260" w:rsidRPr="00F46260" w:rsidRDefault="00F46260" w:rsidP="00F46260">
      <w:pPr>
        <w:spacing w:after="0" w:line="240" w:lineRule="auto"/>
        <w:rPr>
          <w:rFonts w:ascii="Arial" w:eastAsia="Times New Roman" w:hAnsi="Arial" w:cs="Arial"/>
          <w:color w:val="000000"/>
          <w:sz w:val="20"/>
          <w:szCs w:val="20"/>
          <w:lang w:eastAsia="en-AU"/>
        </w:rPr>
      </w:pPr>
    </w:p>
    <w:p w14:paraId="35FDD796"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 xml:space="preserve">Certain new and revised accounting standards have been issued but are not effective for the </w:t>
      </w:r>
      <w:r w:rsidRPr="00F46260">
        <w:rPr>
          <w:rFonts w:ascii="Arial" w:eastAsia="Times New Roman" w:hAnsi="Arial" w:cs="Arial"/>
          <w:color w:val="000000"/>
          <w:sz w:val="20"/>
          <w:szCs w:val="20"/>
          <w:lang w:eastAsia="en-AU"/>
        </w:rPr>
        <w:fldChar w:fldCharType="begin"/>
      </w:r>
      <w:r w:rsidRPr="00F46260">
        <w:rPr>
          <w:rFonts w:ascii="Arial" w:eastAsia="Times New Roman" w:hAnsi="Arial" w:cs="Arial"/>
          <w:color w:val="000000"/>
          <w:sz w:val="20"/>
          <w:szCs w:val="20"/>
          <w:lang w:eastAsia="en-AU"/>
        </w:rPr>
        <w:instrText xml:space="preserve"> DOCPROPERTY  FinYearCurrent  \* MERGEFORMAT </w:instrText>
      </w:r>
      <w:r w:rsidRPr="00F46260">
        <w:rPr>
          <w:rFonts w:ascii="Arial" w:eastAsia="Times New Roman" w:hAnsi="Arial" w:cs="Arial"/>
          <w:color w:val="000000"/>
          <w:sz w:val="20"/>
          <w:szCs w:val="20"/>
          <w:lang w:eastAsia="en-AU"/>
        </w:rPr>
        <w:fldChar w:fldCharType="separate"/>
      </w:r>
      <w:r w:rsidRPr="00F46260">
        <w:rPr>
          <w:rFonts w:ascii="Arial" w:eastAsia="Times New Roman" w:hAnsi="Arial" w:cs="Arial"/>
          <w:color w:val="000000"/>
          <w:sz w:val="20"/>
          <w:szCs w:val="20"/>
          <w:lang w:eastAsia="en-AU"/>
        </w:rPr>
        <w:t>2020-21</w:t>
      </w:r>
      <w:r w:rsidRPr="00F46260">
        <w:rPr>
          <w:rFonts w:ascii="Arial" w:eastAsia="Times New Roman" w:hAnsi="Arial" w:cs="Arial"/>
          <w:color w:val="000000"/>
          <w:sz w:val="20"/>
          <w:szCs w:val="20"/>
          <w:lang w:eastAsia="en-AU"/>
        </w:rPr>
        <w:fldChar w:fldCharType="end"/>
      </w:r>
      <w:r w:rsidRPr="00F46260">
        <w:rPr>
          <w:rFonts w:ascii="Arial" w:eastAsia="Times New Roman" w:hAnsi="Arial" w:cs="Arial"/>
          <w:color w:val="000000"/>
          <w:sz w:val="20"/>
          <w:szCs w:val="20"/>
          <w:lang w:eastAsia="en-AU"/>
        </w:rPr>
        <w:t xml:space="preserve"> reporting period. These accounting standards have not been applied to the Commission’s Financial Statements. </w:t>
      </w:r>
    </w:p>
    <w:p w14:paraId="6644581A" w14:textId="77777777" w:rsidR="00F46260" w:rsidRPr="00F46260" w:rsidRDefault="00F46260" w:rsidP="00F46260">
      <w:pPr>
        <w:spacing w:after="0" w:line="240" w:lineRule="auto"/>
        <w:rPr>
          <w:rFonts w:ascii="Arial" w:eastAsia="Times New Roman" w:hAnsi="Arial" w:cs="Arial"/>
          <w:color w:val="000000"/>
          <w:sz w:val="20"/>
          <w:szCs w:val="20"/>
          <w:lang w:eastAsia="en-AU"/>
        </w:rPr>
      </w:pPr>
    </w:p>
    <w:p w14:paraId="66F4C9A4"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The Commission is reviewing its existing policies and assessing the potential implications of these accounting standards which includes:</w:t>
      </w:r>
    </w:p>
    <w:p w14:paraId="57E87D81" w14:textId="77777777" w:rsidR="00F46260" w:rsidRPr="00F46260" w:rsidRDefault="00F46260" w:rsidP="00F46260">
      <w:pPr>
        <w:spacing w:after="0" w:line="240" w:lineRule="auto"/>
        <w:rPr>
          <w:rFonts w:ascii="Arial" w:eastAsia="Times New Roman" w:hAnsi="Arial" w:cs="Arial"/>
          <w:color w:val="000000"/>
          <w:sz w:val="20"/>
          <w:szCs w:val="20"/>
          <w:lang w:eastAsia="en-AU"/>
        </w:rPr>
      </w:pPr>
    </w:p>
    <w:p w14:paraId="0D23B168" w14:textId="77777777" w:rsidR="00F46260" w:rsidRPr="00F46260" w:rsidRDefault="00F46260" w:rsidP="00F8706A">
      <w:pPr>
        <w:keepLines/>
        <w:numPr>
          <w:ilvl w:val="0"/>
          <w:numId w:val="42"/>
        </w:numPr>
        <w:spacing w:before="40" w:after="80" w:line="264"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AASB 2020-1 Amendments to Australian Accounting Standards – Classification of Liabilities as Current or Non</w:t>
      </w:r>
      <w:r w:rsidRPr="00F46260">
        <w:rPr>
          <w:rFonts w:ascii="Arial" w:eastAsia="Times New Roman" w:hAnsi="Arial" w:cs="Arial"/>
          <w:color w:val="000000"/>
          <w:sz w:val="20"/>
          <w:szCs w:val="20"/>
          <w:lang w:eastAsia="en-AU"/>
        </w:rPr>
        <w:noBreakHyphen/>
        <w:t>Current</w:t>
      </w:r>
    </w:p>
    <w:p w14:paraId="2D5999B5" w14:textId="77777777" w:rsidR="00F46260" w:rsidRPr="00F46260" w:rsidRDefault="00F46260" w:rsidP="00F46260">
      <w:pPr>
        <w:keepLines/>
        <w:spacing w:before="40" w:after="80" w:line="264" w:lineRule="auto"/>
        <w:ind w:left="397"/>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This Standard amends AASB 101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AASB 2020-6 Amendments to Australian Accounting Standards – Classification of Liabilities as Current or Non-current – Deferral of Effective Date to defer the application by one year to periods beginning on or after 1 January 2023. The Commission will not early adopt the Standard.</w:t>
      </w:r>
    </w:p>
    <w:p w14:paraId="616A6DB3" w14:textId="77777777" w:rsidR="00F46260" w:rsidRPr="00F46260" w:rsidRDefault="00F46260" w:rsidP="00F46260">
      <w:pPr>
        <w:keepLines/>
        <w:spacing w:before="40" w:after="80" w:line="264" w:lineRule="auto"/>
        <w:ind w:left="397"/>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The Commission is in the process of analysing the impacts of this Standard. However, it is not anticipated to have a material impact.</w:t>
      </w:r>
    </w:p>
    <w:p w14:paraId="4AFF47AA" w14:textId="77777777" w:rsidR="00F46260" w:rsidRPr="00F46260" w:rsidRDefault="00F46260" w:rsidP="00F46260">
      <w:pPr>
        <w:keepLines/>
        <w:spacing w:before="40" w:after="80" w:line="264" w:lineRule="auto"/>
        <w:ind w:left="397"/>
        <w:rPr>
          <w:rFonts w:ascii="Arial" w:eastAsia="Times New Roman" w:hAnsi="Arial" w:cs="Arial"/>
          <w:color w:val="000000"/>
          <w:sz w:val="20"/>
          <w:szCs w:val="20"/>
          <w:lang w:eastAsia="en-AU"/>
        </w:rPr>
      </w:pPr>
    </w:p>
    <w:p w14:paraId="3E6D2438" w14:textId="77777777" w:rsidR="00F46260" w:rsidRPr="00F46260" w:rsidRDefault="00F46260" w:rsidP="00F46260">
      <w:pPr>
        <w:spacing w:after="0" w:line="240"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 xml:space="preserve">Several other amending standards and AASB interpretations have been issued that apply to future reporting periods but are considered to have limited impact on the Commission’s reporting. </w:t>
      </w:r>
    </w:p>
    <w:p w14:paraId="7C133B8D" w14:textId="77777777" w:rsidR="00F46260" w:rsidRPr="00F46260" w:rsidRDefault="00F46260" w:rsidP="00F46260">
      <w:pPr>
        <w:spacing w:after="0" w:line="240" w:lineRule="auto"/>
        <w:rPr>
          <w:rFonts w:ascii="Arial" w:eastAsia="Times New Roman" w:hAnsi="Arial" w:cs="Arial"/>
          <w:color w:val="000000"/>
          <w:sz w:val="20"/>
          <w:szCs w:val="20"/>
          <w:lang w:eastAsia="en-AU"/>
        </w:rPr>
      </w:pPr>
    </w:p>
    <w:p w14:paraId="08E08DCE" w14:textId="77777777" w:rsidR="00F46260" w:rsidRPr="00F46260" w:rsidRDefault="00F46260" w:rsidP="00F8706A">
      <w:pPr>
        <w:keepLines/>
        <w:numPr>
          <w:ilvl w:val="0"/>
          <w:numId w:val="42"/>
        </w:numPr>
        <w:spacing w:before="40" w:after="80" w:line="264" w:lineRule="auto"/>
        <w:rPr>
          <w:rFonts w:ascii="Arial" w:eastAsia="Times New Roman" w:hAnsi="Arial" w:cs="Arial"/>
          <w:color w:val="000000"/>
          <w:sz w:val="20"/>
          <w:szCs w:val="20"/>
          <w:lang w:eastAsia="en-AU"/>
        </w:rPr>
      </w:pPr>
      <w:r w:rsidRPr="00F46260">
        <w:rPr>
          <w:rFonts w:ascii="Arial" w:eastAsia="Times New Roman" w:hAnsi="Arial" w:cs="Arial"/>
          <w:color w:val="000000"/>
          <w:sz w:val="20"/>
          <w:szCs w:val="20"/>
          <w:lang w:eastAsia="en-AU"/>
        </w:rPr>
        <w:t>AASB 2020-3 Amendments to Australian Accounting Standards – Annual Improvements 2018-2020 and Other Amendments.</w:t>
      </w:r>
    </w:p>
    <w:p w14:paraId="29ACDBCC" w14:textId="77777777" w:rsidR="00F46260" w:rsidRPr="00F46260" w:rsidRDefault="00F46260" w:rsidP="00F8706A">
      <w:pPr>
        <w:keepLines/>
        <w:numPr>
          <w:ilvl w:val="0"/>
          <w:numId w:val="42"/>
        </w:numPr>
        <w:spacing w:before="40" w:after="80" w:line="264" w:lineRule="auto"/>
        <w:rPr>
          <w:rFonts w:ascii="Arial" w:eastAsia="Calibri" w:hAnsi="Arial" w:cs="Arial"/>
          <w:color w:val="000000"/>
          <w:sz w:val="20"/>
          <w:szCs w:val="18"/>
        </w:rPr>
      </w:pPr>
      <w:r w:rsidRPr="00F46260">
        <w:rPr>
          <w:rFonts w:ascii="Arial" w:eastAsia="Times New Roman" w:hAnsi="Arial" w:cs="Arial"/>
          <w:color w:val="000000"/>
          <w:sz w:val="20"/>
          <w:szCs w:val="20"/>
          <w:lang w:eastAsia="en-AU"/>
        </w:rPr>
        <w:t>AASB 2021-2 Amendments to Australian Accounting Standards – Disclosure of Accounting Policies and Definitions of Accounting Estimates</w:t>
      </w:r>
      <w:bookmarkEnd w:id="61"/>
      <w:r w:rsidRPr="00F46260">
        <w:rPr>
          <w:rFonts w:ascii="Arial" w:eastAsia="Times New Roman" w:hAnsi="Arial" w:cs="Arial"/>
          <w:color w:val="000000"/>
          <w:sz w:val="20"/>
          <w:szCs w:val="20"/>
          <w:lang w:eastAsia="en-AU"/>
        </w:rPr>
        <w:t>.</w:t>
      </w:r>
    </w:p>
    <w:p w14:paraId="6778F148" w14:textId="77777777" w:rsidR="00F46260" w:rsidRPr="00F46260" w:rsidRDefault="00F46260" w:rsidP="00F46260">
      <w:pPr>
        <w:keepLines/>
        <w:spacing w:before="40" w:after="80" w:line="264" w:lineRule="auto"/>
        <w:ind w:left="397"/>
        <w:rPr>
          <w:rFonts w:ascii="Arial" w:eastAsia="Times New Roman" w:hAnsi="Arial" w:cs="Arial"/>
          <w:color w:val="000000"/>
          <w:sz w:val="20"/>
          <w:szCs w:val="20"/>
          <w:lang w:eastAsia="en-AU"/>
        </w:rPr>
      </w:pPr>
    </w:p>
    <w:p w14:paraId="25CD3EA2" w14:textId="77777777" w:rsidR="00F46260" w:rsidRPr="00F46260" w:rsidRDefault="00F46260" w:rsidP="00F46260">
      <w:pPr>
        <w:keepLines/>
        <w:spacing w:before="60" w:after="0" w:line="240" w:lineRule="auto"/>
        <w:ind w:left="284"/>
        <w:contextualSpacing/>
        <w:rPr>
          <w:rFonts w:ascii="Calibri" w:eastAsia="Calibri" w:hAnsi="Calibri"/>
          <w:spacing w:val="2"/>
          <w:sz w:val="18"/>
          <w:szCs w:val="18"/>
        </w:rPr>
      </w:pPr>
      <w:bookmarkStart w:id="62" w:name="_Toc492305472"/>
    </w:p>
    <w:bookmarkEnd w:id="62"/>
    <w:tbl>
      <w:tblPr>
        <w:tblW w:w="0" w:type="auto"/>
        <w:tblLook w:val="01E0" w:firstRow="1" w:lastRow="1" w:firstColumn="1" w:lastColumn="1" w:noHBand="0" w:noVBand="0"/>
      </w:tblPr>
      <w:tblGrid>
        <w:gridCol w:w="4677"/>
        <w:gridCol w:w="4678"/>
      </w:tblGrid>
      <w:tr w:rsidR="00F46260" w:rsidRPr="00F46260" w14:paraId="0FE46D7D" w14:textId="77777777" w:rsidTr="00F46260">
        <w:tc>
          <w:tcPr>
            <w:tcW w:w="4714" w:type="dxa"/>
            <w:shd w:val="clear" w:color="auto" w:fill="auto"/>
          </w:tcPr>
          <w:p w14:paraId="4DE8A0C5" w14:textId="77777777" w:rsidR="00F46260" w:rsidRPr="00F46260" w:rsidRDefault="00F46260" w:rsidP="00F46260">
            <w:pPr>
              <w:spacing w:after="0" w:line="240" w:lineRule="auto"/>
              <w:rPr>
                <w:rFonts w:ascii="Arial" w:eastAsia="Times New Roman" w:hAnsi="Arial" w:cs="Arial"/>
                <w:sz w:val="20"/>
                <w:szCs w:val="20"/>
                <w:lang w:eastAsia="en-AU"/>
              </w:rPr>
            </w:pPr>
          </w:p>
        </w:tc>
        <w:tc>
          <w:tcPr>
            <w:tcW w:w="4715" w:type="dxa"/>
            <w:shd w:val="clear" w:color="auto" w:fill="auto"/>
          </w:tcPr>
          <w:p w14:paraId="706C9030" w14:textId="77777777" w:rsidR="00F46260" w:rsidRPr="00F46260" w:rsidRDefault="00F46260" w:rsidP="00F46260">
            <w:pPr>
              <w:spacing w:after="0" w:line="240" w:lineRule="auto"/>
              <w:jc w:val="both"/>
              <w:rPr>
                <w:rFonts w:ascii="Arial" w:eastAsia="Times New Roman" w:hAnsi="Arial" w:cs="Arial"/>
                <w:sz w:val="20"/>
                <w:szCs w:val="20"/>
                <w:lang w:eastAsia="en-AU"/>
              </w:rPr>
            </w:pPr>
          </w:p>
        </w:tc>
      </w:tr>
    </w:tbl>
    <w:p w14:paraId="49490530" w14:textId="77777777" w:rsidR="00F46260" w:rsidRPr="00F46260" w:rsidRDefault="00F46260" w:rsidP="00F46260">
      <w:pPr>
        <w:spacing w:after="0" w:line="240" w:lineRule="auto"/>
        <w:rPr>
          <w:rFonts w:ascii="Arial" w:eastAsia="Times New Roman" w:hAnsi="Arial" w:cs="Arial"/>
          <w:sz w:val="20"/>
          <w:szCs w:val="20"/>
          <w:lang w:eastAsia="en-AU"/>
        </w:rPr>
        <w:sectPr w:rsidR="00F46260" w:rsidRPr="00F46260" w:rsidSect="00F46260">
          <w:pgSz w:w="11907" w:h="16840" w:code="9"/>
          <w:pgMar w:top="1440" w:right="1276" w:bottom="1440" w:left="1276" w:header="720" w:footer="720" w:gutter="0"/>
          <w:cols w:space="720"/>
          <w:titlePg/>
          <w:docGrid w:linePitch="326"/>
        </w:sectPr>
      </w:pPr>
    </w:p>
    <w:p w14:paraId="1158E5CC" w14:textId="77777777" w:rsidR="00F46260" w:rsidRPr="00F46260" w:rsidRDefault="00F46260" w:rsidP="00F46260">
      <w:pPr>
        <w:tabs>
          <w:tab w:val="left" w:pos="1384"/>
        </w:tabs>
        <w:spacing w:after="0" w:line="240" w:lineRule="auto"/>
        <w:rPr>
          <w:rFonts w:ascii="Arial" w:eastAsia="Times New Roman" w:hAnsi="Arial" w:cs="Arial"/>
          <w:b/>
          <w:sz w:val="20"/>
          <w:szCs w:val="20"/>
          <w:lang w:eastAsia="en-AU"/>
        </w:rPr>
      </w:pPr>
      <w:r w:rsidRPr="00F46260">
        <w:rPr>
          <w:rFonts w:ascii="Arial" w:eastAsia="Times New Roman" w:hAnsi="Arial" w:cs="Arial"/>
          <w:b/>
          <w:sz w:val="20"/>
          <w:szCs w:val="20"/>
          <w:lang w:eastAsia="en-AU"/>
        </w:rPr>
        <w:lastRenderedPageBreak/>
        <w:t>ACCOUNTABLE OFFICER’S AND CHIEF FINANCIAL OFFICER’S DECLARATION</w:t>
      </w:r>
    </w:p>
    <w:p w14:paraId="1A74710B" w14:textId="77777777" w:rsidR="00F46260" w:rsidRPr="00F46260" w:rsidRDefault="00F46260" w:rsidP="00F46260">
      <w:pPr>
        <w:tabs>
          <w:tab w:val="center" w:pos="4320"/>
          <w:tab w:val="right" w:pos="8640"/>
        </w:tabs>
        <w:spacing w:after="0" w:line="240" w:lineRule="auto"/>
        <w:rPr>
          <w:rFonts w:ascii="Arial" w:eastAsia="Times New Roman" w:hAnsi="Arial" w:cs="Arial"/>
          <w:sz w:val="20"/>
          <w:szCs w:val="20"/>
          <w:lang w:eastAsia="en-AU"/>
        </w:rPr>
      </w:pPr>
    </w:p>
    <w:p w14:paraId="002173BD"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The attached financial statements for the Victorian Public Sector Commission have been prepared in accordance with Direction 5.2 of the Standing Directions of the Minister of Finance under the </w:t>
      </w:r>
      <w:r w:rsidRPr="00F46260">
        <w:rPr>
          <w:rFonts w:ascii="Arial" w:eastAsia="Times New Roman" w:hAnsi="Arial" w:cs="Arial"/>
          <w:i/>
          <w:sz w:val="20"/>
          <w:szCs w:val="20"/>
          <w:lang w:eastAsia="en-AU"/>
        </w:rPr>
        <w:t>Financial Management Act 1994</w:t>
      </w:r>
      <w:r w:rsidRPr="00F46260">
        <w:rPr>
          <w:rFonts w:ascii="Arial" w:eastAsia="Times New Roman" w:hAnsi="Arial" w:cs="Arial"/>
          <w:sz w:val="20"/>
          <w:szCs w:val="20"/>
          <w:lang w:eastAsia="en-AU"/>
        </w:rPr>
        <w:t>, applicable Financial Reporting Directions, Australian Accounting Standards including interpretations, and other mandatory professional reporting requirements.</w:t>
      </w:r>
    </w:p>
    <w:p w14:paraId="1E61CABE" w14:textId="77777777" w:rsidR="00F46260" w:rsidRPr="00F46260" w:rsidRDefault="00F46260" w:rsidP="00F46260">
      <w:pPr>
        <w:spacing w:after="0" w:line="240" w:lineRule="auto"/>
        <w:rPr>
          <w:rFonts w:ascii="Arial" w:eastAsia="Times New Roman" w:hAnsi="Arial" w:cs="Arial"/>
          <w:sz w:val="20"/>
          <w:szCs w:val="20"/>
          <w:lang w:eastAsia="en-AU"/>
        </w:rPr>
      </w:pPr>
    </w:p>
    <w:p w14:paraId="28AB8D87"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sz w:val="20"/>
          <w:szCs w:val="20"/>
          <w:lang w:eastAsia="en-AU"/>
        </w:rPr>
        <w:t>We further state that, in our opinion, the information set out in the comprehensive operating statement, balance sheet, cash flow statement, statement of changes in equity and accompanying notes, presents fairly the financial transactions during the year ended 30 June 2021 and the financial position of the Victorian Public Sector Commission as at 30 June 2021.</w:t>
      </w:r>
    </w:p>
    <w:p w14:paraId="5861463D" w14:textId="77777777" w:rsidR="00F46260" w:rsidRPr="00F46260" w:rsidRDefault="00F46260" w:rsidP="00F46260">
      <w:pPr>
        <w:spacing w:after="0" w:line="240" w:lineRule="auto"/>
        <w:rPr>
          <w:rFonts w:ascii="Arial" w:eastAsia="Times New Roman" w:hAnsi="Arial" w:cs="Arial"/>
          <w:sz w:val="20"/>
          <w:szCs w:val="20"/>
          <w:lang w:eastAsia="en-AU"/>
        </w:rPr>
      </w:pPr>
    </w:p>
    <w:p w14:paraId="26D075F7" w14:textId="77777777"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color w:val="000000"/>
          <w:sz w:val="20"/>
          <w:szCs w:val="20"/>
          <w:lang w:eastAsia="en-AU"/>
        </w:rPr>
        <w:t>At the time of signing, w</w:t>
      </w:r>
      <w:r w:rsidRPr="00F46260">
        <w:rPr>
          <w:rFonts w:ascii="Arial" w:eastAsia="Times New Roman" w:hAnsi="Arial" w:cs="Arial"/>
          <w:sz w:val="20"/>
          <w:szCs w:val="20"/>
          <w:lang w:eastAsia="en-AU"/>
        </w:rPr>
        <w:t>e are not aware of any circumstance which would render any particulars included in the financial statements to be misleading or inaccurate.</w:t>
      </w:r>
    </w:p>
    <w:p w14:paraId="264A5C79" w14:textId="77777777" w:rsidR="00F46260" w:rsidRPr="00F46260" w:rsidRDefault="00F46260" w:rsidP="00F46260">
      <w:pPr>
        <w:spacing w:after="0" w:line="240" w:lineRule="auto"/>
        <w:rPr>
          <w:rFonts w:ascii="Arial" w:eastAsia="Times New Roman" w:hAnsi="Arial" w:cs="Arial"/>
          <w:sz w:val="20"/>
          <w:szCs w:val="20"/>
          <w:lang w:eastAsia="en-AU"/>
        </w:rPr>
      </w:pPr>
    </w:p>
    <w:p w14:paraId="0DCA5C56" w14:textId="59CFDDE4" w:rsidR="00F46260" w:rsidRPr="00F46260" w:rsidRDefault="00F46260" w:rsidP="00F46260">
      <w:pPr>
        <w:spacing w:after="0" w:line="240" w:lineRule="auto"/>
        <w:rPr>
          <w:rFonts w:ascii="Arial" w:eastAsia="Times New Roman" w:hAnsi="Arial" w:cs="Arial"/>
          <w:sz w:val="20"/>
          <w:szCs w:val="20"/>
          <w:lang w:eastAsia="en-AU"/>
        </w:rPr>
      </w:pPr>
      <w:r w:rsidRPr="00F46260">
        <w:rPr>
          <w:rFonts w:ascii="Arial" w:eastAsia="Times New Roman" w:hAnsi="Arial" w:cs="Arial"/>
          <w:color w:val="000000"/>
          <w:sz w:val="20"/>
          <w:szCs w:val="20"/>
          <w:lang w:eastAsia="en-AU"/>
        </w:rPr>
        <w:t xml:space="preserve">We authorise the attached financial statements for issue on </w:t>
      </w:r>
      <w:r w:rsidR="00431287">
        <w:rPr>
          <w:rFonts w:ascii="Arial" w:eastAsia="Times New Roman" w:hAnsi="Arial" w:cs="Arial"/>
          <w:color w:val="000000"/>
          <w:sz w:val="20"/>
          <w:szCs w:val="20"/>
          <w:lang w:eastAsia="en-AU"/>
        </w:rPr>
        <w:t>6 September</w:t>
      </w:r>
      <w:r w:rsidRPr="00F46260">
        <w:rPr>
          <w:rFonts w:ascii="Arial" w:eastAsia="Times New Roman" w:hAnsi="Arial" w:cs="Arial"/>
          <w:color w:val="000000"/>
          <w:sz w:val="20"/>
          <w:szCs w:val="20"/>
          <w:lang w:eastAsia="en-AU"/>
        </w:rPr>
        <w:t xml:space="preserve"> 2021.</w:t>
      </w:r>
    </w:p>
    <w:p w14:paraId="27450292" w14:textId="77777777" w:rsidR="00F46260" w:rsidRPr="00F46260" w:rsidRDefault="00F46260" w:rsidP="00F46260">
      <w:pPr>
        <w:spacing w:after="0" w:line="240" w:lineRule="auto"/>
        <w:rPr>
          <w:rFonts w:ascii="Arial" w:eastAsia="Times New Roman" w:hAnsi="Arial" w:cs="Arial"/>
          <w:sz w:val="20"/>
          <w:szCs w:val="20"/>
          <w:lang w:eastAsia="en-AU"/>
        </w:rPr>
      </w:pPr>
    </w:p>
    <w:p w14:paraId="5981E02D" w14:textId="3FBBA029" w:rsidR="00F46260" w:rsidRPr="00F46260" w:rsidRDefault="00F46260" w:rsidP="00F46260">
      <w:pPr>
        <w:spacing w:after="0" w:line="240" w:lineRule="auto"/>
        <w:rPr>
          <w:rFonts w:ascii="Arial" w:eastAsia="Times New Roman" w:hAnsi="Arial" w:cs="Arial"/>
          <w:sz w:val="20"/>
          <w:szCs w:val="20"/>
          <w:lang w:eastAsia="en-AU"/>
        </w:rPr>
      </w:pPr>
    </w:p>
    <w:p w14:paraId="66821389" w14:textId="55A0D634" w:rsidR="00F46260" w:rsidRPr="00F46260" w:rsidRDefault="00F46260" w:rsidP="00F46260">
      <w:pPr>
        <w:spacing w:after="0" w:line="240" w:lineRule="auto"/>
        <w:rPr>
          <w:rFonts w:ascii="Arial" w:eastAsia="Times New Roman" w:hAnsi="Arial" w:cs="Arial"/>
          <w:sz w:val="20"/>
          <w:szCs w:val="20"/>
          <w:lang w:eastAsia="en-AU"/>
        </w:rPr>
      </w:pPr>
    </w:p>
    <w:p w14:paraId="27344BE8" w14:textId="1F975C9F" w:rsidR="00F46260" w:rsidRPr="00F46260" w:rsidRDefault="00F46260" w:rsidP="00F46260">
      <w:pPr>
        <w:spacing w:after="0" w:line="240" w:lineRule="auto"/>
        <w:rPr>
          <w:rFonts w:ascii="Arial" w:eastAsia="Times New Roman" w:hAnsi="Arial" w:cs="Arial"/>
          <w:sz w:val="20"/>
          <w:szCs w:val="20"/>
          <w:lang w:eastAsia="en-AU"/>
        </w:rPr>
      </w:pPr>
    </w:p>
    <w:p w14:paraId="3F6B615D" w14:textId="77777777" w:rsidR="00431287" w:rsidRDefault="00431287" w:rsidP="00F46260">
      <w:pPr>
        <w:tabs>
          <w:tab w:val="left" w:leader="dot" w:pos="2835"/>
          <w:tab w:val="left" w:pos="5103"/>
          <w:tab w:val="left" w:leader="dot" w:pos="7938"/>
        </w:tabs>
        <w:spacing w:after="0" w:line="240" w:lineRule="auto"/>
        <w:rPr>
          <w:rFonts w:ascii="Arial" w:eastAsia="Times New Roman" w:hAnsi="Arial" w:cs="Arial"/>
          <w:lang w:eastAsia="en-AU"/>
        </w:rPr>
      </w:pPr>
    </w:p>
    <w:p w14:paraId="1C50D4A8" w14:textId="3217357A" w:rsidR="00F46260" w:rsidRPr="00F46260" w:rsidRDefault="00F46260" w:rsidP="00F46260">
      <w:pPr>
        <w:tabs>
          <w:tab w:val="left" w:leader="dot" w:pos="2835"/>
          <w:tab w:val="left" w:pos="5103"/>
          <w:tab w:val="left" w:leader="dot" w:pos="7938"/>
        </w:tabs>
        <w:spacing w:after="0" w:line="240" w:lineRule="auto"/>
        <w:rPr>
          <w:rFonts w:ascii="Arial" w:eastAsia="Times New Roman" w:hAnsi="Arial" w:cs="Arial"/>
          <w:lang w:eastAsia="en-AU"/>
        </w:rPr>
      </w:pPr>
      <w:r w:rsidRPr="00F46260">
        <w:rPr>
          <w:rFonts w:ascii="Arial" w:eastAsia="Times New Roman" w:hAnsi="Arial" w:cs="Arial"/>
          <w:lang w:eastAsia="en-AU"/>
        </w:rPr>
        <w:tab/>
        <w:t xml:space="preserve">                                    ………………………………………..</w:t>
      </w:r>
    </w:p>
    <w:tbl>
      <w:tblPr>
        <w:tblW w:w="0" w:type="auto"/>
        <w:tblLook w:val="01E0" w:firstRow="1" w:lastRow="1" w:firstColumn="1" w:lastColumn="1" w:noHBand="0" w:noVBand="0"/>
      </w:tblPr>
      <w:tblGrid>
        <w:gridCol w:w="4527"/>
        <w:gridCol w:w="4543"/>
      </w:tblGrid>
      <w:tr w:rsidR="00F46260" w:rsidRPr="00F46260" w14:paraId="2B89E647" w14:textId="77777777" w:rsidTr="00F46260">
        <w:tc>
          <w:tcPr>
            <w:tcW w:w="4714" w:type="dxa"/>
            <w:shd w:val="clear" w:color="auto" w:fill="auto"/>
          </w:tcPr>
          <w:p w14:paraId="63FAEE8C" w14:textId="77777777" w:rsidR="00F46260" w:rsidRPr="00F46260" w:rsidRDefault="00F46260" w:rsidP="00F46260">
            <w:pPr>
              <w:spacing w:after="0" w:line="240" w:lineRule="auto"/>
              <w:jc w:val="both"/>
              <w:rPr>
                <w:rFonts w:ascii="Arial" w:eastAsia="Times New Roman" w:hAnsi="Arial" w:cs="Arial"/>
                <w:b/>
                <w:sz w:val="20"/>
                <w:szCs w:val="20"/>
                <w:lang w:eastAsia="en-AU"/>
              </w:rPr>
            </w:pPr>
          </w:p>
          <w:p w14:paraId="2C9E4F92" w14:textId="77777777" w:rsidR="00F46260" w:rsidRPr="00F46260" w:rsidRDefault="00F46260" w:rsidP="00F46260">
            <w:pPr>
              <w:spacing w:after="0" w:line="240" w:lineRule="auto"/>
              <w:jc w:val="both"/>
              <w:rPr>
                <w:rFonts w:ascii="Arial" w:eastAsia="Times New Roman" w:hAnsi="Arial" w:cs="Arial"/>
                <w:b/>
                <w:sz w:val="20"/>
                <w:szCs w:val="20"/>
                <w:lang w:eastAsia="en-AU"/>
              </w:rPr>
            </w:pPr>
            <w:r w:rsidRPr="00F46260">
              <w:rPr>
                <w:rFonts w:ascii="Arial" w:eastAsia="Times New Roman" w:hAnsi="Arial" w:cs="Arial"/>
                <w:b/>
                <w:sz w:val="20"/>
                <w:szCs w:val="20"/>
                <w:lang w:eastAsia="en-AU"/>
              </w:rPr>
              <w:t>Andrew Davis</w:t>
            </w:r>
          </w:p>
        </w:tc>
        <w:tc>
          <w:tcPr>
            <w:tcW w:w="4715" w:type="dxa"/>
            <w:shd w:val="clear" w:color="auto" w:fill="auto"/>
          </w:tcPr>
          <w:p w14:paraId="505F5E4B" w14:textId="77777777" w:rsidR="00F46260" w:rsidRPr="00F46260" w:rsidRDefault="00F46260" w:rsidP="00F46260">
            <w:pPr>
              <w:spacing w:after="0" w:line="240" w:lineRule="auto"/>
              <w:jc w:val="both"/>
              <w:rPr>
                <w:rFonts w:ascii="Arial" w:eastAsia="Times New Roman" w:hAnsi="Arial" w:cs="Arial"/>
                <w:b/>
                <w:sz w:val="20"/>
                <w:szCs w:val="20"/>
                <w:lang w:eastAsia="en-AU"/>
              </w:rPr>
            </w:pPr>
          </w:p>
          <w:p w14:paraId="75B13D4F" w14:textId="77777777" w:rsidR="00F46260" w:rsidRPr="00F46260" w:rsidRDefault="00F46260" w:rsidP="00F46260">
            <w:pPr>
              <w:spacing w:after="0" w:line="240" w:lineRule="auto"/>
              <w:jc w:val="both"/>
              <w:rPr>
                <w:rFonts w:ascii="Arial" w:eastAsia="Times New Roman" w:hAnsi="Arial" w:cs="Arial"/>
                <w:b/>
                <w:sz w:val="20"/>
                <w:szCs w:val="20"/>
                <w:lang w:eastAsia="en-AU"/>
              </w:rPr>
            </w:pPr>
            <w:r w:rsidRPr="00F46260">
              <w:rPr>
                <w:rFonts w:ascii="Arial" w:eastAsia="Times New Roman" w:hAnsi="Arial" w:cs="Arial"/>
                <w:b/>
                <w:sz w:val="20"/>
                <w:szCs w:val="20"/>
                <w:lang w:eastAsia="en-AU"/>
              </w:rPr>
              <w:t xml:space="preserve">      Adam Fennessy PSM</w:t>
            </w:r>
          </w:p>
        </w:tc>
      </w:tr>
      <w:tr w:rsidR="00F46260" w:rsidRPr="00F46260" w14:paraId="4583F7A8" w14:textId="77777777" w:rsidTr="00F46260">
        <w:tc>
          <w:tcPr>
            <w:tcW w:w="4714" w:type="dxa"/>
            <w:shd w:val="clear" w:color="auto" w:fill="auto"/>
          </w:tcPr>
          <w:p w14:paraId="6453FEE4" w14:textId="77777777" w:rsidR="00F46260" w:rsidRPr="00F46260" w:rsidRDefault="00F46260" w:rsidP="00F46260">
            <w:pPr>
              <w:spacing w:after="0" w:line="240" w:lineRule="auto"/>
              <w:jc w:val="both"/>
              <w:rPr>
                <w:rFonts w:ascii="Arial" w:eastAsia="Times New Roman" w:hAnsi="Arial" w:cs="Arial"/>
                <w:sz w:val="20"/>
                <w:szCs w:val="20"/>
                <w:lang w:eastAsia="en-AU"/>
              </w:rPr>
            </w:pPr>
            <w:r w:rsidRPr="00F46260">
              <w:rPr>
                <w:rFonts w:ascii="Arial" w:eastAsia="Times New Roman" w:hAnsi="Arial" w:cs="Arial"/>
                <w:sz w:val="20"/>
                <w:szCs w:val="20"/>
                <w:lang w:eastAsia="en-AU"/>
              </w:rPr>
              <w:t>Chief Financial Officer</w:t>
            </w:r>
          </w:p>
        </w:tc>
        <w:tc>
          <w:tcPr>
            <w:tcW w:w="4715" w:type="dxa"/>
            <w:shd w:val="clear" w:color="auto" w:fill="auto"/>
          </w:tcPr>
          <w:p w14:paraId="05666D83" w14:textId="77777777" w:rsidR="00F46260" w:rsidRPr="00F46260" w:rsidRDefault="00F46260" w:rsidP="00F46260">
            <w:pPr>
              <w:spacing w:after="0" w:line="240" w:lineRule="auto"/>
              <w:jc w:val="both"/>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      Victorian Public Sector Commissioner</w:t>
            </w:r>
          </w:p>
        </w:tc>
      </w:tr>
      <w:tr w:rsidR="00F46260" w:rsidRPr="00F46260" w14:paraId="5D49B4A8" w14:textId="77777777" w:rsidTr="00F46260">
        <w:tc>
          <w:tcPr>
            <w:tcW w:w="4714" w:type="dxa"/>
            <w:shd w:val="clear" w:color="auto" w:fill="auto"/>
          </w:tcPr>
          <w:p w14:paraId="72C0C34B" w14:textId="77777777" w:rsidR="00F46260" w:rsidRPr="00F46260" w:rsidRDefault="00F46260" w:rsidP="00F46260">
            <w:pPr>
              <w:spacing w:after="0" w:line="240" w:lineRule="auto"/>
              <w:jc w:val="both"/>
              <w:rPr>
                <w:rFonts w:ascii="Arial" w:eastAsia="Times New Roman" w:hAnsi="Arial" w:cs="Arial"/>
                <w:sz w:val="20"/>
                <w:szCs w:val="20"/>
                <w:lang w:eastAsia="en-AU"/>
              </w:rPr>
            </w:pPr>
          </w:p>
          <w:p w14:paraId="6810F739" w14:textId="77777777" w:rsidR="00F46260" w:rsidRPr="00F46260" w:rsidRDefault="00F46260" w:rsidP="00F46260">
            <w:pPr>
              <w:spacing w:after="0" w:line="240" w:lineRule="auto"/>
              <w:jc w:val="both"/>
              <w:rPr>
                <w:rFonts w:ascii="Arial" w:eastAsia="Times New Roman" w:hAnsi="Arial" w:cs="Arial"/>
                <w:sz w:val="20"/>
                <w:szCs w:val="20"/>
                <w:lang w:eastAsia="en-AU"/>
              </w:rPr>
            </w:pPr>
            <w:r w:rsidRPr="00F46260">
              <w:rPr>
                <w:rFonts w:ascii="Arial" w:eastAsia="Times New Roman" w:hAnsi="Arial" w:cs="Arial"/>
                <w:sz w:val="20"/>
                <w:szCs w:val="20"/>
                <w:lang w:eastAsia="en-AU"/>
              </w:rPr>
              <w:t>Melbourne</w:t>
            </w:r>
          </w:p>
        </w:tc>
        <w:tc>
          <w:tcPr>
            <w:tcW w:w="4715" w:type="dxa"/>
            <w:shd w:val="clear" w:color="auto" w:fill="auto"/>
          </w:tcPr>
          <w:p w14:paraId="6DE943F5" w14:textId="77777777" w:rsidR="00F46260" w:rsidRPr="00F46260" w:rsidRDefault="00F46260" w:rsidP="00F46260">
            <w:pPr>
              <w:spacing w:after="0" w:line="240" w:lineRule="auto"/>
              <w:jc w:val="both"/>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      </w:t>
            </w:r>
          </w:p>
          <w:p w14:paraId="28E110AE" w14:textId="77777777" w:rsidR="00F46260" w:rsidRPr="00F46260" w:rsidRDefault="00F46260" w:rsidP="00F46260">
            <w:pPr>
              <w:spacing w:after="0" w:line="240" w:lineRule="auto"/>
              <w:jc w:val="both"/>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      Melbourne</w:t>
            </w:r>
          </w:p>
        </w:tc>
      </w:tr>
      <w:tr w:rsidR="00F46260" w:rsidRPr="00F46260" w14:paraId="40A3FE38" w14:textId="77777777" w:rsidTr="00F46260">
        <w:tc>
          <w:tcPr>
            <w:tcW w:w="4714" w:type="dxa"/>
            <w:shd w:val="clear" w:color="auto" w:fill="auto"/>
          </w:tcPr>
          <w:p w14:paraId="6FA47BE0" w14:textId="7E8D996B" w:rsidR="00F46260" w:rsidRPr="00F46260" w:rsidRDefault="00431287" w:rsidP="00F46260">
            <w:pPr>
              <w:spacing w:after="0" w:line="240" w:lineRule="auto"/>
              <w:jc w:val="both"/>
              <w:rPr>
                <w:rFonts w:ascii="Arial" w:eastAsia="Times New Roman" w:hAnsi="Arial" w:cs="Arial"/>
                <w:sz w:val="20"/>
                <w:szCs w:val="20"/>
                <w:lang w:eastAsia="en-AU"/>
              </w:rPr>
            </w:pPr>
            <w:r>
              <w:rPr>
                <w:rFonts w:ascii="Arial" w:eastAsia="Times New Roman" w:hAnsi="Arial" w:cs="Arial"/>
                <w:color w:val="000000"/>
                <w:sz w:val="20"/>
                <w:szCs w:val="20"/>
                <w:lang w:eastAsia="en-AU"/>
              </w:rPr>
              <w:t>6 September</w:t>
            </w:r>
            <w:r w:rsidR="00F46260" w:rsidRPr="00F46260">
              <w:rPr>
                <w:rFonts w:ascii="Arial" w:eastAsia="Times New Roman" w:hAnsi="Arial" w:cs="Arial"/>
                <w:color w:val="000000"/>
                <w:sz w:val="20"/>
                <w:szCs w:val="20"/>
                <w:lang w:eastAsia="en-AU"/>
              </w:rPr>
              <w:t xml:space="preserve"> 2021</w:t>
            </w:r>
          </w:p>
        </w:tc>
        <w:tc>
          <w:tcPr>
            <w:tcW w:w="4715" w:type="dxa"/>
            <w:shd w:val="clear" w:color="auto" w:fill="auto"/>
          </w:tcPr>
          <w:p w14:paraId="14314154" w14:textId="5E2DE310" w:rsidR="00F46260" w:rsidRPr="00F46260" w:rsidRDefault="00F46260" w:rsidP="00F46260">
            <w:pPr>
              <w:spacing w:after="0" w:line="240" w:lineRule="auto"/>
              <w:jc w:val="both"/>
              <w:rPr>
                <w:rFonts w:ascii="Arial" w:eastAsia="Times New Roman" w:hAnsi="Arial" w:cs="Arial"/>
                <w:sz w:val="20"/>
                <w:szCs w:val="20"/>
                <w:lang w:eastAsia="en-AU"/>
              </w:rPr>
            </w:pPr>
            <w:r w:rsidRPr="00F46260">
              <w:rPr>
                <w:rFonts w:ascii="Arial" w:eastAsia="Times New Roman" w:hAnsi="Arial" w:cs="Arial"/>
                <w:sz w:val="20"/>
                <w:szCs w:val="20"/>
                <w:lang w:eastAsia="en-AU"/>
              </w:rPr>
              <w:t xml:space="preserve">      </w:t>
            </w:r>
            <w:r w:rsidR="00431287">
              <w:rPr>
                <w:rFonts w:ascii="Arial" w:eastAsia="Times New Roman" w:hAnsi="Arial" w:cs="Arial"/>
                <w:sz w:val="20"/>
                <w:szCs w:val="20"/>
                <w:lang w:eastAsia="en-AU"/>
              </w:rPr>
              <w:t>6</w:t>
            </w:r>
            <w:r w:rsidRPr="00F46260">
              <w:rPr>
                <w:rFonts w:ascii="Arial" w:eastAsia="Times New Roman" w:hAnsi="Arial" w:cs="Arial"/>
                <w:color w:val="000000"/>
                <w:sz w:val="20"/>
                <w:szCs w:val="20"/>
                <w:lang w:eastAsia="en-AU"/>
              </w:rPr>
              <w:t xml:space="preserve"> </w:t>
            </w:r>
            <w:r w:rsidR="00431287">
              <w:rPr>
                <w:rFonts w:ascii="Arial" w:eastAsia="Times New Roman" w:hAnsi="Arial" w:cs="Arial"/>
                <w:color w:val="000000"/>
                <w:sz w:val="20"/>
                <w:szCs w:val="20"/>
                <w:lang w:eastAsia="en-AU"/>
              </w:rPr>
              <w:t>September</w:t>
            </w:r>
            <w:r w:rsidRPr="00F46260">
              <w:rPr>
                <w:rFonts w:ascii="Arial" w:eastAsia="Times New Roman" w:hAnsi="Arial" w:cs="Arial"/>
                <w:color w:val="000000"/>
                <w:sz w:val="20"/>
                <w:szCs w:val="20"/>
                <w:lang w:eastAsia="en-AU"/>
              </w:rPr>
              <w:t xml:space="preserve"> 2021</w:t>
            </w:r>
          </w:p>
        </w:tc>
      </w:tr>
    </w:tbl>
    <w:p w14:paraId="6E5C87DA" w14:textId="77777777" w:rsidR="00F46260" w:rsidRPr="00F46260" w:rsidRDefault="00F46260" w:rsidP="00F46260">
      <w:pPr>
        <w:spacing w:after="0" w:line="240" w:lineRule="auto"/>
        <w:rPr>
          <w:rFonts w:ascii="Arial" w:eastAsia="Times New Roman" w:hAnsi="Arial" w:cs="Arial"/>
          <w:sz w:val="20"/>
          <w:szCs w:val="20"/>
          <w:lang w:eastAsia="en-AU"/>
        </w:rPr>
      </w:pPr>
    </w:p>
    <w:p w14:paraId="5D30DFAE" w14:textId="626B3CC7" w:rsidR="00121EF6" w:rsidRDefault="00121EF6" w:rsidP="00121EF6">
      <w:pPr>
        <w:spacing w:after="0" w:line="240" w:lineRule="auto"/>
        <w:rPr>
          <w:rFonts w:ascii="Arial" w:eastAsia="Times New Roman" w:hAnsi="Arial" w:cs="Arial"/>
          <w:b/>
          <w:sz w:val="20"/>
          <w:szCs w:val="20"/>
          <w:lang w:eastAsia="en-AU"/>
        </w:rPr>
      </w:pPr>
      <w:r>
        <w:rPr>
          <w:rStyle w:val="Hyperlink"/>
          <w:color w:val="53565A"/>
          <w:u w:val="none"/>
        </w:rPr>
        <w:br w:type="page"/>
      </w:r>
      <w:r>
        <w:rPr>
          <w:rFonts w:ascii="Arial" w:eastAsia="Times New Roman" w:hAnsi="Arial" w:cs="Arial"/>
          <w:b/>
          <w:sz w:val="20"/>
          <w:szCs w:val="20"/>
          <w:lang w:eastAsia="en-AU"/>
        </w:rPr>
        <w:lastRenderedPageBreak/>
        <w:t>VICTORIAN AUDITOR GENERAL’S OFFICE INDEPENDENT AUDITOR’S REPORT</w:t>
      </w:r>
    </w:p>
    <w:p w14:paraId="47079042" w14:textId="77777777" w:rsidR="008067C3" w:rsidRPr="00121EF6" w:rsidRDefault="008067C3" w:rsidP="00121EF6">
      <w:pPr>
        <w:spacing w:after="0" w:line="240" w:lineRule="auto"/>
        <w:rPr>
          <w:rFonts w:asciiTheme="majorHAnsi" w:hAnsiTheme="majorHAnsi" w:cstheme="majorBidi"/>
          <w:color w:val="53565A"/>
          <w:sz w:val="36"/>
          <w:szCs w:val="36"/>
        </w:rPr>
      </w:pPr>
    </w:p>
    <w:p w14:paraId="5646D30B" w14:textId="08B23C3B" w:rsidR="008067C3" w:rsidRDefault="008067C3">
      <w:pPr>
        <w:spacing w:after="0" w:line="240" w:lineRule="auto"/>
        <w:rPr>
          <w:rFonts w:ascii="Arial" w:eastAsia="Times New Roman" w:hAnsi="Arial" w:cs="Arial"/>
          <w:b/>
          <w:sz w:val="20"/>
          <w:szCs w:val="20"/>
          <w:lang w:eastAsia="en-AU"/>
        </w:rPr>
      </w:pPr>
      <w:r>
        <w:rPr>
          <w:rFonts w:ascii="Arial" w:eastAsia="Times New Roman" w:hAnsi="Arial" w:cs="Arial"/>
          <w:b/>
          <w:noProof/>
          <w:sz w:val="20"/>
          <w:szCs w:val="20"/>
          <w:lang w:eastAsia="en-AU"/>
        </w:rPr>
        <w:drawing>
          <wp:inline distT="0" distB="0" distL="0" distR="0" wp14:anchorId="38BD4680" wp14:editId="1A3FCC40">
            <wp:extent cx="5557837" cy="7860019"/>
            <wp:effectExtent l="19050" t="19050" r="24130" b="27305"/>
            <wp:docPr id="3" name="Picture 3" descr="This is page 1 of a 2 page text letter to the Commissioner from the Independent Auditor. It states the auditor's opinion, basis for opinion and Commissioner's responsibilities for the financi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page 1 of a 2 page text letter to the Commissioner from the Independent Auditor. It states the auditor's opinion, basis for opinion and Commissioner's responsibilities for the financial repor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58851" cy="7861453"/>
                    </a:xfrm>
                    <a:prstGeom prst="rect">
                      <a:avLst/>
                    </a:prstGeom>
                    <a:ln w="6350">
                      <a:solidFill>
                        <a:schemeClr val="tx1"/>
                      </a:solidFill>
                    </a:ln>
                  </pic:spPr>
                </pic:pic>
              </a:graphicData>
            </a:graphic>
          </wp:inline>
        </w:drawing>
      </w:r>
      <w:r>
        <w:rPr>
          <w:rFonts w:ascii="Arial" w:eastAsia="Times New Roman" w:hAnsi="Arial" w:cs="Arial"/>
          <w:b/>
          <w:sz w:val="20"/>
          <w:szCs w:val="20"/>
          <w:lang w:eastAsia="en-AU"/>
        </w:rPr>
        <w:br w:type="page"/>
      </w:r>
    </w:p>
    <w:p w14:paraId="14AF7BFB" w14:textId="77777777" w:rsidR="00121EF6" w:rsidRDefault="00121EF6" w:rsidP="00121EF6">
      <w:pPr>
        <w:spacing w:after="0" w:line="240" w:lineRule="auto"/>
        <w:rPr>
          <w:rFonts w:ascii="Arial" w:eastAsia="Times New Roman" w:hAnsi="Arial" w:cs="Arial"/>
          <w:b/>
          <w:sz w:val="20"/>
          <w:szCs w:val="20"/>
          <w:lang w:eastAsia="en-AU"/>
        </w:rPr>
      </w:pPr>
    </w:p>
    <w:p w14:paraId="5FBA8C35" w14:textId="24A96F2D" w:rsidR="008067C3" w:rsidRPr="008067C3" w:rsidRDefault="008067C3" w:rsidP="00121EF6">
      <w:pPr>
        <w:spacing w:after="0" w:line="240" w:lineRule="auto"/>
        <w:rPr>
          <w:rStyle w:val="Hyperlink"/>
          <w:rFonts w:ascii="Arial" w:eastAsia="Times New Roman" w:hAnsi="Arial" w:cs="Arial"/>
          <w:bCs/>
          <w:color w:val="auto"/>
          <w:sz w:val="20"/>
          <w:szCs w:val="20"/>
          <w:u w:val="none"/>
          <w:lang w:eastAsia="en-AU"/>
        </w:rPr>
        <w:sectPr w:rsidR="008067C3" w:rsidRPr="008067C3" w:rsidSect="00C24BF6">
          <w:headerReference w:type="even" r:id="rId72"/>
          <w:headerReference w:type="default" r:id="rId73"/>
          <w:footerReference w:type="even" r:id="rId74"/>
          <w:footerReference w:type="default" r:id="rId75"/>
          <w:headerReference w:type="first" r:id="rId76"/>
          <w:footerReference w:type="first" r:id="rId77"/>
          <w:type w:val="continuous"/>
          <w:pgSz w:w="11906" w:h="16838" w:code="9"/>
          <w:pgMar w:top="1560" w:right="1418" w:bottom="1985" w:left="1418" w:header="709" w:footer="709" w:gutter="0"/>
          <w:cols w:space="708"/>
          <w:titlePg/>
          <w:docGrid w:linePitch="360"/>
        </w:sectPr>
      </w:pPr>
      <w:r>
        <w:rPr>
          <w:rFonts w:ascii="Arial" w:eastAsia="Times New Roman" w:hAnsi="Arial" w:cs="Arial"/>
          <w:bCs/>
          <w:noProof/>
          <w:sz w:val="20"/>
          <w:szCs w:val="20"/>
          <w:lang w:eastAsia="en-AU"/>
        </w:rPr>
        <w:drawing>
          <wp:inline distT="0" distB="0" distL="0" distR="0" wp14:anchorId="131AE426" wp14:editId="5B9C1300">
            <wp:extent cx="5600700" cy="7920637"/>
            <wp:effectExtent l="19050" t="19050" r="19050" b="23495"/>
            <wp:docPr id="5" name="Picture 5" descr="This is page 2 of a 2 page text letter to the Commissioner from the Independent Auditor. It states the auditor's responsibilities for the audit of the financial report. The letter is signed by Timothy Maxfield as delegate for the Auditor-General of Victoria, dated 10 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page 2 of a 2 page text letter to the Commissioner from the Independent Auditor. It states the auditor's responsibilities for the audit of the financial report. The letter is signed by Timothy Maxfield as delegate for the Auditor-General of Victoria, dated 10 September 202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00700" cy="7920637"/>
                    </a:xfrm>
                    <a:prstGeom prst="rect">
                      <a:avLst/>
                    </a:prstGeom>
                    <a:ln w="6350">
                      <a:solidFill>
                        <a:schemeClr val="tx1"/>
                      </a:solidFill>
                    </a:ln>
                  </pic:spPr>
                </pic:pic>
              </a:graphicData>
            </a:graphic>
          </wp:inline>
        </w:drawing>
      </w:r>
    </w:p>
    <w:p w14:paraId="43FA3199" w14:textId="77777777" w:rsidR="00407CB7" w:rsidRPr="00407CB7" w:rsidRDefault="00407CB7" w:rsidP="00407CB7">
      <w:pPr>
        <w:pStyle w:val="Body"/>
        <w:rPr>
          <w:rStyle w:val="Strong"/>
        </w:rPr>
      </w:pPr>
      <w:r w:rsidRPr="00407CB7">
        <w:rPr>
          <w:rStyle w:val="Strong"/>
        </w:rPr>
        <w:lastRenderedPageBreak/>
        <w:t>Contact us</w:t>
      </w:r>
    </w:p>
    <w:p w14:paraId="45E0E0A7" w14:textId="77777777" w:rsidR="00407CB7" w:rsidRDefault="00407CB7" w:rsidP="00407CB7">
      <w:pPr>
        <w:pStyle w:val="Body"/>
        <w:rPr>
          <w:rStyle w:val="Strong"/>
          <w:rFonts w:ascii="VIC" w:hAnsi="VIC"/>
        </w:rPr>
      </w:pPr>
      <w:r>
        <w:rPr>
          <w:rStyle w:val="Strong"/>
          <w:rFonts w:ascii="VIC" w:hAnsi="VIC"/>
        </w:rPr>
        <w:t>Victorian Public Sector Commission</w:t>
      </w:r>
    </w:p>
    <w:p w14:paraId="667B82C8" w14:textId="77777777" w:rsidR="00407CB7" w:rsidRDefault="00407CB7" w:rsidP="00407CB7">
      <w:pPr>
        <w:pStyle w:val="Body"/>
      </w:pPr>
      <w:r w:rsidRPr="00407CB7">
        <w:t>3 Treasury Place</w:t>
      </w:r>
      <w:r w:rsidRPr="00407CB7">
        <w:br/>
        <w:t>Melbourne 3002</w:t>
      </w:r>
    </w:p>
    <w:p w14:paraId="704D9EAF" w14:textId="2BC07D62" w:rsidR="00407CB7" w:rsidRPr="00407CB7" w:rsidRDefault="00407CB7" w:rsidP="00407CB7">
      <w:pPr>
        <w:pStyle w:val="Body"/>
        <w:rPr>
          <w:rStyle w:val="Strong"/>
          <w:rFonts w:ascii="VIC" w:hAnsi="VIC"/>
        </w:rPr>
      </w:pPr>
      <w:r>
        <w:t>Phone: 03 9651 1321</w:t>
      </w:r>
      <w:r>
        <w:br/>
        <w:t>Email:</w:t>
      </w:r>
      <w:r>
        <w:rPr>
          <w:rStyle w:val="Strong"/>
          <w:rFonts w:ascii="VIC" w:hAnsi="VIC"/>
        </w:rPr>
        <w:t xml:space="preserve"> </w:t>
      </w:r>
      <w:hyperlink r:id="rId79" w:history="1">
        <w:r w:rsidR="00C93E48" w:rsidRPr="00932BD0">
          <w:rPr>
            <w:rStyle w:val="Hyperlink"/>
          </w:rPr>
          <w:t>info@vpsc.vic.gov.au</w:t>
        </w:r>
      </w:hyperlink>
    </w:p>
    <w:p w14:paraId="73E156BA" w14:textId="391F8F56" w:rsidR="00A80F5C" w:rsidRDefault="00361972" w:rsidP="00FB6C01">
      <w:pPr>
        <w:pStyle w:val="Body"/>
        <w:rPr>
          <w:rStyle w:val="Hyperlink"/>
        </w:rPr>
      </w:pPr>
      <w:hyperlink r:id="rId80" w:history="1">
        <w:r w:rsidR="00407CB7" w:rsidRPr="00407CB7">
          <w:rPr>
            <w:rStyle w:val="Hyperlink"/>
          </w:rPr>
          <w:t>vpsc.vic.gov.au</w:t>
        </w:r>
      </w:hyperlink>
      <w:r w:rsidR="00407CB7" w:rsidRPr="00407CB7">
        <w:rPr>
          <w:rStyle w:val="Strong"/>
          <w:rFonts w:ascii="VIC" w:hAnsi="VIC"/>
        </w:rPr>
        <w:br/>
      </w:r>
    </w:p>
    <w:sectPr w:rsidR="00A80F5C" w:rsidSect="00FB6C01">
      <w:headerReference w:type="default" r:id="rId81"/>
      <w:footerReference w:type="default" r:id="rId82"/>
      <w:pgSz w:w="11906" w:h="16838" w:code="9"/>
      <w:pgMar w:top="226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DAA5C" w14:textId="77777777" w:rsidR="00361972" w:rsidRPr="00973F22" w:rsidRDefault="00361972" w:rsidP="00973F22">
      <w:r>
        <w:separator/>
      </w:r>
    </w:p>
    <w:p w14:paraId="7D8D68DB" w14:textId="77777777" w:rsidR="00361972" w:rsidRDefault="00361972"/>
  </w:endnote>
  <w:endnote w:type="continuationSeparator" w:id="0">
    <w:p w14:paraId="56CC6061" w14:textId="77777777" w:rsidR="00361972" w:rsidRPr="00973F22" w:rsidRDefault="00361972" w:rsidP="00973F22">
      <w:r>
        <w:continuationSeparator/>
      </w:r>
    </w:p>
    <w:p w14:paraId="799A5761" w14:textId="77777777" w:rsidR="00361972" w:rsidRDefault="00361972"/>
  </w:endnote>
  <w:endnote w:type="continuationNotice" w:id="1">
    <w:p w14:paraId="5FEF1405" w14:textId="77777777" w:rsidR="00361972" w:rsidRDefault="00361972" w:rsidP="00973F22"/>
    <w:p w14:paraId="71DFF1CF" w14:textId="77777777" w:rsidR="00361972" w:rsidRDefault="00361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altName w:val="Calibri"/>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charset w:val="4D"/>
    <w:family w:val="auto"/>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EYInterstate Light">
    <w:altName w:val="Times New Roman"/>
    <w:charset w:val="00"/>
    <w:family w:val="auto"/>
    <w:pitch w:val="variable"/>
    <w:sig w:usb0="00000001" w:usb1="5000206A" w:usb2="00000000" w:usb3="00000000" w:csb0="0000009F" w:csb1="00000000"/>
  </w:font>
  <w:font w:name="VIC-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F22E2" w14:textId="77777777" w:rsidR="00361972" w:rsidDel="00955DD0" w:rsidRDefault="00361972">
    <w:pPr>
      <w:pStyle w:val="Footer"/>
      <w:rPr>
        <w:rFonts w:ascii="Arial" w:hAnsi="Arial" w:cs="Arial"/>
        <w:b/>
        <w:color w:val="3F3F3F"/>
      </w:rPr>
    </w:pPr>
    <w:bookmarkStart w:id="35" w:name="aliashNonProtectiveMarki2FooterEvenPages"/>
    <w:r>
      <w:rPr>
        <w:rFonts w:ascii="Arial" w:hAnsi="Arial" w:cs="Arial"/>
        <w:b/>
        <w:noProof/>
        <w:color w:val="3F3F3F"/>
      </w:rPr>
      <mc:AlternateContent>
        <mc:Choice Requires="wps">
          <w:drawing>
            <wp:anchor distT="0" distB="0" distL="114300" distR="114300" simplePos="0" relativeHeight="251694081" behindDoc="0" locked="0" layoutInCell="0" allowOverlap="1" wp14:anchorId="7205393C" wp14:editId="4D719C38">
              <wp:simplePos x="0" y="9403953"/>
              <wp:positionH relativeFrom="page">
                <wp:align>left</wp:align>
              </wp:positionH>
              <wp:positionV relativeFrom="page">
                <wp:align>bottom</wp:align>
              </wp:positionV>
              <wp:extent cx="7772400" cy="463550"/>
              <wp:effectExtent l="0" t="0" r="0" b="12700"/>
              <wp:wrapNone/>
              <wp:docPr id="30" name="MSIPCM50524f4096f9288a29a4e8db"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7DA4FD"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205393C" id="_x0000_t202" coordsize="21600,21600" o:spt="202" path="m,l,21600r21600,l21600,xe">
              <v:stroke joinstyle="miter"/>
              <v:path gradientshapeok="t" o:connecttype="rect"/>
            </v:shapetype>
            <v:shape id="MSIPCM50524f4096f9288a29a4e8db" o:spid="_x0000_s1026" type="#_x0000_t202" alt="{&quot;HashCode&quot;:-1267603503,&quot;Height&quot;:9999999.0,&quot;Width&quot;:9999999.0,&quot;Placement&quot;:&quot;Footer&quot;,&quot;Index&quot;:&quot;OddAndEven&quot;,&quot;Section&quot;:2,&quot;Top&quot;:0.0,&quot;Left&quot;:0.0}" style="position:absolute;margin-left:0;margin-top:0;width:612pt;height:36.5pt;z-index:25169408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Ci80+K1AgAAVgUAAA4A&#10;AAAAAAAAAAAAAAAALgIAAGRycy9lMm9Eb2MueG1sUEsBAi0AFAAGAAgAAAAhAP71jZvaAAAABQEA&#10;AA8AAAAAAAAAAAAAAAAADwUAAGRycy9kb3ducmV2LnhtbFBLBQYAAAAABAAEAPMAAAAWBgAAAAA=&#10;" o:allowincell="f" filled="f" stroked="f" strokeweight=".5pt">
              <v:textbox inset="20pt,0,,0">
                <w:txbxContent>
                  <w:p w14:paraId="2B7DA4FD"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v:textbox>
              <w10:wrap anchorx="page" anchory="page"/>
            </v:shape>
          </w:pict>
        </mc:Fallback>
      </mc:AlternateContent>
    </w:r>
  </w:p>
  <w:sdt>
    <w:sdtPr>
      <w:id w:val="123282062"/>
      <w:docPartObj>
        <w:docPartGallery w:val="Page Numbers (Bottom of Page)"/>
        <w:docPartUnique/>
      </w:docPartObj>
    </w:sdtPr>
    <w:sdtEndPr>
      <w:rPr>
        <w:rFonts w:ascii="Arial" w:hAnsi="Arial" w:cs="Arial"/>
        <w:noProof/>
      </w:rPr>
    </w:sdtEndPr>
    <w:sdtContent>
      <w:p w14:paraId="5F39D8EB" w14:textId="77777777" w:rsidR="00361972" w:rsidRPr="00AA0474" w:rsidRDefault="00361972">
        <w:pPr>
          <w:pStyle w:val="Footer"/>
          <w:ind w:left="4320" w:firstLine="4320"/>
          <w:rPr>
            <w:rFonts w:ascii="Arial" w:hAnsi="Arial" w:cs="Arial"/>
          </w:rPr>
        </w:pPr>
        <w:r w:rsidRPr="00AA0474">
          <w:rPr>
            <w:rFonts w:ascii="Arial" w:hAnsi="Arial" w:cs="Arial"/>
          </w:rPr>
          <w:fldChar w:fldCharType="begin"/>
        </w:r>
        <w:r w:rsidRPr="00AA0474">
          <w:rPr>
            <w:rFonts w:ascii="Arial" w:hAnsi="Arial" w:cs="Arial"/>
          </w:rPr>
          <w:instrText xml:space="preserve"> PAGE   \* MERGEFORMAT </w:instrText>
        </w:r>
        <w:r w:rsidRPr="00AA0474">
          <w:rPr>
            <w:rFonts w:ascii="Arial" w:hAnsi="Arial" w:cs="Arial"/>
          </w:rPr>
          <w:fldChar w:fldCharType="separate"/>
        </w:r>
        <w:r>
          <w:rPr>
            <w:rFonts w:ascii="Arial" w:hAnsi="Arial" w:cs="Arial"/>
            <w:noProof/>
          </w:rPr>
          <w:t>30</w:t>
        </w:r>
        <w:r w:rsidRPr="00AA0474">
          <w:rPr>
            <w:rFonts w:ascii="Arial" w:hAnsi="Arial" w:cs="Arial"/>
            <w:noProof/>
          </w:rPr>
          <w:fldChar w:fldCharType="end"/>
        </w:r>
        <w:r w:rsidRPr="00AA0474">
          <w:rPr>
            <w:rFonts w:ascii="Arial" w:hAnsi="Arial" w:cs="Arial"/>
            <w:noProof/>
          </w:rPr>
          <w:tab/>
        </w:r>
        <w:r w:rsidRPr="00AA0474">
          <w:rPr>
            <w:rFonts w:ascii="Arial" w:hAnsi="Arial" w:cs="Arial"/>
            <w:noProof/>
          </w:rPr>
          <w:tab/>
          <w:t xml:space="preserve">                              </w:t>
        </w:r>
      </w:p>
    </w:sdtContent>
  </w:sdt>
  <w:p w14:paraId="49439EA4" w14:textId="77777777" w:rsidR="00361972" w:rsidRDefault="00361972">
    <w:pPr>
      <w:pStyle w:val="Footer"/>
    </w:pPr>
  </w:p>
  <w:p w14:paraId="4229C94D" w14:textId="77777777" w:rsidR="00361972" w:rsidRDefault="00361972">
    <w:pPr>
      <w:pStyle w:val="Footer"/>
    </w:pPr>
    <w:bookmarkStart w:id="36" w:name="PandNP2FooterEvenPages"/>
    <w:bookmarkEnd w:id="35"/>
  </w:p>
  <w:p w14:paraId="581C7300" w14:textId="77777777" w:rsidR="00361972" w:rsidRDefault="00361972">
    <w:pPr>
      <w:pStyle w:val="Footer"/>
    </w:pPr>
  </w:p>
  <w:bookmarkEnd w:id="36"/>
  <w:p w14:paraId="5674B3A5" w14:textId="77777777" w:rsidR="00361972" w:rsidRDefault="0036197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9468E" w14:textId="77777777" w:rsidR="00361972" w:rsidRDefault="00361972">
    <w:pPr>
      <w:pStyle w:val="Footer"/>
      <w:rPr>
        <w:rFonts w:ascii="Arial" w:hAnsi="Arial" w:cs="Arial"/>
        <w:b/>
        <w:color w:val="3F3F3F"/>
      </w:rPr>
    </w:pPr>
    <w:bookmarkStart w:id="40" w:name="PandNP5FooterEvenPages"/>
    <w:r>
      <w:rPr>
        <w:rFonts w:ascii="Arial" w:hAnsi="Arial" w:cs="Arial"/>
        <w:b/>
        <w:noProof/>
        <w:color w:val="3F3F3F"/>
      </w:rPr>
      <mc:AlternateContent>
        <mc:Choice Requires="wps">
          <w:drawing>
            <wp:anchor distT="0" distB="0" distL="114300" distR="114300" simplePos="0" relativeHeight="251695105" behindDoc="0" locked="0" layoutInCell="0" allowOverlap="1" wp14:anchorId="26567FDA" wp14:editId="35BE42B5">
              <wp:simplePos x="0" y="9403953"/>
              <wp:positionH relativeFrom="page">
                <wp:align>left</wp:align>
              </wp:positionH>
              <wp:positionV relativeFrom="page">
                <wp:align>bottom</wp:align>
              </wp:positionV>
              <wp:extent cx="7772400" cy="463550"/>
              <wp:effectExtent l="0" t="0" r="0" b="12700"/>
              <wp:wrapNone/>
              <wp:docPr id="39" name="MSIPCM95ec4956b380df34138114f8" descr="{&quot;HashCode&quot;:-1267603503,&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85CC52"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6567FDA" id="_x0000_t202" coordsize="21600,21600" o:spt="202" path="m,l,21600r21600,l21600,xe">
              <v:stroke joinstyle="miter"/>
              <v:path gradientshapeok="t" o:connecttype="rect"/>
            </v:shapetype>
            <v:shape id="MSIPCM95ec4956b380df34138114f8" o:spid="_x0000_s1035" type="#_x0000_t202" alt="{&quot;HashCode&quot;:-1267603503,&quot;Height&quot;:9999999.0,&quot;Width&quot;:9999999.0,&quot;Placement&quot;:&quot;Footer&quot;,&quot;Index&quot;:&quot;OddAndEven&quot;,&quot;Section&quot;:5,&quot;Top&quot;:0.0,&quot;Left&quot;:0.0}" style="position:absolute;margin-left:0;margin-top:0;width:612pt;height:36.5pt;z-index:25169510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MpJjMi1AgAAXQUAAA4A&#10;AAAAAAAAAAAAAAAALgIAAGRycy9lMm9Eb2MueG1sUEsBAi0AFAAGAAgAAAAhAP71jZvaAAAABQEA&#10;AA8AAAAAAAAAAAAAAAAADwUAAGRycy9kb3ducmV2LnhtbFBLBQYAAAAABAAEAPMAAAAWBgAAAAA=&#10;" o:allowincell="f" filled="f" stroked="f" strokeweight=".5pt">
              <v:textbox inset="20pt,0,,0">
                <w:txbxContent>
                  <w:p w14:paraId="0D85CC52"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v:textbox>
              <w10:wrap anchorx="page" anchory="page"/>
            </v:shape>
          </w:pict>
        </mc:Fallback>
      </mc:AlternateContent>
    </w:r>
  </w:p>
  <w:p w14:paraId="23946218" w14:textId="77777777" w:rsidR="00361972" w:rsidRDefault="00361972">
    <w:pPr>
      <w:pStyle w:val="Footer"/>
      <w:rPr>
        <w:rFonts w:ascii="Arial" w:hAnsi="Arial" w:cs="Arial"/>
        <w:b/>
        <w:color w:val="3F3F3F"/>
      </w:rPr>
    </w:pPr>
  </w:p>
  <w:bookmarkEnd w:id="40"/>
  <w:p w14:paraId="0E840884" w14:textId="77777777" w:rsidR="00361972" w:rsidDel="00955DD0" w:rsidRDefault="00361972">
    <w:pPr>
      <w:pStyle w:val="Footer"/>
      <w:rPr>
        <w:rFonts w:ascii="Arial" w:hAnsi="Arial" w:cs="Arial"/>
        <w:b/>
        <w:color w:val="3F3F3F"/>
      </w:rPr>
    </w:pPr>
  </w:p>
  <w:sdt>
    <w:sdtPr>
      <w:id w:val="11811935"/>
      <w:docPartObj>
        <w:docPartGallery w:val="Page Numbers (Bottom of Page)"/>
        <w:docPartUnique/>
      </w:docPartObj>
    </w:sdtPr>
    <w:sdtEndPr>
      <w:rPr>
        <w:rFonts w:ascii="Arial" w:hAnsi="Arial" w:cs="Arial"/>
        <w:noProof/>
      </w:rPr>
    </w:sdtEndPr>
    <w:sdtContent>
      <w:p w14:paraId="7A47629A" w14:textId="77777777" w:rsidR="00361972" w:rsidRPr="00AA0474" w:rsidRDefault="00361972">
        <w:pPr>
          <w:pStyle w:val="Footer"/>
          <w:ind w:left="4320" w:firstLine="4320"/>
          <w:rPr>
            <w:rFonts w:ascii="Arial" w:hAnsi="Arial" w:cs="Arial"/>
          </w:rPr>
        </w:pPr>
        <w:r w:rsidRPr="00AA0474">
          <w:rPr>
            <w:rFonts w:ascii="Arial" w:hAnsi="Arial" w:cs="Arial"/>
          </w:rPr>
          <w:fldChar w:fldCharType="begin"/>
        </w:r>
        <w:r w:rsidRPr="00AA0474">
          <w:rPr>
            <w:rFonts w:ascii="Arial" w:hAnsi="Arial" w:cs="Arial"/>
          </w:rPr>
          <w:instrText xml:space="preserve"> PAGE   \* MERGEFORMAT </w:instrText>
        </w:r>
        <w:r w:rsidRPr="00AA0474">
          <w:rPr>
            <w:rFonts w:ascii="Arial" w:hAnsi="Arial" w:cs="Arial"/>
          </w:rPr>
          <w:fldChar w:fldCharType="separate"/>
        </w:r>
        <w:r>
          <w:rPr>
            <w:rFonts w:ascii="Arial" w:hAnsi="Arial" w:cs="Arial"/>
            <w:noProof/>
          </w:rPr>
          <w:t>30</w:t>
        </w:r>
        <w:r w:rsidRPr="00AA0474">
          <w:rPr>
            <w:rFonts w:ascii="Arial" w:hAnsi="Arial" w:cs="Arial"/>
            <w:noProof/>
          </w:rPr>
          <w:fldChar w:fldCharType="end"/>
        </w:r>
        <w:r w:rsidRPr="00AA0474">
          <w:rPr>
            <w:rFonts w:ascii="Arial" w:hAnsi="Arial" w:cs="Arial"/>
            <w:noProof/>
          </w:rPr>
          <w:tab/>
        </w:r>
        <w:r w:rsidRPr="00AA0474">
          <w:rPr>
            <w:rFonts w:ascii="Arial" w:hAnsi="Arial" w:cs="Arial"/>
            <w:noProof/>
          </w:rPr>
          <w:tab/>
          <w:t xml:space="preserve">                              </w:t>
        </w:r>
      </w:p>
    </w:sdtContent>
  </w:sdt>
  <w:p w14:paraId="1F9EA60F" w14:textId="77777777" w:rsidR="00361972" w:rsidRDefault="00361972">
    <w:pPr>
      <w:pStyle w:val="Footer"/>
    </w:pPr>
  </w:p>
  <w:p w14:paraId="24554785" w14:textId="77777777" w:rsidR="00361972" w:rsidRDefault="0036197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AE656" w14:textId="1A50A40A" w:rsidR="00361972" w:rsidRDefault="00361972">
    <w:pPr>
      <w:pStyle w:val="Footer"/>
      <w:rPr>
        <w:rFonts w:ascii="Arial" w:hAnsi="Arial" w:cs="Arial"/>
        <w:b/>
        <w:color w:val="3F3F3F"/>
      </w:rPr>
    </w:pPr>
    <w:r>
      <w:rPr>
        <w:rFonts w:ascii="Arial" w:hAnsi="Arial" w:cs="Arial"/>
        <w:b/>
        <w:noProof/>
        <w:color w:val="3F3F3F"/>
      </w:rPr>
      <mc:AlternateContent>
        <mc:Choice Requires="wps">
          <w:drawing>
            <wp:anchor distT="0" distB="0" distL="114300" distR="114300" simplePos="0" relativeHeight="251749006" behindDoc="0" locked="0" layoutInCell="0" allowOverlap="1" wp14:anchorId="22B1C71C" wp14:editId="02CA34A5">
              <wp:simplePos x="0" y="9403953"/>
              <wp:positionH relativeFrom="page">
                <wp:align>left</wp:align>
              </wp:positionH>
              <wp:positionV relativeFrom="page">
                <wp:align>bottom</wp:align>
              </wp:positionV>
              <wp:extent cx="7772400" cy="463550"/>
              <wp:effectExtent l="0" t="0" r="0" b="12700"/>
              <wp:wrapNone/>
              <wp:docPr id="17" name="MSIPCM7d2a42bbaedf7f25be1e2ba5"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4D8DDB" w14:textId="5124FCB0"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2B1C71C" id="_x0000_t202" coordsize="21600,21600" o:spt="202" path="m,l,21600r21600,l21600,xe">
              <v:stroke joinstyle="miter"/>
              <v:path gradientshapeok="t" o:connecttype="rect"/>
            </v:shapetype>
            <v:shape id="MSIPCM7d2a42bbaedf7f25be1e2ba5" o:spid="_x0000_s1036" type="#_x0000_t202" alt="{&quot;HashCode&quot;:-1267603503,&quot;Height&quot;:9999999.0,&quot;Width&quot;:9999999.0,&quot;Placement&quot;:&quot;Footer&quot;,&quot;Index&quot;:&quot;Primary&quot;,&quot;Section&quot;:4,&quot;Top&quot;:0.0,&quot;Left&quot;:0.0}" style="position:absolute;margin-left:0;margin-top:0;width:612pt;height:36.5pt;z-index:25174900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" o:allowincell="f" filled="f" stroked="f" strokeweight=".5pt">
              <v:textbox inset="20pt,0,,0">
                <w:txbxContent>
                  <w:p w14:paraId="6D4D8DDB" w14:textId="5124FCB0"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r>
      <w:rPr>
        <w:rFonts w:ascii="Arial" w:hAnsi="Arial" w:cs="Arial"/>
        <w:b/>
        <w:noProof/>
        <w:color w:val="3F3F3F"/>
      </w:rPr>
      <mc:AlternateContent>
        <mc:Choice Requires="wps">
          <w:drawing>
            <wp:anchor distT="0" distB="0" distL="114300" distR="114300" simplePos="0" relativeHeight="251747970" behindDoc="0" locked="0" layoutInCell="0" allowOverlap="1" wp14:anchorId="70C90C8C" wp14:editId="38981778">
              <wp:simplePos x="0" y="9403953"/>
              <wp:positionH relativeFrom="page">
                <wp:align>left</wp:align>
              </wp:positionH>
              <wp:positionV relativeFrom="page">
                <wp:align>bottom</wp:align>
              </wp:positionV>
              <wp:extent cx="7772400" cy="463550"/>
              <wp:effectExtent l="0" t="0" r="0" b="12700"/>
              <wp:wrapNone/>
              <wp:docPr id="37" name="MSIPCM673041569f453604b80b603c" descr="{&quot;HashCode&quot;:-1267603503,&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FC1F08" w14:textId="5F70F51A"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0C90C8C" id="MSIPCM673041569f453604b80b603c" o:spid="_x0000_s1037" type="#_x0000_t202" alt="{&quot;HashCode&quot;:-1267603503,&quot;Height&quot;:9999999.0,&quot;Width&quot;:9999999.0,&quot;Placement&quot;:&quot;Footer&quot;,&quot;Index&quot;:&quot;Primary&quot;,&quot;Section&quot;:5,&quot;Top&quot;:0.0,&quot;Left&quot;:0.0}" style="position:absolute;margin-left:0;margin-top:0;width:612pt;height:36.5pt;z-index:25174797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DuSr/nswIAAFsFAAAOAAAA&#10;AAAAAAAAAAAAAC4CAABkcnMvZTJvRG9jLnhtbFBLAQItABQABgAIAAAAIQD+9Y2b2gAAAAUBAAAP&#10;AAAAAAAAAAAAAAAAAA0FAABkcnMvZG93bnJldi54bWxQSwUGAAAAAAQABADzAAAAFAYAAAAA&#10;" o:allowincell="f" filled="f" stroked="f" strokeweight=".5pt">
              <v:textbox inset="20pt,0,,0">
                <w:txbxContent>
                  <w:p w14:paraId="60FC1F08" w14:textId="5F70F51A"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p>
  <w:p w14:paraId="68233A25" w14:textId="77777777" w:rsidR="00361972" w:rsidRDefault="00361972" w:rsidP="00F46260">
    <w:pPr>
      <w:pStyle w:val="Footer"/>
      <w:rPr>
        <w:rFonts w:ascii="Arial" w:hAnsi="Arial" w:cs="Arial"/>
        <w:b/>
        <w:color w:val="3F3F3F"/>
      </w:rPr>
    </w:pPr>
  </w:p>
  <w:sdt>
    <w:sdtPr>
      <w:id w:val="-1330063280"/>
      <w:docPartObj>
        <w:docPartGallery w:val="Page Numbers (Bottom of Page)"/>
        <w:docPartUnique/>
      </w:docPartObj>
    </w:sdtPr>
    <w:sdtEndPr>
      <w:rPr>
        <w:rFonts w:ascii="Arial" w:hAnsi="Arial" w:cs="Arial"/>
        <w:noProof/>
      </w:rPr>
    </w:sdtEndPr>
    <w:sdtContent>
      <w:p w14:paraId="2A7A9388" w14:textId="77777777" w:rsidR="00361972" w:rsidRPr="00AA0474" w:rsidRDefault="00361972" w:rsidP="00F46260">
        <w:pPr>
          <w:pStyle w:val="Footer"/>
          <w:ind w:left="4320" w:firstLine="4320"/>
          <w:rPr>
            <w:rFonts w:ascii="Arial" w:hAnsi="Arial" w:cs="Arial"/>
          </w:rPr>
        </w:pPr>
        <w:r w:rsidRPr="00AA0474">
          <w:rPr>
            <w:rFonts w:ascii="Arial" w:hAnsi="Arial" w:cs="Arial"/>
          </w:rPr>
          <w:fldChar w:fldCharType="begin"/>
        </w:r>
        <w:r w:rsidRPr="00AA0474">
          <w:rPr>
            <w:rFonts w:ascii="Arial" w:hAnsi="Arial" w:cs="Arial"/>
          </w:rPr>
          <w:instrText xml:space="preserve"> PAGE   \* MERGEFORMAT </w:instrText>
        </w:r>
        <w:r w:rsidRPr="00AA0474">
          <w:rPr>
            <w:rFonts w:ascii="Arial" w:hAnsi="Arial" w:cs="Arial"/>
          </w:rPr>
          <w:fldChar w:fldCharType="separate"/>
        </w:r>
        <w:r>
          <w:rPr>
            <w:rFonts w:ascii="Arial" w:hAnsi="Arial" w:cs="Arial"/>
            <w:noProof/>
          </w:rPr>
          <w:t>30</w:t>
        </w:r>
        <w:r w:rsidRPr="00AA0474">
          <w:rPr>
            <w:rFonts w:ascii="Arial" w:hAnsi="Arial" w:cs="Arial"/>
            <w:noProof/>
          </w:rPr>
          <w:fldChar w:fldCharType="end"/>
        </w:r>
        <w:r w:rsidRPr="00AA0474">
          <w:rPr>
            <w:rFonts w:ascii="Arial" w:hAnsi="Arial" w:cs="Arial"/>
            <w:noProof/>
          </w:rPr>
          <w:tab/>
        </w:r>
        <w:r w:rsidRPr="00AA0474">
          <w:rPr>
            <w:rFonts w:ascii="Arial" w:hAnsi="Arial" w:cs="Arial"/>
            <w:noProof/>
          </w:rPr>
          <w:tab/>
          <w:t xml:space="preserve">                              </w:t>
        </w:r>
      </w:p>
    </w:sdtContent>
  </w:sdt>
  <w:p w14:paraId="3B7A8613" w14:textId="77777777" w:rsidR="00361972" w:rsidRDefault="0036197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DCA64" w14:textId="22E7266B" w:rsidR="00361972" w:rsidRDefault="00361972">
    <w:pPr>
      <w:pStyle w:val="Footer"/>
      <w:jc w:val="center"/>
    </w:pPr>
    <w:bookmarkStart w:id="41" w:name="PandNP5FooterFirstPage"/>
    <w:r>
      <w:rPr>
        <w:noProof/>
      </w:rPr>
      <mc:AlternateContent>
        <mc:Choice Requires="wps">
          <w:drawing>
            <wp:anchor distT="0" distB="0" distL="114300" distR="114300" simplePos="0" relativeHeight="251750401" behindDoc="0" locked="0" layoutInCell="0" allowOverlap="1" wp14:anchorId="18B98FBF" wp14:editId="07AE99BF">
              <wp:simplePos x="0" y="0"/>
              <wp:positionH relativeFrom="page">
                <wp:align>left</wp:align>
              </wp:positionH>
              <wp:positionV relativeFrom="page">
                <wp:align>bottom</wp:align>
              </wp:positionV>
              <wp:extent cx="7772400" cy="463550"/>
              <wp:effectExtent l="0" t="0" r="0" b="12700"/>
              <wp:wrapNone/>
              <wp:docPr id="18" name="MSIPCM56354c26a1e84e528f2839a3" descr="{&quot;HashCode&quot;:-1267603503,&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DAA9E2" w14:textId="1E6E965D"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8B98FBF" id="_x0000_t202" coordsize="21600,21600" o:spt="202" path="m,l,21600r21600,l21600,xe">
              <v:stroke joinstyle="miter"/>
              <v:path gradientshapeok="t" o:connecttype="rect"/>
            </v:shapetype>
            <v:shape id="MSIPCM56354c26a1e84e528f2839a3" o:spid="_x0000_s1038" type="#_x0000_t202" alt="{&quot;HashCode&quot;:-1267603503,&quot;Height&quot;:9999999.0,&quot;Width&quot;:9999999.0,&quot;Placement&quot;:&quot;Footer&quot;,&quot;Index&quot;:&quot;FirstPage&quot;,&quot;Section&quot;:4,&quot;Top&quot;:0.0,&quot;Left&quot;:0.0}" style="position:absolute;left:0;text-align:left;margin-left:0;margin-top:0;width:612pt;height:36.5pt;z-index:25175040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fpP/VLQCAABdBQAADgAA&#10;AAAAAAAAAAAAAAAuAgAAZHJzL2Uyb0RvYy54bWxQSwECLQAUAAYACAAAACEA/vWNm9oAAAAFAQAA&#10;DwAAAAAAAAAAAAAAAAAOBQAAZHJzL2Rvd25yZXYueG1sUEsFBgAAAAAEAAQA8wAAABUGAAAAAA==&#10;" o:allowincell="f" filled="f" stroked="f" strokeweight=".5pt">
              <v:textbox inset="20pt,0,,0">
                <w:txbxContent>
                  <w:p w14:paraId="33DAA9E2" w14:textId="1E6E965D"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p>
  <w:bookmarkEnd w:id="41" w:displacedByCustomXml="next"/>
  <w:sdt>
    <w:sdtPr>
      <w:id w:val="-777488595"/>
      <w:docPartObj>
        <w:docPartGallery w:val="Page Numbers (Bottom of Page)"/>
        <w:docPartUnique/>
      </w:docPartObj>
    </w:sdtPr>
    <w:sdtEndPr>
      <w:rPr>
        <w:noProof/>
      </w:rPr>
    </w:sdtEndPr>
    <w:sdtContent>
      <w:p w14:paraId="6CAA2881" w14:textId="0B99BE46" w:rsidR="00361972" w:rsidRDefault="00361972">
        <w:pPr>
          <w:pStyle w:val="Footer"/>
        </w:pPr>
        <w:r>
          <w:fldChar w:fldCharType="begin"/>
        </w:r>
        <w:r>
          <w:instrText xml:space="preserve"> PAGE   \* MERGEFORMAT </w:instrText>
        </w:r>
        <w:r>
          <w:fldChar w:fldCharType="separate"/>
        </w:r>
        <w:r>
          <w:t>56</w:t>
        </w:r>
        <w:r>
          <w:rPr>
            <w:noProof/>
          </w:rPr>
          <w:fldChar w:fldCharType="end"/>
        </w:r>
        <w:r>
          <w:rPr>
            <w:noProof/>
          </w:rPr>
          <w:t xml:space="preserve"> </w:t>
        </w:r>
        <w:r>
          <w:rPr>
            <w:noProof/>
          </w:rPr>
          <w:ptab w:relativeTo="margin" w:alignment="right" w:leader="none"/>
        </w:r>
        <w:r>
          <w:rPr>
            <w:noProof/>
          </w:rPr>
          <w:t>Victorian Public Sector Commission Annual Report 2020-21</w:t>
        </w:r>
      </w:p>
    </w:sdtContent>
  </w:sdt>
  <w:p w14:paraId="56E0D652" w14:textId="77777777" w:rsidR="00361972" w:rsidRDefault="0036197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B1187" w14:textId="77777777" w:rsidR="00361972" w:rsidRDefault="00361972">
    <w:pPr>
      <w:pStyle w:val="Footer"/>
      <w:rPr>
        <w:rFonts w:ascii="Arial" w:hAnsi="Arial" w:cs="Arial"/>
        <w:b/>
        <w:color w:val="3F3F3F"/>
      </w:rPr>
    </w:pPr>
    <w:bookmarkStart w:id="44" w:name="PandNP6FooterEvenPages"/>
    <w:r>
      <w:rPr>
        <w:rFonts w:ascii="Arial" w:hAnsi="Arial" w:cs="Arial"/>
        <w:b/>
        <w:noProof/>
        <w:color w:val="3F3F3F"/>
      </w:rPr>
      <mc:AlternateContent>
        <mc:Choice Requires="wps">
          <w:drawing>
            <wp:anchor distT="0" distB="0" distL="114300" distR="114300" simplePos="0" relativeHeight="251683841" behindDoc="0" locked="0" layoutInCell="0" allowOverlap="1" wp14:anchorId="1924ABB3" wp14:editId="78ACF8E4">
              <wp:simplePos x="0" y="9403953"/>
              <wp:positionH relativeFrom="page">
                <wp:align>left</wp:align>
              </wp:positionH>
              <wp:positionV relativeFrom="page">
                <wp:align>bottom</wp:align>
              </wp:positionV>
              <wp:extent cx="7772400" cy="463550"/>
              <wp:effectExtent l="0" t="0" r="0" b="12700"/>
              <wp:wrapNone/>
              <wp:docPr id="42" name="MSIPCMbdfb429c9e3dbb07d750fafb" descr="{&quot;HashCode&quot;:-1267603503,&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570D8"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924ABB3" id="_x0000_t202" coordsize="21600,21600" o:spt="202" path="m,l,21600r21600,l21600,xe">
              <v:stroke joinstyle="miter"/>
              <v:path gradientshapeok="t" o:connecttype="rect"/>
            </v:shapetype>
            <v:shape id="MSIPCMbdfb429c9e3dbb07d750fafb" o:spid="_x0000_s1039" type="#_x0000_t202" alt="{&quot;HashCode&quot;:-1267603503,&quot;Height&quot;:9999999.0,&quot;Width&quot;:9999999.0,&quot;Placement&quot;:&quot;Footer&quot;,&quot;Index&quot;:&quot;OddAndEven&quot;,&quot;Section&quot;:6,&quot;Top&quot;:0.0,&quot;Left&quot;:0.0}" style="position:absolute;margin-left:0;margin-top:0;width:612pt;height:36.5pt;z-index:2516838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nmRavLQCAABeBQAADgAA&#10;AAAAAAAAAAAAAAAuAgAAZHJzL2Uyb0RvYy54bWxQSwECLQAUAAYACAAAACEA/vWNm9oAAAAFAQAA&#10;DwAAAAAAAAAAAAAAAAAOBQAAZHJzL2Rvd25yZXYueG1sUEsFBgAAAAAEAAQA8wAAABUGAAAAAA==&#10;" o:allowincell="f" filled="f" stroked="f" strokeweight=".5pt">
              <v:textbox inset="20pt,0,,0">
                <w:txbxContent>
                  <w:p w14:paraId="735570D8"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v:textbox>
              <w10:wrap anchorx="page" anchory="page"/>
            </v:shape>
          </w:pict>
        </mc:Fallback>
      </mc:AlternateContent>
    </w:r>
  </w:p>
  <w:p w14:paraId="404C5FEE" w14:textId="77777777" w:rsidR="00361972" w:rsidRDefault="00361972">
    <w:pPr>
      <w:pStyle w:val="Footer"/>
      <w:rPr>
        <w:rFonts w:ascii="Arial" w:hAnsi="Arial" w:cs="Arial"/>
        <w:b/>
        <w:color w:val="3F3F3F"/>
      </w:rPr>
    </w:pPr>
  </w:p>
  <w:bookmarkEnd w:id="44"/>
  <w:p w14:paraId="4D08F8EA" w14:textId="77777777" w:rsidR="00361972" w:rsidDel="00955DD0" w:rsidRDefault="00361972">
    <w:pPr>
      <w:pStyle w:val="Footer"/>
      <w:rPr>
        <w:rFonts w:ascii="Arial" w:hAnsi="Arial" w:cs="Arial"/>
        <w:b/>
        <w:color w:val="3F3F3F"/>
      </w:rPr>
    </w:pPr>
  </w:p>
  <w:sdt>
    <w:sdtPr>
      <w:id w:val="-528573180"/>
      <w:docPartObj>
        <w:docPartGallery w:val="Page Numbers (Bottom of Page)"/>
        <w:docPartUnique/>
      </w:docPartObj>
    </w:sdtPr>
    <w:sdtEndPr>
      <w:rPr>
        <w:rFonts w:ascii="Arial" w:hAnsi="Arial" w:cs="Arial"/>
        <w:noProof/>
      </w:rPr>
    </w:sdtEndPr>
    <w:sdtContent>
      <w:p w14:paraId="6C41FF79" w14:textId="77777777" w:rsidR="00361972" w:rsidRPr="00AA0474" w:rsidRDefault="00361972">
        <w:pPr>
          <w:pStyle w:val="Footer"/>
          <w:ind w:left="4320" w:firstLine="4320"/>
          <w:rPr>
            <w:rFonts w:ascii="Arial" w:hAnsi="Arial" w:cs="Arial"/>
          </w:rPr>
        </w:pPr>
        <w:r w:rsidRPr="00AA0474">
          <w:rPr>
            <w:rFonts w:ascii="Arial" w:hAnsi="Arial" w:cs="Arial"/>
          </w:rPr>
          <w:fldChar w:fldCharType="begin"/>
        </w:r>
        <w:r w:rsidRPr="00AA0474">
          <w:rPr>
            <w:rFonts w:ascii="Arial" w:hAnsi="Arial" w:cs="Arial"/>
          </w:rPr>
          <w:instrText xml:space="preserve"> PAGE   \* MERGEFORMAT </w:instrText>
        </w:r>
        <w:r w:rsidRPr="00AA0474">
          <w:rPr>
            <w:rFonts w:ascii="Arial" w:hAnsi="Arial" w:cs="Arial"/>
          </w:rPr>
          <w:fldChar w:fldCharType="separate"/>
        </w:r>
        <w:r>
          <w:rPr>
            <w:rFonts w:ascii="Arial" w:hAnsi="Arial" w:cs="Arial"/>
            <w:noProof/>
          </w:rPr>
          <w:t>30</w:t>
        </w:r>
        <w:r w:rsidRPr="00AA0474">
          <w:rPr>
            <w:rFonts w:ascii="Arial" w:hAnsi="Arial" w:cs="Arial"/>
            <w:noProof/>
          </w:rPr>
          <w:fldChar w:fldCharType="end"/>
        </w:r>
        <w:r w:rsidRPr="00AA0474">
          <w:rPr>
            <w:rFonts w:ascii="Arial" w:hAnsi="Arial" w:cs="Arial"/>
            <w:noProof/>
          </w:rPr>
          <w:tab/>
        </w:r>
        <w:r w:rsidRPr="00AA0474">
          <w:rPr>
            <w:rFonts w:ascii="Arial" w:hAnsi="Arial" w:cs="Arial"/>
            <w:noProof/>
          </w:rPr>
          <w:tab/>
          <w:t xml:space="preserve">                              </w:t>
        </w:r>
      </w:p>
    </w:sdtContent>
  </w:sdt>
  <w:p w14:paraId="3AF2B653" w14:textId="77777777" w:rsidR="00361972" w:rsidRDefault="00361972">
    <w:pPr>
      <w:pStyle w:val="Footer"/>
    </w:pPr>
  </w:p>
  <w:p w14:paraId="0C496140" w14:textId="77777777" w:rsidR="00361972" w:rsidRDefault="0036197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E7F24" w14:textId="77777777" w:rsidR="00361972" w:rsidRDefault="00361972">
    <w:pPr>
      <w:pStyle w:val="Footer"/>
      <w:rPr>
        <w:rFonts w:ascii="Arial" w:hAnsi="Arial" w:cs="Arial"/>
        <w:b/>
        <w:color w:val="3F3F3F"/>
      </w:rPr>
    </w:pPr>
    <w:r>
      <w:rPr>
        <w:rFonts w:ascii="Arial" w:hAnsi="Arial" w:cs="Arial"/>
        <w:b/>
        <w:noProof/>
        <w:color w:val="3F3F3F"/>
      </w:rPr>
      <mc:AlternateContent>
        <mc:Choice Requires="wps">
          <w:drawing>
            <wp:anchor distT="0" distB="0" distL="114300" distR="114300" simplePos="0" relativeHeight="251747486" behindDoc="0" locked="0" layoutInCell="0" allowOverlap="1" wp14:anchorId="3EDB8FD5" wp14:editId="1E0415DC">
              <wp:simplePos x="0" y="9403953"/>
              <wp:positionH relativeFrom="page">
                <wp:align>left</wp:align>
              </wp:positionH>
              <wp:positionV relativeFrom="page">
                <wp:align>bottom</wp:align>
              </wp:positionV>
              <wp:extent cx="7772400" cy="463550"/>
              <wp:effectExtent l="0" t="0" r="0" b="12700"/>
              <wp:wrapNone/>
              <wp:docPr id="40" name="MSIPCMef2246dc8d5f8b2876d112a9" descr="{&quot;HashCode&quot;:-1267603503,&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D6F98B" w14:textId="53AD7E9E"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EDB8FD5" id="_x0000_t202" coordsize="21600,21600" o:spt="202" path="m,l,21600r21600,l21600,xe">
              <v:stroke joinstyle="miter"/>
              <v:path gradientshapeok="t" o:connecttype="rect"/>
            </v:shapetype>
            <v:shape id="MSIPCMef2246dc8d5f8b2876d112a9" o:spid="_x0000_s1040" type="#_x0000_t202" alt="{&quot;HashCode&quot;:-1267603503,&quot;Height&quot;:9999999.0,&quot;Width&quot;:9999999.0,&quot;Placement&quot;:&quot;Footer&quot;,&quot;Index&quot;:&quot;Primary&quot;,&quot;Section&quot;:6,&quot;Top&quot;:0.0,&quot;Left&quot;:0.0}" style="position:absolute;margin-left:0;margin-top:0;width:612pt;height:36.5pt;z-index:25174748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" o:allowincell="f" filled="f" stroked="f" strokeweight=".5pt">
              <v:textbox inset="20pt,0,,0">
                <w:txbxContent>
                  <w:p w14:paraId="2FD6F98B" w14:textId="53AD7E9E"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p>
  <w:p w14:paraId="62608163" w14:textId="77777777" w:rsidR="00361972" w:rsidRDefault="00361972" w:rsidP="00F46260">
    <w:pPr>
      <w:pStyle w:val="Footer"/>
      <w:rPr>
        <w:rFonts w:ascii="Arial" w:hAnsi="Arial" w:cs="Arial"/>
        <w:b/>
        <w:color w:val="3F3F3F"/>
      </w:rPr>
    </w:pPr>
  </w:p>
  <w:sdt>
    <w:sdtPr>
      <w:id w:val="1182473878"/>
      <w:docPartObj>
        <w:docPartGallery w:val="Page Numbers (Bottom of Page)"/>
        <w:docPartUnique/>
      </w:docPartObj>
    </w:sdtPr>
    <w:sdtEndPr>
      <w:rPr>
        <w:rFonts w:ascii="Arial" w:hAnsi="Arial" w:cs="Arial"/>
        <w:noProof/>
      </w:rPr>
    </w:sdtEndPr>
    <w:sdtContent>
      <w:p w14:paraId="2B508FCD" w14:textId="77777777" w:rsidR="00361972" w:rsidRPr="00AA0474" w:rsidRDefault="00361972" w:rsidP="00F46260">
        <w:pPr>
          <w:pStyle w:val="Footer"/>
          <w:ind w:left="4320" w:firstLine="4320"/>
          <w:rPr>
            <w:rFonts w:ascii="Arial" w:hAnsi="Arial" w:cs="Arial"/>
          </w:rPr>
        </w:pPr>
        <w:r w:rsidRPr="00AA0474">
          <w:rPr>
            <w:rFonts w:ascii="Arial" w:hAnsi="Arial" w:cs="Arial"/>
          </w:rPr>
          <w:fldChar w:fldCharType="begin"/>
        </w:r>
        <w:r w:rsidRPr="00AA0474">
          <w:rPr>
            <w:rFonts w:ascii="Arial" w:hAnsi="Arial" w:cs="Arial"/>
          </w:rPr>
          <w:instrText xml:space="preserve"> PAGE   \* MERGEFORMAT </w:instrText>
        </w:r>
        <w:r w:rsidRPr="00AA0474">
          <w:rPr>
            <w:rFonts w:ascii="Arial" w:hAnsi="Arial" w:cs="Arial"/>
          </w:rPr>
          <w:fldChar w:fldCharType="separate"/>
        </w:r>
        <w:r>
          <w:rPr>
            <w:rFonts w:ascii="Arial" w:hAnsi="Arial" w:cs="Arial"/>
            <w:noProof/>
          </w:rPr>
          <w:t>30</w:t>
        </w:r>
        <w:r w:rsidRPr="00AA0474">
          <w:rPr>
            <w:rFonts w:ascii="Arial" w:hAnsi="Arial" w:cs="Arial"/>
            <w:noProof/>
          </w:rPr>
          <w:fldChar w:fldCharType="end"/>
        </w:r>
        <w:r w:rsidRPr="00AA0474">
          <w:rPr>
            <w:rFonts w:ascii="Arial" w:hAnsi="Arial" w:cs="Arial"/>
            <w:noProof/>
          </w:rPr>
          <w:tab/>
        </w:r>
        <w:r w:rsidRPr="00AA0474">
          <w:rPr>
            <w:rFonts w:ascii="Arial" w:hAnsi="Arial" w:cs="Arial"/>
            <w:noProof/>
          </w:rPr>
          <w:tab/>
          <w:t xml:space="preserve">                              </w:t>
        </w:r>
      </w:p>
    </w:sdtContent>
  </w:sdt>
  <w:p w14:paraId="4CA98756" w14:textId="77777777" w:rsidR="00361972" w:rsidRDefault="0036197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40BF8" w14:textId="465B50E4" w:rsidR="00361972" w:rsidRDefault="00361972" w:rsidP="00F8706A">
    <w:pPr>
      <w:pStyle w:val="Footer"/>
    </w:pPr>
    <w:r>
      <w:rPr>
        <w:noProof/>
      </w:rPr>
      <mc:AlternateContent>
        <mc:Choice Requires="wps">
          <w:drawing>
            <wp:anchor distT="0" distB="0" distL="114300" distR="114300" simplePos="0" relativeHeight="251751425" behindDoc="0" locked="0" layoutInCell="0" allowOverlap="1" wp14:anchorId="383B0E86" wp14:editId="6493745D">
              <wp:simplePos x="0" y="0"/>
              <wp:positionH relativeFrom="page">
                <wp:align>left</wp:align>
              </wp:positionH>
              <wp:positionV relativeFrom="page">
                <wp:align>bottom</wp:align>
              </wp:positionV>
              <wp:extent cx="7772400" cy="463550"/>
              <wp:effectExtent l="0" t="0" r="0" b="12700"/>
              <wp:wrapNone/>
              <wp:docPr id="19" name="MSIPCM39cd488aacd81780f4ae7fbd" descr="{&quot;HashCode&quot;:-1267603503,&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11B1B" w14:textId="60A37BFB"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83B0E86" id="_x0000_t202" coordsize="21600,21600" o:spt="202" path="m,l,21600r21600,l21600,xe">
              <v:stroke joinstyle="miter"/>
              <v:path gradientshapeok="t" o:connecttype="rect"/>
            </v:shapetype>
            <v:shape id="MSIPCM39cd488aacd81780f4ae7fbd" o:spid="_x0000_s1041" type="#_x0000_t202" alt="{&quot;HashCode&quot;:-1267603503,&quot;Height&quot;:9999999.0,&quot;Width&quot;:9999999.0,&quot;Placement&quot;:&quot;Footer&quot;,&quot;Index&quot;:&quot;FirstPage&quot;,&quot;Section&quot;:5,&quot;Top&quot;:0.0,&quot;Left&quot;:0.0}" style="position:absolute;margin-left:0;margin-top:0;width:612pt;height:36.5pt;z-index:25175142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4UP9jbQCAABdBQAADgAA&#10;AAAAAAAAAAAAAAAuAgAAZHJzL2Uyb0RvYy54bWxQSwECLQAUAAYACAAAACEA/vWNm9oAAAAFAQAA&#10;DwAAAAAAAAAAAAAAAAAOBQAAZHJzL2Rvd25yZXYueG1sUEsFBgAAAAAEAAQA8wAAABUGAAAAAA==&#10;" o:allowincell="f" filled="f" stroked="f" strokeweight=".5pt">
              <v:textbox inset="20pt,0,,0">
                <w:txbxContent>
                  <w:p w14:paraId="0A811B1B" w14:textId="60A37BFB"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sdt>
      <w:sdtPr>
        <w:id w:val="20031526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56</w:t>
        </w:r>
        <w:r>
          <w:rPr>
            <w:noProof/>
          </w:rPr>
          <w:fldChar w:fldCharType="end"/>
        </w:r>
        <w:r>
          <w:rPr>
            <w:noProof/>
          </w:rPr>
          <w:t xml:space="preserve"> </w:t>
        </w:r>
        <w:r>
          <w:rPr>
            <w:noProof/>
          </w:rPr>
          <w:ptab w:relativeTo="margin" w:alignment="right" w:leader="none"/>
        </w:r>
        <w:r>
          <w:rPr>
            <w:noProof/>
          </w:rPr>
          <w:t>Victorian Public Sector Commission Annual Report 2020-21</w:t>
        </w:r>
      </w:sdtContent>
    </w:sdt>
  </w:p>
  <w:p w14:paraId="635C2E8A" w14:textId="77777777" w:rsidR="00361972" w:rsidRDefault="0036197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6CDC8" w14:textId="77777777" w:rsidR="00361972" w:rsidRDefault="00361972" w:rsidP="00F46260">
    <w:pPr>
      <w:pStyle w:val="Footer"/>
      <w:ind w:left="4320" w:firstLine="4320"/>
    </w:pPr>
    <w:r>
      <w:rPr>
        <w:noProof/>
      </w:rPr>
      <mc:AlternateContent>
        <mc:Choice Requires="wps">
          <w:drawing>
            <wp:anchor distT="0" distB="0" distL="114300" distR="114300" simplePos="0" relativeHeight="251698177" behindDoc="0" locked="0" layoutInCell="0" allowOverlap="1" wp14:anchorId="1D8F25B6" wp14:editId="2E949F32">
              <wp:simplePos x="0" y="0"/>
              <wp:positionH relativeFrom="page">
                <wp:align>left</wp:align>
              </wp:positionH>
              <wp:positionV relativeFrom="page">
                <wp:align>bottom</wp:align>
              </wp:positionV>
              <wp:extent cx="7772400" cy="463550"/>
              <wp:effectExtent l="0" t="0" r="0" b="12700"/>
              <wp:wrapNone/>
              <wp:docPr id="9" name="MSIPCM88264625b6cd6fad3372065f" descr="{&quot;HashCode&quot;:-1267603503,&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4A48A1"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D8F25B6" id="_x0000_t202" coordsize="21600,21600" o:spt="202" path="m,l,21600r21600,l21600,xe">
              <v:stroke joinstyle="miter"/>
              <v:path gradientshapeok="t" o:connecttype="rect"/>
            </v:shapetype>
            <v:shape id="MSIPCM88264625b6cd6fad3372065f" o:spid="_x0000_s1042" type="#_x0000_t202" alt="{&quot;HashCode&quot;:-1267603503,&quot;Height&quot;:9999999.0,&quot;Width&quot;:9999999.0,&quot;Placement&quot;:&quot;Footer&quot;,&quot;Index&quot;:&quot;OddAndEven&quot;,&quot;Section&quot;:7,&quot;Top&quot;:0.0,&quot;Left&quot;:0.0}" style="position:absolute;left:0;text-align:left;margin-left:0;margin-top:0;width:612pt;height:36.5pt;z-index:25169817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LX+uVe1AgAAXQUAAA4A&#10;AAAAAAAAAAAAAAAALgIAAGRycy9lMm9Eb2MueG1sUEsBAi0AFAAGAAgAAAAhAP71jZvaAAAABQEA&#10;AA8AAAAAAAAAAAAAAAAADwUAAGRycy9kb3ducmV2LnhtbFBLBQYAAAAABAAEAPMAAAAWBgAAAAA=&#10;" o:allowincell="f" filled="f" stroked="f" strokeweight=".5pt">
              <v:textbox inset="20pt,0,,0">
                <w:txbxContent>
                  <w:p w14:paraId="004A48A1"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5228186"/>
      <w:docPartObj>
        <w:docPartGallery w:val="Page Numbers (Bottom of Page)"/>
        <w:docPartUnique/>
      </w:docPartObj>
    </w:sdtPr>
    <w:sdtEndPr>
      <w:rPr>
        <w:noProof/>
      </w:rPr>
    </w:sdtEndPr>
    <w:sdtContent>
      <w:p w14:paraId="35EF9E63" w14:textId="7DA49D45" w:rsidR="00361972" w:rsidRDefault="00361972">
        <w:pPr>
          <w:pStyle w:val="Footer"/>
        </w:pPr>
        <w:r>
          <w:fldChar w:fldCharType="begin"/>
        </w:r>
        <w:r>
          <w:instrText xml:space="preserve"> PAGE   \* MERGEFORMAT </w:instrText>
        </w:r>
        <w:r>
          <w:fldChar w:fldCharType="separate"/>
        </w:r>
        <w:r>
          <w:t>56</w:t>
        </w:r>
        <w:r>
          <w:rPr>
            <w:noProof/>
          </w:rPr>
          <w:fldChar w:fldCharType="end"/>
        </w:r>
        <w:r>
          <w:rPr>
            <w:noProof/>
          </w:rPr>
          <w:t xml:space="preserve"> </w:t>
        </w:r>
        <w:r>
          <w:rPr>
            <w:noProof/>
          </w:rPr>
          <w:ptab w:relativeTo="margin" w:alignment="right" w:leader="none"/>
        </w:r>
        <w:r>
          <w:rPr>
            <w:noProof/>
          </w:rPr>
          <w:t>Victorian Public Sector Commission Annual Report 2020-21</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981EA" w14:textId="3EB060CC" w:rsidR="00361972" w:rsidRDefault="00361972">
    <w:pPr>
      <w:pStyle w:val="Footer"/>
    </w:pPr>
    <w:r>
      <w:rPr>
        <w:noProof/>
      </w:rPr>
      <mc:AlternateContent>
        <mc:Choice Requires="wps">
          <w:drawing>
            <wp:anchor distT="0" distB="0" distL="114300" distR="114300" simplePos="0" relativeHeight="251748114" behindDoc="0" locked="0" layoutInCell="0" allowOverlap="1" wp14:anchorId="0F7E5624" wp14:editId="21C52A1A">
              <wp:simplePos x="0" y="0"/>
              <wp:positionH relativeFrom="page">
                <wp:align>left</wp:align>
              </wp:positionH>
              <wp:positionV relativeFrom="page">
                <wp:align>bottom</wp:align>
              </wp:positionV>
              <wp:extent cx="7772400" cy="463550"/>
              <wp:effectExtent l="0" t="0" r="0" b="12700"/>
              <wp:wrapNone/>
              <wp:docPr id="6" name="MSIPCM0b64457d9aa18c29bb81409a" descr="{&quot;HashCode&quot;:-1267603503,&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CE2B00" w14:textId="6E5353EB"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F7E5624" id="_x0000_t202" coordsize="21600,21600" o:spt="202" path="m,l,21600r21600,l21600,xe">
              <v:stroke joinstyle="miter"/>
              <v:path gradientshapeok="t" o:connecttype="rect"/>
            </v:shapetype>
            <v:shape id="MSIPCM0b64457d9aa18c29bb81409a" o:spid="_x0000_s1043" type="#_x0000_t202" alt="{&quot;HashCode&quot;:-1267603503,&quot;Height&quot;:9999999.0,&quot;Width&quot;:9999999.0,&quot;Placement&quot;:&quot;Footer&quot;,&quot;Index&quot;:&quot;FirstPage&quot;,&quot;Section&quot;:6,&quot;Top&quot;:0.0,&quot;Left&quot;:0.0}" style="position:absolute;margin-left:0;margin-top:0;width:612pt;height:36.5pt;z-index:25174811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CxkuC2tgIAAFwFAAAO&#10;AAAAAAAAAAAAAAAAAC4CAABkcnMvZTJvRG9jLnhtbFBLAQItABQABgAIAAAAIQD+9Y2b2gAAAAUB&#10;AAAPAAAAAAAAAAAAAAAAABAFAABkcnMvZG93bnJldi54bWxQSwUGAAAAAAQABADzAAAAFwYAAAAA&#10;" o:allowincell="f" filled="f" stroked="f" strokeweight=".5pt">
              <v:textbox inset="20pt,0,,0">
                <w:txbxContent>
                  <w:p w14:paraId="0CCE2B00" w14:textId="6E5353EB"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sdt>
      <w:sdtPr>
        <w:id w:val="-6761904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56</w:t>
        </w:r>
        <w:r>
          <w:rPr>
            <w:noProof/>
          </w:rPr>
          <w:fldChar w:fldCharType="end"/>
        </w:r>
        <w:r>
          <w:rPr>
            <w:noProof/>
          </w:rPr>
          <w:t xml:space="preserve"> </w:t>
        </w:r>
        <w:r>
          <w:rPr>
            <w:noProof/>
          </w:rPr>
          <w:ptab w:relativeTo="margin" w:alignment="right" w:leader="none"/>
        </w:r>
        <w:r>
          <w:rPr>
            <w:noProof/>
          </w:rPr>
          <w:t>Victorian Public Sector Commission Annual Report 2020-21</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9954D" w14:textId="77777777" w:rsidR="00361972" w:rsidRDefault="00361972">
    <w:pPr>
      <w:pStyle w:val="Footer"/>
    </w:pPr>
  </w:p>
  <w:p w14:paraId="6E41730D" w14:textId="77777777" w:rsidR="00361972" w:rsidRDefault="00361972"/>
  <w:p w14:paraId="0DE1D24C" w14:textId="77777777" w:rsidR="00361972" w:rsidRDefault="003619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C3E6E" w14:textId="502050DD" w:rsidR="00361972" w:rsidRDefault="00361972">
    <w:pPr>
      <w:pStyle w:val="Footer"/>
    </w:pPr>
    <w:r>
      <w:rPr>
        <w:noProof/>
      </w:rPr>
      <mc:AlternateContent>
        <mc:Choice Requires="wps">
          <w:drawing>
            <wp:anchor distT="0" distB="0" distL="114300" distR="114300" simplePos="0" relativeHeight="251748991" behindDoc="0" locked="0" layoutInCell="0" allowOverlap="1" wp14:anchorId="02CB1B9C" wp14:editId="4ABCE77A">
              <wp:simplePos x="0" y="0"/>
              <wp:positionH relativeFrom="page">
                <wp:align>left</wp:align>
              </wp:positionH>
              <wp:positionV relativeFrom="page">
                <wp:align>bottom</wp:align>
              </wp:positionV>
              <wp:extent cx="7772400" cy="463550"/>
              <wp:effectExtent l="0" t="0" r="0" b="12700"/>
              <wp:wrapNone/>
              <wp:docPr id="12" name="MSIPCM9c894526a703c2a6a03c6316"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A11993" w14:textId="24864238"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2CB1B9C" id="_x0000_t202" coordsize="21600,21600" o:spt="202" path="m,l,21600r21600,l21600,xe">
              <v:stroke joinstyle="miter"/>
              <v:path gradientshapeok="t" o:connecttype="rect"/>
            </v:shapetype>
            <v:shape id="MSIPCM9c894526a703c2a6a03c6316" o:spid="_x0000_s1027" type="#_x0000_t202" alt="{&quot;HashCode&quot;:-1267603503,&quot;Height&quot;:9999999.0,&quot;Width&quot;:9999999.0,&quot;Placement&quot;:&quot;Footer&quot;,&quot;Index&quot;:&quot;Primary&quot;,&quot;Section&quot;:1,&quot;Top&quot;:0.0,&quot;Left&quot;:0.0}" style="position:absolute;margin-left:0;margin-top:0;width:612pt;height:36.5pt;z-index:25174899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" o:allowincell="f" filled="f" stroked="f" strokeweight=".5pt">
              <v:textbox inset="20pt,0,,0">
                <w:txbxContent>
                  <w:p w14:paraId="1BA11993" w14:textId="24864238"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sdt>
      <w:sdtPr>
        <w:id w:val="623003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ptab w:relativeTo="margin" w:alignment="right" w:leader="none"/>
        </w:r>
        <w:r>
          <w:rPr>
            <w:noProof/>
          </w:rPr>
          <w:t>Victorian Public Sector Commission Annual Report 2020-21</w:t>
        </w:r>
      </w:sdtContent>
    </w:sdt>
  </w:p>
  <w:p w14:paraId="70F0D402" w14:textId="3636BD26" w:rsidR="00361972" w:rsidRDefault="00361972" w:rsidP="006B755E">
    <w:pPr>
      <w:pStyle w:val="Footer"/>
      <w:tabs>
        <w:tab w:val="clear" w:pos="4513"/>
        <w:tab w:val="clear" w:pos="9026"/>
      </w:tabs>
      <w:ind w:right="-2"/>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35C2C" w14:textId="02E51B16" w:rsidR="00361972" w:rsidRPr="00973F22" w:rsidRDefault="00361972" w:rsidP="000C630F">
    <w:pPr>
      <w:pStyle w:val="Footer"/>
      <w:tabs>
        <w:tab w:val="clear" w:pos="4513"/>
        <w:tab w:val="left" w:pos="0"/>
      </w:tabs>
      <w:jc w:val="right"/>
    </w:pPr>
    <w:sdt>
      <w:sdtPr>
        <w:id w:val="-877551602"/>
        <w:docPartObj>
          <w:docPartGallery w:val="Page Numbers (Bottom of Page)"/>
          <w:docPartUnique/>
        </w:docPartObj>
      </w:sdtPr>
      <w:sdtContent>
        <w:r w:rsidRPr="00973F22">
          <w:fldChar w:fldCharType="begin"/>
        </w:r>
        <w:r w:rsidRPr="00973F22">
          <w:instrText xml:space="preserve"> PAGE   \* MERGEFORMAT </w:instrText>
        </w:r>
        <w:r w:rsidRPr="00973F22">
          <w:fldChar w:fldCharType="separate"/>
        </w:r>
        <w:r w:rsidRPr="00973F22">
          <w:t>2</w:t>
        </w:r>
        <w:r w:rsidRPr="00973F22">
          <w:fldChar w:fldCharType="end"/>
        </w:r>
      </w:sdtContent>
    </w:sdt>
    <w:r w:rsidRPr="00973F22">
      <w:tab/>
    </w:r>
    <w:r>
      <w:rPr>
        <w:noProof/>
      </w:rPr>
      <w:t>Victorian Public Sector Commission Annual Report 2020-21</w:t>
    </w:r>
  </w:p>
  <w:p w14:paraId="4C7E8562" w14:textId="77777777" w:rsidR="00361972" w:rsidRDefault="00361972"/>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2913"/>
      <w:docPartObj>
        <w:docPartGallery w:val="Page Numbers (Bottom of Page)"/>
        <w:docPartUnique/>
      </w:docPartObj>
    </w:sdtPr>
    <w:sdtEndPr>
      <w:rPr>
        <w:noProof/>
      </w:rPr>
    </w:sdtEndPr>
    <w:sdtContent>
      <w:p w14:paraId="457D141C" w14:textId="50E30668" w:rsidR="00361972" w:rsidRDefault="00361972" w:rsidP="00F8706A">
        <w:pPr>
          <w:pStyle w:val="Footer"/>
        </w:pPr>
        <w:r>
          <w:fldChar w:fldCharType="begin"/>
        </w:r>
        <w:r>
          <w:instrText xml:space="preserve"> PAGE   \* MERGEFORMAT </w:instrText>
        </w:r>
        <w:r>
          <w:fldChar w:fldCharType="separate"/>
        </w:r>
        <w:r>
          <w:t>56</w:t>
        </w:r>
        <w:r>
          <w:rPr>
            <w:noProof/>
          </w:rPr>
          <w:fldChar w:fldCharType="end"/>
        </w:r>
        <w:r>
          <w:rPr>
            <w:noProof/>
          </w:rPr>
          <w:t xml:space="preserve"> </w:t>
        </w:r>
        <w:r>
          <w:rPr>
            <w:noProof/>
          </w:rPr>
          <w:ptab w:relativeTo="margin" w:alignment="right" w:leader="none"/>
        </w:r>
        <w:r>
          <w:rPr>
            <w:noProof/>
          </w:rPr>
          <w:t>Victorian Public Sector Commission Annual Report 2020-21</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B1AFE" w14:textId="1044F688" w:rsidR="00361972" w:rsidRPr="00973F22" w:rsidRDefault="00361972" w:rsidP="000C630F">
    <w:pPr>
      <w:pStyle w:val="Footer"/>
      <w:tabs>
        <w:tab w:val="clear" w:pos="4513"/>
        <w:tab w:val="left" w:pos="0"/>
      </w:tabs>
      <w:jc w:val="right"/>
    </w:pPr>
    <w:r w:rsidRPr="00973F22">
      <w:tab/>
    </w:r>
    <w:r w:rsidRPr="00973F22">
      <w:rPr>
        <w:noProof/>
      </w:rPr>
      <w:drawing>
        <wp:inline distT="0" distB="0" distL="0" distR="0" wp14:anchorId="3BB75EF1" wp14:editId="04C21155">
          <wp:extent cx="943666" cy="540000"/>
          <wp:effectExtent l="0" t="0" r="8890" b="0"/>
          <wp:docPr id="21" name="Picture 2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ctoria-State-Government-logo-black.png"/>
                  <pic:cNvPicPr/>
                </pic:nvPicPr>
                <pic:blipFill>
                  <a:blip r:embed="rId1">
                    <a:extLst>
                      <a:ext uri="{28A0092B-C50C-407E-A947-70E740481C1C}">
                        <a14:useLocalDpi xmlns:a14="http://schemas.microsoft.com/office/drawing/2010/main" val="0"/>
                      </a:ext>
                    </a:extLst>
                  </a:blip>
                  <a:stretch>
                    <a:fillRect/>
                  </a:stretch>
                </pic:blipFill>
                <pic:spPr>
                  <a:xfrm>
                    <a:off x="0" y="0"/>
                    <a:ext cx="943666"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C0675" w14:textId="77CFC0D3" w:rsidR="00361972" w:rsidRDefault="00361972" w:rsidP="00F8706A">
    <w:pPr>
      <w:pStyle w:val="Footer"/>
      <w:tabs>
        <w:tab w:val="clear" w:pos="4513"/>
        <w:tab w:val="left" w:pos="0"/>
      </w:tabs>
      <w:jc w:val="right"/>
    </w:pPr>
    <w:r>
      <w:rPr>
        <w:noProof/>
      </w:rPr>
      <mc:AlternateContent>
        <mc:Choice Requires="wps">
          <w:drawing>
            <wp:anchor distT="0" distB="0" distL="114300" distR="114300" simplePos="0" relativeHeight="251749055" behindDoc="0" locked="0" layoutInCell="0" allowOverlap="1" wp14:anchorId="78254DEB" wp14:editId="66A597E9">
              <wp:simplePos x="0" y="0"/>
              <wp:positionH relativeFrom="page">
                <wp:align>left</wp:align>
              </wp:positionH>
              <wp:positionV relativeFrom="page">
                <wp:align>bottom</wp:align>
              </wp:positionV>
              <wp:extent cx="7772400" cy="463550"/>
              <wp:effectExtent l="0" t="0" r="0" b="12700"/>
              <wp:wrapNone/>
              <wp:docPr id="13" name="MSIPCM19b4497ca11e932535124287"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CC68F" w14:textId="5F171522"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8254DEB" id="_x0000_t202" coordsize="21600,21600" o:spt="202" path="m,l,21600r21600,l21600,xe">
              <v:stroke joinstyle="miter"/>
              <v:path gradientshapeok="t" o:connecttype="rect"/>
            </v:shapetype>
            <v:shape id="MSIPCM19b4497ca11e932535124287" o:spid="_x0000_s1028" type="#_x0000_t202" alt="{&quot;HashCode&quot;:-1267603503,&quot;Height&quot;:9999999.0,&quot;Width&quot;:9999999.0,&quot;Placement&quot;:&quot;Footer&quot;,&quot;Index&quot;:&quot;FirstPage&quot;,&quot;Section&quot;:1,&quot;Top&quot;:0.0,&quot;Left&quot;:0.0}" style="position:absolute;left:0;text-align:left;margin-left:0;margin-top:0;width:612pt;height:36.5pt;z-index:25174905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MXHdtG1AgAAXAUAAA4A&#10;AAAAAAAAAAAAAAAALgIAAGRycy9lMm9Eb2MueG1sUEsBAi0AFAAGAAgAAAAhAP71jZvaAAAABQEA&#10;AA8AAAAAAAAAAAAAAAAADwUAAGRycy9kb3ducmV2LnhtbFBLBQYAAAAABAAEAPMAAAAWBgAAAAA=&#10;" o:allowincell="f" filled="f" stroked="f" strokeweight=".5pt">
              <v:textbox inset="20pt,0,,0">
                <w:txbxContent>
                  <w:p w14:paraId="762CC68F" w14:textId="5F171522"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r w:rsidRPr="00973F22">
      <w:rPr>
        <w:noProof/>
      </w:rPr>
      <w:drawing>
        <wp:inline distT="0" distB="0" distL="0" distR="0" wp14:anchorId="3D70FB4F" wp14:editId="2258A8FF">
          <wp:extent cx="1538037" cy="540000"/>
          <wp:effectExtent l="0" t="0" r="5080" b="0"/>
          <wp:docPr id="91" name="Picture 91" descr="Victorian Public Sector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PSC-logo-Colour-RGB-Approved.png"/>
                  <pic:cNvPicPr/>
                </pic:nvPicPr>
                <pic:blipFill>
                  <a:blip r:embed="rId1">
                    <a:extLst>
                      <a:ext uri="{28A0092B-C50C-407E-A947-70E740481C1C}">
                        <a14:useLocalDpi xmlns:a14="http://schemas.microsoft.com/office/drawing/2010/main" val="0"/>
                      </a:ext>
                    </a:extLst>
                  </a:blip>
                  <a:stretch>
                    <a:fillRect/>
                  </a:stretch>
                </pic:blipFill>
                <pic:spPr>
                  <a:xfrm>
                    <a:off x="0" y="0"/>
                    <a:ext cx="1538037" cy="540000"/>
                  </a:xfrm>
                  <a:prstGeom prst="rect">
                    <a:avLst/>
                  </a:prstGeom>
                </pic:spPr>
              </pic:pic>
            </a:graphicData>
          </a:graphic>
        </wp:inline>
      </w:drawing>
    </w:r>
    <w:r w:rsidRPr="00973F22">
      <w:t xml:space="preserve">          </w:t>
    </w:r>
    <w:r w:rsidRPr="00973F22">
      <w:rPr>
        <w:noProof/>
      </w:rPr>
      <w:drawing>
        <wp:inline distT="0" distB="0" distL="0" distR="0" wp14:anchorId="435EDC48" wp14:editId="3E5806DE">
          <wp:extent cx="943667" cy="540000"/>
          <wp:effectExtent l="0" t="0" r="8890" b="0"/>
          <wp:docPr id="92" name="Picture 92"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ctoria-State-Government-logo-black.png"/>
                  <pic:cNvPicPr/>
                </pic:nvPicPr>
                <pic:blipFill>
                  <a:blip r:embed="rId2">
                    <a:extLst>
                      <a:ext uri="{28A0092B-C50C-407E-A947-70E740481C1C}">
                        <a14:useLocalDpi xmlns:a14="http://schemas.microsoft.com/office/drawing/2010/main" val="0"/>
                      </a:ext>
                    </a:extLst>
                  </a:blip>
                  <a:stretch>
                    <a:fillRect/>
                  </a:stretch>
                </pic:blipFill>
                <pic:spPr>
                  <a:xfrm>
                    <a:off x="0" y="0"/>
                    <a:ext cx="943667" cy="540000"/>
                  </a:xfrm>
                  <a:prstGeom prst="rect">
                    <a:avLst/>
                  </a:prstGeom>
                </pic:spPr>
              </pic:pic>
            </a:graphicData>
          </a:graphic>
        </wp:inline>
      </w:drawing>
    </w:r>
  </w:p>
  <w:p w14:paraId="6C406242" w14:textId="77777777" w:rsidR="00361972" w:rsidRDefault="003619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7EB35" w14:textId="77777777" w:rsidR="00361972" w:rsidRDefault="00361972">
    <w:pPr>
      <w:pStyle w:val="Footer"/>
      <w:rPr>
        <w:rFonts w:ascii="Arial" w:hAnsi="Arial" w:cs="Arial"/>
        <w:b/>
        <w:color w:val="3F3F3F"/>
      </w:rPr>
    </w:pPr>
    <w:bookmarkStart w:id="37" w:name="PandNP3FooterEvenPages"/>
    <w:r>
      <w:rPr>
        <w:rFonts w:ascii="Arial" w:hAnsi="Arial" w:cs="Arial"/>
        <w:b/>
        <w:noProof/>
        <w:color w:val="3F3F3F"/>
      </w:rPr>
      <mc:AlternateContent>
        <mc:Choice Requires="wps">
          <w:drawing>
            <wp:anchor distT="0" distB="0" distL="114300" distR="114300" simplePos="0" relativeHeight="251679745" behindDoc="0" locked="0" layoutInCell="0" allowOverlap="1" wp14:anchorId="46440FD1" wp14:editId="520C5062">
              <wp:simplePos x="0" y="9403953"/>
              <wp:positionH relativeFrom="page">
                <wp:align>left</wp:align>
              </wp:positionH>
              <wp:positionV relativeFrom="page">
                <wp:align>bottom</wp:align>
              </wp:positionV>
              <wp:extent cx="7772400" cy="463550"/>
              <wp:effectExtent l="0" t="0" r="0" b="12700"/>
              <wp:wrapNone/>
              <wp:docPr id="33" name="MSIPCM0a0b49089b273048e43f7b45" descr="{&quot;HashCode&quot;:-1267603503,&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2509F9"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6440FD1" id="_x0000_t202" coordsize="21600,21600" o:spt="202" path="m,l,21600r21600,l21600,xe">
              <v:stroke joinstyle="miter"/>
              <v:path gradientshapeok="t" o:connecttype="rect"/>
            </v:shapetype>
            <v:shape id="MSIPCM0a0b49089b273048e43f7b45" o:spid="_x0000_s1029" type="#_x0000_t202" alt="{&quot;HashCode&quot;:-1267603503,&quot;Height&quot;:9999999.0,&quot;Width&quot;:9999999.0,&quot;Placement&quot;:&quot;Footer&quot;,&quot;Index&quot;:&quot;OddAndEven&quot;,&quot;Section&quot;:3,&quot;Top&quot;:0.0,&quot;Left&quot;:0.0}" style="position:absolute;margin-left:0;margin-top:0;width:612pt;height:36.5pt;z-index:25167974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" o:allowincell="f" filled="f" stroked="f" strokeweight=".5pt">
              <v:textbox inset="20pt,0,,0">
                <w:txbxContent>
                  <w:p w14:paraId="432509F9"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v:textbox>
              <w10:wrap anchorx="page" anchory="page"/>
            </v:shape>
          </w:pict>
        </mc:Fallback>
      </mc:AlternateContent>
    </w:r>
  </w:p>
  <w:p w14:paraId="72874C2F" w14:textId="77777777" w:rsidR="00361972" w:rsidRDefault="00361972">
    <w:pPr>
      <w:pStyle w:val="Footer"/>
      <w:rPr>
        <w:rFonts w:ascii="Arial" w:hAnsi="Arial" w:cs="Arial"/>
        <w:b/>
        <w:color w:val="3F3F3F"/>
      </w:rPr>
    </w:pPr>
  </w:p>
  <w:bookmarkEnd w:id="37"/>
  <w:p w14:paraId="4B8291B2" w14:textId="77777777" w:rsidR="00361972" w:rsidDel="00955DD0" w:rsidRDefault="00361972">
    <w:pPr>
      <w:pStyle w:val="Footer"/>
      <w:rPr>
        <w:rFonts w:ascii="Arial" w:hAnsi="Arial" w:cs="Arial"/>
        <w:b/>
        <w:color w:val="3F3F3F"/>
      </w:rPr>
    </w:pPr>
  </w:p>
  <w:sdt>
    <w:sdtPr>
      <w:id w:val="547187328"/>
      <w:docPartObj>
        <w:docPartGallery w:val="Page Numbers (Bottom of Page)"/>
        <w:docPartUnique/>
      </w:docPartObj>
    </w:sdtPr>
    <w:sdtEndPr>
      <w:rPr>
        <w:rFonts w:ascii="Arial" w:hAnsi="Arial" w:cs="Arial"/>
        <w:noProof/>
      </w:rPr>
    </w:sdtEndPr>
    <w:sdtContent>
      <w:p w14:paraId="6B1C45C9" w14:textId="77777777" w:rsidR="00361972" w:rsidRPr="00AA0474" w:rsidRDefault="00361972">
        <w:pPr>
          <w:pStyle w:val="Footer"/>
          <w:ind w:left="4320" w:firstLine="4320"/>
          <w:rPr>
            <w:rFonts w:ascii="Arial" w:hAnsi="Arial" w:cs="Arial"/>
          </w:rPr>
        </w:pPr>
        <w:r w:rsidRPr="00AA0474">
          <w:rPr>
            <w:rFonts w:ascii="Arial" w:hAnsi="Arial" w:cs="Arial"/>
          </w:rPr>
          <w:fldChar w:fldCharType="begin"/>
        </w:r>
        <w:r w:rsidRPr="00AA0474">
          <w:rPr>
            <w:rFonts w:ascii="Arial" w:hAnsi="Arial" w:cs="Arial"/>
          </w:rPr>
          <w:instrText xml:space="preserve"> PAGE   \* MERGEFORMAT </w:instrText>
        </w:r>
        <w:r w:rsidRPr="00AA0474">
          <w:rPr>
            <w:rFonts w:ascii="Arial" w:hAnsi="Arial" w:cs="Arial"/>
          </w:rPr>
          <w:fldChar w:fldCharType="separate"/>
        </w:r>
        <w:r>
          <w:rPr>
            <w:rFonts w:ascii="Arial" w:hAnsi="Arial" w:cs="Arial"/>
            <w:noProof/>
          </w:rPr>
          <w:t>30</w:t>
        </w:r>
        <w:r w:rsidRPr="00AA0474">
          <w:rPr>
            <w:rFonts w:ascii="Arial" w:hAnsi="Arial" w:cs="Arial"/>
            <w:noProof/>
          </w:rPr>
          <w:fldChar w:fldCharType="end"/>
        </w:r>
        <w:r w:rsidRPr="00AA0474">
          <w:rPr>
            <w:rFonts w:ascii="Arial" w:hAnsi="Arial" w:cs="Arial"/>
            <w:noProof/>
          </w:rPr>
          <w:tab/>
        </w:r>
        <w:r w:rsidRPr="00AA0474">
          <w:rPr>
            <w:rFonts w:ascii="Arial" w:hAnsi="Arial" w:cs="Arial"/>
            <w:noProof/>
          </w:rPr>
          <w:tab/>
          <w:t xml:space="preserve">                              </w:t>
        </w:r>
      </w:p>
    </w:sdtContent>
  </w:sdt>
  <w:p w14:paraId="36AE0DFB" w14:textId="77777777" w:rsidR="00361972" w:rsidRDefault="00361972">
    <w:pPr>
      <w:pStyle w:val="Footer"/>
    </w:pPr>
  </w:p>
  <w:p w14:paraId="4E5B27A1" w14:textId="77777777" w:rsidR="00361972" w:rsidRDefault="003619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D5BD4" w14:textId="44B910A7" w:rsidR="00361972" w:rsidRDefault="00361972">
    <w:pPr>
      <w:pStyle w:val="Footer"/>
      <w:rPr>
        <w:rFonts w:ascii="Arial" w:hAnsi="Arial" w:cs="Arial"/>
        <w:b/>
        <w:color w:val="3F3F3F"/>
      </w:rPr>
    </w:pPr>
    <w:r>
      <w:rPr>
        <w:rFonts w:ascii="Arial" w:hAnsi="Arial" w:cs="Arial"/>
        <w:b/>
        <w:noProof/>
        <w:color w:val="3F3F3F"/>
      </w:rPr>
      <mc:AlternateContent>
        <mc:Choice Requires="wps">
          <w:drawing>
            <wp:anchor distT="0" distB="0" distL="114300" distR="114300" simplePos="0" relativeHeight="251747290" behindDoc="0" locked="0" layoutInCell="0" allowOverlap="1" wp14:anchorId="0AC0AD83" wp14:editId="540E6B32">
              <wp:simplePos x="0" y="9403953"/>
              <wp:positionH relativeFrom="page">
                <wp:align>left</wp:align>
              </wp:positionH>
              <wp:positionV relativeFrom="page">
                <wp:align>bottom</wp:align>
              </wp:positionV>
              <wp:extent cx="7772400" cy="463550"/>
              <wp:effectExtent l="0" t="0" r="0" b="12700"/>
              <wp:wrapNone/>
              <wp:docPr id="14" name="MSIPCM1d1e40a181b086b7d6a598f6"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6C9152" w14:textId="3134FA1B"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AC0AD83" id="_x0000_t202" coordsize="21600,21600" o:spt="202" path="m,l,21600r21600,l21600,xe">
              <v:stroke joinstyle="miter"/>
              <v:path gradientshapeok="t" o:connecttype="rect"/>
            </v:shapetype>
            <v:shape id="MSIPCM1d1e40a181b086b7d6a598f6" o:spid="_x0000_s1030" type="#_x0000_t202" alt="{&quot;HashCode&quot;:-1267603503,&quot;Height&quot;:9999999.0,&quot;Width&quot;:9999999.0,&quot;Placement&quot;:&quot;Footer&quot;,&quot;Index&quot;:&quot;Primary&quot;,&quot;Section&quot;:2,&quot;Top&quot;:0.0,&quot;Left&quot;:0.0}" style="position:absolute;margin-left:0;margin-top:0;width:612pt;height:36.5pt;z-index:25174729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CHrvawswIAAFoFAAAOAAAA&#10;AAAAAAAAAAAAAC4CAABkcnMvZTJvRG9jLnhtbFBLAQItABQABgAIAAAAIQD+9Y2b2gAAAAUBAAAP&#10;AAAAAAAAAAAAAAAAAA0FAABkcnMvZG93bnJldi54bWxQSwUGAAAAAAQABADzAAAAFAYAAAAA&#10;" o:allowincell="f" filled="f" stroked="f" strokeweight=".5pt">
              <v:textbox inset="20pt,0,,0">
                <w:txbxContent>
                  <w:p w14:paraId="096C9152" w14:textId="3134FA1B"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r>
      <w:rPr>
        <w:rFonts w:ascii="Arial" w:hAnsi="Arial" w:cs="Arial"/>
        <w:b/>
        <w:noProof/>
        <w:color w:val="3F3F3F"/>
      </w:rPr>
      <mc:AlternateContent>
        <mc:Choice Requires="wps">
          <w:drawing>
            <wp:anchor distT="0" distB="0" distL="114300" distR="114300" simplePos="0" relativeHeight="251748259" behindDoc="0" locked="0" layoutInCell="0" allowOverlap="1" wp14:anchorId="22F843F0" wp14:editId="41A9461F">
              <wp:simplePos x="0" y="9403953"/>
              <wp:positionH relativeFrom="page">
                <wp:align>left</wp:align>
              </wp:positionH>
              <wp:positionV relativeFrom="page">
                <wp:align>bottom</wp:align>
              </wp:positionV>
              <wp:extent cx="7772400" cy="463550"/>
              <wp:effectExtent l="0" t="0" r="0" b="12700"/>
              <wp:wrapNone/>
              <wp:docPr id="31" name="MSIPCM367f47da88c1f87985be17a5"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C6481" w14:textId="3A3180B1"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2F843F0" id="MSIPCM367f47da88c1f87985be17a5" o:spid="_x0000_s1031" type="#_x0000_t202" alt="{&quot;HashCode&quot;:-1267603503,&quot;Height&quot;:9999999.0,&quot;Width&quot;:9999999.0,&quot;Placement&quot;:&quot;Footer&quot;,&quot;Index&quot;:&quot;Primary&quot;,&quot;Section&quot;:3,&quot;Top&quot;:0.0,&quot;Left&quot;:0.0}" style="position:absolute;margin-left:0;margin-top:0;width:612pt;height:36.5pt;z-index:25174825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weyH6LQCAABaBQAADgAA&#10;AAAAAAAAAAAAAAAuAgAAZHJzL2Uyb0RvYy54bWxQSwECLQAUAAYACAAAACEA/vWNm9oAAAAFAQAA&#10;DwAAAAAAAAAAAAAAAAAOBQAAZHJzL2Rvd25yZXYueG1sUEsFBgAAAAAEAAQA8wAAABUGAAAAAA==&#10;" o:allowincell="f" filled="f" stroked="f" strokeweight=".5pt">
              <v:textbox inset="20pt,0,,0">
                <w:txbxContent>
                  <w:p w14:paraId="7EFC6481" w14:textId="3A3180B1"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p>
  <w:p w14:paraId="0708C503" w14:textId="77777777" w:rsidR="00361972" w:rsidRDefault="00361972" w:rsidP="00F46260">
    <w:pPr>
      <w:pStyle w:val="Footer"/>
      <w:rPr>
        <w:rFonts w:ascii="Arial" w:hAnsi="Arial" w:cs="Arial"/>
        <w:b/>
        <w:color w:val="3F3F3F"/>
      </w:rPr>
    </w:pPr>
  </w:p>
  <w:p w14:paraId="5C628D09" w14:textId="77777777" w:rsidR="00361972" w:rsidRDefault="003619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82C4" w14:textId="50A45821" w:rsidR="00361972" w:rsidRDefault="00361972" w:rsidP="00F8706A">
    <w:pPr>
      <w:pStyle w:val="Footer"/>
    </w:pPr>
    <w:bookmarkStart w:id="38" w:name="PandNP3FooterFirstPage"/>
    <w:r>
      <w:rPr>
        <w:noProof/>
      </w:rPr>
      <mc:AlternateContent>
        <mc:Choice Requires="wps">
          <w:drawing>
            <wp:anchor distT="0" distB="0" distL="114300" distR="114300" simplePos="0" relativeHeight="251749022" behindDoc="0" locked="0" layoutInCell="0" allowOverlap="1" wp14:anchorId="4BD5D369" wp14:editId="389DE78B">
              <wp:simplePos x="0" y="0"/>
              <wp:positionH relativeFrom="page">
                <wp:align>left</wp:align>
              </wp:positionH>
              <wp:positionV relativeFrom="page">
                <wp:align>bottom</wp:align>
              </wp:positionV>
              <wp:extent cx="7772400" cy="463550"/>
              <wp:effectExtent l="0" t="0" r="0" b="12700"/>
              <wp:wrapNone/>
              <wp:docPr id="15" name="MSIPCM29cb449284afbbdc43098c57" descr="{&quot;HashCode&quot;:-1267603503,&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A0DB97" w14:textId="4A680060"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BD5D369" id="_x0000_t202" coordsize="21600,21600" o:spt="202" path="m,l,21600r21600,l21600,xe">
              <v:stroke joinstyle="miter"/>
              <v:path gradientshapeok="t" o:connecttype="rect"/>
            </v:shapetype>
            <v:shape id="MSIPCM29cb449284afbbdc43098c57" o:spid="_x0000_s1032" type="#_x0000_t202" alt="{&quot;HashCode&quot;:-1267603503,&quot;Height&quot;:9999999.0,&quot;Width&quot;:9999999.0,&quot;Placement&quot;:&quot;Footer&quot;,&quot;Index&quot;:&quot;FirstPage&quot;,&quot;Section&quot;:2,&quot;Top&quot;:0.0,&quot;Left&quot;:0.0}" style="position:absolute;margin-left:0;margin-top:0;width:612pt;height:36.5pt;z-index:25174902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AYTATstgIAAFwFAAAO&#10;AAAAAAAAAAAAAAAAAC4CAABkcnMvZTJvRG9jLnhtbFBLAQItABQABgAIAAAAIQD+9Y2b2gAAAAUB&#10;AAAPAAAAAAAAAAAAAAAAABAFAABkcnMvZG93bnJldi54bWxQSwUGAAAAAAQABADzAAAAFwYAAAAA&#10;" o:allowincell="f" filled="f" stroked="f" strokeweight=".5pt">
              <v:textbox inset="20pt,0,,0">
                <w:txbxContent>
                  <w:p w14:paraId="0AA0DB97" w14:textId="4A680060"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sdt>
      <w:sdtPr>
        <w:id w:val="-11004907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56</w:t>
        </w:r>
        <w:r>
          <w:rPr>
            <w:noProof/>
          </w:rPr>
          <w:fldChar w:fldCharType="end"/>
        </w:r>
        <w:r>
          <w:rPr>
            <w:noProof/>
          </w:rPr>
          <w:t xml:space="preserve"> </w:t>
        </w:r>
        <w:r>
          <w:rPr>
            <w:noProof/>
          </w:rPr>
          <w:ptab w:relativeTo="margin" w:alignment="right" w:leader="none"/>
        </w:r>
        <w:r>
          <w:rPr>
            <w:noProof/>
          </w:rPr>
          <w:t>Victorian Public Sector Commission Annual Report 2020-21</w:t>
        </w:r>
      </w:sdtContent>
    </w:sdt>
  </w:p>
  <w:bookmarkEnd w:id="38"/>
  <w:p w14:paraId="42FA6D59" w14:textId="77777777" w:rsidR="00361972" w:rsidRDefault="00361972">
    <w:pPr>
      <w:pStyle w:val="Footer"/>
    </w:pPr>
  </w:p>
  <w:p w14:paraId="1C41C880" w14:textId="77777777" w:rsidR="00361972" w:rsidRDefault="003619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D2DB4" w14:textId="77777777" w:rsidR="00361972" w:rsidRDefault="00361972">
    <w:pPr>
      <w:pStyle w:val="Footer"/>
      <w:rPr>
        <w:rFonts w:ascii="Arial" w:hAnsi="Arial" w:cs="Arial"/>
        <w:b/>
        <w:color w:val="3F3F3F"/>
      </w:rPr>
    </w:pPr>
    <w:bookmarkStart w:id="39" w:name="PandNP4FooterEvenPages"/>
    <w:r>
      <w:rPr>
        <w:rFonts w:ascii="Arial" w:hAnsi="Arial" w:cs="Arial"/>
        <w:b/>
        <w:noProof/>
        <w:color w:val="3F3F3F"/>
      </w:rPr>
      <mc:AlternateContent>
        <mc:Choice Requires="wps">
          <w:drawing>
            <wp:anchor distT="0" distB="0" distL="114300" distR="114300" simplePos="0" relativeHeight="251678721" behindDoc="0" locked="0" layoutInCell="0" allowOverlap="1" wp14:anchorId="5C197B0E" wp14:editId="47F209B1">
              <wp:simplePos x="0" y="9403953"/>
              <wp:positionH relativeFrom="page">
                <wp:align>left</wp:align>
              </wp:positionH>
              <wp:positionV relativeFrom="page">
                <wp:align>bottom</wp:align>
              </wp:positionV>
              <wp:extent cx="7772400" cy="463550"/>
              <wp:effectExtent l="0" t="0" r="0" b="12700"/>
              <wp:wrapNone/>
              <wp:docPr id="36" name="MSIPCM859141af8638aef02c3ab391" descr="{&quot;HashCode&quot;:-1267603503,&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B7B70"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C197B0E" id="_x0000_t202" coordsize="21600,21600" o:spt="202" path="m,l,21600r21600,l21600,xe">
              <v:stroke joinstyle="miter"/>
              <v:path gradientshapeok="t" o:connecttype="rect"/>
            </v:shapetype>
            <v:shape id="MSIPCM859141af8638aef02c3ab391" o:spid="_x0000_s1033" type="#_x0000_t202" alt="{&quot;HashCode&quot;:-1267603503,&quot;Height&quot;:9999999.0,&quot;Width&quot;:9999999.0,&quot;Placement&quot;:&quot;Footer&quot;,&quot;Index&quot;:&quot;OddAndEven&quot;,&quot;Section&quot;:4,&quot;Top&quot;:0.0,&quot;Left&quot;:0.0}" style="position:absolute;margin-left:0;margin-top:0;width:612pt;height:36.5pt;z-index:25167872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AIJhodtgIAAF0FAAAO&#10;AAAAAAAAAAAAAAAAAC4CAABkcnMvZTJvRG9jLnhtbFBLAQItABQABgAIAAAAIQD+9Y2b2gAAAAUB&#10;AAAPAAAAAAAAAAAAAAAAABAFAABkcnMvZG93bnJldi54bWxQSwUGAAAAAAQABADzAAAAFwYAAAAA&#10;" o:allowincell="f" filled="f" stroked="f" strokeweight=".5pt">
              <v:textbox inset="20pt,0,,0">
                <w:txbxContent>
                  <w:p w14:paraId="664B7B70" w14:textId="77777777" w:rsidR="00361972" w:rsidRPr="00E84313" w:rsidRDefault="00361972" w:rsidP="00F46260">
                    <w:pPr>
                      <w:rPr>
                        <w:rFonts w:ascii="Calibri" w:hAnsi="Calibri" w:cs="Calibri"/>
                        <w:color w:val="000000"/>
                      </w:rPr>
                    </w:pPr>
                    <w:r w:rsidRPr="00E84313">
                      <w:rPr>
                        <w:rFonts w:ascii="Calibri" w:hAnsi="Calibri" w:cs="Calibri"/>
                        <w:color w:val="000000"/>
                      </w:rPr>
                      <w:t>OFFICIAL</w:t>
                    </w:r>
                  </w:p>
                </w:txbxContent>
              </v:textbox>
              <w10:wrap anchorx="page" anchory="page"/>
            </v:shape>
          </w:pict>
        </mc:Fallback>
      </mc:AlternateContent>
    </w:r>
  </w:p>
  <w:p w14:paraId="1E2F54EB" w14:textId="77777777" w:rsidR="00361972" w:rsidRDefault="00361972">
    <w:pPr>
      <w:pStyle w:val="Footer"/>
      <w:rPr>
        <w:rFonts w:ascii="Arial" w:hAnsi="Arial" w:cs="Arial"/>
        <w:b/>
        <w:color w:val="3F3F3F"/>
      </w:rPr>
    </w:pPr>
  </w:p>
  <w:bookmarkEnd w:id="39"/>
  <w:p w14:paraId="18D97F09" w14:textId="77777777" w:rsidR="00361972" w:rsidDel="00955DD0" w:rsidRDefault="00361972">
    <w:pPr>
      <w:pStyle w:val="Footer"/>
      <w:rPr>
        <w:rFonts w:ascii="Arial" w:hAnsi="Arial" w:cs="Arial"/>
        <w:b/>
        <w:color w:val="3F3F3F"/>
      </w:rPr>
    </w:pPr>
  </w:p>
  <w:sdt>
    <w:sdtPr>
      <w:id w:val="1366719161"/>
      <w:docPartObj>
        <w:docPartGallery w:val="Page Numbers (Bottom of Page)"/>
        <w:docPartUnique/>
      </w:docPartObj>
    </w:sdtPr>
    <w:sdtEndPr>
      <w:rPr>
        <w:rFonts w:ascii="Arial" w:hAnsi="Arial" w:cs="Arial"/>
        <w:noProof/>
      </w:rPr>
    </w:sdtEndPr>
    <w:sdtContent>
      <w:p w14:paraId="6AEB3091" w14:textId="77777777" w:rsidR="00361972" w:rsidRPr="00AA0474" w:rsidRDefault="00361972">
        <w:pPr>
          <w:pStyle w:val="Footer"/>
          <w:ind w:left="4320" w:firstLine="4320"/>
          <w:rPr>
            <w:rFonts w:ascii="Arial" w:hAnsi="Arial" w:cs="Arial"/>
          </w:rPr>
        </w:pPr>
        <w:r w:rsidRPr="00AA0474">
          <w:rPr>
            <w:rFonts w:ascii="Arial" w:hAnsi="Arial" w:cs="Arial"/>
          </w:rPr>
          <w:fldChar w:fldCharType="begin"/>
        </w:r>
        <w:r w:rsidRPr="00AA0474">
          <w:rPr>
            <w:rFonts w:ascii="Arial" w:hAnsi="Arial" w:cs="Arial"/>
          </w:rPr>
          <w:instrText xml:space="preserve"> PAGE   \* MERGEFORMAT </w:instrText>
        </w:r>
        <w:r w:rsidRPr="00AA0474">
          <w:rPr>
            <w:rFonts w:ascii="Arial" w:hAnsi="Arial" w:cs="Arial"/>
          </w:rPr>
          <w:fldChar w:fldCharType="separate"/>
        </w:r>
        <w:r>
          <w:rPr>
            <w:rFonts w:ascii="Arial" w:hAnsi="Arial" w:cs="Arial"/>
            <w:noProof/>
          </w:rPr>
          <w:t>30</w:t>
        </w:r>
        <w:r w:rsidRPr="00AA0474">
          <w:rPr>
            <w:rFonts w:ascii="Arial" w:hAnsi="Arial" w:cs="Arial"/>
            <w:noProof/>
          </w:rPr>
          <w:fldChar w:fldCharType="end"/>
        </w:r>
        <w:r w:rsidRPr="00AA0474">
          <w:rPr>
            <w:rFonts w:ascii="Arial" w:hAnsi="Arial" w:cs="Arial"/>
            <w:noProof/>
          </w:rPr>
          <w:tab/>
        </w:r>
        <w:r w:rsidRPr="00AA0474">
          <w:rPr>
            <w:rFonts w:ascii="Arial" w:hAnsi="Arial" w:cs="Arial"/>
            <w:noProof/>
          </w:rPr>
          <w:tab/>
          <w:t xml:space="preserve">                              </w:t>
        </w:r>
      </w:p>
    </w:sdtContent>
  </w:sdt>
  <w:p w14:paraId="5BB322A2" w14:textId="77777777" w:rsidR="00361972" w:rsidRDefault="00361972">
    <w:pPr>
      <w:pStyle w:val="Footer"/>
    </w:pPr>
  </w:p>
  <w:p w14:paraId="024499B7" w14:textId="77777777" w:rsidR="00361972" w:rsidRDefault="0036197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BCD96" w14:textId="3E46E030" w:rsidR="00361972" w:rsidRDefault="00361972" w:rsidP="00F8706A">
    <w:pPr>
      <w:pStyle w:val="Footer"/>
    </w:pPr>
    <w:sdt>
      <w:sdtPr>
        <w:id w:val="-11219189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56</w:t>
        </w:r>
        <w:r>
          <w:rPr>
            <w:noProof/>
          </w:rPr>
          <w:fldChar w:fldCharType="end"/>
        </w:r>
        <w:r>
          <w:rPr>
            <w:noProof/>
          </w:rPr>
          <w:t xml:space="preserve"> </w:t>
        </w:r>
        <w:r>
          <w:rPr>
            <w:noProof/>
          </w:rPr>
          <w:ptab w:relativeTo="margin" w:alignment="right" w:leader="none"/>
        </w:r>
        <w:r>
          <w:rPr>
            <w:noProof/>
          </w:rPr>
          <w:t>Victorian Public Sector Commission Annual Report 2020-21</w:t>
        </w:r>
      </w:sdtContent>
    </w:sdt>
  </w:p>
  <w:p w14:paraId="22AAB402" w14:textId="77777777" w:rsidR="00361972" w:rsidRDefault="0036197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478D" w14:textId="6658D5C9" w:rsidR="00361972" w:rsidRDefault="00361972" w:rsidP="00F8706A">
    <w:pPr>
      <w:pStyle w:val="Footer"/>
    </w:pPr>
    <w:r>
      <w:rPr>
        <w:noProof/>
      </w:rPr>
      <mc:AlternateContent>
        <mc:Choice Requires="wps">
          <w:drawing>
            <wp:anchor distT="0" distB="0" distL="114300" distR="114300" simplePos="0" relativeHeight="251748261" behindDoc="0" locked="0" layoutInCell="0" allowOverlap="1" wp14:anchorId="790E65D8" wp14:editId="24C24697">
              <wp:simplePos x="0" y="0"/>
              <wp:positionH relativeFrom="page">
                <wp:align>left</wp:align>
              </wp:positionH>
              <wp:positionV relativeFrom="page">
                <wp:align>bottom</wp:align>
              </wp:positionV>
              <wp:extent cx="7772400" cy="463550"/>
              <wp:effectExtent l="0" t="0" r="0" b="12700"/>
              <wp:wrapNone/>
              <wp:docPr id="16" name="MSIPCMbc40479e923e20d61df56347" descr="{&quot;HashCode&quot;:-1267603503,&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4E8167" w14:textId="4CA5DF9D"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90E65D8" id="_x0000_t202" coordsize="21600,21600" o:spt="202" path="m,l,21600r21600,l21600,xe">
              <v:stroke joinstyle="miter"/>
              <v:path gradientshapeok="t" o:connecttype="rect"/>
            </v:shapetype>
            <v:shape id="MSIPCMbc40479e923e20d61df56347" o:spid="_x0000_s1034" type="#_x0000_t202" alt="{&quot;HashCode&quot;:-1267603503,&quot;Height&quot;:9999999.0,&quot;Width&quot;:9999999.0,&quot;Placement&quot;:&quot;Footer&quot;,&quot;Index&quot;:&quot;FirstPage&quot;,&quot;Section&quot;:3,&quot;Top&quot;:0.0,&quot;Left&quot;:0.0}" style="position:absolute;margin-left:0;margin-top:0;width:612pt;height:36.5pt;z-index:25174826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NZKsOq1AgAAXAUAAA4A&#10;AAAAAAAAAAAAAAAALgIAAGRycy9lMm9Eb2MueG1sUEsBAi0AFAAGAAgAAAAhAP71jZvaAAAABQEA&#10;AA8AAAAAAAAAAAAAAAAADwUAAGRycy9kb3ducmV2LnhtbFBLBQYAAAAABAAEAPMAAAAWBgAAAAA=&#10;" o:allowincell="f" filled="f" stroked="f" strokeweight=".5pt">
              <v:textbox inset="20pt,0,,0">
                <w:txbxContent>
                  <w:p w14:paraId="3F4E8167" w14:textId="4CA5DF9D" w:rsidR="00361972" w:rsidRPr="00D67AE2" w:rsidRDefault="00D67AE2" w:rsidP="00D67AE2">
                    <w:pPr>
                      <w:spacing w:after="0"/>
                      <w:rPr>
                        <w:rFonts w:ascii="Calibri" w:hAnsi="Calibri" w:cs="Calibri"/>
                        <w:color w:val="000000"/>
                      </w:rPr>
                    </w:pPr>
                    <w:r w:rsidRPr="00D67AE2">
                      <w:rPr>
                        <w:rFonts w:ascii="Calibri" w:hAnsi="Calibri" w:cs="Calibri"/>
                        <w:color w:val="000000"/>
                      </w:rPr>
                      <w:t>OFFICIAL</w:t>
                    </w:r>
                  </w:p>
                </w:txbxContent>
              </v:textbox>
              <w10:wrap anchorx="page" anchory="page"/>
            </v:shape>
          </w:pict>
        </mc:Fallback>
      </mc:AlternateContent>
    </w:r>
    <w:sdt>
      <w:sdtPr>
        <w:id w:val="11030709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56</w:t>
        </w:r>
        <w:r>
          <w:rPr>
            <w:noProof/>
          </w:rPr>
          <w:fldChar w:fldCharType="end"/>
        </w:r>
        <w:r>
          <w:rPr>
            <w:noProof/>
          </w:rPr>
          <w:t xml:space="preserve"> </w:t>
        </w:r>
        <w:r>
          <w:rPr>
            <w:noProof/>
          </w:rPr>
          <w:ptab w:relativeTo="margin" w:alignment="right" w:leader="none"/>
        </w:r>
        <w:r>
          <w:rPr>
            <w:noProof/>
          </w:rPr>
          <w:t>Victorian Public Sector Commission Annual Report 2020-21</w:t>
        </w:r>
      </w:sdtContent>
    </w:sdt>
  </w:p>
  <w:p w14:paraId="2C48C983" w14:textId="77777777" w:rsidR="00361972" w:rsidRDefault="003619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5FA22" w14:textId="77777777" w:rsidR="00361972" w:rsidRPr="00973F22" w:rsidRDefault="00361972" w:rsidP="00973F22">
      <w:r>
        <w:separator/>
      </w:r>
    </w:p>
    <w:p w14:paraId="4DE9A5D8" w14:textId="77777777" w:rsidR="00361972" w:rsidRDefault="00361972"/>
  </w:footnote>
  <w:footnote w:type="continuationSeparator" w:id="0">
    <w:p w14:paraId="78613EA0" w14:textId="77777777" w:rsidR="00361972" w:rsidRPr="00973F22" w:rsidRDefault="00361972" w:rsidP="00973F22">
      <w:r>
        <w:continuationSeparator/>
      </w:r>
    </w:p>
    <w:p w14:paraId="45AC7670" w14:textId="77777777" w:rsidR="00361972" w:rsidRDefault="00361972"/>
  </w:footnote>
  <w:footnote w:type="continuationNotice" w:id="1">
    <w:p w14:paraId="6B639921" w14:textId="77777777" w:rsidR="00361972" w:rsidRDefault="00361972" w:rsidP="00973F22"/>
    <w:p w14:paraId="66F66C5D" w14:textId="77777777" w:rsidR="00361972" w:rsidRDefault="003619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8959D" w14:textId="77777777" w:rsidR="00361972" w:rsidRPr="00AA0474" w:rsidRDefault="00361972">
    <w:pPr>
      <w:pStyle w:val="Header"/>
      <w:rPr>
        <w:rFonts w:ascii="Arial" w:hAnsi="Arial" w:cs="Arial"/>
        <w:b/>
      </w:rPr>
    </w:pPr>
    <w:r w:rsidRPr="00AA0474">
      <w:rPr>
        <w:rFonts w:ascii="Arial" w:hAnsi="Arial" w:cs="Arial"/>
        <w:b/>
      </w:rPr>
      <w:t>VICTORIAN PUBLIC SECTOR COMMISSION</w:t>
    </w:r>
  </w:p>
  <w:p w14:paraId="09E09FC6" w14:textId="77777777" w:rsidR="00361972" w:rsidRDefault="0036197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BEC73" w14:textId="77777777" w:rsidR="00361972" w:rsidRDefault="003619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851F0" w14:textId="77777777" w:rsidR="00361972" w:rsidRPr="0010526A" w:rsidRDefault="00361972">
    <w:pPr>
      <w:pStyle w:val="Header"/>
      <w:rPr>
        <w:rFonts w:ascii="Arial" w:hAnsi="Arial" w:cs="Arial"/>
        <w:b/>
      </w:rPr>
    </w:pPr>
    <w:r w:rsidRPr="0010526A">
      <w:rPr>
        <w:rFonts w:ascii="Arial" w:hAnsi="Arial" w:cs="Arial"/>
        <w:b/>
      </w:rPr>
      <w:t>VICTORIAN PUBLIC SECTOR COMMISSION</w:t>
    </w:r>
    <w:r w:rsidRPr="0010526A">
      <w:rPr>
        <w:rFonts w:ascii="Arial" w:hAnsi="Arial" w:cs="Arial"/>
        <w:b/>
      </w:rPr>
      <w:tab/>
    </w:r>
    <w:r w:rsidRPr="0010526A">
      <w:rPr>
        <w:rFonts w:ascii="Arial" w:hAnsi="Arial" w:cs="Arial"/>
        <w:b/>
      </w:rPr>
      <w:tab/>
      <w:t xml:space="preserve">                             </w:t>
    </w:r>
    <w:r>
      <w:rPr>
        <w:rFonts w:ascii="Arial" w:hAnsi="Arial" w:cs="Arial"/>
        <w:b/>
      </w:rPr>
      <w:t xml:space="preserve"> </w:t>
    </w:r>
    <w:r w:rsidRPr="0010526A">
      <w:rPr>
        <w:rFonts w:ascii="Arial" w:hAnsi="Arial" w:cs="Arial"/>
        <w:b/>
      </w:rPr>
      <w:t xml:space="preserve">    Notes to the financial statements</w:t>
    </w:r>
  </w:p>
  <w:p w14:paraId="7BBC0C92" w14:textId="77777777" w:rsidR="00361972" w:rsidRPr="0010526A" w:rsidRDefault="00361972">
    <w:pPr>
      <w:pStyle w:val="Header"/>
      <w:jc w:val="right"/>
      <w:rPr>
        <w:rFonts w:ascii="Arial" w:hAnsi="Arial" w:cs="Arial"/>
        <w:b/>
      </w:rPr>
    </w:pPr>
    <w:r>
      <w:rPr>
        <w:rFonts w:ascii="Arial" w:hAnsi="Arial" w:cs="Arial"/>
        <w:b/>
      </w:rPr>
      <w:t xml:space="preserve">as at </w:t>
    </w:r>
    <w:r w:rsidRPr="0010526A">
      <w:rPr>
        <w:rFonts w:ascii="Arial" w:hAnsi="Arial" w:cs="Arial"/>
        <w:b/>
      </w:rPr>
      <w:t>30 June 201</w:t>
    </w:r>
    <w:r>
      <w:rPr>
        <w:rFonts w:ascii="Arial" w:hAnsi="Arial" w:cs="Arial"/>
        <w:b/>
      </w:rPr>
      <w:t>9</w:t>
    </w:r>
  </w:p>
  <w:p w14:paraId="783B3991" w14:textId="77777777" w:rsidR="00361972" w:rsidRDefault="003619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BE3BA" w14:textId="77777777" w:rsidR="00361972" w:rsidRPr="0010526A" w:rsidRDefault="00361972" w:rsidP="00F46260">
    <w:pPr>
      <w:pStyle w:val="Header"/>
      <w:jc w:val="right"/>
      <w:rPr>
        <w:rFonts w:ascii="Arial" w:hAnsi="Arial" w:cs="Arial"/>
        <w: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773BC" w14:textId="77777777" w:rsidR="00361972" w:rsidRDefault="003619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5E9C3" w14:textId="77777777" w:rsidR="00361972" w:rsidRDefault="003619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B5FFE" w14:textId="77777777" w:rsidR="00361972" w:rsidRDefault="0036197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3E272" w14:textId="77777777" w:rsidR="00361972" w:rsidRDefault="00361972">
    <w:pPr>
      <w:pStyle w:val="Header"/>
    </w:pPr>
  </w:p>
  <w:p w14:paraId="7D62F64B" w14:textId="77777777" w:rsidR="00361972" w:rsidRDefault="00361972"/>
  <w:p w14:paraId="009861EA" w14:textId="77777777" w:rsidR="00361972" w:rsidRDefault="0036197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427A6" w14:textId="35C59785" w:rsidR="00361972" w:rsidRDefault="00361972" w:rsidP="000C630F">
    <w:pPr>
      <w:pStyle w:val="Header"/>
      <w:tabs>
        <w:tab w:val="clear" w:pos="4513"/>
        <w:tab w:val="left" w:pos="0"/>
      </w:tabs>
    </w:pPr>
  </w:p>
  <w:p w14:paraId="41DE511B" w14:textId="77777777" w:rsidR="00361972" w:rsidRDefault="0036197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073F3" w14:textId="77777777" w:rsidR="00361972" w:rsidRDefault="00361972" w:rsidP="000C630F">
    <w:pPr>
      <w:pStyle w:val="Header"/>
      <w:tabs>
        <w:tab w:val="clear" w:pos="4513"/>
        <w:tab w:val="left" w:pos="0"/>
      </w:tabs>
    </w:pPr>
  </w:p>
  <w:p w14:paraId="23E21EB3" w14:textId="77777777" w:rsidR="00361972" w:rsidRDefault="0036197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8A446" w14:textId="2C440B37" w:rsidR="00361972" w:rsidRDefault="00361972" w:rsidP="000C630F">
    <w:pPr>
      <w:pStyle w:val="Header"/>
      <w:tabs>
        <w:tab w:val="clear" w:pos="4513"/>
        <w:tab w:val="left" w:pos="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67748" w14:textId="77777777" w:rsidR="00361972" w:rsidRPr="00AA0474" w:rsidRDefault="00361972">
    <w:pPr>
      <w:pStyle w:val="Header"/>
      <w:rPr>
        <w:rFonts w:ascii="Arial" w:hAnsi="Arial" w:cs="Arial"/>
        <w:b/>
      </w:rPr>
    </w:pPr>
    <w:r w:rsidRPr="00AA0474">
      <w:rPr>
        <w:rFonts w:ascii="Arial" w:hAnsi="Arial" w:cs="Arial"/>
        <w:b/>
      </w:rPr>
      <w:t>VICTORIAN PUBLIC SECTOR COMMISSION</w:t>
    </w:r>
  </w:p>
  <w:p w14:paraId="106B0091" w14:textId="77777777" w:rsidR="00361972" w:rsidRDefault="003619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D14F9" w14:textId="77777777" w:rsidR="00361972" w:rsidRPr="00AA0474" w:rsidRDefault="00361972">
    <w:pPr>
      <w:pStyle w:val="Header"/>
      <w:rPr>
        <w:rFonts w:ascii="Arial" w:hAnsi="Arial" w:cs="Arial"/>
        <w:b/>
      </w:rPr>
    </w:pPr>
    <w:r w:rsidRPr="00AA0474">
      <w:rPr>
        <w:rFonts w:ascii="Arial" w:hAnsi="Arial" w:cs="Arial"/>
        <w:b/>
      </w:rPr>
      <w:t>VICTORIAN PUBLIC SECTOR COMMISSION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71041" w14:textId="77777777" w:rsidR="00361972" w:rsidRDefault="003619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B4368" w14:textId="77777777" w:rsidR="00361972" w:rsidRPr="00AA0474" w:rsidRDefault="00361972">
    <w:pPr>
      <w:pStyle w:val="Header"/>
      <w:rPr>
        <w:rFonts w:ascii="Arial" w:hAnsi="Arial" w:cs="Arial"/>
        <w:b/>
      </w:rPr>
    </w:pPr>
    <w:r w:rsidRPr="00AA0474">
      <w:rPr>
        <w:rFonts w:ascii="Arial" w:hAnsi="Arial" w:cs="Arial"/>
        <w:b/>
      </w:rPr>
      <w:t>VICTORIAN PUBLIC SECTOR COMMISSION</w:t>
    </w:r>
  </w:p>
  <w:p w14:paraId="0A35B7A3" w14:textId="77777777" w:rsidR="00361972" w:rsidRDefault="003619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F2895" w14:textId="77777777" w:rsidR="00361972" w:rsidRPr="00AA0474" w:rsidRDefault="00361972">
    <w:pPr>
      <w:pStyle w:val="Header"/>
      <w:rPr>
        <w:rFonts w:ascii="Arial" w:hAnsi="Arial" w:cs="Arial"/>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AC211" w14:textId="77777777" w:rsidR="00361972" w:rsidRDefault="003619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8E668" w14:textId="77777777" w:rsidR="00361972" w:rsidRPr="00AA0474" w:rsidRDefault="00361972">
    <w:pPr>
      <w:pStyle w:val="Header"/>
      <w:rPr>
        <w:rFonts w:ascii="Arial" w:hAnsi="Arial" w:cs="Arial"/>
        <w:b/>
      </w:rPr>
    </w:pPr>
    <w:r w:rsidRPr="00AA0474">
      <w:rPr>
        <w:rFonts w:ascii="Arial" w:hAnsi="Arial" w:cs="Arial"/>
        <w:b/>
      </w:rPr>
      <w:t>VICTORIAN PUBLIC SECTOR COMMISSION</w:t>
    </w:r>
  </w:p>
  <w:p w14:paraId="253C0351" w14:textId="77777777" w:rsidR="00361972" w:rsidRDefault="003619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58167" w14:textId="77777777" w:rsidR="00361972" w:rsidRPr="00AA0474" w:rsidRDefault="00361972">
    <w:pPr>
      <w:pStyle w:val="Header"/>
      <w:rPr>
        <w:rFonts w:ascii="Arial" w:hAnsi="Arial" w:cs="Arial"/>
        <w:b/>
      </w:rPr>
    </w:pPr>
    <w:r w:rsidRPr="00AA0474">
      <w:rPr>
        <w:rFonts w:ascii="Arial" w:hAnsi="Arial" w:cs="Arial"/>
        <w:b/>
      </w:rPr>
      <w:t>VICTORIAN PUBLIC SECTOR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66473"/>
    <w:multiLevelType w:val="hybridMultilevel"/>
    <w:tmpl w:val="B512E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07A2C"/>
    <w:multiLevelType w:val="hybridMultilevel"/>
    <w:tmpl w:val="5C08387E"/>
    <w:lvl w:ilvl="0" w:tplc="9BBE3162">
      <w:start w:val="1"/>
      <w:numFmt w:val="lowerLetter"/>
      <w:lvlText w:val="(%1)"/>
      <w:lvlJc w:val="left"/>
      <w:pPr>
        <w:tabs>
          <w:tab w:val="num" w:pos="1080"/>
        </w:tabs>
        <w:ind w:left="1080" w:hanging="720"/>
      </w:pPr>
      <w:rPr>
        <w:rFonts w:hint="default"/>
      </w:rPr>
    </w:lvl>
    <w:lvl w:ilvl="1" w:tplc="ECA28BFA">
      <w:start w:val="1"/>
      <w:numFmt w:val="bullet"/>
      <w:lvlText w:val=""/>
      <w:lvlJc w:val="left"/>
      <w:pPr>
        <w:tabs>
          <w:tab w:val="num" w:pos="284"/>
        </w:tabs>
        <w:ind w:left="284" w:hanging="284"/>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5C804C6"/>
    <w:multiLevelType w:val="multilevel"/>
    <w:tmpl w:val="62421870"/>
    <w:styleLink w:val="GuidanceAlphaListStyle"/>
    <w:lvl w:ilvl="0">
      <w:start w:val="1"/>
      <w:numFmt w:val="lowerLetter"/>
      <w:lvlText w:val="(%1)"/>
      <w:lvlJc w:val="left"/>
      <w:pPr>
        <w:ind w:left="340" w:hanging="340"/>
      </w:pPr>
      <w:rPr>
        <w:color w:val="auto"/>
        <w:u w:color="FFFFFF" w:themeColor="background1"/>
      </w:rPr>
    </w:lvl>
    <w:lvl w:ilvl="1">
      <w:start w:val="1"/>
      <w:numFmt w:val="lowerRoman"/>
      <w:lvlText w:val=" (%2)"/>
      <w:lvlJc w:val="left"/>
      <w:pPr>
        <w:tabs>
          <w:tab w:val="num" w:pos="340"/>
        </w:tabs>
        <w:ind w:left="680" w:hanging="680"/>
      </w:pPr>
      <w:rPr>
        <w:rFonts w:hint="default"/>
      </w:rPr>
    </w:lvl>
    <w:lvl w:ilvl="2">
      <w:start w:val="1"/>
      <w:numFmt w:val="none"/>
      <w:lvlText w:val=" –"/>
      <w:lvlJc w:val="left"/>
      <w:pPr>
        <w:tabs>
          <w:tab w:val="num" w:pos="680"/>
        </w:tabs>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1E5ED6"/>
    <w:multiLevelType w:val="hybridMultilevel"/>
    <w:tmpl w:val="CFEE5960"/>
    <w:lvl w:ilvl="0" w:tplc="C4021DF8">
      <w:start w:val="1"/>
      <w:numFmt w:val="decimal"/>
      <w:lvlText w:val="%1."/>
      <w:lvlJc w:val="left"/>
      <w:pPr>
        <w:ind w:left="36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EE77F9"/>
    <w:multiLevelType w:val="multilevel"/>
    <w:tmpl w:val="F104AB12"/>
    <w:numStyleLink w:val="NumberedHeadings"/>
  </w:abstractNum>
  <w:abstractNum w:abstractNumId="5" w15:restartNumberingAfterBreak="0">
    <w:nsid w:val="0B7545E2"/>
    <w:multiLevelType w:val="multilevel"/>
    <w:tmpl w:val="3F087A7C"/>
    <w:styleLink w:val="BulletListStyle"/>
    <w:lvl w:ilvl="0">
      <w:start w:val="1"/>
      <w:numFmt w:val="bullet"/>
      <w:lvlText w:val=""/>
      <w:lvlJc w:val="left"/>
      <w:pPr>
        <w:ind w:left="397" w:hanging="397"/>
      </w:pPr>
      <w:rPr>
        <w:rFonts w:ascii="Symbol" w:hAnsi="Symbol" w:hint="default"/>
      </w:rPr>
    </w:lvl>
    <w:lvl w:ilvl="1">
      <w:start w:val="1"/>
      <w:numFmt w:val="none"/>
      <w:lvlText w:val="–"/>
      <w:lvlJc w:val="left"/>
      <w:pPr>
        <w:ind w:left="794" w:hanging="397"/>
      </w:pPr>
    </w:lvl>
    <w:lvl w:ilvl="2">
      <w:start w:val="1"/>
      <w:numFmt w:val="bullet"/>
      <w:lvlText w:val=""/>
      <w:lvlJc w:val="left"/>
      <w:pPr>
        <w:ind w:left="1191" w:hanging="397"/>
      </w:pPr>
      <w:rPr>
        <w:rFonts w:ascii="Wingdings" w:hAnsi="Wingdings" w:hint="default"/>
      </w:rPr>
    </w:lvl>
    <w:lvl w:ilvl="3">
      <w:start w:val="1"/>
      <w:numFmt w:val="none"/>
      <w:lvlText w:val="–"/>
      <w:lvlJc w:val="left"/>
      <w:pPr>
        <w:ind w:left="1588" w:hanging="397"/>
      </w:p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6" w15:restartNumberingAfterBreak="0">
    <w:nsid w:val="0D6A4162"/>
    <w:multiLevelType w:val="multilevel"/>
    <w:tmpl w:val="67B4D2A4"/>
    <w:styleLink w:val="ListBulletAlphaStyle"/>
    <w:lvl w:ilvl="0">
      <w:start w:val="1"/>
      <w:numFmt w:val="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8B2D2E"/>
    <w:multiLevelType w:val="hybridMultilevel"/>
    <w:tmpl w:val="6FBCFF36"/>
    <w:lvl w:ilvl="0" w:tplc="81AABE9A">
      <w:start w:val="1"/>
      <w:numFmt w:val="lowerLetter"/>
      <w:pStyle w:val="aalpha"/>
      <w:lvlText w:val="(%1)"/>
      <w:lvlJc w:val="left"/>
      <w:pPr>
        <w:tabs>
          <w:tab w:val="num" w:pos="720"/>
        </w:tabs>
        <w:ind w:left="720" w:hanging="720"/>
      </w:pPr>
      <w:rPr>
        <w:rFonts w:hint="default"/>
      </w:r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8" w15:restartNumberingAfterBreak="0">
    <w:nsid w:val="11B0461F"/>
    <w:multiLevelType w:val="multilevel"/>
    <w:tmpl w:val="777EB3B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A36386E"/>
    <w:multiLevelType w:val="multilevel"/>
    <w:tmpl w:val="4C8629F6"/>
    <w:lvl w:ilvl="0">
      <w:start w:val="1"/>
      <w:numFmt w:val="bullet"/>
      <w:pStyle w:val="ListBullet1"/>
      <w:lvlText w:val=""/>
      <w:lvlJc w:val="left"/>
      <w:pPr>
        <w:ind w:left="284" w:hanging="284"/>
      </w:pPr>
      <w:rPr>
        <w:rFonts w:ascii="Symbol" w:hAnsi="Symbol" w:hint="default"/>
      </w:rPr>
    </w:lvl>
    <w:lvl w:ilvl="1">
      <w:start w:val="1"/>
      <w:numFmt w:val="bullet"/>
      <w:pStyle w:val="ListBullet21"/>
      <w:lvlText w:val="–"/>
      <w:lvlJc w:val="left"/>
      <w:pPr>
        <w:ind w:left="568" w:hanging="284"/>
      </w:pPr>
      <w:rPr>
        <w:rFonts w:ascii="Arial" w:hAnsi="Arial" w:hint="default"/>
      </w:rPr>
    </w:lvl>
    <w:lvl w:ilvl="2">
      <w:start w:val="1"/>
      <w:numFmt w:val="bullet"/>
      <w:pStyle w:val="ListBullet31"/>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A6F5CE3"/>
    <w:multiLevelType w:val="hybridMultilevel"/>
    <w:tmpl w:val="19FADDE6"/>
    <w:lvl w:ilvl="0" w:tplc="3F3EB730">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9A2C2D"/>
    <w:multiLevelType w:val="hybridMultilevel"/>
    <w:tmpl w:val="E304AA96"/>
    <w:lvl w:ilvl="0" w:tplc="D3E0E036">
      <w:start w:val="1"/>
      <w:numFmt w:val="bullet"/>
      <w:pStyle w:val="Bullet3"/>
      <w:lvlText w:val="o"/>
      <w:lvlJc w:val="left"/>
      <w:pPr>
        <w:ind w:left="567" w:firstLine="56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2A238C"/>
    <w:multiLevelType w:val="hybridMultilevel"/>
    <w:tmpl w:val="C7B87E9E"/>
    <w:lvl w:ilvl="0" w:tplc="15E68000">
      <w:start w:val="1"/>
      <w:numFmt w:val="decimal"/>
      <w:pStyle w:val="List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AA0337"/>
    <w:multiLevelType w:val="hybridMultilevel"/>
    <w:tmpl w:val="E7B46B80"/>
    <w:lvl w:ilvl="0" w:tplc="0C090001">
      <w:start w:val="1"/>
      <w:numFmt w:val="bullet"/>
      <w:pStyle w:val="ListBullet4"/>
      <w:lvlText w:val=""/>
      <w:lvlJc w:val="left"/>
      <w:pPr>
        <w:tabs>
          <w:tab w:val="num" w:pos="1429"/>
        </w:tabs>
        <w:ind w:left="1429" w:hanging="360"/>
      </w:pPr>
      <w:rPr>
        <w:rFonts w:ascii="Symbol" w:hAnsi="Symbol" w:hint="default"/>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3327E0D"/>
    <w:multiLevelType w:val="hybridMultilevel"/>
    <w:tmpl w:val="BB1A4834"/>
    <w:lvl w:ilvl="0" w:tplc="222AE812">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807529"/>
    <w:multiLevelType w:val="hybridMultilevel"/>
    <w:tmpl w:val="F29E3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456FFD"/>
    <w:multiLevelType w:val="multilevel"/>
    <w:tmpl w:val="0EA8B9BE"/>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253DFF"/>
    <w:multiLevelType w:val="hybridMultilevel"/>
    <w:tmpl w:val="7432431E"/>
    <w:lvl w:ilvl="0" w:tplc="3E6E5C3E">
      <w:start w:val="1"/>
      <w:numFmt w:val="bullet"/>
      <w:pStyle w:val="Bullet1"/>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714FAA"/>
    <w:multiLevelType w:val="multilevel"/>
    <w:tmpl w:val="777EB3B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E3E3BD1"/>
    <w:multiLevelType w:val="hybridMultilevel"/>
    <w:tmpl w:val="EAC638BE"/>
    <w:lvl w:ilvl="0" w:tplc="E5E082DE">
      <w:start w:val="1"/>
      <w:numFmt w:val="bullet"/>
      <w:pStyle w:val="ListBullet3"/>
      <w:lvlText w:val=""/>
      <w:lvlJc w:val="left"/>
      <w:pPr>
        <w:tabs>
          <w:tab w:val="num" w:pos="1429"/>
        </w:tabs>
        <w:ind w:left="1429" w:hanging="360"/>
      </w:pPr>
      <w:rPr>
        <w:rFonts w:ascii="Wingdings" w:hAnsi="Wingdings" w:hint="default"/>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311D5AEF"/>
    <w:multiLevelType w:val="hybridMultilevel"/>
    <w:tmpl w:val="F8BCEFBA"/>
    <w:lvl w:ilvl="0" w:tplc="29202544">
      <w:start w:val="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624471"/>
    <w:multiLevelType w:val="hybridMultilevel"/>
    <w:tmpl w:val="8ADA34A0"/>
    <w:lvl w:ilvl="0" w:tplc="FE746F40">
      <w:start w:val="1"/>
      <w:numFmt w:val="bullet"/>
      <w:pStyle w:val="TableBullet0"/>
      <w:lvlText w:val=""/>
      <w:lvlJc w:val="left"/>
      <w:pPr>
        <w:ind w:left="900"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2" w15:restartNumberingAfterBreak="0">
    <w:nsid w:val="37C24463"/>
    <w:multiLevelType w:val="multilevel"/>
    <w:tmpl w:val="777EB3B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C500EB4"/>
    <w:multiLevelType w:val="hybridMultilevel"/>
    <w:tmpl w:val="78502474"/>
    <w:lvl w:ilvl="0" w:tplc="C4021DF8">
      <w:start w:val="1"/>
      <w:numFmt w:val="decimal"/>
      <w:lvlText w:val="%1."/>
      <w:lvlJc w:val="left"/>
      <w:pPr>
        <w:ind w:left="36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8069E2"/>
    <w:multiLevelType w:val="hybridMultilevel"/>
    <w:tmpl w:val="E3B67D98"/>
    <w:lvl w:ilvl="0" w:tplc="36409BFE">
      <w:start w:val="1"/>
      <w:numFmt w:val="lowerLetter"/>
      <w:pStyle w:val="ListBullet2"/>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31B128D"/>
    <w:multiLevelType w:val="multilevel"/>
    <w:tmpl w:val="8654C2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3D63A5C"/>
    <w:multiLevelType w:val="multilevel"/>
    <w:tmpl w:val="50C29BC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CC7484"/>
    <w:multiLevelType w:val="hybridMultilevel"/>
    <w:tmpl w:val="8BDE4AD0"/>
    <w:lvl w:ilvl="0" w:tplc="F5FE9BE6">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E818B1"/>
    <w:multiLevelType w:val="multilevel"/>
    <w:tmpl w:val="3F087A7C"/>
    <w:lvl w:ilvl="0">
      <w:start w:val="1"/>
      <w:numFmt w:val="bullet"/>
      <w:lvlText w:val=""/>
      <w:lvlJc w:val="left"/>
      <w:pPr>
        <w:ind w:left="397" w:hanging="397"/>
      </w:pPr>
      <w:rPr>
        <w:rFonts w:ascii="Symbol" w:hAnsi="Symbol" w:hint="default"/>
      </w:rPr>
    </w:lvl>
    <w:lvl w:ilvl="1">
      <w:start w:val="1"/>
      <w:numFmt w:val="none"/>
      <w:lvlText w:val="–"/>
      <w:lvlJc w:val="left"/>
      <w:pPr>
        <w:ind w:left="794" w:hanging="397"/>
      </w:pPr>
    </w:lvl>
    <w:lvl w:ilvl="2">
      <w:start w:val="1"/>
      <w:numFmt w:val="bullet"/>
      <w:lvlText w:val=""/>
      <w:lvlJc w:val="left"/>
      <w:pPr>
        <w:ind w:left="1191" w:hanging="397"/>
      </w:pPr>
      <w:rPr>
        <w:rFonts w:ascii="Wingdings" w:hAnsi="Wingdings" w:hint="default"/>
      </w:rPr>
    </w:lvl>
    <w:lvl w:ilvl="3">
      <w:start w:val="1"/>
      <w:numFmt w:val="none"/>
      <w:lvlText w:val="–"/>
      <w:lvlJc w:val="left"/>
      <w:pPr>
        <w:ind w:left="1588" w:hanging="397"/>
      </w:p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29" w15:restartNumberingAfterBreak="0">
    <w:nsid w:val="48D30BBD"/>
    <w:multiLevelType w:val="hybridMultilevel"/>
    <w:tmpl w:val="17101B32"/>
    <w:lvl w:ilvl="0" w:tplc="4FDACC38">
      <w:start w:val="1"/>
      <w:numFmt w:val="decimal"/>
      <w:pStyle w:val="ListHeading1"/>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90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E4E441E"/>
    <w:multiLevelType w:val="hybridMultilevel"/>
    <w:tmpl w:val="EAD81432"/>
    <w:lvl w:ilvl="0" w:tplc="F4F4FDC4">
      <w:numFmt w:val="bullet"/>
      <w:pStyle w:val="ListBullet"/>
      <w:lvlText w:val="•"/>
      <w:lvlJc w:val="left"/>
      <w:pPr>
        <w:tabs>
          <w:tab w:val="num" w:pos="567"/>
        </w:tabs>
        <w:ind w:left="567" w:hanging="567"/>
      </w:pPr>
      <w:rPr>
        <w:rFonts w:ascii="Verdana" w:hAnsi="Verdana"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62733D"/>
    <w:multiLevelType w:val="hybridMultilevel"/>
    <w:tmpl w:val="DDE2BDA2"/>
    <w:lvl w:ilvl="0" w:tplc="EA1E21C2">
      <w:start w:val="1"/>
      <w:numFmt w:val="decimal"/>
      <w:pStyle w:val="ListHeading3"/>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367942"/>
    <w:multiLevelType w:val="multilevel"/>
    <w:tmpl w:val="DDCA2E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4FA3F90"/>
    <w:multiLevelType w:val="multilevel"/>
    <w:tmpl w:val="281616FE"/>
    <w:lvl w:ilvl="0">
      <w:start w:val="1"/>
      <w:numFmt w:val="decimal"/>
      <w:pStyle w:val="NumberedList1"/>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6EC54E6"/>
    <w:multiLevelType w:val="hybridMultilevel"/>
    <w:tmpl w:val="2C0046CE"/>
    <w:lvl w:ilvl="0" w:tplc="C4021DF8">
      <w:start w:val="1"/>
      <w:numFmt w:val="decimal"/>
      <w:lvlText w:val="%1."/>
      <w:lvlJc w:val="left"/>
      <w:pPr>
        <w:ind w:left="360" w:hanging="360"/>
      </w:pPr>
      <w:rPr>
        <w:rFonts w:hint="default"/>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91E25C8"/>
    <w:multiLevelType w:val="multilevel"/>
    <w:tmpl w:val="777EB3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D8E619C"/>
    <w:multiLevelType w:val="hybridMultilevel"/>
    <w:tmpl w:val="CFEE5960"/>
    <w:lvl w:ilvl="0" w:tplc="C4021DF8">
      <w:start w:val="1"/>
      <w:numFmt w:val="decimal"/>
      <w:lvlText w:val="%1."/>
      <w:lvlJc w:val="left"/>
      <w:pPr>
        <w:ind w:left="36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A035D0"/>
    <w:multiLevelType w:val="hybridMultilevel"/>
    <w:tmpl w:val="7750C4D2"/>
    <w:lvl w:ilvl="0" w:tplc="F5FE9BE6">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82949A3"/>
    <w:multiLevelType w:val="hybridMultilevel"/>
    <w:tmpl w:val="5F20AB94"/>
    <w:lvl w:ilvl="0" w:tplc="F5FE9BE6">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6A6DC3"/>
    <w:multiLevelType w:val="hybridMultilevel"/>
    <w:tmpl w:val="8B4C86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E103A7C"/>
    <w:multiLevelType w:val="hybridMultilevel"/>
    <w:tmpl w:val="9078D4C2"/>
    <w:lvl w:ilvl="0" w:tplc="E05476FA">
      <w:start w:val="1"/>
      <w:numFmt w:val="decimal"/>
      <w:pStyle w:val="TableListing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D717A5"/>
    <w:multiLevelType w:val="multilevel"/>
    <w:tmpl w:val="BEB6CF72"/>
    <w:lvl w:ilvl="0">
      <w:start w:val="1"/>
      <w:numFmt w:val="decimal"/>
      <w:pStyle w:val="Listing1"/>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62D5F72"/>
    <w:multiLevelType w:val="hybridMultilevel"/>
    <w:tmpl w:val="8E3AF476"/>
    <w:lvl w:ilvl="0" w:tplc="E7126548">
      <w:start w:val="1"/>
      <w:numFmt w:val="bullet"/>
      <w:pStyle w:val="Bullet"/>
      <w:lvlText w:val=""/>
      <w:lvlJc w:val="left"/>
      <w:pPr>
        <w:tabs>
          <w:tab w:val="num" w:pos="360"/>
        </w:tabs>
        <w:ind w:left="360"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AFF594B"/>
    <w:multiLevelType w:val="singleLevel"/>
    <w:tmpl w:val="690A1E90"/>
    <w:lvl w:ilvl="0">
      <w:start w:val="1"/>
      <w:numFmt w:val="bullet"/>
      <w:pStyle w:val="ListBullet5"/>
      <w:lvlText w:val=""/>
      <w:lvlJc w:val="left"/>
      <w:pPr>
        <w:tabs>
          <w:tab w:val="num" w:pos="357"/>
        </w:tabs>
        <w:ind w:left="357" w:hanging="357"/>
      </w:pPr>
      <w:rPr>
        <w:rFonts w:ascii="Symbol" w:hAnsi="Symbol" w:hint="default"/>
        <w:color w:val="auto"/>
        <w:sz w:val="24"/>
        <w:szCs w:val="24"/>
      </w:rPr>
    </w:lvl>
  </w:abstractNum>
  <w:num w:numId="1">
    <w:abstractNumId w:val="29"/>
  </w:num>
  <w:num w:numId="2">
    <w:abstractNumId w:val="12"/>
  </w:num>
  <w:num w:numId="3">
    <w:abstractNumId w:val="32"/>
  </w:num>
  <w:num w:numId="4">
    <w:abstractNumId w:val="17"/>
  </w:num>
  <w:num w:numId="5">
    <w:abstractNumId w:val="34"/>
  </w:num>
  <w:num w:numId="6">
    <w:abstractNumId w:val="41"/>
  </w:num>
  <w:num w:numId="7">
    <w:abstractNumId w:val="10"/>
  </w:num>
  <w:num w:numId="8">
    <w:abstractNumId w:val="42"/>
  </w:num>
  <w:num w:numId="9">
    <w:abstractNumId w:val="11"/>
  </w:num>
  <w:num w:numId="10">
    <w:abstractNumId w:val="0"/>
  </w:num>
  <w:num w:numId="11">
    <w:abstractNumId w:val="35"/>
  </w:num>
  <w:num w:numId="12">
    <w:abstractNumId w:val="37"/>
  </w:num>
  <w:num w:numId="13">
    <w:abstractNumId w:val="23"/>
  </w:num>
  <w:num w:numId="14">
    <w:abstractNumId w:val="3"/>
  </w:num>
  <w:num w:numId="15">
    <w:abstractNumId w:val="31"/>
  </w:num>
  <w:num w:numId="16">
    <w:abstractNumId w:val="24"/>
  </w:num>
  <w:num w:numId="17">
    <w:abstractNumId w:val="19"/>
  </w:num>
  <w:num w:numId="18">
    <w:abstractNumId w:val="13"/>
  </w:num>
  <w:num w:numId="19">
    <w:abstractNumId w:val="44"/>
  </w:num>
  <w:num w:numId="20">
    <w:abstractNumId w:val="1"/>
  </w:num>
  <w:num w:numId="21">
    <w:abstractNumId w:val="43"/>
  </w:num>
  <w:num w:numId="22">
    <w:abstractNumId w:val="7"/>
  </w:num>
  <w:num w:numId="23">
    <w:abstractNumId w:val="21"/>
  </w:num>
  <w:num w:numId="24">
    <w:abstractNumId w:val="30"/>
  </w:num>
  <w:num w:numId="25">
    <w:abstractNumId w:val="4"/>
  </w:num>
  <w:num w:numId="26">
    <w:abstractNumId w:val="15"/>
  </w:num>
  <w:num w:numId="27">
    <w:abstractNumId w:val="25"/>
  </w:num>
  <w:num w:numId="28">
    <w:abstractNumId w:val="33"/>
  </w:num>
  <w:num w:numId="29">
    <w:abstractNumId w:val="36"/>
  </w:num>
  <w:num w:numId="30">
    <w:abstractNumId w:val="8"/>
  </w:num>
  <w:num w:numId="31">
    <w:abstractNumId w:val="18"/>
  </w:num>
  <w:num w:numId="32">
    <w:abstractNumId w:val="22"/>
  </w:num>
  <w:num w:numId="33">
    <w:abstractNumId w:val="16"/>
  </w:num>
  <w:num w:numId="34">
    <w:abstractNumId w:val="38"/>
  </w:num>
  <w:num w:numId="35">
    <w:abstractNumId w:val="27"/>
  </w:num>
  <w:num w:numId="36">
    <w:abstractNumId w:val="39"/>
  </w:num>
  <w:num w:numId="37">
    <w:abstractNumId w:val="20"/>
  </w:num>
  <w:num w:numId="38">
    <w:abstractNumId w:val="14"/>
  </w:num>
  <w:num w:numId="39">
    <w:abstractNumId w:val="9"/>
  </w:num>
  <w:num w:numId="40">
    <w:abstractNumId w:val="2"/>
  </w:num>
  <w:num w:numId="41">
    <w:abstractNumId w:val="6"/>
  </w:num>
  <w:num w:numId="42">
    <w:abstractNumId w:val="28"/>
    <w:lvlOverride w:ilvl="0"/>
    <w:lvlOverride w:ilvl="1">
      <w:startOverride w:val="1"/>
    </w:lvlOverride>
    <w:lvlOverride w:ilvl="2"/>
    <w:lvlOverride w:ilvl="3">
      <w:startOverride w:val="1"/>
    </w:lvlOverride>
    <w:lvlOverride w:ilvl="4"/>
    <w:lvlOverride w:ilvl="5"/>
    <w:lvlOverride w:ilvl="6"/>
    <w:lvlOverride w:ilvl="7"/>
    <w:lvlOverride w:ilvl="8"/>
  </w:num>
  <w:num w:numId="43">
    <w:abstractNumId w:val="5"/>
  </w:num>
  <w:num w:numId="44">
    <w:abstractNumId w:val="26"/>
  </w:num>
  <w:num w:numId="45">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revisionView w:markup="0"/>
  <w:styleLockTheme/>
  <w:styleLockQFSet/>
  <w:defaultTabStop w:val="720"/>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1E"/>
    <w:rsid w:val="00006D31"/>
    <w:rsid w:val="000132C3"/>
    <w:rsid w:val="000147BB"/>
    <w:rsid w:val="00014F65"/>
    <w:rsid w:val="000151D9"/>
    <w:rsid w:val="00021AD9"/>
    <w:rsid w:val="000263C0"/>
    <w:rsid w:val="00031FE6"/>
    <w:rsid w:val="00032B0B"/>
    <w:rsid w:val="00035D65"/>
    <w:rsid w:val="00035DAD"/>
    <w:rsid w:val="0003753D"/>
    <w:rsid w:val="000377CC"/>
    <w:rsid w:val="00041CAA"/>
    <w:rsid w:val="000463BA"/>
    <w:rsid w:val="00046991"/>
    <w:rsid w:val="0005246F"/>
    <w:rsid w:val="000528F3"/>
    <w:rsid w:val="0005658F"/>
    <w:rsid w:val="00057070"/>
    <w:rsid w:val="00060613"/>
    <w:rsid w:val="000617B4"/>
    <w:rsid w:val="00073FD5"/>
    <w:rsid w:val="00074864"/>
    <w:rsid w:val="00082513"/>
    <w:rsid w:val="000A203A"/>
    <w:rsid w:val="000A4349"/>
    <w:rsid w:val="000B0425"/>
    <w:rsid w:val="000B0EDF"/>
    <w:rsid w:val="000B5CC7"/>
    <w:rsid w:val="000B7A1E"/>
    <w:rsid w:val="000C11BB"/>
    <w:rsid w:val="000C1321"/>
    <w:rsid w:val="000C161D"/>
    <w:rsid w:val="000C630F"/>
    <w:rsid w:val="000C71C1"/>
    <w:rsid w:val="000D2585"/>
    <w:rsid w:val="000D36E0"/>
    <w:rsid w:val="000D3A6B"/>
    <w:rsid w:val="000E56A6"/>
    <w:rsid w:val="000E6EBE"/>
    <w:rsid w:val="000F0B4D"/>
    <w:rsid w:val="000F17F3"/>
    <w:rsid w:val="000F5979"/>
    <w:rsid w:val="000F7A17"/>
    <w:rsid w:val="001031BB"/>
    <w:rsid w:val="00103EA5"/>
    <w:rsid w:val="00111A04"/>
    <w:rsid w:val="00112211"/>
    <w:rsid w:val="001146FC"/>
    <w:rsid w:val="00114CC3"/>
    <w:rsid w:val="00121E68"/>
    <w:rsid w:val="00121EF6"/>
    <w:rsid w:val="0012332F"/>
    <w:rsid w:val="00125747"/>
    <w:rsid w:val="0013047F"/>
    <w:rsid w:val="00131033"/>
    <w:rsid w:val="00134B19"/>
    <w:rsid w:val="00134BBE"/>
    <w:rsid w:val="001375DC"/>
    <w:rsid w:val="001436BB"/>
    <w:rsid w:val="00151F20"/>
    <w:rsid w:val="0015654E"/>
    <w:rsid w:val="00157891"/>
    <w:rsid w:val="0017079F"/>
    <w:rsid w:val="001719CE"/>
    <w:rsid w:val="00171ED6"/>
    <w:rsid w:val="00172E36"/>
    <w:rsid w:val="0017728F"/>
    <w:rsid w:val="00184419"/>
    <w:rsid w:val="0018453C"/>
    <w:rsid w:val="00185AA3"/>
    <w:rsid w:val="00187748"/>
    <w:rsid w:val="00192BF7"/>
    <w:rsid w:val="00192FF8"/>
    <w:rsid w:val="00195B3C"/>
    <w:rsid w:val="001A1226"/>
    <w:rsid w:val="001A27F0"/>
    <w:rsid w:val="001B0C0A"/>
    <w:rsid w:val="001B4E83"/>
    <w:rsid w:val="001C004C"/>
    <w:rsid w:val="001C26E6"/>
    <w:rsid w:val="001C34A5"/>
    <w:rsid w:val="001C4240"/>
    <w:rsid w:val="001C5327"/>
    <w:rsid w:val="001C77EE"/>
    <w:rsid w:val="001D2013"/>
    <w:rsid w:val="001D7AE5"/>
    <w:rsid w:val="001E1EF8"/>
    <w:rsid w:val="001E2943"/>
    <w:rsid w:val="001E5B51"/>
    <w:rsid w:val="001F329F"/>
    <w:rsid w:val="0021163A"/>
    <w:rsid w:val="002116B9"/>
    <w:rsid w:val="00211A7A"/>
    <w:rsid w:val="00221C22"/>
    <w:rsid w:val="00222804"/>
    <w:rsid w:val="00232785"/>
    <w:rsid w:val="00237B51"/>
    <w:rsid w:val="00237C04"/>
    <w:rsid w:val="00240685"/>
    <w:rsid w:val="002419EB"/>
    <w:rsid w:val="00242219"/>
    <w:rsid w:val="00242747"/>
    <w:rsid w:val="002427C3"/>
    <w:rsid w:val="00253FC4"/>
    <w:rsid w:val="0026293C"/>
    <w:rsid w:val="002646ED"/>
    <w:rsid w:val="00265071"/>
    <w:rsid w:val="002673D5"/>
    <w:rsid w:val="0027005B"/>
    <w:rsid w:val="002734D1"/>
    <w:rsid w:val="00275240"/>
    <w:rsid w:val="0028121F"/>
    <w:rsid w:val="0028400E"/>
    <w:rsid w:val="00287271"/>
    <w:rsid w:val="00291269"/>
    <w:rsid w:val="0029379D"/>
    <w:rsid w:val="002A3871"/>
    <w:rsid w:val="002A6A13"/>
    <w:rsid w:val="002B3535"/>
    <w:rsid w:val="002B62A2"/>
    <w:rsid w:val="002C0246"/>
    <w:rsid w:val="002D4397"/>
    <w:rsid w:val="002D4A25"/>
    <w:rsid w:val="002E1B7B"/>
    <w:rsid w:val="002E2C7E"/>
    <w:rsid w:val="002E51E7"/>
    <w:rsid w:val="002F044D"/>
    <w:rsid w:val="002F2C1A"/>
    <w:rsid w:val="002F4451"/>
    <w:rsid w:val="00300036"/>
    <w:rsid w:val="003027E6"/>
    <w:rsid w:val="00302A41"/>
    <w:rsid w:val="0030584A"/>
    <w:rsid w:val="003103FA"/>
    <w:rsid w:val="00315C6C"/>
    <w:rsid w:val="00320E0B"/>
    <w:rsid w:val="00321A3F"/>
    <w:rsid w:val="00322E0E"/>
    <w:rsid w:val="00340F4A"/>
    <w:rsid w:val="003453BB"/>
    <w:rsid w:val="00346490"/>
    <w:rsid w:val="00351BBC"/>
    <w:rsid w:val="003539E8"/>
    <w:rsid w:val="00356DBC"/>
    <w:rsid w:val="00357F70"/>
    <w:rsid w:val="00361972"/>
    <w:rsid w:val="0036291D"/>
    <w:rsid w:val="003703A9"/>
    <w:rsid w:val="0038177B"/>
    <w:rsid w:val="003827D6"/>
    <w:rsid w:val="00384A0A"/>
    <w:rsid w:val="00384FC2"/>
    <w:rsid w:val="00390ABB"/>
    <w:rsid w:val="00391BD5"/>
    <w:rsid w:val="00391E99"/>
    <w:rsid w:val="003971B5"/>
    <w:rsid w:val="003A0024"/>
    <w:rsid w:val="003A7606"/>
    <w:rsid w:val="003B054E"/>
    <w:rsid w:val="003B4958"/>
    <w:rsid w:val="003B6262"/>
    <w:rsid w:val="003B68D9"/>
    <w:rsid w:val="003C0A0C"/>
    <w:rsid w:val="003C21E2"/>
    <w:rsid w:val="003C2F63"/>
    <w:rsid w:val="003C496F"/>
    <w:rsid w:val="003E0628"/>
    <w:rsid w:val="003E2D77"/>
    <w:rsid w:val="003E7A91"/>
    <w:rsid w:val="0040140D"/>
    <w:rsid w:val="00407CB7"/>
    <w:rsid w:val="00410F62"/>
    <w:rsid w:val="00422A85"/>
    <w:rsid w:val="00426C97"/>
    <w:rsid w:val="004310E0"/>
    <w:rsid w:val="00431287"/>
    <w:rsid w:val="00433A0E"/>
    <w:rsid w:val="00437ACF"/>
    <w:rsid w:val="004406D6"/>
    <w:rsid w:val="0044102A"/>
    <w:rsid w:val="00446B28"/>
    <w:rsid w:val="00450A2D"/>
    <w:rsid w:val="00451BB0"/>
    <w:rsid w:val="00454518"/>
    <w:rsid w:val="0045553C"/>
    <w:rsid w:val="0046749C"/>
    <w:rsid w:val="00470ED3"/>
    <w:rsid w:val="00477534"/>
    <w:rsid w:val="00480152"/>
    <w:rsid w:val="004805BB"/>
    <w:rsid w:val="00486A6A"/>
    <w:rsid w:val="004876A9"/>
    <w:rsid w:val="00493F4F"/>
    <w:rsid w:val="00495EC3"/>
    <w:rsid w:val="004A03A5"/>
    <w:rsid w:val="004B2FD1"/>
    <w:rsid w:val="004B32C7"/>
    <w:rsid w:val="004C0B70"/>
    <w:rsid w:val="004C1F36"/>
    <w:rsid w:val="004D047A"/>
    <w:rsid w:val="004D24ED"/>
    <w:rsid w:val="004D3A32"/>
    <w:rsid w:val="004D4C3E"/>
    <w:rsid w:val="004E1BA5"/>
    <w:rsid w:val="004E509D"/>
    <w:rsid w:val="004E6AD6"/>
    <w:rsid w:val="004F22BD"/>
    <w:rsid w:val="004F4556"/>
    <w:rsid w:val="004F4C79"/>
    <w:rsid w:val="004F4DE3"/>
    <w:rsid w:val="004F51A1"/>
    <w:rsid w:val="00500BC5"/>
    <w:rsid w:val="0050118D"/>
    <w:rsid w:val="00506A73"/>
    <w:rsid w:val="00506AA5"/>
    <w:rsid w:val="00513028"/>
    <w:rsid w:val="00515BD2"/>
    <w:rsid w:val="00523850"/>
    <w:rsid w:val="00523B6A"/>
    <w:rsid w:val="005244C4"/>
    <w:rsid w:val="005273C2"/>
    <w:rsid w:val="00531BCD"/>
    <w:rsid w:val="00531CCA"/>
    <w:rsid w:val="005329D6"/>
    <w:rsid w:val="00536A4A"/>
    <w:rsid w:val="005378E9"/>
    <w:rsid w:val="005401C5"/>
    <w:rsid w:val="00552DAF"/>
    <w:rsid w:val="00554417"/>
    <w:rsid w:val="00556164"/>
    <w:rsid w:val="0055783D"/>
    <w:rsid w:val="00557C4F"/>
    <w:rsid w:val="0056117C"/>
    <w:rsid w:val="00563903"/>
    <w:rsid w:val="005656DE"/>
    <w:rsid w:val="005708B4"/>
    <w:rsid w:val="0057112D"/>
    <w:rsid w:val="00572075"/>
    <w:rsid w:val="00573679"/>
    <w:rsid w:val="00577BB9"/>
    <w:rsid w:val="00581449"/>
    <w:rsid w:val="005821FC"/>
    <w:rsid w:val="00582249"/>
    <w:rsid w:val="005901A9"/>
    <w:rsid w:val="0059208F"/>
    <w:rsid w:val="00594348"/>
    <w:rsid w:val="005A1C5C"/>
    <w:rsid w:val="005A4A6F"/>
    <w:rsid w:val="005A5552"/>
    <w:rsid w:val="005A65A0"/>
    <w:rsid w:val="005A6EFC"/>
    <w:rsid w:val="005C0578"/>
    <w:rsid w:val="005C13CE"/>
    <w:rsid w:val="005C3F87"/>
    <w:rsid w:val="005D4714"/>
    <w:rsid w:val="005D494F"/>
    <w:rsid w:val="005E6848"/>
    <w:rsid w:val="005F1CDD"/>
    <w:rsid w:val="005F2577"/>
    <w:rsid w:val="005F78D8"/>
    <w:rsid w:val="00610DE4"/>
    <w:rsid w:val="00617ED0"/>
    <w:rsid w:val="00621D83"/>
    <w:rsid w:val="00621F50"/>
    <w:rsid w:val="00622284"/>
    <w:rsid w:val="00622554"/>
    <w:rsid w:val="00622C33"/>
    <w:rsid w:val="0062422B"/>
    <w:rsid w:val="00625E59"/>
    <w:rsid w:val="00626F0D"/>
    <w:rsid w:val="00632372"/>
    <w:rsid w:val="006323DA"/>
    <w:rsid w:val="00642135"/>
    <w:rsid w:val="0064243B"/>
    <w:rsid w:val="00645BA2"/>
    <w:rsid w:val="006704A0"/>
    <w:rsid w:val="006705C0"/>
    <w:rsid w:val="006706FD"/>
    <w:rsid w:val="00670FFB"/>
    <w:rsid w:val="00673742"/>
    <w:rsid w:val="00673AE1"/>
    <w:rsid w:val="00674788"/>
    <w:rsid w:val="00676589"/>
    <w:rsid w:val="0068532F"/>
    <w:rsid w:val="00687131"/>
    <w:rsid w:val="006875D7"/>
    <w:rsid w:val="006877E3"/>
    <w:rsid w:val="00692AC7"/>
    <w:rsid w:val="00694370"/>
    <w:rsid w:val="00696407"/>
    <w:rsid w:val="006A0D99"/>
    <w:rsid w:val="006A53B4"/>
    <w:rsid w:val="006B3762"/>
    <w:rsid w:val="006B755E"/>
    <w:rsid w:val="006C1A60"/>
    <w:rsid w:val="006C44AF"/>
    <w:rsid w:val="006D43DE"/>
    <w:rsid w:val="006D7569"/>
    <w:rsid w:val="006E0FE9"/>
    <w:rsid w:val="006E46D8"/>
    <w:rsid w:val="006E5E4E"/>
    <w:rsid w:val="006F0C8D"/>
    <w:rsid w:val="006F225C"/>
    <w:rsid w:val="006F366E"/>
    <w:rsid w:val="006F791C"/>
    <w:rsid w:val="006F7F57"/>
    <w:rsid w:val="007023DD"/>
    <w:rsid w:val="00705218"/>
    <w:rsid w:val="007061BA"/>
    <w:rsid w:val="0072397F"/>
    <w:rsid w:val="007249BE"/>
    <w:rsid w:val="007323A5"/>
    <w:rsid w:val="00745D47"/>
    <w:rsid w:val="007518DA"/>
    <w:rsid w:val="00752CD6"/>
    <w:rsid w:val="0076000D"/>
    <w:rsid w:val="00760E33"/>
    <w:rsid w:val="00764D31"/>
    <w:rsid w:val="0077132B"/>
    <w:rsid w:val="007715E5"/>
    <w:rsid w:val="00771616"/>
    <w:rsid w:val="00772285"/>
    <w:rsid w:val="0077396A"/>
    <w:rsid w:val="00774610"/>
    <w:rsid w:val="00775456"/>
    <w:rsid w:val="00775F6A"/>
    <w:rsid w:val="00776F8D"/>
    <w:rsid w:val="007774BF"/>
    <w:rsid w:val="00782836"/>
    <w:rsid w:val="007829C7"/>
    <w:rsid w:val="00785319"/>
    <w:rsid w:val="00786392"/>
    <w:rsid w:val="0079078E"/>
    <w:rsid w:val="0079096E"/>
    <w:rsid w:val="007A1604"/>
    <w:rsid w:val="007A6C8F"/>
    <w:rsid w:val="007B54FC"/>
    <w:rsid w:val="007C47BA"/>
    <w:rsid w:val="007C47E2"/>
    <w:rsid w:val="007D1463"/>
    <w:rsid w:val="007D27FF"/>
    <w:rsid w:val="007D2968"/>
    <w:rsid w:val="007D6493"/>
    <w:rsid w:val="007E45F6"/>
    <w:rsid w:val="008067C3"/>
    <w:rsid w:val="00810065"/>
    <w:rsid w:val="00811747"/>
    <w:rsid w:val="008159B9"/>
    <w:rsid w:val="00815E8B"/>
    <w:rsid w:val="0082252A"/>
    <w:rsid w:val="008240B2"/>
    <w:rsid w:val="0082489B"/>
    <w:rsid w:val="0082721B"/>
    <w:rsid w:val="0083154E"/>
    <w:rsid w:val="00835B94"/>
    <w:rsid w:val="0083631F"/>
    <w:rsid w:val="00836F17"/>
    <w:rsid w:val="008402DD"/>
    <w:rsid w:val="008413AB"/>
    <w:rsid w:val="008423DD"/>
    <w:rsid w:val="00843654"/>
    <w:rsid w:val="00844F2A"/>
    <w:rsid w:val="00845C66"/>
    <w:rsid w:val="00845D38"/>
    <w:rsid w:val="00853478"/>
    <w:rsid w:val="00855FEB"/>
    <w:rsid w:val="0085680F"/>
    <w:rsid w:val="00870234"/>
    <w:rsid w:val="00876AEC"/>
    <w:rsid w:val="008A0BEB"/>
    <w:rsid w:val="008A2A5E"/>
    <w:rsid w:val="008A4B9F"/>
    <w:rsid w:val="008A5A07"/>
    <w:rsid w:val="008B0910"/>
    <w:rsid w:val="008B19BE"/>
    <w:rsid w:val="008B4139"/>
    <w:rsid w:val="008B4F7D"/>
    <w:rsid w:val="008B5777"/>
    <w:rsid w:val="008B5E51"/>
    <w:rsid w:val="008B7FA8"/>
    <w:rsid w:val="008C0A3A"/>
    <w:rsid w:val="008C26C0"/>
    <w:rsid w:val="008C547D"/>
    <w:rsid w:val="008C5E30"/>
    <w:rsid w:val="008D080D"/>
    <w:rsid w:val="008D585A"/>
    <w:rsid w:val="008D5EA3"/>
    <w:rsid w:val="008D64C4"/>
    <w:rsid w:val="008D68C3"/>
    <w:rsid w:val="008F416A"/>
    <w:rsid w:val="008F439D"/>
    <w:rsid w:val="00904CFE"/>
    <w:rsid w:val="009105B5"/>
    <w:rsid w:val="00913C0C"/>
    <w:rsid w:val="009238B4"/>
    <w:rsid w:val="009307C8"/>
    <w:rsid w:val="009317A8"/>
    <w:rsid w:val="00931D4D"/>
    <w:rsid w:val="00933E01"/>
    <w:rsid w:val="009349FF"/>
    <w:rsid w:val="0093674A"/>
    <w:rsid w:val="009408BE"/>
    <w:rsid w:val="00951167"/>
    <w:rsid w:val="009511E7"/>
    <w:rsid w:val="0095267E"/>
    <w:rsid w:val="00952D74"/>
    <w:rsid w:val="0095500A"/>
    <w:rsid w:val="00963DC8"/>
    <w:rsid w:val="00963E5D"/>
    <w:rsid w:val="00973588"/>
    <w:rsid w:val="00973F22"/>
    <w:rsid w:val="00982AC0"/>
    <w:rsid w:val="009876FF"/>
    <w:rsid w:val="00991BB8"/>
    <w:rsid w:val="009940F9"/>
    <w:rsid w:val="00997476"/>
    <w:rsid w:val="009A1187"/>
    <w:rsid w:val="009A4CBA"/>
    <w:rsid w:val="009A4E30"/>
    <w:rsid w:val="009A533A"/>
    <w:rsid w:val="009A5AE6"/>
    <w:rsid w:val="009A75F3"/>
    <w:rsid w:val="009B1A17"/>
    <w:rsid w:val="009B1B9E"/>
    <w:rsid w:val="009B2783"/>
    <w:rsid w:val="009B5EE5"/>
    <w:rsid w:val="009C17AA"/>
    <w:rsid w:val="009C3529"/>
    <w:rsid w:val="009C4EDC"/>
    <w:rsid w:val="009C4FCB"/>
    <w:rsid w:val="009D43DD"/>
    <w:rsid w:val="009D5BEC"/>
    <w:rsid w:val="009D7454"/>
    <w:rsid w:val="009D7A5E"/>
    <w:rsid w:val="009F2042"/>
    <w:rsid w:val="009F3FBC"/>
    <w:rsid w:val="009F4954"/>
    <w:rsid w:val="009F7D33"/>
    <w:rsid w:val="00A02EAC"/>
    <w:rsid w:val="00A119FF"/>
    <w:rsid w:val="00A1480B"/>
    <w:rsid w:val="00A20919"/>
    <w:rsid w:val="00A22515"/>
    <w:rsid w:val="00A22C86"/>
    <w:rsid w:val="00A264BC"/>
    <w:rsid w:val="00A36529"/>
    <w:rsid w:val="00A3737E"/>
    <w:rsid w:val="00A411DD"/>
    <w:rsid w:val="00A42367"/>
    <w:rsid w:val="00A442C3"/>
    <w:rsid w:val="00A54D98"/>
    <w:rsid w:val="00A6080F"/>
    <w:rsid w:val="00A6105B"/>
    <w:rsid w:val="00A61A1D"/>
    <w:rsid w:val="00A62618"/>
    <w:rsid w:val="00A66660"/>
    <w:rsid w:val="00A72D2D"/>
    <w:rsid w:val="00A73EF6"/>
    <w:rsid w:val="00A745DE"/>
    <w:rsid w:val="00A75E58"/>
    <w:rsid w:val="00A775A4"/>
    <w:rsid w:val="00A77832"/>
    <w:rsid w:val="00A80F5C"/>
    <w:rsid w:val="00A838CE"/>
    <w:rsid w:val="00A876C8"/>
    <w:rsid w:val="00A91575"/>
    <w:rsid w:val="00A92582"/>
    <w:rsid w:val="00A93F4B"/>
    <w:rsid w:val="00A978BA"/>
    <w:rsid w:val="00AA5776"/>
    <w:rsid w:val="00AA7A5E"/>
    <w:rsid w:val="00AC7D5C"/>
    <w:rsid w:val="00AD501A"/>
    <w:rsid w:val="00AD7126"/>
    <w:rsid w:val="00AE048F"/>
    <w:rsid w:val="00AE3055"/>
    <w:rsid w:val="00AE5B4C"/>
    <w:rsid w:val="00AE6F40"/>
    <w:rsid w:val="00AE77CA"/>
    <w:rsid w:val="00AF15C2"/>
    <w:rsid w:val="00AF2D02"/>
    <w:rsid w:val="00AF63AB"/>
    <w:rsid w:val="00AF7301"/>
    <w:rsid w:val="00B00826"/>
    <w:rsid w:val="00B06035"/>
    <w:rsid w:val="00B1067A"/>
    <w:rsid w:val="00B11133"/>
    <w:rsid w:val="00B13F30"/>
    <w:rsid w:val="00B14E8C"/>
    <w:rsid w:val="00B24994"/>
    <w:rsid w:val="00B25489"/>
    <w:rsid w:val="00B274C3"/>
    <w:rsid w:val="00B314A5"/>
    <w:rsid w:val="00B3366B"/>
    <w:rsid w:val="00B33904"/>
    <w:rsid w:val="00B50501"/>
    <w:rsid w:val="00B51168"/>
    <w:rsid w:val="00B52FB9"/>
    <w:rsid w:val="00B5757D"/>
    <w:rsid w:val="00B60A84"/>
    <w:rsid w:val="00B616A2"/>
    <w:rsid w:val="00B62609"/>
    <w:rsid w:val="00B66321"/>
    <w:rsid w:val="00B66D7A"/>
    <w:rsid w:val="00B71C31"/>
    <w:rsid w:val="00B747D4"/>
    <w:rsid w:val="00B74E10"/>
    <w:rsid w:val="00B77360"/>
    <w:rsid w:val="00B8363E"/>
    <w:rsid w:val="00B83B3C"/>
    <w:rsid w:val="00B878CD"/>
    <w:rsid w:val="00B90DB2"/>
    <w:rsid w:val="00B91365"/>
    <w:rsid w:val="00B91C48"/>
    <w:rsid w:val="00B92388"/>
    <w:rsid w:val="00B92B29"/>
    <w:rsid w:val="00B93110"/>
    <w:rsid w:val="00BA037E"/>
    <w:rsid w:val="00BB0A12"/>
    <w:rsid w:val="00BB6C20"/>
    <w:rsid w:val="00BC0F5D"/>
    <w:rsid w:val="00BC57E2"/>
    <w:rsid w:val="00BD014C"/>
    <w:rsid w:val="00BD4414"/>
    <w:rsid w:val="00BE064B"/>
    <w:rsid w:val="00BE5609"/>
    <w:rsid w:val="00BE6683"/>
    <w:rsid w:val="00BF3973"/>
    <w:rsid w:val="00BF44BF"/>
    <w:rsid w:val="00BF57DF"/>
    <w:rsid w:val="00C071EA"/>
    <w:rsid w:val="00C07D58"/>
    <w:rsid w:val="00C10202"/>
    <w:rsid w:val="00C12C05"/>
    <w:rsid w:val="00C15A86"/>
    <w:rsid w:val="00C15BA2"/>
    <w:rsid w:val="00C15EFE"/>
    <w:rsid w:val="00C17C91"/>
    <w:rsid w:val="00C2047D"/>
    <w:rsid w:val="00C24BF6"/>
    <w:rsid w:val="00C262B5"/>
    <w:rsid w:val="00C275A0"/>
    <w:rsid w:val="00C320BA"/>
    <w:rsid w:val="00C33B82"/>
    <w:rsid w:val="00C34319"/>
    <w:rsid w:val="00C43DB6"/>
    <w:rsid w:val="00C521D5"/>
    <w:rsid w:val="00C6041D"/>
    <w:rsid w:val="00C6060A"/>
    <w:rsid w:val="00C61005"/>
    <w:rsid w:val="00C6290F"/>
    <w:rsid w:val="00C654C3"/>
    <w:rsid w:val="00C656B7"/>
    <w:rsid w:val="00C7425F"/>
    <w:rsid w:val="00C81618"/>
    <w:rsid w:val="00C87BA3"/>
    <w:rsid w:val="00C92553"/>
    <w:rsid w:val="00C92FF3"/>
    <w:rsid w:val="00C93E48"/>
    <w:rsid w:val="00C952B9"/>
    <w:rsid w:val="00C964B3"/>
    <w:rsid w:val="00CA75B5"/>
    <w:rsid w:val="00CA7D06"/>
    <w:rsid w:val="00CB375C"/>
    <w:rsid w:val="00CB5A3C"/>
    <w:rsid w:val="00CC0384"/>
    <w:rsid w:val="00CC20DA"/>
    <w:rsid w:val="00CC2814"/>
    <w:rsid w:val="00CC7DCE"/>
    <w:rsid w:val="00CD2196"/>
    <w:rsid w:val="00CD237D"/>
    <w:rsid w:val="00CD3063"/>
    <w:rsid w:val="00CD3576"/>
    <w:rsid w:val="00CD4138"/>
    <w:rsid w:val="00CD701C"/>
    <w:rsid w:val="00CE34BF"/>
    <w:rsid w:val="00CE6560"/>
    <w:rsid w:val="00CE7AFF"/>
    <w:rsid w:val="00CF0EE2"/>
    <w:rsid w:val="00CF2695"/>
    <w:rsid w:val="00CF4952"/>
    <w:rsid w:val="00D006A8"/>
    <w:rsid w:val="00D0425D"/>
    <w:rsid w:val="00D05BEB"/>
    <w:rsid w:val="00D07A3D"/>
    <w:rsid w:val="00D1524E"/>
    <w:rsid w:val="00D177C8"/>
    <w:rsid w:val="00D211D0"/>
    <w:rsid w:val="00D2354F"/>
    <w:rsid w:val="00D27967"/>
    <w:rsid w:val="00D31117"/>
    <w:rsid w:val="00D3244D"/>
    <w:rsid w:val="00D332E7"/>
    <w:rsid w:val="00D37410"/>
    <w:rsid w:val="00D4585B"/>
    <w:rsid w:val="00D46543"/>
    <w:rsid w:val="00D55EC5"/>
    <w:rsid w:val="00D5621F"/>
    <w:rsid w:val="00D57E57"/>
    <w:rsid w:val="00D61DA6"/>
    <w:rsid w:val="00D67AE2"/>
    <w:rsid w:val="00D8076E"/>
    <w:rsid w:val="00D8308F"/>
    <w:rsid w:val="00D85093"/>
    <w:rsid w:val="00D91C20"/>
    <w:rsid w:val="00D9773D"/>
    <w:rsid w:val="00DA2856"/>
    <w:rsid w:val="00DB3A4E"/>
    <w:rsid w:val="00DB3E36"/>
    <w:rsid w:val="00DB4224"/>
    <w:rsid w:val="00DB4D37"/>
    <w:rsid w:val="00DB6036"/>
    <w:rsid w:val="00DC1D4C"/>
    <w:rsid w:val="00DD0E21"/>
    <w:rsid w:val="00DE3D94"/>
    <w:rsid w:val="00DE4B60"/>
    <w:rsid w:val="00DE5B23"/>
    <w:rsid w:val="00DE6E9C"/>
    <w:rsid w:val="00DE7F42"/>
    <w:rsid w:val="00DF3D2A"/>
    <w:rsid w:val="00DF5A42"/>
    <w:rsid w:val="00E02097"/>
    <w:rsid w:val="00E10249"/>
    <w:rsid w:val="00E11B12"/>
    <w:rsid w:val="00E125F1"/>
    <w:rsid w:val="00E14E14"/>
    <w:rsid w:val="00E15947"/>
    <w:rsid w:val="00E17542"/>
    <w:rsid w:val="00E22D03"/>
    <w:rsid w:val="00E23E4E"/>
    <w:rsid w:val="00E245AB"/>
    <w:rsid w:val="00E24D84"/>
    <w:rsid w:val="00E260DE"/>
    <w:rsid w:val="00E33F6C"/>
    <w:rsid w:val="00E3493B"/>
    <w:rsid w:val="00E35B15"/>
    <w:rsid w:val="00E365CB"/>
    <w:rsid w:val="00E4030F"/>
    <w:rsid w:val="00E41388"/>
    <w:rsid w:val="00E42C1E"/>
    <w:rsid w:val="00E436FB"/>
    <w:rsid w:val="00E46946"/>
    <w:rsid w:val="00E46996"/>
    <w:rsid w:val="00E51B50"/>
    <w:rsid w:val="00E55029"/>
    <w:rsid w:val="00E606FC"/>
    <w:rsid w:val="00E61124"/>
    <w:rsid w:val="00E6225F"/>
    <w:rsid w:val="00E66DAD"/>
    <w:rsid w:val="00E715EF"/>
    <w:rsid w:val="00E763DC"/>
    <w:rsid w:val="00E77EDE"/>
    <w:rsid w:val="00E8008C"/>
    <w:rsid w:val="00E82B11"/>
    <w:rsid w:val="00E86E54"/>
    <w:rsid w:val="00E879E4"/>
    <w:rsid w:val="00E87B70"/>
    <w:rsid w:val="00E90B86"/>
    <w:rsid w:val="00E915FC"/>
    <w:rsid w:val="00E978A3"/>
    <w:rsid w:val="00EA3B6F"/>
    <w:rsid w:val="00EA5147"/>
    <w:rsid w:val="00EA54D3"/>
    <w:rsid w:val="00EB3546"/>
    <w:rsid w:val="00EB5930"/>
    <w:rsid w:val="00EC3339"/>
    <w:rsid w:val="00EC40FE"/>
    <w:rsid w:val="00EC6751"/>
    <w:rsid w:val="00EC7CB9"/>
    <w:rsid w:val="00ED0E63"/>
    <w:rsid w:val="00ED35CA"/>
    <w:rsid w:val="00ED6F50"/>
    <w:rsid w:val="00EE325A"/>
    <w:rsid w:val="00EF1A31"/>
    <w:rsid w:val="00EF1BBF"/>
    <w:rsid w:val="00F028F5"/>
    <w:rsid w:val="00F038A3"/>
    <w:rsid w:val="00F0461E"/>
    <w:rsid w:val="00F05580"/>
    <w:rsid w:val="00F15CCE"/>
    <w:rsid w:val="00F202DA"/>
    <w:rsid w:val="00F20EFB"/>
    <w:rsid w:val="00F2177F"/>
    <w:rsid w:val="00F22CD5"/>
    <w:rsid w:val="00F24FB3"/>
    <w:rsid w:val="00F27ABB"/>
    <w:rsid w:val="00F27DC9"/>
    <w:rsid w:val="00F30F33"/>
    <w:rsid w:val="00F402A1"/>
    <w:rsid w:val="00F405E7"/>
    <w:rsid w:val="00F441D8"/>
    <w:rsid w:val="00F46260"/>
    <w:rsid w:val="00F50D92"/>
    <w:rsid w:val="00F51250"/>
    <w:rsid w:val="00F51995"/>
    <w:rsid w:val="00F51AA9"/>
    <w:rsid w:val="00F54336"/>
    <w:rsid w:val="00F64188"/>
    <w:rsid w:val="00F70660"/>
    <w:rsid w:val="00F716DA"/>
    <w:rsid w:val="00F73696"/>
    <w:rsid w:val="00F7370B"/>
    <w:rsid w:val="00F86BD6"/>
    <w:rsid w:val="00F8706A"/>
    <w:rsid w:val="00F87BF7"/>
    <w:rsid w:val="00F909CA"/>
    <w:rsid w:val="00F90D4B"/>
    <w:rsid w:val="00F91F2A"/>
    <w:rsid w:val="00F93CFE"/>
    <w:rsid w:val="00F97128"/>
    <w:rsid w:val="00F971ED"/>
    <w:rsid w:val="00F973DC"/>
    <w:rsid w:val="00FA0706"/>
    <w:rsid w:val="00FA14E5"/>
    <w:rsid w:val="00FA20E6"/>
    <w:rsid w:val="00FA711A"/>
    <w:rsid w:val="00FB081F"/>
    <w:rsid w:val="00FB0CCF"/>
    <w:rsid w:val="00FB17BE"/>
    <w:rsid w:val="00FB4BE1"/>
    <w:rsid w:val="00FB5EDB"/>
    <w:rsid w:val="00FB6C01"/>
    <w:rsid w:val="00FC5674"/>
    <w:rsid w:val="00FC591E"/>
    <w:rsid w:val="00FC7BB2"/>
    <w:rsid w:val="00FD29C7"/>
    <w:rsid w:val="00FD4B00"/>
    <w:rsid w:val="00FD5881"/>
    <w:rsid w:val="00FD7CDA"/>
    <w:rsid w:val="00FF1144"/>
    <w:rsid w:val="00FF1BC2"/>
    <w:rsid w:val="00FF70F7"/>
    <w:rsid w:val="0574FB5D"/>
    <w:rsid w:val="6FC9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4FACD3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IC" w:eastAsia="VIC" w:hAnsi="VIC" w:cs="Times New Roman"/>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0" w:qFormat="1"/>
    <w:lsdException w:name="heading 6" w:locked="1" w:semiHidden="1" w:uiPriority="0" w:qFormat="1"/>
    <w:lsdException w:name="heading 7" w:locked="1" w:semiHidden="1" w:uiPriority="0" w:qFormat="1"/>
    <w:lsdException w:name="heading 8" w:locked="1" w:semiHidden="1" w:uiPriority="0" w:qFormat="1"/>
    <w:lsdException w:name="heading 9" w:locked="1" w:semiHidden="1" w:uiPriority="0" w:qFormat="1"/>
    <w:lsdException w:name="index 1" w:semiHidden="1" w:unhideWhenUsed="1"/>
    <w:lsdException w:name="index 2" w:semiHidden="1" w:unhideWhenUsed="1"/>
    <w:lsdException w:name="index 3"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locked="1" w:semiHidden="1" w:uiPriority="39"/>
    <w:lsdException w:name="toc 5" w:locked="1" w:semiHidden="1" w:uiPriority="39"/>
    <w:lsdException w:name="toc 6" w:locked="1" w:semiHidden="1" w:uiPriority="39"/>
    <w:lsdException w:name="toc 7" w:locked="1" w:semiHidden="1" w:uiPriority="39"/>
    <w:lsdException w:name="toc 8" w:locked="1" w:semiHidden="1" w:uiPriority="39"/>
    <w:lsdException w:name="toc 9" w:locked="1" w:semiHidden="1" w:uiPriority="0"/>
    <w:lsdException w:name="Normal Indent" w:locked="1" w:semiHidden="1" w:unhideWhenUsed="1"/>
    <w:lsdException w:name="footnote text" w:semiHidden="1" w:uiPriority="0" w:unhideWhenUsed="1"/>
    <w:lsdException w:name="annotation text" w:semiHidden="1" w:uiPriority="0" w:unhideWhenUsed="1"/>
    <w:lsdException w:name="header" w:semiHidden="1" w:uiPriority="85" w:unhideWhenUsed="1" w:qFormat="1"/>
    <w:lsdException w:name="footer" w:semiHidden="1" w:unhideWhenUsed="1" w:qFormat="1"/>
    <w:lsdException w:name="index heading" w:semiHidden="1" w:unhideWhenUsed="1"/>
    <w:lsdException w:name="caption" w:locked="1" w:semiHidden="1" w:uiPriority="35" w:unhideWhenUsed="1" w:qFormat="1"/>
    <w:lsdException w:name="table of figures" w:semiHidden="1" w:uiPriority="0" w:unhideWhenUsed="1" w:qFormat="1"/>
    <w:lsdException w:name="envelope address" w:locked="1" w:semiHidden="1" w:unhideWhenUsed="1"/>
    <w:lsdException w:name="envelope return" w:locked="1"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locked="1" w:semiHidden="1" w:unhideWhenUsed="1"/>
    <w:lsdException w:name="List Continue 3" w:locked="1" w:semiHidden="1" w:unhideWhenUsed="1"/>
    <w:lsdException w:name="List Continue 4" w:locked="1" w:semiHidden="1" w:uiPriority="0" w:unhideWhenUsed="1"/>
    <w:lsdException w:name="List Continue 5" w:locked="1" w:semiHidden="1" w:uiPriority="0" w:unhideWhenUsed="1"/>
    <w:lsdException w:name="Message Header" w:semiHidden="1" w:unhideWhenUsed="1"/>
    <w:lsdException w:name="Subtitle" w:uiPriority="11" w:qFormat="1"/>
    <w:lsdException w:name="Salutation" w:locked="1"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semiHidden="1" w:unhideWhenUsed="1" w:qFormat="1"/>
    <w:lsdException w:name="FollowedHyperlink" w:semiHidden="1" w:unhideWhenUsed="1"/>
    <w:lsdException w:name="Strong" w:uiPriority="22" w:qFormat="1"/>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uiPriority="31" w:qFormat="1"/>
    <w:lsdException w:name="Intense Reference" w:locked="1" w:semiHidden="1" w:uiPriority="32" w:qFormat="1"/>
    <w:lsdException w:name="Book Title" w:locked="1" w:semiHidden="1"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31CCA"/>
    <w:pPr>
      <w:spacing w:after="160" w:line="259" w:lineRule="auto"/>
    </w:pPr>
  </w:style>
  <w:style w:type="paragraph" w:styleId="Heading10">
    <w:name w:val="heading 1"/>
    <w:aliases w:val="Section Heading"/>
    <w:link w:val="Heading1Char"/>
    <w:qFormat/>
    <w:rsid w:val="00531CCA"/>
    <w:pPr>
      <w:keepNext/>
      <w:keepLines/>
      <w:spacing w:before="360" w:after="180" w:line="288" w:lineRule="auto"/>
      <w:outlineLvl w:val="0"/>
    </w:pPr>
    <w:rPr>
      <w:rFonts w:asciiTheme="majorHAnsi" w:hAnsiTheme="majorHAnsi" w:cstheme="majorBidi"/>
      <w:color w:val="00573F" w:themeColor="text2"/>
      <w:sz w:val="36"/>
      <w:szCs w:val="36"/>
    </w:rPr>
  </w:style>
  <w:style w:type="paragraph" w:styleId="Heading20">
    <w:name w:val="heading 2"/>
    <w:aliases w:val="Reset numbering"/>
    <w:link w:val="Heading2Char"/>
    <w:qFormat/>
    <w:rsid w:val="00531CCA"/>
    <w:pPr>
      <w:keepNext/>
      <w:keepLines/>
      <w:spacing w:before="320" w:after="160" w:line="288" w:lineRule="auto"/>
      <w:outlineLvl w:val="1"/>
    </w:pPr>
    <w:rPr>
      <w:rFonts w:ascii="VIC SemiBold" w:hAnsi="VIC SemiBold" w:cstheme="majorBidi"/>
      <w:color w:val="53565A"/>
      <w:sz w:val="30"/>
      <w:szCs w:val="32"/>
    </w:rPr>
  </w:style>
  <w:style w:type="paragraph" w:styleId="Heading30">
    <w:name w:val="heading 3"/>
    <w:aliases w:val="Level 1 - 1"/>
    <w:link w:val="Heading3Char"/>
    <w:qFormat/>
    <w:rsid w:val="00531CCA"/>
    <w:pPr>
      <w:keepNext/>
      <w:keepLines/>
      <w:spacing w:before="280" w:after="140" w:line="288" w:lineRule="auto"/>
      <w:outlineLvl w:val="2"/>
    </w:pPr>
    <w:rPr>
      <w:rFonts w:cstheme="majorBidi"/>
      <w:color w:val="53565A"/>
      <w:sz w:val="28"/>
      <w:szCs w:val="28"/>
    </w:rPr>
  </w:style>
  <w:style w:type="paragraph" w:styleId="Heading4">
    <w:name w:val="heading 4"/>
    <w:aliases w:val="Level 2 - a"/>
    <w:basedOn w:val="Normal"/>
    <w:next w:val="Normal"/>
    <w:link w:val="Heading4Char"/>
    <w:qFormat/>
    <w:locked/>
    <w:rsid w:val="00B60A84"/>
    <w:pPr>
      <w:keepNext/>
      <w:keepLines/>
      <w:spacing w:before="40" w:after="0"/>
      <w:outlineLvl w:val="3"/>
    </w:pPr>
    <w:rPr>
      <w:rFonts w:asciiTheme="majorHAnsi" w:eastAsiaTheme="majorEastAsia" w:hAnsiTheme="majorHAnsi" w:cstheme="majorBidi"/>
      <w:i/>
      <w:iCs/>
      <w:color w:val="005C37" w:themeColor="accent1" w:themeShade="BF"/>
    </w:rPr>
  </w:style>
  <w:style w:type="paragraph" w:styleId="Heading5">
    <w:name w:val="heading 5"/>
    <w:aliases w:val="Level 3 - i"/>
    <w:basedOn w:val="Normal"/>
    <w:next w:val="Normal"/>
    <w:link w:val="Heading5Char"/>
    <w:qFormat/>
    <w:locked/>
    <w:rsid w:val="00F46260"/>
    <w:pPr>
      <w:keepNext/>
      <w:spacing w:after="0" w:line="240" w:lineRule="auto"/>
      <w:outlineLvl w:val="4"/>
    </w:pPr>
    <w:rPr>
      <w:rFonts w:ascii="Times New Roman" w:eastAsia="Times New Roman" w:hAnsi="Times New Roman"/>
      <w:i/>
      <w:sz w:val="20"/>
      <w:szCs w:val="20"/>
      <w:lang w:eastAsia="en-AU"/>
    </w:rPr>
  </w:style>
  <w:style w:type="paragraph" w:styleId="Heading6">
    <w:name w:val="heading 6"/>
    <w:basedOn w:val="Normal"/>
    <w:next w:val="Normal"/>
    <w:link w:val="Heading6Char"/>
    <w:qFormat/>
    <w:locked/>
    <w:rsid w:val="00F46260"/>
    <w:pPr>
      <w:keepNext/>
      <w:keepLines/>
      <w:spacing w:before="40" w:after="0"/>
      <w:outlineLvl w:val="5"/>
    </w:pPr>
    <w:rPr>
      <w:rFonts w:asciiTheme="majorHAnsi" w:eastAsiaTheme="majorEastAsia" w:hAnsiTheme="majorHAnsi" w:cstheme="majorBidi"/>
      <w:color w:val="003D25" w:themeColor="accent1" w:themeShade="7F"/>
    </w:rPr>
  </w:style>
  <w:style w:type="paragraph" w:styleId="Heading7">
    <w:name w:val="heading 7"/>
    <w:basedOn w:val="Normal"/>
    <w:next w:val="Normal"/>
    <w:link w:val="Heading7Char"/>
    <w:qFormat/>
    <w:locked/>
    <w:rsid w:val="00F46260"/>
    <w:pPr>
      <w:keepNext/>
      <w:spacing w:after="0" w:line="240" w:lineRule="auto"/>
      <w:jc w:val="center"/>
      <w:outlineLvl w:val="6"/>
    </w:pPr>
    <w:rPr>
      <w:rFonts w:ascii="Times New Roman" w:eastAsia="Times New Roman" w:hAnsi="Times New Roman"/>
      <w:b/>
      <w:sz w:val="20"/>
      <w:szCs w:val="20"/>
      <w:lang w:eastAsia="en-AU"/>
    </w:rPr>
  </w:style>
  <w:style w:type="paragraph" w:styleId="Heading8">
    <w:name w:val="heading 8"/>
    <w:basedOn w:val="Normal"/>
    <w:next w:val="Normal"/>
    <w:link w:val="Heading8Char"/>
    <w:qFormat/>
    <w:locked/>
    <w:rsid w:val="00F46260"/>
    <w:pPr>
      <w:keepNext/>
      <w:spacing w:after="0" w:line="240" w:lineRule="auto"/>
      <w:outlineLvl w:val="7"/>
    </w:pPr>
    <w:rPr>
      <w:rFonts w:ascii="Times New Roman" w:eastAsia="Times New Roman" w:hAnsi="Times New Roman"/>
      <w:b/>
      <w:bCs/>
      <w:sz w:val="20"/>
      <w:szCs w:val="20"/>
      <w:lang w:eastAsia="en-AU"/>
    </w:rPr>
  </w:style>
  <w:style w:type="paragraph" w:styleId="Heading9">
    <w:name w:val="heading 9"/>
    <w:basedOn w:val="Normal"/>
    <w:next w:val="Normal"/>
    <w:link w:val="Heading9Char"/>
    <w:qFormat/>
    <w:locked/>
    <w:rsid w:val="00F46260"/>
    <w:pPr>
      <w:keepNext/>
      <w:spacing w:after="0" w:line="240" w:lineRule="auto"/>
      <w:outlineLvl w:val="8"/>
    </w:pPr>
    <w:rPr>
      <w:rFonts w:ascii="Times New Roman" w:eastAsia="Times New Roman" w:hAnsi="Times New Roman"/>
      <w:b/>
      <w:snapToGrid w:val="0"/>
      <w:color w:val="00000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link w:val="Heading10"/>
    <w:rsid w:val="00531CCA"/>
    <w:rPr>
      <w:rFonts w:asciiTheme="majorHAnsi" w:hAnsiTheme="majorHAnsi" w:cstheme="majorBidi"/>
      <w:color w:val="00573F" w:themeColor="text2"/>
      <w:sz w:val="36"/>
      <w:szCs w:val="36"/>
    </w:rPr>
  </w:style>
  <w:style w:type="character" w:customStyle="1" w:styleId="Heading2Char">
    <w:name w:val="Heading 2 Char"/>
    <w:aliases w:val="Reset numbering Char"/>
    <w:link w:val="Heading20"/>
    <w:rsid w:val="00531CCA"/>
    <w:rPr>
      <w:rFonts w:ascii="VIC SemiBold" w:hAnsi="VIC SemiBold" w:cstheme="majorBidi"/>
      <w:color w:val="53565A"/>
      <w:sz w:val="30"/>
      <w:szCs w:val="32"/>
    </w:rPr>
  </w:style>
  <w:style w:type="paragraph" w:styleId="Title">
    <w:name w:val="Title"/>
    <w:basedOn w:val="Normal"/>
    <w:next w:val="Normal"/>
    <w:link w:val="TitleChar"/>
    <w:qFormat/>
    <w:rsid w:val="00531CCA"/>
    <w:pPr>
      <w:keepNext/>
      <w:keepLines/>
      <w:spacing w:after="480" w:line="288" w:lineRule="auto"/>
      <w:outlineLvl w:val="0"/>
    </w:pPr>
    <w:rPr>
      <w:rFonts w:cstheme="majorBidi"/>
      <w:b/>
      <w:bCs/>
      <w:color w:val="00573F" w:themeColor="text2"/>
      <w:sz w:val="52"/>
      <w:szCs w:val="52"/>
    </w:rPr>
  </w:style>
  <w:style w:type="character" w:customStyle="1" w:styleId="TitleChar">
    <w:name w:val="Title Char"/>
    <w:link w:val="Title"/>
    <w:rsid w:val="00531CCA"/>
    <w:rPr>
      <w:rFonts w:cstheme="majorBidi"/>
      <w:b/>
      <w:bCs/>
      <w:color w:val="00573F" w:themeColor="text2"/>
      <w:sz w:val="52"/>
      <w:szCs w:val="52"/>
    </w:rPr>
  </w:style>
  <w:style w:type="paragraph" w:customStyle="1" w:styleId="TOC">
    <w:name w:val="TOC"/>
    <w:qFormat/>
    <w:rsid w:val="00531CCA"/>
    <w:pPr>
      <w:keepNext/>
      <w:keepLines/>
      <w:spacing w:before="120" w:after="120" w:line="288" w:lineRule="auto"/>
      <w:outlineLvl w:val="0"/>
    </w:pPr>
    <w:rPr>
      <w:rFonts w:ascii="VIC SemiBold" w:hAnsi="VIC SemiBold"/>
      <w:color w:val="00573F" w:themeColor="text2"/>
      <w:sz w:val="28"/>
      <w:szCs w:val="28"/>
    </w:rPr>
  </w:style>
  <w:style w:type="paragraph" w:customStyle="1" w:styleId="Separator">
    <w:name w:val="Separator"/>
    <w:basedOn w:val="Body"/>
    <w:link w:val="SeparatorChar"/>
    <w:qFormat/>
    <w:rsid w:val="00531CCA"/>
    <w:pPr>
      <w:pBdr>
        <w:top w:val="single" w:sz="12" w:space="1" w:color="00573F"/>
      </w:pBdr>
      <w:spacing w:before="220" w:after="220"/>
    </w:pPr>
    <w:rPr>
      <w:color w:val="00573F" w:themeColor="text2"/>
    </w:rPr>
  </w:style>
  <w:style w:type="paragraph" w:customStyle="1" w:styleId="ListHeading1">
    <w:name w:val="List Heading 1"/>
    <w:basedOn w:val="Heading10"/>
    <w:qFormat/>
    <w:rsid w:val="00531CCA"/>
    <w:pPr>
      <w:numPr>
        <w:numId w:val="1"/>
      </w:numPr>
    </w:pPr>
    <w:rPr>
      <w:rFonts w:cs="Times New Roman"/>
    </w:rPr>
  </w:style>
  <w:style w:type="character" w:customStyle="1" w:styleId="BodyChar">
    <w:name w:val="Body Char"/>
    <w:basedOn w:val="DefaultParagraphFont"/>
    <w:link w:val="Body"/>
    <w:rsid w:val="00531CCA"/>
  </w:style>
  <w:style w:type="character" w:customStyle="1" w:styleId="SeparatorChar">
    <w:name w:val="Separator Char"/>
    <w:basedOn w:val="BodyChar"/>
    <w:link w:val="Separator"/>
    <w:rsid w:val="00531CCA"/>
    <w:rPr>
      <w:color w:val="00573F" w:themeColor="text2"/>
    </w:rPr>
  </w:style>
  <w:style w:type="character" w:customStyle="1" w:styleId="Heading3Char">
    <w:name w:val="Heading 3 Char"/>
    <w:aliases w:val="Level 1 - 1 Char"/>
    <w:link w:val="Heading30"/>
    <w:rsid w:val="00531CCA"/>
    <w:rPr>
      <w:rFonts w:cstheme="majorBidi"/>
      <w:color w:val="53565A"/>
      <w:sz w:val="28"/>
      <w:szCs w:val="28"/>
    </w:rPr>
  </w:style>
  <w:style w:type="paragraph" w:customStyle="1" w:styleId="ListHeading2">
    <w:name w:val="List Heading 2"/>
    <w:basedOn w:val="Heading20"/>
    <w:qFormat/>
    <w:rsid w:val="00531CCA"/>
    <w:pPr>
      <w:numPr>
        <w:numId w:val="2"/>
      </w:numPr>
    </w:pPr>
  </w:style>
  <w:style w:type="paragraph" w:customStyle="1" w:styleId="ListHeading3">
    <w:name w:val="List Heading 3"/>
    <w:basedOn w:val="Heading30"/>
    <w:qFormat/>
    <w:rsid w:val="00531CCA"/>
    <w:pPr>
      <w:numPr>
        <w:numId w:val="3"/>
      </w:numPr>
    </w:pPr>
  </w:style>
  <w:style w:type="paragraph" w:customStyle="1" w:styleId="TableHeader">
    <w:name w:val="Table Header"/>
    <w:basedOn w:val="Normal"/>
    <w:qFormat/>
    <w:rsid w:val="00531CCA"/>
    <w:pPr>
      <w:keepNext/>
      <w:keepLines/>
      <w:spacing w:before="120" w:after="120" w:line="288" w:lineRule="auto"/>
    </w:pPr>
    <w:rPr>
      <w:rFonts w:asciiTheme="majorHAnsi" w:hAnsiTheme="majorHAnsi"/>
      <w:color w:val="00573F" w:themeColor="text2"/>
    </w:rPr>
  </w:style>
  <w:style w:type="paragraph" w:customStyle="1" w:styleId="Bullet1">
    <w:name w:val="Bullet 1"/>
    <w:basedOn w:val="Normal"/>
    <w:uiPriority w:val="2"/>
    <w:qFormat/>
    <w:rsid w:val="00531CCA"/>
    <w:pPr>
      <w:keepNext/>
      <w:keepLines/>
      <w:numPr>
        <w:numId w:val="4"/>
      </w:numPr>
      <w:spacing w:line="288" w:lineRule="auto"/>
    </w:pPr>
  </w:style>
  <w:style w:type="paragraph" w:customStyle="1" w:styleId="TableBody">
    <w:name w:val="Table Body"/>
    <w:basedOn w:val="Body"/>
    <w:qFormat/>
    <w:rsid w:val="00531CCA"/>
    <w:pPr>
      <w:spacing w:before="120" w:after="120"/>
    </w:pPr>
  </w:style>
  <w:style w:type="paragraph" w:styleId="ListParagraph">
    <w:name w:val="List Paragraph"/>
    <w:aliases w:val="List Paragraph1,List Paragraph11,List Paragraph2,Bulit List -  Paragraph,Main numbered paragraph,Numbered List Paragraph"/>
    <w:basedOn w:val="Normal"/>
    <w:link w:val="ListParagraphChar"/>
    <w:uiPriority w:val="34"/>
    <w:qFormat/>
    <w:rsid w:val="005A5552"/>
    <w:pPr>
      <w:ind w:left="567" w:hanging="567"/>
      <w:contextualSpacing/>
    </w:pPr>
  </w:style>
  <w:style w:type="paragraph" w:customStyle="1" w:styleId="NumberedList1">
    <w:name w:val="Numbered List 1"/>
    <w:basedOn w:val="Normal"/>
    <w:qFormat/>
    <w:rsid w:val="00D31117"/>
    <w:pPr>
      <w:keepNext/>
      <w:keepLines/>
      <w:numPr>
        <w:numId w:val="5"/>
      </w:numPr>
      <w:spacing w:line="288" w:lineRule="auto"/>
      <w:ind w:left="567" w:hanging="567"/>
    </w:pPr>
  </w:style>
  <w:style w:type="paragraph" w:customStyle="1" w:styleId="TableBullet1">
    <w:name w:val="Table Bullet 1"/>
    <w:basedOn w:val="TableBody"/>
    <w:qFormat/>
    <w:rsid w:val="00573679"/>
    <w:pPr>
      <w:numPr>
        <w:numId w:val="7"/>
      </w:numPr>
      <w:ind w:left="357" w:hanging="357"/>
    </w:pPr>
  </w:style>
  <w:style w:type="paragraph" w:customStyle="1" w:styleId="TableListing1">
    <w:name w:val="Table Listing 1"/>
    <w:basedOn w:val="TableBody"/>
    <w:qFormat/>
    <w:rsid w:val="00573679"/>
    <w:pPr>
      <w:numPr>
        <w:numId w:val="6"/>
      </w:numPr>
      <w:ind w:left="357" w:hanging="357"/>
    </w:pPr>
  </w:style>
  <w:style w:type="paragraph" w:customStyle="1" w:styleId="TablechartfigureHeading">
    <w:name w:val="Table/chart/figure Heading"/>
    <w:basedOn w:val="Normal"/>
    <w:qFormat/>
    <w:rsid w:val="00531CCA"/>
    <w:pPr>
      <w:keepNext/>
      <w:keepLines/>
      <w:spacing w:before="120" w:after="120" w:line="288" w:lineRule="auto"/>
    </w:pPr>
    <w:rPr>
      <w:b/>
    </w:rPr>
  </w:style>
  <w:style w:type="paragraph" w:customStyle="1" w:styleId="Body">
    <w:name w:val="Body"/>
    <w:basedOn w:val="Normal"/>
    <w:link w:val="BodyChar"/>
    <w:qFormat/>
    <w:rsid w:val="00531CCA"/>
    <w:pPr>
      <w:keepNext/>
      <w:keepLines/>
      <w:spacing w:line="288" w:lineRule="auto"/>
    </w:pPr>
  </w:style>
  <w:style w:type="paragraph" w:customStyle="1" w:styleId="BodyIndent">
    <w:name w:val="Body Indent"/>
    <w:basedOn w:val="Body"/>
    <w:qFormat/>
    <w:rsid w:val="00531CCA"/>
    <w:pPr>
      <w:ind w:left="567"/>
    </w:pPr>
  </w:style>
  <w:style w:type="table" w:styleId="TableGrid">
    <w:name w:val="Table Grid"/>
    <w:basedOn w:val="TableNormal"/>
    <w:uiPriority w:val="39"/>
    <w:rsid w:val="0053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rsid w:val="009307C8"/>
    <w:tblPr>
      <w:tblStyleRowBandSize w:val="1"/>
      <w:tblStyleColBandSize w:val="1"/>
      <w:tblCellMar>
        <w:top w:w="85" w:type="dxa"/>
        <w:left w:w="85" w:type="dxa"/>
        <w:bottom w:w="85" w:type="dxa"/>
        <w:right w:w="85" w:type="dxa"/>
      </w:tblCellMar>
    </w:tblPr>
    <w:trPr>
      <w:cantSplit/>
    </w:trPr>
    <w:tcPr>
      <w:shd w:val="clear" w:color="auto" w:fill="auto"/>
      <w:tcMar>
        <w:top w:w="57" w:type="dxa"/>
        <w:left w:w="57" w:type="dxa"/>
        <w:bottom w:w="57" w:type="dxa"/>
        <w:right w:w="57" w:type="dxa"/>
      </w:tcMar>
    </w:tcPr>
    <w:tblStylePr w:type="firstRow">
      <w:pPr>
        <w:jc w:val="left"/>
      </w:pPr>
      <w:rPr>
        <w:rFonts w:asciiTheme="majorHAnsi" w:hAnsiTheme="majorHAnsi"/>
        <w:color w:val="00573F" w:themeColor="text2"/>
        <w:sz w:val="22"/>
      </w:rPr>
      <w:tblPr/>
      <w:tcPr>
        <w:tcBorders>
          <w:top w:val="nil"/>
          <w:left w:val="nil"/>
          <w:bottom w:val="single" w:sz="12" w:space="0" w:color="00573F" w:themeColor="text2"/>
          <w:right w:val="nil"/>
          <w:insideH w:val="nil"/>
          <w:insideV w:val="nil"/>
          <w:tl2br w:val="nil"/>
          <w:tr2bl w:val="nil"/>
        </w:tcBorders>
        <w:vAlign w:val="center"/>
      </w:tcPr>
    </w:tblStylePr>
    <w:tblStylePr w:type="lastRow">
      <w:pPr>
        <w:jc w:val="left"/>
      </w:pPr>
      <w:rPr>
        <w:rFonts w:ascii="VIC" w:hAnsi="VIC"/>
        <w:sz w:val="22"/>
      </w:rPr>
    </w:tblStylePr>
    <w:tblStylePr w:type="firstCol">
      <w:pPr>
        <w:jc w:val="left"/>
      </w:pPr>
      <w:rPr>
        <w:rFonts w:ascii="VIC" w:hAnsi="VIC"/>
        <w:sz w:val="22"/>
      </w:rPr>
    </w:tblStylePr>
    <w:tblStylePr w:type="lastCol">
      <w:pPr>
        <w:jc w:val="left"/>
      </w:pPr>
      <w:rPr>
        <w:rFonts w:ascii="VIC" w:hAnsi="VIC"/>
        <w:sz w:val="22"/>
      </w:rPr>
    </w:tblStylePr>
    <w:tblStylePr w:type="band1Vert">
      <w:pPr>
        <w:jc w:val="left"/>
      </w:pPr>
      <w:rPr>
        <w:rFonts w:ascii="VIC" w:hAnsi="VIC"/>
        <w:sz w:val="22"/>
      </w:rPr>
    </w:tblStylePr>
    <w:tblStylePr w:type="band2Vert">
      <w:pPr>
        <w:jc w:val="left"/>
      </w:pPr>
      <w:rPr>
        <w:rFonts w:ascii="VIC" w:hAnsi="VIC"/>
        <w:sz w:val="22"/>
      </w:rPr>
    </w:tblStylePr>
    <w:tblStylePr w:type="band1Horz">
      <w:pPr>
        <w:jc w:val="left"/>
      </w:pPr>
      <w:rPr>
        <w:rFonts w:ascii="VIC" w:hAnsi="VIC"/>
        <w:sz w:val="22"/>
      </w:rPr>
    </w:tblStylePr>
    <w:tblStylePr w:type="band2Horz">
      <w:pPr>
        <w:jc w:val="left"/>
      </w:pPr>
      <w:rPr>
        <w:rFonts w:ascii="VIC" w:hAnsi="VIC"/>
        <w:sz w:val="22"/>
      </w:rPr>
    </w:tblStylePr>
  </w:style>
  <w:style w:type="paragraph" w:styleId="Header">
    <w:name w:val="header"/>
    <w:basedOn w:val="Normal"/>
    <w:link w:val="HeaderChar"/>
    <w:uiPriority w:val="85"/>
    <w:qFormat/>
    <w:rsid w:val="00531CCA"/>
    <w:pPr>
      <w:keepNext/>
      <w:keepLines/>
      <w:tabs>
        <w:tab w:val="center" w:pos="4513"/>
        <w:tab w:val="right" w:pos="9026"/>
      </w:tabs>
      <w:spacing w:after="0" w:line="240" w:lineRule="auto"/>
    </w:pPr>
    <w:rPr>
      <w:rFonts w:ascii="VIC Medium" w:hAnsi="VIC Medium"/>
      <w:color w:val="53565A"/>
      <w:sz w:val="18"/>
      <w:szCs w:val="18"/>
    </w:rPr>
  </w:style>
  <w:style w:type="character" w:customStyle="1" w:styleId="HeaderChar">
    <w:name w:val="Header Char"/>
    <w:basedOn w:val="DefaultParagraphFont"/>
    <w:link w:val="Header"/>
    <w:uiPriority w:val="85"/>
    <w:rsid w:val="00531CCA"/>
    <w:rPr>
      <w:rFonts w:ascii="VIC Medium" w:hAnsi="VIC Medium"/>
      <w:color w:val="53565A"/>
      <w:sz w:val="18"/>
      <w:szCs w:val="18"/>
    </w:rPr>
  </w:style>
  <w:style w:type="paragraph" w:styleId="Subtitle">
    <w:name w:val="Subtitle"/>
    <w:basedOn w:val="Normal"/>
    <w:next w:val="Normal"/>
    <w:link w:val="SubtitleChar"/>
    <w:uiPriority w:val="11"/>
    <w:qFormat/>
    <w:rsid w:val="00531CCA"/>
    <w:pPr>
      <w:keepNext/>
      <w:keepLines/>
      <w:spacing w:before="280" w:after="0" w:line="288" w:lineRule="auto"/>
      <w:outlineLvl w:val="1"/>
    </w:pPr>
    <w:rPr>
      <w:rFonts w:ascii="VIC SemiBold" w:hAnsi="VIC SemiBold"/>
      <w:color w:val="53565A"/>
      <w:sz w:val="28"/>
      <w:szCs w:val="28"/>
    </w:rPr>
  </w:style>
  <w:style w:type="character" w:customStyle="1" w:styleId="SubtitleChar">
    <w:name w:val="Subtitle Char"/>
    <w:link w:val="Subtitle"/>
    <w:uiPriority w:val="11"/>
    <w:rsid w:val="00531CCA"/>
    <w:rPr>
      <w:rFonts w:ascii="VIC SemiBold" w:hAnsi="VIC SemiBold"/>
      <w:color w:val="53565A"/>
      <w:sz w:val="28"/>
      <w:szCs w:val="28"/>
    </w:rPr>
  </w:style>
  <w:style w:type="character" w:styleId="Hyperlink">
    <w:name w:val="Hyperlink"/>
    <w:uiPriority w:val="99"/>
    <w:unhideWhenUsed/>
    <w:qFormat/>
    <w:rsid w:val="00531CCA"/>
    <w:rPr>
      <w:color w:val="00573F"/>
      <w:u w:val="single"/>
    </w:rPr>
  </w:style>
  <w:style w:type="character" w:styleId="Strong">
    <w:name w:val="Strong"/>
    <w:uiPriority w:val="22"/>
    <w:qFormat/>
    <w:rsid w:val="00531CCA"/>
    <w:rPr>
      <w:rFonts w:asciiTheme="majorHAnsi" w:hAnsiTheme="majorHAnsi"/>
    </w:rPr>
  </w:style>
  <w:style w:type="paragraph" w:styleId="Footer">
    <w:name w:val="footer"/>
    <w:basedOn w:val="Normal"/>
    <w:link w:val="FooterChar"/>
    <w:uiPriority w:val="99"/>
    <w:qFormat/>
    <w:rsid w:val="00531CCA"/>
    <w:pPr>
      <w:keepNext/>
      <w:keepLines/>
      <w:tabs>
        <w:tab w:val="center" w:pos="4513"/>
        <w:tab w:val="right" w:pos="9026"/>
      </w:tabs>
      <w:spacing w:after="0" w:line="240" w:lineRule="auto"/>
    </w:pPr>
    <w:rPr>
      <w:rFonts w:ascii="VIC Medium" w:hAnsi="VIC Medium"/>
      <w:color w:val="53565A"/>
      <w:sz w:val="18"/>
      <w:szCs w:val="18"/>
    </w:rPr>
  </w:style>
  <w:style w:type="paragraph" w:styleId="Quote">
    <w:name w:val="Quote"/>
    <w:basedOn w:val="Normal"/>
    <w:next w:val="Normal"/>
    <w:link w:val="QuoteChar"/>
    <w:uiPriority w:val="29"/>
    <w:qFormat/>
    <w:rsid w:val="00531CCA"/>
    <w:pPr>
      <w:keepNext/>
      <w:keepLines/>
      <w:spacing w:line="288" w:lineRule="auto"/>
      <w:ind w:left="567" w:right="567"/>
    </w:pPr>
    <w:rPr>
      <w:rFonts w:ascii="VIC Medium" w:hAnsi="VIC Medium"/>
      <w:color w:val="00573F" w:themeColor="text2"/>
    </w:rPr>
  </w:style>
  <w:style w:type="character" w:customStyle="1" w:styleId="QuoteChar">
    <w:name w:val="Quote Char"/>
    <w:basedOn w:val="DefaultParagraphFont"/>
    <w:link w:val="Quote"/>
    <w:uiPriority w:val="29"/>
    <w:rsid w:val="00531CCA"/>
    <w:rPr>
      <w:rFonts w:ascii="VIC Medium" w:hAnsi="VIC Medium"/>
      <w:color w:val="00573F" w:themeColor="text2"/>
    </w:rPr>
  </w:style>
  <w:style w:type="character" w:customStyle="1" w:styleId="FooterChar">
    <w:name w:val="Footer Char"/>
    <w:basedOn w:val="DefaultParagraphFont"/>
    <w:link w:val="Footer"/>
    <w:uiPriority w:val="99"/>
    <w:rsid w:val="00531CCA"/>
    <w:rPr>
      <w:rFonts w:ascii="VIC Medium" w:hAnsi="VIC Medium"/>
      <w:color w:val="53565A"/>
      <w:sz w:val="18"/>
      <w:szCs w:val="18"/>
    </w:rPr>
  </w:style>
  <w:style w:type="character" w:styleId="SubtleReference">
    <w:name w:val="Subtle Reference"/>
    <w:uiPriority w:val="31"/>
    <w:semiHidden/>
    <w:qFormat/>
    <w:locked/>
    <w:rsid w:val="005A5552"/>
    <w:rPr>
      <w:i/>
      <w:smallCaps/>
      <w:color w:val="auto"/>
    </w:rPr>
  </w:style>
  <w:style w:type="character" w:customStyle="1" w:styleId="Heading4Char">
    <w:name w:val="Heading 4 Char"/>
    <w:aliases w:val="Level 2 - a Char"/>
    <w:basedOn w:val="DefaultParagraphFont"/>
    <w:link w:val="Heading4"/>
    <w:rsid w:val="00B60A84"/>
    <w:rPr>
      <w:rFonts w:asciiTheme="majorHAnsi" w:eastAsiaTheme="majorEastAsia" w:hAnsiTheme="majorHAnsi" w:cstheme="majorBidi"/>
      <w:i/>
      <w:iCs/>
      <w:color w:val="005C37" w:themeColor="accent1" w:themeShade="BF"/>
      <w:sz w:val="22"/>
      <w:szCs w:val="22"/>
    </w:rPr>
  </w:style>
  <w:style w:type="table" w:styleId="PlainTable4">
    <w:name w:val="Plain Table 4"/>
    <w:basedOn w:val="TableNormal"/>
    <w:uiPriority w:val="44"/>
    <w:rsid w:val="00531CC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Horizontal">
    <w:name w:val="Table Horizontal"/>
    <w:basedOn w:val="Table"/>
    <w:uiPriority w:val="99"/>
    <w:rsid w:val="009307C8"/>
    <w:tblPr>
      <w:tblBorders>
        <w:insideV w:val="single" w:sz="4" w:space="0" w:color="53565A"/>
      </w:tblBorders>
    </w:tblPr>
    <w:tcPr>
      <w:shd w:val="clear" w:color="auto" w:fill="auto"/>
    </w:tcPr>
    <w:tblStylePr w:type="firstRow">
      <w:pPr>
        <w:jc w:val="left"/>
      </w:pPr>
      <w:rPr>
        <w:rFonts w:asciiTheme="majorHAnsi" w:hAnsiTheme="majorHAnsi"/>
        <w:color w:val="00573F" w:themeColor="text2"/>
        <w:sz w:val="22"/>
      </w:rPr>
      <w:tblPr/>
      <w:tcPr>
        <w:tcBorders>
          <w:top w:val="nil"/>
          <w:left w:val="nil"/>
          <w:bottom w:val="single" w:sz="12" w:space="0" w:color="00573F" w:themeColor="text2"/>
          <w:right w:val="nil"/>
          <w:insideH w:val="nil"/>
          <w:insideV w:val="nil"/>
          <w:tl2br w:val="nil"/>
          <w:tr2bl w:val="nil"/>
        </w:tcBorders>
        <w:vAlign w:val="center"/>
      </w:tcPr>
    </w:tblStylePr>
    <w:tblStylePr w:type="lastRow">
      <w:pPr>
        <w:jc w:val="left"/>
      </w:pPr>
      <w:rPr>
        <w:rFonts w:ascii="VIC" w:hAnsi="VIC"/>
        <w:sz w:val="22"/>
      </w:rPr>
    </w:tblStylePr>
    <w:tblStylePr w:type="firstCol">
      <w:pPr>
        <w:jc w:val="left"/>
      </w:pPr>
      <w:rPr>
        <w:rFonts w:ascii="VIC" w:hAnsi="VIC"/>
        <w:sz w:val="22"/>
      </w:rPr>
    </w:tblStylePr>
    <w:tblStylePr w:type="lastCol">
      <w:pPr>
        <w:jc w:val="left"/>
      </w:pPr>
      <w:rPr>
        <w:rFonts w:ascii="VIC" w:hAnsi="VIC"/>
        <w:sz w:val="22"/>
      </w:rPr>
    </w:tblStylePr>
    <w:tblStylePr w:type="band1Vert">
      <w:pPr>
        <w:jc w:val="left"/>
      </w:pPr>
      <w:rPr>
        <w:rFonts w:ascii="VIC" w:hAnsi="VIC"/>
        <w:sz w:val="22"/>
      </w:rPr>
    </w:tblStylePr>
    <w:tblStylePr w:type="band2Vert">
      <w:pPr>
        <w:jc w:val="left"/>
      </w:pPr>
      <w:rPr>
        <w:rFonts w:ascii="VIC" w:hAnsi="VIC"/>
        <w:sz w:val="22"/>
      </w:rPr>
    </w:tblStylePr>
    <w:tblStylePr w:type="band1Horz">
      <w:pPr>
        <w:jc w:val="left"/>
      </w:pPr>
      <w:rPr>
        <w:rFonts w:ascii="VIC" w:hAnsi="VIC"/>
        <w:sz w:val="22"/>
      </w:rPr>
    </w:tblStylePr>
    <w:tblStylePr w:type="band2Horz">
      <w:pPr>
        <w:jc w:val="left"/>
      </w:pPr>
      <w:rPr>
        <w:rFonts w:ascii="VIC" w:hAnsi="VIC"/>
        <w:sz w:val="22"/>
      </w:rPr>
      <w:tblPr/>
      <w:tcPr>
        <w:shd w:val="clear" w:color="auto" w:fill="F2F2F2" w:themeFill="background1" w:themeFillShade="F2"/>
      </w:tcPr>
    </w:tblStylePr>
  </w:style>
  <w:style w:type="table" w:styleId="PlainTable1">
    <w:name w:val="Plain Table 1"/>
    <w:basedOn w:val="TableNormal"/>
    <w:uiPriority w:val="41"/>
    <w:rsid w:val="00531CC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Vertical">
    <w:name w:val="Table Vertical"/>
    <w:basedOn w:val="Table"/>
    <w:uiPriority w:val="99"/>
    <w:rsid w:val="009307C8"/>
    <w:tblPr>
      <w:tblBorders>
        <w:insideH w:val="single" w:sz="4" w:space="0" w:color="auto"/>
      </w:tblBorders>
    </w:tblPr>
    <w:tcPr>
      <w:shd w:val="clear" w:color="auto" w:fill="auto"/>
    </w:tcPr>
    <w:tblStylePr w:type="firstRow">
      <w:pPr>
        <w:jc w:val="left"/>
      </w:pPr>
      <w:rPr>
        <w:rFonts w:asciiTheme="majorHAnsi" w:hAnsiTheme="majorHAnsi"/>
        <w:color w:val="00573F" w:themeColor="text2"/>
        <w:sz w:val="22"/>
      </w:rPr>
      <w:tblPr/>
      <w:tcPr>
        <w:tcBorders>
          <w:top w:val="nil"/>
          <w:left w:val="nil"/>
          <w:bottom w:val="single" w:sz="12" w:space="0" w:color="00573F" w:themeColor="text2"/>
          <w:right w:val="nil"/>
          <w:insideH w:val="nil"/>
          <w:insideV w:val="nil"/>
          <w:tl2br w:val="nil"/>
          <w:tr2bl w:val="nil"/>
        </w:tcBorders>
        <w:shd w:val="clear" w:color="auto" w:fill="FFFFFF" w:themeFill="background1"/>
        <w:vAlign w:val="center"/>
      </w:tcPr>
    </w:tblStylePr>
    <w:tblStylePr w:type="lastRow">
      <w:pPr>
        <w:jc w:val="left"/>
      </w:pPr>
      <w:rPr>
        <w:rFonts w:ascii="VIC" w:hAnsi="VIC"/>
        <w:sz w:val="22"/>
      </w:rPr>
    </w:tblStylePr>
    <w:tblStylePr w:type="firstCol">
      <w:pPr>
        <w:jc w:val="left"/>
      </w:pPr>
      <w:rPr>
        <w:rFonts w:ascii="VIC" w:hAnsi="VIC"/>
        <w:sz w:val="22"/>
      </w:rPr>
    </w:tblStylePr>
    <w:tblStylePr w:type="lastCol">
      <w:pPr>
        <w:jc w:val="left"/>
      </w:pPr>
      <w:rPr>
        <w:rFonts w:ascii="VIC" w:hAnsi="VIC"/>
        <w:sz w:val="22"/>
      </w:rPr>
    </w:tblStylePr>
    <w:tblStylePr w:type="band1Vert">
      <w:pPr>
        <w:jc w:val="left"/>
      </w:pPr>
      <w:rPr>
        <w:rFonts w:ascii="VIC" w:hAnsi="VIC"/>
        <w:sz w:val="22"/>
      </w:rPr>
    </w:tblStylePr>
    <w:tblStylePr w:type="band2Vert">
      <w:pPr>
        <w:jc w:val="left"/>
      </w:pPr>
      <w:rPr>
        <w:rFonts w:ascii="VIC" w:hAnsi="VIC"/>
        <w:sz w:val="22"/>
      </w:rPr>
      <w:tblPr/>
      <w:tcPr>
        <w:shd w:val="clear" w:color="auto" w:fill="F2F2F2" w:themeFill="background1" w:themeFillShade="F2"/>
      </w:tcPr>
    </w:tblStylePr>
    <w:tblStylePr w:type="band1Horz">
      <w:pPr>
        <w:jc w:val="left"/>
      </w:pPr>
      <w:rPr>
        <w:rFonts w:ascii="VIC" w:hAnsi="VIC"/>
        <w:sz w:val="22"/>
      </w:rPr>
    </w:tblStylePr>
    <w:tblStylePr w:type="band2Horz">
      <w:pPr>
        <w:jc w:val="left"/>
      </w:pPr>
      <w:rPr>
        <w:rFonts w:ascii="VIC" w:hAnsi="VIC"/>
        <w:sz w:val="22"/>
      </w:rPr>
    </w:tblStylePr>
  </w:style>
  <w:style w:type="paragraph" w:styleId="TOCHeading">
    <w:name w:val="TOC Heading"/>
    <w:basedOn w:val="TOC"/>
    <w:next w:val="Normal"/>
    <w:uiPriority w:val="39"/>
    <w:unhideWhenUsed/>
    <w:qFormat/>
    <w:rsid w:val="00531CCA"/>
  </w:style>
  <w:style w:type="paragraph" w:styleId="TOC1">
    <w:name w:val="toc 1"/>
    <w:basedOn w:val="Normal"/>
    <w:next w:val="Normal"/>
    <w:autoRedefine/>
    <w:uiPriority w:val="39"/>
    <w:unhideWhenUsed/>
    <w:qFormat/>
    <w:rsid w:val="00531CCA"/>
    <w:pPr>
      <w:keepNext/>
      <w:keepLines/>
      <w:spacing w:before="60" w:after="60" w:line="288" w:lineRule="auto"/>
      <w:contextualSpacing/>
    </w:pPr>
  </w:style>
  <w:style w:type="paragraph" w:styleId="TOC2">
    <w:name w:val="toc 2"/>
    <w:basedOn w:val="TOC1"/>
    <w:next w:val="Normal"/>
    <w:autoRedefine/>
    <w:uiPriority w:val="39"/>
    <w:unhideWhenUsed/>
    <w:qFormat/>
    <w:rsid w:val="00531CCA"/>
  </w:style>
  <w:style w:type="paragraph" w:styleId="TOC3">
    <w:name w:val="toc 3"/>
    <w:basedOn w:val="TOC2"/>
    <w:next w:val="Normal"/>
    <w:autoRedefine/>
    <w:uiPriority w:val="39"/>
    <w:unhideWhenUsed/>
    <w:qFormat/>
    <w:rsid w:val="00531CCA"/>
  </w:style>
  <w:style w:type="character" w:styleId="UnresolvedMention">
    <w:name w:val="Unresolved Mention"/>
    <w:basedOn w:val="DefaultParagraphFont"/>
    <w:uiPriority w:val="99"/>
    <w:semiHidden/>
    <w:unhideWhenUsed/>
    <w:rsid w:val="00676589"/>
    <w:rPr>
      <w:color w:val="605E5C"/>
      <w:shd w:val="clear" w:color="auto" w:fill="E1DFDD"/>
    </w:rPr>
  </w:style>
  <w:style w:type="paragraph" w:styleId="BalloonText">
    <w:name w:val="Balloon Text"/>
    <w:basedOn w:val="Normal"/>
    <w:link w:val="BalloonTextChar"/>
    <w:semiHidden/>
    <w:unhideWhenUsed/>
    <w:rsid w:val="00170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7079F"/>
    <w:rPr>
      <w:rFonts w:ascii="Segoe UI" w:hAnsi="Segoe UI" w:cs="Segoe UI"/>
      <w:sz w:val="18"/>
      <w:szCs w:val="18"/>
    </w:rPr>
  </w:style>
  <w:style w:type="table" w:customStyle="1" w:styleId="TableFirstColumn">
    <w:name w:val="Table First Column"/>
    <w:basedOn w:val="Table"/>
    <w:uiPriority w:val="99"/>
    <w:rsid w:val="00C17C91"/>
    <w:tblPr>
      <w:tblBorders>
        <w:insideH w:val="single" w:sz="4" w:space="0" w:color="auto"/>
      </w:tblBorders>
    </w:tblPr>
    <w:tcPr>
      <w:shd w:val="clear" w:color="auto" w:fill="auto"/>
    </w:tcPr>
    <w:tblStylePr w:type="firstRow">
      <w:pPr>
        <w:jc w:val="left"/>
      </w:pPr>
      <w:rPr>
        <w:rFonts w:asciiTheme="majorHAnsi" w:hAnsiTheme="majorHAnsi"/>
        <w:color w:val="00573F" w:themeColor="text2"/>
        <w:sz w:val="22"/>
      </w:rPr>
      <w:tblPr/>
      <w:tcPr>
        <w:tcBorders>
          <w:top w:val="nil"/>
          <w:left w:val="nil"/>
          <w:bottom w:val="single" w:sz="12" w:space="0" w:color="00573F" w:themeColor="text2"/>
          <w:right w:val="nil"/>
          <w:insideH w:val="nil"/>
          <w:insideV w:val="nil"/>
          <w:tl2br w:val="nil"/>
          <w:tr2bl w:val="nil"/>
        </w:tcBorders>
        <w:shd w:val="clear" w:color="auto" w:fill="FFFFFF" w:themeFill="background1"/>
        <w:vAlign w:val="center"/>
      </w:tcPr>
    </w:tblStylePr>
    <w:tblStylePr w:type="lastRow">
      <w:pPr>
        <w:jc w:val="left"/>
      </w:pPr>
      <w:rPr>
        <w:rFonts w:ascii="VIC" w:hAnsi="VIC"/>
        <w:sz w:val="22"/>
      </w:rPr>
    </w:tblStylePr>
    <w:tblStylePr w:type="firstCol">
      <w:pPr>
        <w:jc w:val="left"/>
      </w:pPr>
      <w:rPr>
        <w:rFonts w:ascii="VIC" w:hAnsi="VIC"/>
        <w:sz w:val="22"/>
      </w:rPr>
      <w:tblPr/>
      <w:tcPr>
        <w:shd w:val="clear" w:color="auto" w:fill="F2F2F2" w:themeFill="background1" w:themeFillShade="F2"/>
      </w:tcPr>
    </w:tblStylePr>
    <w:tblStylePr w:type="lastCol">
      <w:pPr>
        <w:jc w:val="left"/>
      </w:pPr>
      <w:rPr>
        <w:rFonts w:ascii="VIC" w:hAnsi="VIC"/>
        <w:sz w:val="22"/>
      </w:rPr>
    </w:tblStylePr>
    <w:tblStylePr w:type="band1Vert">
      <w:pPr>
        <w:jc w:val="left"/>
      </w:pPr>
      <w:rPr>
        <w:rFonts w:ascii="VIC" w:hAnsi="VIC"/>
        <w:sz w:val="22"/>
      </w:rPr>
    </w:tblStylePr>
    <w:tblStylePr w:type="band2Vert">
      <w:pPr>
        <w:jc w:val="left"/>
      </w:pPr>
      <w:rPr>
        <w:rFonts w:ascii="VIC" w:hAnsi="VIC"/>
        <w:sz w:val="22"/>
      </w:rPr>
    </w:tblStylePr>
    <w:tblStylePr w:type="band1Horz">
      <w:pPr>
        <w:jc w:val="left"/>
      </w:pPr>
      <w:rPr>
        <w:rFonts w:ascii="VIC" w:hAnsi="VIC"/>
        <w:sz w:val="22"/>
      </w:rPr>
    </w:tblStylePr>
    <w:tblStylePr w:type="band2Horz">
      <w:pPr>
        <w:jc w:val="left"/>
      </w:pPr>
      <w:rPr>
        <w:rFonts w:ascii="VIC" w:hAnsi="VIC"/>
        <w:sz w:val="22"/>
      </w:rPr>
    </w:tblStylePr>
  </w:style>
  <w:style w:type="table" w:customStyle="1" w:styleId="TableLastColumn">
    <w:name w:val="Table Last Column"/>
    <w:basedOn w:val="Table"/>
    <w:uiPriority w:val="99"/>
    <w:rsid w:val="00C17C91"/>
    <w:tblPr>
      <w:tblBorders>
        <w:insideH w:val="single" w:sz="4" w:space="0" w:color="auto"/>
      </w:tblBorders>
    </w:tblPr>
    <w:tcPr>
      <w:shd w:val="clear" w:color="auto" w:fill="auto"/>
    </w:tcPr>
    <w:tblStylePr w:type="firstRow">
      <w:pPr>
        <w:jc w:val="left"/>
      </w:pPr>
      <w:rPr>
        <w:rFonts w:asciiTheme="majorHAnsi" w:hAnsiTheme="majorHAnsi"/>
        <w:color w:val="00573F" w:themeColor="text2"/>
        <w:sz w:val="22"/>
      </w:rPr>
      <w:tblPr/>
      <w:tcPr>
        <w:tcBorders>
          <w:top w:val="nil"/>
          <w:left w:val="nil"/>
          <w:bottom w:val="single" w:sz="12" w:space="0" w:color="00573F" w:themeColor="text2"/>
          <w:right w:val="nil"/>
          <w:insideH w:val="nil"/>
          <w:insideV w:val="nil"/>
          <w:tl2br w:val="nil"/>
          <w:tr2bl w:val="nil"/>
        </w:tcBorders>
        <w:shd w:val="clear" w:color="auto" w:fill="FFFFFF" w:themeFill="background1"/>
        <w:vAlign w:val="center"/>
      </w:tcPr>
    </w:tblStylePr>
    <w:tblStylePr w:type="lastRow">
      <w:pPr>
        <w:jc w:val="left"/>
      </w:pPr>
      <w:rPr>
        <w:rFonts w:ascii="VIC" w:hAnsi="VIC"/>
        <w:sz w:val="22"/>
      </w:rPr>
    </w:tblStylePr>
    <w:tblStylePr w:type="firstCol">
      <w:pPr>
        <w:jc w:val="left"/>
      </w:pPr>
      <w:rPr>
        <w:rFonts w:ascii="VIC" w:hAnsi="VIC"/>
        <w:sz w:val="22"/>
      </w:rPr>
    </w:tblStylePr>
    <w:tblStylePr w:type="lastCol">
      <w:pPr>
        <w:jc w:val="left"/>
      </w:pPr>
      <w:rPr>
        <w:rFonts w:ascii="VIC" w:hAnsi="VIC"/>
        <w:sz w:val="22"/>
      </w:rPr>
      <w:tblPr/>
      <w:tcPr>
        <w:shd w:val="clear" w:color="auto" w:fill="F2F2F2" w:themeFill="background1" w:themeFillShade="F2"/>
      </w:tcPr>
    </w:tblStylePr>
    <w:tblStylePr w:type="band1Vert">
      <w:pPr>
        <w:jc w:val="left"/>
      </w:pPr>
      <w:rPr>
        <w:rFonts w:ascii="VIC" w:hAnsi="VIC"/>
        <w:sz w:val="22"/>
      </w:rPr>
    </w:tblStylePr>
    <w:tblStylePr w:type="band2Vert">
      <w:pPr>
        <w:jc w:val="left"/>
      </w:pPr>
      <w:rPr>
        <w:rFonts w:ascii="VIC" w:hAnsi="VIC"/>
        <w:sz w:val="22"/>
      </w:rPr>
    </w:tblStylePr>
    <w:tblStylePr w:type="band1Horz">
      <w:pPr>
        <w:jc w:val="left"/>
      </w:pPr>
      <w:rPr>
        <w:rFonts w:ascii="VIC" w:hAnsi="VIC"/>
        <w:sz w:val="22"/>
      </w:rPr>
    </w:tblStylePr>
    <w:tblStylePr w:type="band2Horz">
      <w:pPr>
        <w:jc w:val="left"/>
      </w:pPr>
      <w:rPr>
        <w:rFonts w:ascii="VIC" w:hAnsi="VIC"/>
        <w:sz w:val="22"/>
      </w:rPr>
    </w:tblStylePr>
  </w:style>
  <w:style w:type="paragraph" w:styleId="NormalWeb">
    <w:name w:val="Normal (Web)"/>
    <w:basedOn w:val="Normal"/>
    <w:uiPriority w:val="99"/>
    <w:unhideWhenUsed/>
    <w:locked/>
    <w:rsid w:val="007D296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Listing1">
    <w:name w:val="Listing 1"/>
    <w:basedOn w:val="ListParagraph"/>
    <w:qFormat/>
    <w:rsid w:val="00523B6A"/>
    <w:pPr>
      <w:numPr>
        <w:numId w:val="8"/>
      </w:numPr>
      <w:spacing w:line="288" w:lineRule="auto"/>
    </w:pPr>
  </w:style>
  <w:style w:type="character" w:customStyle="1" w:styleId="normaltextrun">
    <w:name w:val="normaltextrun"/>
    <w:rsid w:val="00523B6A"/>
  </w:style>
  <w:style w:type="character" w:customStyle="1" w:styleId="eop">
    <w:name w:val="eop"/>
    <w:rsid w:val="00523B6A"/>
  </w:style>
  <w:style w:type="paragraph" w:customStyle="1" w:styleId="TableChartBody">
    <w:name w:val="Table/Chart Body"/>
    <w:basedOn w:val="Normal"/>
    <w:qFormat/>
    <w:rsid w:val="00A42367"/>
    <w:pPr>
      <w:spacing w:after="0" w:line="288" w:lineRule="auto"/>
    </w:pPr>
  </w:style>
  <w:style w:type="paragraph" w:customStyle="1" w:styleId="BodyVPSC">
    <w:name w:val="Body VPSC"/>
    <w:link w:val="BodyVPSCChar"/>
    <w:qFormat/>
    <w:rsid w:val="00C87BA3"/>
    <w:pPr>
      <w:spacing w:after="100" w:line="276" w:lineRule="auto"/>
    </w:pPr>
    <w:rPr>
      <w:rFonts w:ascii="Arial" w:eastAsia="Times New Roman" w:hAnsi="Arial" w:cs="Tahoma"/>
      <w:color w:val="000000"/>
      <w:sz w:val="20"/>
      <w:szCs w:val="20"/>
      <w:lang w:eastAsia="en-AU"/>
    </w:rPr>
  </w:style>
  <w:style w:type="character" w:customStyle="1" w:styleId="BodyVPSCChar">
    <w:name w:val="Body VPSC Char"/>
    <w:basedOn w:val="DefaultParagraphFont"/>
    <w:link w:val="BodyVPSC"/>
    <w:rsid w:val="00C87BA3"/>
    <w:rPr>
      <w:rFonts w:ascii="Arial" w:eastAsia="Times New Roman" w:hAnsi="Arial" w:cs="Tahoma"/>
      <w:color w:val="000000"/>
      <w:sz w:val="20"/>
      <w:szCs w:val="20"/>
      <w:lang w:eastAsia="en-AU"/>
    </w:rPr>
  </w:style>
  <w:style w:type="character" w:customStyle="1" w:styleId="ListParagraphChar">
    <w:name w:val="List Paragraph Char"/>
    <w:aliases w:val="List Paragraph1 Char,List Paragraph11 Char,List Paragraph2 Char,Bulit List -  Paragraph Char,Main numbered paragraph Char,Numbered List Paragraph Char"/>
    <w:link w:val="ListParagraph"/>
    <w:uiPriority w:val="34"/>
    <w:locked/>
    <w:rsid w:val="00E61124"/>
  </w:style>
  <w:style w:type="paragraph" w:customStyle="1" w:styleId="Bullet3">
    <w:name w:val="Bullet 3"/>
    <w:basedOn w:val="Normal"/>
    <w:qFormat/>
    <w:rsid w:val="00C7425F"/>
    <w:pPr>
      <w:numPr>
        <w:numId w:val="9"/>
      </w:numPr>
      <w:spacing w:line="288" w:lineRule="auto"/>
    </w:pPr>
    <w:rPr>
      <w:rFonts w:asciiTheme="minorHAnsi" w:eastAsiaTheme="minorHAnsi" w:hAnsiTheme="minorHAnsi" w:cstheme="minorBidi"/>
    </w:rPr>
  </w:style>
  <w:style w:type="character" w:styleId="CommentReference">
    <w:name w:val="annotation reference"/>
    <w:basedOn w:val="DefaultParagraphFont"/>
    <w:unhideWhenUsed/>
    <w:rsid w:val="00904CFE"/>
    <w:rPr>
      <w:sz w:val="16"/>
      <w:szCs w:val="16"/>
    </w:rPr>
  </w:style>
  <w:style w:type="paragraph" w:styleId="CommentText">
    <w:name w:val="annotation text"/>
    <w:basedOn w:val="Normal"/>
    <w:link w:val="CommentTextChar"/>
    <w:unhideWhenUsed/>
    <w:rsid w:val="00904CFE"/>
    <w:pPr>
      <w:spacing w:line="240" w:lineRule="auto"/>
    </w:pPr>
    <w:rPr>
      <w:sz w:val="20"/>
      <w:szCs w:val="20"/>
    </w:rPr>
  </w:style>
  <w:style w:type="character" w:customStyle="1" w:styleId="CommentTextChar">
    <w:name w:val="Comment Text Char"/>
    <w:basedOn w:val="DefaultParagraphFont"/>
    <w:link w:val="CommentText"/>
    <w:rsid w:val="00904CFE"/>
    <w:rPr>
      <w:sz w:val="20"/>
      <w:szCs w:val="20"/>
    </w:rPr>
  </w:style>
  <w:style w:type="paragraph" w:styleId="CommentSubject">
    <w:name w:val="annotation subject"/>
    <w:basedOn w:val="CommentText"/>
    <w:next w:val="CommentText"/>
    <w:link w:val="CommentSubjectChar"/>
    <w:unhideWhenUsed/>
    <w:rsid w:val="00904CFE"/>
    <w:rPr>
      <w:b/>
      <w:bCs/>
    </w:rPr>
  </w:style>
  <w:style w:type="character" w:customStyle="1" w:styleId="CommentSubjectChar">
    <w:name w:val="Comment Subject Char"/>
    <w:basedOn w:val="CommentTextChar"/>
    <w:link w:val="CommentSubject"/>
    <w:rsid w:val="00904CFE"/>
    <w:rPr>
      <w:b/>
      <w:bCs/>
      <w:sz w:val="20"/>
      <w:szCs w:val="20"/>
    </w:rPr>
  </w:style>
  <w:style w:type="paragraph" w:customStyle="1" w:styleId="Default">
    <w:name w:val="Default"/>
    <w:rsid w:val="00D0425D"/>
    <w:pPr>
      <w:autoSpaceDE w:val="0"/>
      <w:autoSpaceDN w:val="0"/>
      <w:adjustRightInd w:val="0"/>
    </w:pPr>
    <w:rPr>
      <w:rFonts w:ascii="Arial" w:hAnsi="Arial" w:cs="Arial"/>
      <w:color w:val="000000"/>
      <w:sz w:val="24"/>
      <w:szCs w:val="24"/>
    </w:rPr>
  </w:style>
  <w:style w:type="paragraph" w:customStyle="1" w:styleId="BODY0">
    <w:name w:val="BODY"/>
    <w:basedOn w:val="Normal"/>
    <w:uiPriority w:val="99"/>
    <w:rsid w:val="00B52FB9"/>
    <w:pPr>
      <w:suppressAutoHyphens/>
      <w:autoSpaceDE w:val="0"/>
      <w:autoSpaceDN w:val="0"/>
      <w:adjustRightInd w:val="0"/>
      <w:spacing w:after="113" w:line="220" w:lineRule="atLeast"/>
      <w:textAlignment w:val="center"/>
    </w:pPr>
    <w:rPr>
      <w:rFonts w:ascii="HelveticaNeueLT Std Lt" w:eastAsiaTheme="minorHAnsi" w:hAnsi="HelveticaNeueLT Std Lt" w:cs="HelveticaNeueLT Std Lt"/>
      <w:color w:val="000000"/>
      <w:sz w:val="18"/>
      <w:szCs w:val="18"/>
      <w:lang w:val="en-GB"/>
    </w:rPr>
  </w:style>
  <w:style w:type="paragraph" w:customStyle="1" w:styleId="BULLETS">
    <w:name w:val="BULLETS"/>
    <w:basedOn w:val="BODY0"/>
    <w:uiPriority w:val="99"/>
    <w:rsid w:val="00B52FB9"/>
    <w:pPr>
      <w:tabs>
        <w:tab w:val="left" w:pos="227"/>
        <w:tab w:val="left" w:pos="283"/>
      </w:tabs>
      <w:ind w:left="227" w:hanging="227"/>
    </w:pPr>
  </w:style>
  <w:style w:type="character" w:customStyle="1" w:styleId="Heading6Char">
    <w:name w:val="Heading 6 Char"/>
    <w:basedOn w:val="DefaultParagraphFont"/>
    <w:link w:val="Heading6"/>
    <w:rsid w:val="00F46260"/>
    <w:rPr>
      <w:rFonts w:asciiTheme="majorHAnsi" w:eastAsiaTheme="majorEastAsia" w:hAnsiTheme="majorHAnsi" w:cstheme="majorBidi"/>
      <w:color w:val="003D25" w:themeColor="accent1" w:themeShade="7F"/>
    </w:rPr>
  </w:style>
  <w:style w:type="character" w:customStyle="1" w:styleId="Heading5Char">
    <w:name w:val="Heading 5 Char"/>
    <w:aliases w:val="Level 3 - i Char"/>
    <w:basedOn w:val="DefaultParagraphFont"/>
    <w:link w:val="Heading5"/>
    <w:rsid w:val="00F46260"/>
    <w:rPr>
      <w:rFonts w:ascii="Times New Roman" w:eastAsia="Times New Roman" w:hAnsi="Times New Roman"/>
      <w:i/>
      <w:sz w:val="20"/>
      <w:szCs w:val="20"/>
      <w:lang w:eastAsia="en-AU"/>
    </w:rPr>
  </w:style>
  <w:style w:type="character" w:customStyle="1" w:styleId="Heading7Char">
    <w:name w:val="Heading 7 Char"/>
    <w:basedOn w:val="DefaultParagraphFont"/>
    <w:link w:val="Heading7"/>
    <w:rsid w:val="00F46260"/>
    <w:rPr>
      <w:rFonts w:ascii="Times New Roman" w:eastAsia="Times New Roman" w:hAnsi="Times New Roman"/>
      <w:b/>
      <w:sz w:val="20"/>
      <w:szCs w:val="20"/>
      <w:lang w:eastAsia="en-AU"/>
    </w:rPr>
  </w:style>
  <w:style w:type="character" w:customStyle="1" w:styleId="Heading8Char">
    <w:name w:val="Heading 8 Char"/>
    <w:basedOn w:val="DefaultParagraphFont"/>
    <w:link w:val="Heading8"/>
    <w:rsid w:val="00F46260"/>
    <w:rPr>
      <w:rFonts w:ascii="Times New Roman" w:eastAsia="Times New Roman" w:hAnsi="Times New Roman"/>
      <w:b/>
      <w:bCs/>
      <w:sz w:val="20"/>
      <w:szCs w:val="20"/>
      <w:lang w:eastAsia="en-AU"/>
    </w:rPr>
  </w:style>
  <w:style w:type="character" w:customStyle="1" w:styleId="Heading9Char">
    <w:name w:val="Heading 9 Char"/>
    <w:basedOn w:val="DefaultParagraphFont"/>
    <w:link w:val="Heading9"/>
    <w:rsid w:val="00F46260"/>
    <w:rPr>
      <w:rFonts w:ascii="Times New Roman" w:eastAsia="Times New Roman" w:hAnsi="Times New Roman"/>
      <w:b/>
      <w:snapToGrid w:val="0"/>
      <w:color w:val="000000"/>
      <w:sz w:val="20"/>
      <w:szCs w:val="20"/>
      <w:lang w:eastAsia="en-AU"/>
    </w:rPr>
  </w:style>
  <w:style w:type="numbering" w:customStyle="1" w:styleId="NoList1">
    <w:name w:val="No List1"/>
    <w:next w:val="NoList"/>
    <w:uiPriority w:val="99"/>
    <w:semiHidden/>
    <w:unhideWhenUsed/>
    <w:rsid w:val="00F46260"/>
  </w:style>
  <w:style w:type="paragraph" w:styleId="BodyText2">
    <w:name w:val="Body Text 2"/>
    <w:basedOn w:val="Normal"/>
    <w:link w:val="BodyText2Char"/>
    <w:locked/>
    <w:rsid w:val="00F46260"/>
    <w:pPr>
      <w:spacing w:after="0" w:line="240" w:lineRule="auto"/>
      <w:ind w:right="5"/>
    </w:pPr>
    <w:rPr>
      <w:rFonts w:ascii="Times New Roman" w:eastAsia="Times New Roman" w:hAnsi="Times New Roman"/>
      <w:sz w:val="20"/>
      <w:szCs w:val="20"/>
      <w:lang w:eastAsia="en-AU"/>
    </w:rPr>
  </w:style>
  <w:style w:type="character" w:customStyle="1" w:styleId="BodyText2Char">
    <w:name w:val="Body Text 2 Char"/>
    <w:basedOn w:val="DefaultParagraphFont"/>
    <w:link w:val="BodyText2"/>
    <w:rsid w:val="00F46260"/>
    <w:rPr>
      <w:rFonts w:ascii="Times New Roman" w:eastAsia="Times New Roman" w:hAnsi="Times New Roman"/>
      <w:sz w:val="20"/>
      <w:szCs w:val="20"/>
      <w:lang w:eastAsia="en-AU"/>
    </w:rPr>
  </w:style>
  <w:style w:type="paragraph" w:customStyle="1" w:styleId="Notesa">
    <w:name w:val="Notes (a)"/>
    <w:basedOn w:val="Normal"/>
    <w:rsid w:val="00F46260"/>
    <w:pPr>
      <w:tabs>
        <w:tab w:val="left" w:pos="720"/>
      </w:tabs>
      <w:spacing w:after="0" w:line="240" w:lineRule="auto"/>
    </w:pPr>
    <w:rPr>
      <w:rFonts w:ascii="Times New Roman" w:eastAsia="Times New Roman" w:hAnsi="Times New Roman"/>
      <w:b/>
      <w:sz w:val="20"/>
      <w:szCs w:val="20"/>
      <w:lang w:eastAsia="en-AU"/>
    </w:rPr>
  </w:style>
  <w:style w:type="paragraph" w:styleId="BodyTextIndent2">
    <w:name w:val="Body Text Indent 2"/>
    <w:basedOn w:val="Normal"/>
    <w:link w:val="BodyTextIndent2Char"/>
    <w:locked/>
    <w:rsid w:val="00F46260"/>
    <w:pPr>
      <w:spacing w:after="0" w:line="240" w:lineRule="auto"/>
      <w:ind w:left="709"/>
    </w:pPr>
    <w:rPr>
      <w:rFonts w:ascii="Times New Roman" w:eastAsia="Times New Roman" w:hAnsi="Times New Roman"/>
      <w:sz w:val="20"/>
      <w:szCs w:val="20"/>
      <w:lang w:eastAsia="en-AU"/>
    </w:rPr>
  </w:style>
  <w:style w:type="character" w:customStyle="1" w:styleId="BodyTextIndent2Char">
    <w:name w:val="Body Text Indent 2 Char"/>
    <w:basedOn w:val="DefaultParagraphFont"/>
    <w:link w:val="BodyTextIndent2"/>
    <w:rsid w:val="00F46260"/>
    <w:rPr>
      <w:rFonts w:ascii="Times New Roman" w:eastAsia="Times New Roman" w:hAnsi="Times New Roman"/>
      <w:sz w:val="20"/>
      <w:szCs w:val="20"/>
      <w:lang w:eastAsia="en-AU"/>
    </w:rPr>
  </w:style>
  <w:style w:type="paragraph" w:customStyle="1" w:styleId="indent">
    <w:name w:val="indent"/>
    <w:basedOn w:val="Normal"/>
    <w:rsid w:val="00F46260"/>
    <w:pPr>
      <w:spacing w:after="0" w:line="240" w:lineRule="auto"/>
      <w:ind w:left="425"/>
    </w:pPr>
    <w:rPr>
      <w:rFonts w:ascii="Times New Roman" w:eastAsia="Times New Roman" w:hAnsi="Times New Roman"/>
      <w:sz w:val="18"/>
      <w:szCs w:val="20"/>
      <w:lang w:eastAsia="en-AU"/>
    </w:rPr>
  </w:style>
  <w:style w:type="paragraph" w:styleId="BodyTextIndent3">
    <w:name w:val="Body Text Indent 3"/>
    <w:basedOn w:val="Normal"/>
    <w:link w:val="BodyTextIndent3Char"/>
    <w:locked/>
    <w:rsid w:val="00F46260"/>
    <w:pPr>
      <w:spacing w:after="0" w:line="240" w:lineRule="auto"/>
      <w:ind w:left="851"/>
    </w:pPr>
    <w:rPr>
      <w:rFonts w:ascii="Times New Roman" w:eastAsia="Times New Roman" w:hAnsi="Times New Roman"/>
      <w:sz w:val="20"/>
      <w:szCs w:val="20"/>
      <w:lang w:eastAsia="en-AU"/>
    </w:rPr>
  </w:style>
  <w:style w:type="character" w:customStyle="1" w:styleId="BodyTextIndent3Char">
    <w:name w:val="Body Text Indent 3 Char"/>
    <w:basedOn w:val="DefaultParagraphFont"/>
    <w:link w:val="BodyTextIndent3"/>
    <w:rsid w:val="00F46260"/>
    <w:rPr>
      <w:rFonts w:ascii="Times New Roman" w:eastAsia="Times New Roman" w:hAnsi="Times New Roman"/>
      <w:sz w:val="20"/>
      <w:szCs w:val="20"/>
      <w:lang w:eastAsia="en-AU"/>
    </w:rPr>
  </w:style>
  <w:style w:type="paragraph" w:styleId="BodyTextIndent">
    <w:name w:val="Body Text Indent"/>
    <w:basedOn w:val="Normal"/>
    <w:link w:val="BodyTextIndentChar"/>
    <w:locked/>
    <w:rsid w:val="00F46260"/>
    <w:pPr>
      <w:spacing w:after="0" w:line="240" w:lineRule="auto"/>
      <w:ind w:left="720"/>
      <w:jc w:val="both"/>
    </w:pPr>
    <w:rPr>
      <w:rFonts w:ascii="Times New Roman" w:eastAsia="Times New Roman" w:hAnsi="Times New Roman"/>
      <w:sz w:val="20"/>
      <w:szCs w:val="20"/>
      <w:lang w:eastAsia="en-AU"/>
    </w:rPr>
  </w:style>
  <w:style w:type="character" w:customStyle="1" w:styleId="BodyTextIndentChar">
    <w:name w:val="Body Text Indent Char"/>
    <w:basedOn w:val="DefaultParagraphFont"/>
    <w:link w:val="BodyTextIndent"/>
    <w:rsid w:val="00F46260"/>
    <w:rPr>
      <w:rFonts w:ascii="Times New Roman" w:eastAsia="Times New Roman" w:hAnsi="Times New Roman"/>
      <w:sz w:val="20"/>
      <w:szCs w:val="20"/>
      <w:lang w:eastAsia="en-AU"/>
    </w:rPr>
  </w:style>
  <w:style w:type="character" w:styleId="PageNumber">
    <w:name w:val="page number"/>
    <w:basedOn w:val="DefaultParagraphFont"/>
    <w:rsid w:val="00F46260"/>
  </w:style>
  <w:style w:type="paragraph" w:customStyle="1" w:styleId="Notes">
    <w:name w:val="Notes"/>
    <w:basedOn w:val="Normal"/>
    <w:link w:val="NotesChar"/>
    <w:qFormat/>
    <w:rsid w:val="00F46260"/>
    <w:pPr>
      <w:tabs>
        <w:tab w:val="left" w:pos="1384"/>
      </w:tabs>
      <w:spacing w:after="0" w:line="240" w:lineRule="auto"/>
      <w:ind w:left="1384" w:hanging="1384"/>
    </w:pPr>
    <w:rPr>
      <w:rFonts w:ascii="Times New Roman" w:eastAsia="Times New Roman" w:hAnsi="Times New Roman"/>
      <w:b/>
      <w:sz w:val="20"/>
      <w:szCs w:val="20"/>
      <w:lang w:eastAsia="en-AU"/>
    </w:rPr>
  </w:style>
  <w:style w:type="paragraph" w:customStyle="1" w:styleId="VAText">
    <w:name w:val="VAText"/>
    <w:basedOn w:val="Normal"/>
    <w:rsid w:val="00F46260"/>
    <w:pPr>
      <w:spacing w:after="0" w:line="240" w:lineRule="auto"/>
    </w:pPr>
    <w:rPr>
      <w:rFonts w:ascii="Times New Roman" w:eastAsia="Times New Roman" w:hAnsi="Times New Roman"/>
      <w:sz w:val="18"/>
      <w:szCs w:val="20"/>
      <w:lang w:eastAsia="en-AU"/>
    </w:rPr>
  </w:style>
  <w:style w:type="paragraph" w:styleId="BlockText">
    <w:name w:val="Block Text"/>
    <w:basedOn w:val="Normal"/>
    <w:locked/>
    <w:rsid w:val="00F46260"/>
    <w:pPr>
      <w:spacing w:after="0" w:line="240" w:lineRule="auto"/>
      <w:ind w:left="142" w:right="402"/>
    </w:pPr>
    <w:rPr>
      <w:rFonts w:ascii="Times New Roman" w:eastAsia="Times New Roman" w:hAnsi="Times New Roman"/>
      <w:sz w:val="20"/>
      <w:szCs w:val="20"/>
      <w:lang w:eastAsia="en-AU"/>
    </w:rPr>
  </w:style>
  <w:style w:type="paragraph" w:styleId="BodyText">
    <w:name w:val="Body Text"/>
    <w:basedOn w:val="Normal"/>
    <w:link w:val="BodyTextChar"/>
    <w:locked/>
    <w:rsid w:val="00F46260"/>
    <w:pPr>
      <w:spacing w:after="0" w:line="240" w:lineRule="auto"/>
    </w:pPr>
    <w:rPr>
      <w:rFonts w:ascii="Times New Roman" w:eastAsia="Times New Roman" w:hAnsi="Times New Roman"/>
      <w:sz w:val="20"/>
      <w:szCs w:val="20"/>
      <w:lang w:eastAsia="en-AU"/>
    </w:rPr>
  </w:style>
  <w:style w:type="character" w:customStyle="1" w:styleId="BodyTextChar">
    <w:name w:val="Body Text Char"/>
    <w:basedOn w:val="DefaultParagraphFont"/>
    <w:link w:val="BodyText"/>
    <w:rsid w:val="00F46260"/>
    <w:rPr>
      <w:rFonts w:ascii="Times New Roman" w:eastAsia="Times New Roman" w:hAnsi="Times New Roman"/>
      <w:sz w:val="20"/>
      <w:szCs w:val="20"/>
      <w:lang w:eastAsia="en-AU"/>
    </w:rPr>
  </w:style>
  <w:style w:type="paragraph" w:styleId="BodyText3">
    <w:name w:val="Body Text 3"/>
    <w:basedOn w:val="Normal"/>
    <w:link w:val="BodyText3Char"/>
    <w:locked/>
    <w:rsid w:val="00F46260"/>
    <w:pPr>
      <w:spacing w:after="0" w:line="240" w:lineRule="auto"/>
      <w:jc w:val="center"/>
    </w:pPr>
    <w:rPr>
      <w:rFonts w:ascii="Times New Roman" w:eastAsia="Times New Roman" w:hAnsi="Times New Roman"/>
      <w:sz w:val="20"/>
      <w:szCs w:val="20"/>
      <w:lang w:eastAsia="en-AU"/>
    </w:rPr>
  </w:style>
  <w:style w:type="character" w:customStyle="1" w:styleId="BodyText3Char">
    <w:name w:val="Body Text 3 Char"/>
    <w:basedOn w:val="DefaultParagraphFont"/>
    <w:link w:val="BodyText3"/>
    <w:rsid w:val="00F46260"/>
    <w:rPr>
      <w:rFonts w:ascii="Times New Roman" w:eastAsia="Times New Roman" w:hAnsi="Times New Roman"/>
      <w:sz w:val="20"/>
      <w:szCs w:val="20"/>
      <w:lang w:eastAsia="en-AU"/>
    </w:rPr>
  </w:style>
  <w:style w:type="table" w:customStyle="1" w:styleId="CVtable1">
    <w:name w:val="CV table1"/>
    <w:basedOn w:val="TableNormal"/>
    <w:next w:val="TableGrid"/>
    <w:uiPriority w:val="59"/>
    <w:rsid w:val="00F46260"/>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46260"/>
    <w:pPr>
      <w:spacing w:line="240" w:lineRule="exact"/>
    </w:pPr>
    <w:rPr>
      <w:rFonts w:ascii="Tahoma" w:eastAsia="Times New Roman" w:hAnsi="Tahoma" w:cs="Tahoma"/>
      <w:sz w:val="20"/>
      <w:szCs w:val="20"/>
      <w:lang w:val="en-US" w:eastAsia="en-AU"/>
    </w:rPr>
  </w:style>
  <w:style w:type="paragraph" w:styleId="FootnoteText">
    <w:name w:val="footnote text"/>
    <w:basedOn w:val="Normal"/>
    <w:link w:val="FootnoteTextChar"/>
    <w:semiHidden/>
    <w:rsid w:val="00F46260"/>
    <w:pPr>
      <w:spacing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semiHidden/>
    <w:rsid w:val="00F46260"/>
    <w:rPr>
      <w:rFonts w:ascii="Times New Roman" w:eastAsia="Times New Roman" w:hAnsi="Times New Roman"/>
      <w:sz w:val="20"/>
      <w:szCs w:val="20"/>
      <w:lang w:eastAsia="en-AU"/>
    </w:rPr>
  </w:style>
  <w:style w:type="paragraph" w:styleId="Revision">
    <w:name w:val="Revision"/>
    <w:hidden/>
    <w:uiPriority w:val="99"/>
    <w:semiHidden/>
    <w:rsid w:val="00F46260"/>
    <w:rPr>
      <w:rFonts w:ascii="Times New Roman" w:eastAsia="Times New Roman" w:hAnsi="Times New Roman"/>
      <w:sz w:val="24"/>
      <w:szCs w:val="20"/>
      <w:lang w:val="en-GB"/>
    </w:rPr>
  </w:style>
  <w:style w:type="paragraph" w:customStyle="1" w:styleId="Tabletextheading">
    <w:name w:val="Table text heading"/>
    <w:basedOn w:val="TableofFigures"/>
    <w:link w:val="TabletextheadingChar"/>
    <w:qFormat/>
    <w:rsid w:val="00F46260"/>
    <w:pPr>
      <w:spacing w:before="30" w:after="30"/>
      <w:jc w:val="right"/>
    </w:pPr>
    <w:rPr>
      <w:rFonts w:ascii="Arial" w:hAnsi="Arial" w:cs="Arial"/>
      <w:i/>
      <w:iCs/>
      <w:noProof/>
      <w:sz w:val="18"/>
      <w:szCs w:val="18"/>
    </w:rPr>
  </w:style>
  <w:style w:type="character" w:customStyle="1" w:styleId="TabletextheadingChar">
    <w:name w:val="Table text heading Char"/>
    <w:link w:val="Tabletextheading"/>
    <w:rsid w:val="00F46260"/>
    <w:rPr>
      <w:rFonts w:ascii="Arial" w:eastAsia="Times New Roman" w:hAnsi="Arial" w:cs="Arial"/>
      <w:i/>
      <w:iCs/>
      <w:noProof/>
      <w:sz w:val="18"/>
      <w:szCs w:val="18"/>
      <w:lang w:eastAsia="en-AU"/>
    </w:rPr>
  </w:style>
  <w:style w:type="paragraph" w:styleId="TableofFigures">
    <w:name w:val="table of figures"/>
    <w:basedOn w:val="Normal"/>
    <w:next w:val="Normal"/>
    <w:link w:val="TableofFiguresChar"/>
    <w:qFormat/>
    <w:rsid w:val="00F46260"/>
    <w:pPr>
      <w:spacing w:after="0" w:line="240" w:lineRule="auto"/>
    </w:pPr>
    <w:rPr>
      <w:rFonts w:ascii="Times New Roman" w:eastAsia="Times New Roman" w:hAnsi="Times New Roman"/>
      <w:sz w:val="20"/>
      <w:szCs w:val="20"/>
      <w:lang w:eastAsia="en-AU"/>
    </w:rPr>
  </w:style>
  <w:style w:type="paragraph" w:customStyle="1" w:styleId="Bullet">
    <w:name w:val="Bullet"/>
    <w:basedOn w:val="Normal"/>
    <w:link w:val="BulletCharChar"/>
    <w:rsid w:val="00F46260"/>
    <w:pPr>
      <w:numPr>
        <w:numId w:val="21"/>
      </w:numPr>
      <w:spacing w:before="120" w:after="0" w:line="240" w:lineRule="auto"/>
    </w:pPr>
    <w:rPr>
      <w:rFonts w:ascii="Garamond" w:eastAsia="Times New Roman" w:hAnsi="Garamond"/>
      <w:lang w:eastAsia="en-AU"/>
    </w:rPr>
  </w:style>
  <w:style w:type="character" w:customStyle="1" w:styleId="BulletCharChar">
    <w:name w:val="Bullet Char Char"/>
    <w:link w:val="Bullet"/>
    <w:locked/>
    <w:rsid w:val="00F46260"/>
    <w:rPr>
      <w:rFonts w:ascii="Garamond" w:eastAsia="Times New Roman" w:hAnsi="Garamond"/>
      <w:lang w:eastAsia="en-AU"/>
    </w:rPr>
  </w:style>
  <w:style w:type="paragraph" w:customStyle="1" w:styleId="aalpha">
    <w:name w:val="(a) alpha"/>
    <w:basedOn w:val="Normal"/>
    <w:rsid w:val="00F46260"/>
    <w:pPr>
      <w:numPr>
        <w:numId w:val="22"/>
      </w:numPr>
      <w:autoSpaceDE w:val="0"/>
      <w:autoSpaceDN w:val="0"/>
      <w:adjustRightInd w:val="0"/>
      <w:spacing w:before="120" w:after="0" w:line="240" w:lineRule="atLeast"/>
      <w:jc w:val="both"/>
    </w:pPr>
    <w:rPr>
      <w:rFonts w:ascii="Times New Roman" w:eastAsia="Times New Roman" w:hAnsi="Times New Roman"/>
      <w:lang w:eastAsia="en-AU"/>
    </w:rPr>
  </w:style>
  <w:style w:type="paragraph" w:customStyle="1" w:styleId="Tabletext">
    <w:name w:val="Table text"/>
    <w:link w:val="TabletextChar"/>
    <w:uiPriority w:val="9"/>
    <w:qFormat/>
    <w:rsid w:val="00F46260"/>
    <w:rPr>
      <w:rFonts w:ascii="Calibri" w:eastAsia="Calibri" w:hAnsi="Calibri"/>
      <w:color w:val="6E6E6E"/>
      <w:sz w:val="20"/>
    </w:rPr>
  </w:style>
  <w:style w:type="character" w:customStyle="1" w:styleId="TabletextChar">
    <w:name w:val="Table text Char"/>
    <w:link w:val="Tabletext"/>
    <w:uiPriority w:val="9"/>
    <w:rsid w:val="00F46260"/>
    <w:rPr>
      <w:rFonts w:ascii="Calibri" w:eastAsia="Calibri" w:hAnsi="Calibri"/>
      <w:color w:val="6E6E6E"/>
      <w:sz w:val="20"/>
    </w:rPr>
  </w:style>
  <w:style w:type="paragraph" w:customStyle="1" w:styleId="TableBullet0">
    <w:name w:val="Table Bullet"/>
    <w:basedOn w:val="Normal"/>
    <w:qFormat/>
    <w:rsid w:val="00F46260"/>
    <w:pPr>
      <w:numPr>
        <w:numId w:val="23"/>
      </w:numPr>
      <w:spacing w:after="0" w:line="240" w:lineRule="auto"/>
    </w:pPr>
    <w:rPr>
      <w:rFonts w:ascii="Calibri" w:eastAsia="Tahoma" w:hAnsi="Calibri" w:cs="Tahoma"/>
      <w:sz w:val="18"/>
      <w:lang w:eastAsia="en-AU"/>
    </w:rPr>
  </w:style>
  <w:style w:type="character" w:customStyle="1" w:styleId="NotesChar">
    <w:name w:val="Notes Char"/>
    <w:link w:val="Notes"/>
    <w:locked/>
    <w:rsid w:val="00F46260"/>
    <w:rPr>
      <w:rFonts w:ascii="Times New Roman" w:eastAsia="Times New Roman" w:hAnsi="Times New Roman"/>
      <w:b/>
      <w:sz w:val="20"/>
      <w:szCs w:val="20"/>
      <w:lang w:eastAsia="en-AU"/>
    </w:rPr>
  </w:style>
  <w:style w:type="paragraph" w:customStyle="1" w:styleId="NormalIndent2">
    <w:name w:val="Normal Indent 2"/>
    <w:basedOn w:val="Normal"/>
    <w:rsid w:val="00F46260"/>
    <w:pPr>
      <w:spacing w:before="120" w:after="0" w:line="240" w:lineRule="auto"/>
      <w:ind w:left="446"/>
    </w:pPr>
    <w:rPr>
      <w:rFonts w:ascii="Garamond" w:eastAsia="Tahoma" w:hAnsi="Garamond" w:cs="Tahoma"/>
      <w:lang w:eastAsia="en-AU"/>
    </w:rPr>
  </w:style>
  <w:style w:type="paragraph" w:customStyle="1" w:styleId="NoteHeading">
    <w:name w:val="NoteHeading"/>
    <w:basedOn w:val="Normal"/>
    <w:link w:val="NoteHeadingChar"/>
    <w:qFormat/>
    <w:rsid w:val="00F46260"/>
    <w:pPr>
      <w:tabs>
        <w:tab w:val="left" w:pos="1224"/>
      </w:tabs>
      <w:spacing w:before="120" w:after="120" w:line="240" w:lineRule="auto"/>
      <w:ind w:left="1225" w:hanging="1225"/>
    </w:pPr>
    <w:rPr>
      <w:rFonts w:ascii="Calibri" w:eastAsia="Tahoma" w:hAnsi="Calibri" w:cs="Arial"/>
      <w:b/>
      <w:bCs/>
      <w:sz w:val="26"/>
      <w:szCs w:val="28"/>
      <w:lang w:eastAsia="en-AU"/>
    </w:rPr>
  </w:style>
  <w:style w:type="character" w:customStyle="1" w:styleId="NoteHeadingChar">
    <w:name w:val="NoteHeading Char"/>
    <w:link w:val="NoteHeading"/>
    <w:locked/>
    <w:rsid w:val="00F46260"/>
    <w:rPr>
      <w:rFonts w:ascii="Calibri" w:eastAsia="Tahoma" w:hAnsi="Calibri" w:cs="Arial"/>
      <w:b/>
      <w:bCs/>
      <w:sz w:val="26"/>
      <w:szCs w:val="28"/>
      <w:lang w:eastAsia="en-AU"/>
    </w:rPr>
  </w:style>
  <w:style w:type="paragraph" w:styleId="TOC9">
    <w:name w:val="toc 9"/>
    <w:basedOn w:val="Normal"/>
    <w:next w:val="Normal"/>
    <w:autoRedefine/>
    <w:semiHidden/>
    <w:unhideWhenUsed/>
    <w:locked/>
    <w:rsid w:val="00F46260"/>
    <w:pPr>
      <w:spacing w:after="100" w:line="240" w:lineRule="auto"/>
      <w:ind w:left="1920"/>
    </w:pPr>
    <w:rPr>
      <w:rFonts w:ascii="Times New Roman" w:eastAsia="Times New Roman" w:hAnsi="Times New Roman"/>
      <w:sz w:val="20"/>
      <w:szCs w:val="20"/>
      <w:lang w:eastAsia="en-AU"/>
    </w:rPr>
  </w:style>
  <w:style w:type="character" w:customStyle="1" w:styleId="Heading2Char0">
    <w:name w:val="Heading 2 (#) Char"/>
    <w:basedOn w:val="DefaultParagraphFont"/>
    <w:link w:val="Heading2"/>
    <w:uiPriority w:val="14"/>
    <w:rsid w:val="00F46260"/>
    <w:rPr>
      <w:rFonts w:ascii="Cambria" w:eastAsia="Times New Roman" w:hAnsi="Cambria"/>
      <w:b/>
      <w:spacing w:val="-2"/>
      <w:sz w:val="24"/>
      <w:szCs w:val="26"/>
    </w:rPr>
  </w:style>
  <w:style w:type="character" w:customStyle="1" w:styleId="FooteroddChar">
    <w:name w:val="Footer (odd) Char"/>
    <w:basedOn w:val="DefaultParagraphFont"/>
    <w:link w:val="Footerodd"/>
    <w:uiPriority w:val="84"/>
    <w:rsid w:val="00F46260"/>
    <w:rPr>
      <w:rFonts w:ascii="Cambria" w:hAnsi="Cambria"/>
      <w:sz w:val="18"/>
    </w:rPr>
  </w:style>
  <w:style w:type="paragraph" w:customStyle="1" w:styleId="Footerodd">
    <w:name w:val="Footer (odd)"/>
    <w:basedOn w:val="Footer"/>
    <w:link w:val="FooteroddChar"/>
    <w:uiPriority w:val="84"/>
    <w:rsid w:val="00F46260"/>
    <w:pPr>
      <w:keepNext w:val="0"/>
      <w:pBdr>
        <w:top w:val="single" w:sz="6" w:space="1" w:color="auto"/>
      </w:pBdr>
      <w:tabs>
        <w:tab w:val="clear" w:pos="4513"/>
        <w:tab w:val="clear" w:pos="9026"/>
        <w:tab w:val="center" w:pos="4819"/>
        <w:tab w:val="right" w:pos="9639"/>
        <w:tab w:val="right" w:pos="14742"/>
      </w:tabs>
    </w:pPr>
    <w:rPr>
      <w:rFonts w:ascii="Cambria" w:hAnsi="Cambria"/>
      <w:color w:val="auto"/>
      <w:szCs w:val="22"/>
    </w:rPr>
  </w:style>
  <w:style w:type="character" w:customStyle="1" w:styleId="Heading1Char0">
    <w:name w:val="Heading 1 (#) Char"/>
    <w:basedOn w:val="DefaultParagraphFont"/>
    <w:link w:val="Heading1"/>
    <w:uiPriority w:val="14"/>
    <w:rsid w:val="00F46260"/>
    <w:rPr>
      <w:rFonts w:ascii="Cambria" w:eastAsia="Times New Roman" w:hAnsi="Cambria"/>
      <w:b/>
      <w:bCs/>
      <w:caps/>
      <w:spacing w:val="-2"/>
      <w:sz w:val="28"/>
      <w:szCs w:val="28"/>
    </w:rPr>
  </w:style>
  <w:style w:type="paragraph" w:customStyle="1" w:styleId="Heading1">
    <w:name w:val="Heading 1 (#)"/>
    <w:basedOn w:val="Heading10"/>
    <w:link w:val="Heading1Char0"/>
    <w:uiPriority w:val="14"/>
    <w:qFormat/>
    <w:rsid w:val="00F46260"/>
    <w:pPr>
      <w:pageBreakBefore/>
      <w:numPr>
        <w:numId w:val="25"/>
      </w:numPr>
      <w:pBdr>
        <w:bottom w:val="single" w:sz="12" w:space="1" w:color="auto"/>
      </w:pBdr>
      <w:spacing w:after="0" w:line="240" w:lineRule="auto"/>
    </w:pPr>
    <w:rPr>
      <w:rFonts w:ascii="Cambria" w:eastAsia="Times New Roman" w:hAnsi="Cambria" w:cs="Times New Roman"/>
      <w:b/>
      <w:bCs/>
      <w:caps/>
      <w:color w:val="auto"/>
      <w:spacing w:val="-2"/>
      <w:sz w:val="28"/>
      <w:szCs w:val="28"/>
    </w:rPr>
  </w:style>
  <w:style w:type="paragraph" w:customStyle="1" w:styleId="Heading2">
    <w:name w:val="Heading 2 (#)"/>
    <w:basedOn w:val="Heading20"/>
    <w:link w:val="Heading2Char0"/>
    <w:uiPriority w:val="14"/>
    <w:qFormat/>
    <w:rsid w:val="00F46260"/>
    <w:pPr>
      <w:numPr>
        <w:ilvl w:val="1"/>
        <w:numId w:val="25"/>
      </w:numPr>
      <w:tabs>
        <w:tab w:val="left" w:pos="964"/>
        <w:tab w:val="right" w:pos="9582"/>
      </w:tabs>
      <w:spacing w:before="240" w:after="0" w:line="240" w:lineRule="auto"/>
      <w:ind w:left="624"/>
    </w:pPr>
    <w:rPr>
      <w:rFonts w:ascii="Cambria" w:eastAsia="Times New Roman" w:hAnsi="Cambria" w:cs="Times New Roman"/>
      <w:b/>
      <w:color w:val="auto"/>
      <w:spacing w:val="-2"/>
      <w:sz w:val="24"/>
      <w:szCs w:val="26"/>
    </w:rPr>
  </w:style>
  <w:style w:type="numbering" w:customStyle="1" w:styleId="NumberedHeadings">
    <w:name w:val="Numbered Headings"/>
    <w:uiPriority w:val="99"/>
    <w:rsid w:val="00F46260"/>
    <w:pPr>
      <w:numPr>
        <w:numId w:val="24"/>
      </w:numPr>
    </w:pPr>
  </w:style>
  <w:style w:type="paragraph" w:customStyle="1" w:styleId="Heading3">
    <w:name w:val="Heading 3 (#)"/>
    <w:basedOn w:val="Heading30"/>
    <w:next w:val="Normal"/>
    <w:link w:val="Heading3Char0"/>
    <w:uiPriority w:val="14"/>
    <w:rsid w:val="00F46260"/>
    <w:pPr>
      <w:numPr>
        <w:ilvl w:val="2"/>
        <w:numId w:val="25"/>
      </w:numPr>
      <w:tabs>
        <w:tab w:val="left" w:pos="737"/>
        <w:tab w:val="right" w:pos="9582"/>
      </w:tabs>
      <w:spacing w:before="180" w:after="0" w:line="240" w:lineRule="auto"/>
    </w:pPr>
    <w:rPr>
      <w:rFonts w:ascii="Cambria" w:eastAsia="Times New Roman" w:hAnsi="Cambria"/>
      <w:b/>
      <w:bCs/>
      <w:color w:val="auto"/>
      <w:spacing w:val="-2"/>
      <w:sz w:val="20"/>
      <w:szCs w:val="26"/>
      <w:lang w:eastAsia="en-AU"/>
    </w:rPr>
  </w:style>
  <w:style w:type="character" w:customStyle="1" w:styleId="SourceReference">
    <w:name w:val="Source Reference"/>
    <w:basedOn w:val="DefaultParagraphFont"/>
    <w:uiPriority w:val="54"/>
    <w:rsid w:val="00F46260"/>
    <w:rPr>
      <w:noProof/>
      <w:color w:val="8064A2"/>
      <w:sz w:val="14"/>
      <w:lang w:val="en-AU"/>
    </w:rPr>
  </w:style>
  <w:style w:type="character" w:customStyle="1" w:styleId="TableofFiguresChar">
    <w:name w:val="Table of Figures Char"/>
    <w:link w:val="TableofFigures"/>
    <w:rsid w:val="00F46260"/>
    <w:rPr>
      <w:rFonts w:ascii="Times New Roman" w:eastAsia="Times New Roman" w:hAnsi="Times New Roman"/>
      <w:sz w:val="20"/>
      <w:szCs w:val="20"/>
      <w:lang w:eastAsia="en-AU"/>
    </w:rPr>
  </w:style>
  <w:style w:type="character" w:customStyle="1" w:styleId="tabletextChar0">
    <w:name w:val="table text Char"/>
    <w:link w:val="tabletext0"/>
    <w:rsid w:val="00F46260"/>
    <w:rPr>
      <w:rFonts w:ascii="EYInterstate Light" w:hAnsi="EYInterstate Light"/>
      <w:sz w:val="18"/>
      <w:lang w:val="en-GB"/>
    </w:rPr>
  </w:style>
  <w:style w:type="paragraph" w:customStyle="1" w:styleId="tabletext0">
    <w:name w:val="table text"/>
    <w:link w:val="tabletextChar0"/>
    <w:rsid w:val="00F46260"/>
    <w:pPr>
      <w:spacing w:line="220" w:lineRule="exact"/>
    </w:pPr>
    <w:rPr>
      <w:rFonts w:ascii="EYInterstate Light" w:hAnsi="EYInterstate Light"/>
      <w:sz w:val="18"/>
      <w:lang w:val="en-GB"/>
    </w:rPr>
  </w:style>
  <w:style w:type="paragraph" w:customStyle="1" w:styleId="TabletextheadingLeft">
    <w:name w:val="Table text heading Left"/>
    <w:basedOn w:val="Tabletextheading"/>
    <w:rsid w:val="00F46260"/>
    <w:pPr>
      <w:jc w:val="left"/>
    </w:pPr>
    <w:rPr>
      <w:rFonts w:ascii="Calibri" w:eastAsia="Tahoma" w:hAnsi="Calibri"/>
    </w:rPr>
  </w:style>
  <w:style w:type="paragraph" w:customStyle="1" w:styleId="TabletextheadingCentred">
    <w:name w:val="Table text heading Centred"/>
    <w:basedOn w:val="Tabletextheading"/>
    <w:link w:val="TabletextheadingCentredChar"/>
    <w:rsid w:val="00F46260"/>
    <w:pPr>
      <w:jc w:val="center"/>
    </w:pPr>
    <w:rPr>
      <w:rFonts w:ascii="Calibri" w:eastAsia="Tahoma" w:hAnsi="Calibri"/>
      <w:noProof w:val="0"/>
      <w:szCs w:val="20"/>
    </w:rPr>
  </w:style>
  <w:style w:type="character" w:customStyle="1" w:styleId="TabletextheadingCentredChar">
    <w:name w:val="Table text heading Centred Char"/>
    <w:link w:val="TabletextheadingCentred"/>
    <w:locked/>
    <w:rsid w:val="00F46260"/>
    <w:rPr>
      <w:rFonts w:ascii="Calibri" w:eastAsia="Tahoma" w:hAnsi="Calibri" w:cs="Arial"/>
      <w:i/>
      <w:iCs/>
      <w:sz w:val="18"/>
      <w:szCs w:val="20"/>
      <w:lang w:eastAsia="en-AU"/>
    </w:rPr>
  </w:style>
  <w:style w:type="paragraph" w:customStyle="1" w:styleId="Note">
    <w:name w:val="Note"/>
    <w:basedOn w:val="Normal"/>
    <w:link w:val="NoteChar"/>
    <w:uiPriority w:val="52"/>
    <w:qFormat/>
    <w:rsid w:val="00F46260"/>
    <w:pPr>
      <w:keepLines/>
      <w:spacing w:before="20" w:after="0" w:line="240" w:lineRule="auto"/>
      <w:ind w:left="284" w:hanging="284"/>
      <w:contextualSpacing/>
    </w:pPr>
    <w:rPr>
      <w:rFonts w:ascii="Cambria" w:eastAsia="Calibri" w:hAnsi="Cambria"/>
      <w:i/>
      <w:spacing w:val="-2"/>
      <w:sz w:val="14"/>
      <w:szCs w:val="18"/>
      <w:lang w:eastAsia="en-AU"/>
    </w:rPr>
  </w:style>
  <w:style w:type="character" w:customStyle="1" w:styleId="NoteChar">
    <w:name w:val="Note Char"/>
    <w:basedOn w:val="DefaultParagraphFont"/>
    <w:link w:val="Note"/>
    <w:uiPriority w:val="52"/>
    <w:rsid w:val="00F46260"/>
    <w:rPr>
      <w:rFonts w:ascii="Cambria" w:eastAsia="Calibri" w:hAnsi="Cambria"/>
      <w:i/>
      <w:spacing w:val="-2"/>
      <w:sz w:val="14"/>
      <w:szCs w:val="18"/>
      <w:lang w:eastAsia="en-AU"/>
    </w:rPr>
  </w:style>
  <w:style w:type="paragraph" w:customStyle="1" w:styleId="Bullet2">
    <w:name w:val="Bullet 2"/>
    <w:basedOn w:val="Bullet1"/>
    <w:uiPriority w:val="2"/>
    <w:qFormat/>
    <w:rsid w:val="00F46260"/>
    <w:pPr>
      <w:keepNext w:val="0"/>
      <w:keepLines w:val="0"/>
      <w:numPr>
        <w:numId w:val="0"/>
      </w:numPr>
      <w:tabs>
        <w:tab w:val="num" w:pos="576"/>
      </w:tabs>
      <w:spacing w:after="0" w:line="240" w:lineRule="auto"/>
      <w:ind w:left="576" w:hanging="288"/>
      <w:contextualSpacing/>
    </w:pPr>
    <w:rPr>
      <w:rFonts w:ascii="Calibri" w:eastAsia="Times New Roman" w:hAnsi="Calibri" w:cs="Calibri"/>
      <w:spacing w:val="2"/>
      <w:sz w:val="18"/>
      <w:szCs w:val="20"/>
      <w:lang w:eastAsia="en-AU"/>
    </w:rPr>
  </w:style>
  <w:style w:type="paragraph" w:customStyle="1" w:styleId="Bulletindent">
    <w:name w:val="Bullet indent"/>
    <w:basedOn w:val="Bullet2"/>
    <w:uiPriority w:val="7"/>
    <w:qFormat/>
    <w:rsid w:val="00F46260"/>
    <w:pPr>
      <w:tabs>
        <w:tab w:val="clear" w:pos="576"/>
        <w:tab w:val="num" w:pos="1800"/>
      </w:tabs>
      <w:ind w:left="1800" w:hanging="360"/>
    </w:pPr>
  </w:style>
  <w:style w:type="paragraph" w:customStyle="1" w:styleId="NoteNormal">
    <w:name w:val="Note Normal"/>
    <w:basedOn w:val="Normal"/>
    <w:uiPriority w:val="49"/>
    <w:rsid w:val="00F46260"/>
    <w:pPr>
      <w:keepNext/>
      <w:keepLines/>
      <w:spacing w:before="80" w:after="100" w:line="240" w:lineRule="auto"/>
    </w:pPr>
    <w:rPr>
      <w:rFonts w:ascii="Calibri" w:eastAsia="Times New Roman" w:hAnsi="Calibri" w:cs="Calibri"/>
      <w:color w:val="000000"/>
      <w:spacing w:val="1"/>
      <w:sz w:val="16"/>
      <w:szCs w:val="16"/>
    </w:rPr>
  </w:style>
  <w:style w:type="paragraph" w:customStyle="1" w:styleId="Bulletindent2">
    <w:name w:val="Bullet indent 2"/>
    <w:basedOn w:val="Normal"/>
    <w:uiPriority w:val="7"/>
    <w:qFormat/>
    <w:rsid w:val="00F46260"/>
    <w:pPr>
      <w:tabs>
        <w:tab w:val="num" w:pos="2520"/>
      </w:tabs>
      <w:spacing w:before="100" w:after="100" w:line="276" w:lineRule="auto"/>
      <w:ind w:left="2520" w:hanging="360"/>
      <w:contextualSpacing/>
    </w:pPr>
    <w:rPr>
      <w:rFonts w:ascii="Calibri" w:eastAsia="Times New Roman" w:hAnsi="Calibri"/>
      <w:spacing w:val="2"/>
      <w:sz w:val="18"/>
      <w:szCs w:val="20"/>
      <w:lang w:eastAsia="en-AU"/>
    </w:rPr>
  </w:style>
  <w:style w:type="table" w:customStyle="1" w:styleId="DTFtexttable">
    <w:name w:val="DTF text table"/>
    <w:basedOn w:val="TableGrid"/>
    <w:uiPriority w:val="99"/>
    <w:rsid w:val="00F46260"/>
    <w:pPr>
      <w:spacing w:before="30" w:after="30" w:line="264" w:lineRule="auto"/>
    </w:pPr>
    <w:rPr>
      <w:rFonts w:ascii="Calibri" w:eastAsia="Calibri" w:hAnsi="Calibri"/>
      <w:spacing w:val="2"/>
      <w:sz w:val="18"/>
      <w:szCs w:val="21"/>
    </w:rPr>
    <w:tblPr>
      <w:tblStyleRowBandSize w:val="1"/>
      <w:tblStyleColBandSize w:val="1"/>
      <w:tblBorders>
        <w:top w:val="none" w:sz="0"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rPr>
      <w:tblPr/>
      <w:trPr>
        <w:cantSplit w:val="0"/>
        <w:tblHeader/>
      </w:trPr>
      <w:tcPr>
        <w:shd w:val="clear" w:color="auto" w:fill="000000"/>
        <w:vAlign w:val="bottom"/>
      </w:tcPr>
    </w:tblStylePr>
    <w:tblStylePr w:type="lastRow">
      <w:rPr>
        <w:b/>
      </w:rPr>
      <w:tblPr/>
      <w:tcPr>
        <w:tcBorders>
          <w:top w:val="single" w:sz="6" w:space="0" w:color="4F81BD"/>
          <w:left w:val="nil"/>
          <w:bottom w:val="single" w:sz="12" w:space="0" w:color="4F81BD"/>
          <w:right w:val="nil"/>
          <w:insideV w:val="nil"/>
        </w:tcBorders>
        <w:shd w:val="clear" w:color="auto" w:fill="FFFFFF"/>
      </w:tcPr>
    </w:tblStylePr>
    <w:tblStylePr w:type="firstCol">
      <w:pPr>
        <w:jc w:val="left"/>
      </w:pPr>
      <w:tblPr/>
      <w:tcPr>
        <w:shd w:val="clear" w:color="auto" w:fill="FFFFFF"/>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cPr>
    </w:tblStylePr>
    <w:tblStylePr w:type="band2Horz">
      <w:tblPr/>
      <w:tcPr>
        <w:shd w:val="clear" w:color="auto" w:fill="F2F2F2"/>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Tablebullet">
    <w:name w:val="Table bullet"/>
    <w:basedOn w:val="Tabletext"/>
    <w:uiPriority w:val="9"/>
    <w:rsid w:val="00F46260"/>
    <w:pPr>
      <w:numPr>
        <w:numId w:val="33"/>
      </w:numPr>
      <w:tabs>
        <w:tab w:val="num" w:pos="360"/>
        <w:tab w:val="num" w:pos="1080"/>
      </w:tabs>
      <w:spacing w:before="50" w:after="50" w:line="264" w:lineRule="auto"/>
      <w:ind w:left="0" w:firstLine="0"/>
    </w:pPr>
    <w:rPr>
      <w:rFonts w:eastAsia="Times New Roman"/>
      <w:color w:val="auto"/>
      <w:spacing w:val="2"/>
      <w:sz w:val="17"/>
      <w:szCs w:val="20"/>
      <w:lang w:eastAsia="en-AU"/>
    </w:rPr>
  </w:style>
  <w:style w:type="paragraph" w:customStyle="1" w:styleId="Tabledash">
    <w:name w:val="Table dash"/>
    <w:basedOn w:val="Tablebullet"/>
    <w:uiPriority w:val="9"/>
    <w:rsid w:val="00F46260"/>
    <w:pPr>
      <w:numPr>
        <w:ilvl w:val="1"/>
      </w:numPr>
      <w:tabs>
        <w:tab w:val="num" w:pos="284"/>
        <w:tab w:val="num" w:pos="360"/>
        <w:tab w:val="num" w:pos="1080"/>
      </w:tabs>
      <w:ind w:left="284" w:hanging="284"/>
    </w:pPr>
  </w:style>
  <w:style w:type="paragraph" w:customStyle="1" w:styleId="Tabletextright">
    <w:name w:val="Table text right"/>
    <w:basedOn w:val="Tabletext"/>
    <w:uiPriority w:val="8"/>
    <w:qFormat/>
    <w:rsid w:val="00F46260"/>
    <w:pPr>
      <w:spacing w:before="50" w:after="50" w:line="264" w:lineRule="auto"/>
      <w:jc w:val="right"/>
    </w:pPr>
    <w:rPr>
      <w:rFonts w:eastAsia="Times New Roman"/>
      <w:color w:val="auto"/>
      <w:spacing w:val="2"/>
      <w:sz w:val="17"/>
      <w:szCs w:val="20"/>
      <w:lang w:eastAsia="en-AU"/>
    </w:rPr>
  </w:style>
  <w:style w:type="paragraph" w:customStyle="1" w:styleId="Tableheader0">
    <w:name w:val="Table header"/>
    <w:basedOn w:val="Tabletext"/>
    <w:uiPriority w:val="8"/>
    <w:qFormat/>
    <w:rsid w:val="00F46260"/>
    <w:pPr>
      <w:keepNext/>
      <w:keepLines/>
      <w:spacing w:before="120" w:after="50" w:line="264" w:lineRule="auto"/>
    </w:pPr>
    <w:rPr>
      <w:color w:val="FFFFFF"/>
      <w:spacing w:val="2"/>
      <w:sz w:val="18"/>
      <w:szCs w:val="21"/>
    </w:rPr>
  </w:style>
  <w:style w:type="paragraph" w:customStyle="1" w:styleId="ListBullet21">
    <w:name w:val="List Bullet 21"/>
    <w:basedOn w:val="ListBullet"/>
    <w:next w:val="ListBullet2"/>
    <w:uiPriority w:val="24"/>
    <w:rsid w:val="00F46260"/>
    <w:pPr>
      <w:keepLines/>
      <w:numPr>
        <w:ilvl w:val="1"/>
        <w:numId w:val="39"/>
      </w:numPr>
      <w:tabs>
        <w:tab w:val="num" w:pos="360"/>
      </w:tabs>
      <w:spacing w:before="60" w:after="0" w:line="240" w:lineRule="auto"/>
      <w:ind w:left="927" w:hanging="360"/>
    </w:pPr>
    <w:rPr>
      <w:rFonts w:ascii="Calibri" w:eastAsia="Calibri" w:hAnsi="Calibri"/>
      <w:spacing w:val="2"/>
      <w:sz w:val="18"/>
      <w:szCs w:val="18"/>
    </w:rPr>
  </w:style>
  <w:style w:type="paragraph" w:customStyle="1" w:styleId="ListBullet1">
    <w:name w:val="List Bullet1"/>
    <w:basedOn w:val="Normal"/>
    <w:next w:val="ListBullet"/>
    <w:uiPriority w:val="24"/>
    <w:qFormat/>
    <w:rsid w:val="00F46260"/>
    <w:pPr>
      <w:keepLines/>
      <w:numPr>
        <w:numId w:val="39"/>
      </w:numPr>
      <w:spacing w:before="60" w:after="0" w:line="240" w:lineRule="auto"/>
      <w:ind w:left="720" w:hanging="360"/>
      <w:contextualSpacing/>
    </w:pPr>
    <w:rPr>
      <w:rFonts w:ascii="Calibri" w:eastAsia="Calibri" w:hAnsi="Calibri"/>
      <w:spacing w:val="2"/>
      <w:sz w:val="18"/>
      <w:szCs w:val="18"/>
    </w:rPr>
  </w:style>
  <w:style w:type="paragraph" w:customStyle="1" w:styleId="ListBullet31">
    <w:name w:val="List Bullet 31"/>
    <w:basedOn w:val="ListBullet2"/>
    <w:next w:val="ListBullet3"/>
    <w:uiPriority w:val="24"/>
    <w:unhideWhenUsed/>
    <w:rsid w:val="00F46260"/>
    <w:pPr>
      <w:keepLines/>
      <w:numPr>
        <w:ilvl w:val="2"/>
        <w:numId w:val="39"/>
      </w:numPr>
      <w:tabs>
        <w:tab w:val="num" w:pos="360"/>
      </w:tabs>
      <w:spacing w:before="60" w:after="0" w:line="240" w:lineRule="auto"/>
      <w:ind w:left="1494" w:hanging="720"/>
    </w:pPr>
    <w:rPr>
      <w:rFonts w:ascii="Calibri" w:eastAsia="Calibri" w:hAnsi="Calibri"/>
      <w:spacing w:val="2"/>
      <w:sz w:val="18"/>
      <w:szCs w:val="18"/>
    </w:rPr>
  </w:style>
  <w:style w:type="character" w:customStyle="1" w:styleId="ListBulletChar">
    <w:name w:val="List Bullet Char"/>
    <w:basedOn w:val="DefaultParagraphFont"/>
    <w:uiPriority w:val="24"/>
    <w:rsid w:val="00F46260"/>
    <w:rPr>
      <w:rFonts w:ascii="Calibri" w:eastAsia="Calibri" w:hAnsi="Calibri" w:cs="Times New Roman"/>
      <w:spacing w:val="2"/>
      <w:sz w:val="18"/>
      <w:szCs w:val="18"/>
      <w:lang w:eastAsia="en-US"/>
    </w:rPr>
  </w:style>
  <w:style w:type="numbering" w:customStyle="1" w:styleId="GuidanceAlphaListStyle">
    <w:name w:val="Guidance Alpha List Style"/>
    <w:uiPriority w:val="99"/>
    <w:rsid w:val="00F46260"/>
    <w:pPr>
      <w:numPr>
        <w:numId w:val="40"/>
      </w:numPr>
    </w:pPr>
  </w:style>
  <w:style w:type="paragraph" w:customStyle="1" w:styleId="NormalIndent1">
    <w:name w:val="Normal Indent1"/>
    <w:basedOn w:val="Normal"/>
    <w:next w:val="NormalIndent"/>
    <w:uiPriority w:val="4"/>
    <w:unhideWhenUsed/>
    <w:qFormat/>
    <w:rsid w:val="00F46260"/>
    <w:pPr>
      <w:keepLines/>
      <w:spacing w:before="120" w:after="0" w:line="240" w:lineRule="auto"/>
      <w:ind w:left="720"/>
    </w:pPr>
    <w:rPr>
      <w:rFonts w:ascii="Calibri" w:eastAsia="Calibri" w:hAnsi="Calibri"/>
      <w:spacing w:val="2"/>
      <w:sz w:val="18"/>
      <w:szCs w:val="18"/>
    </w:rPr>
  </w:style>
  <w:style w:type="paragraph" w:customStyle="1" w:styleId="TableHeading">
    <w:name w:val="Table Heading"/>
    <w:basedOn w:val="Normal"/>
    <w:next w:val="Normal"/>
    <w:uiPriority w:val="49"/>
    <w:qFormat/>
    <w:rsid w:val="00F46260"/>
    <w:pPr>
      <w:keepNext/>
      <w:keepLines/>
      <w:tabs>
        <w:tab w:val="left" w:pos="1134"/>
        <w:tab w:val="right" w:pos="9639"/>
        <w:tab w:val="right" w:pos="14572"/>
      </w:tabs>
      <w:spacing w:before="240" w:after="60" w:line="240" w:lineRule="auto"/>
      <w:ind w:left="1134" w:hanging="1134"/>
    </w:pPr>
    <w:rPr>
      <w:rFonts w:ascii="Cambria" w:eastAsia="Calibri" w:hAnsi="Cambria"/>
      <w:b/>
      <w:spacing w:val="2"/>
      <w:sz w:val="18"/>
      <w:szCs w:val="20"/>
    </w:rPr>
  </w:style>
  <w:style w:type="paragraph" w:customStyle="1" w:styleId="TableUnits">
    <w:name w:val="Table Units"/>
    <w:basedOn w:val="Normal"/>
    <w:next w:val="Normal"/>
    <w:link w:val="TableUnitsChar"/>
    <w:uiPriority w:val="50"/>
    <w:qFormat/>
    <w:rsid w:val="00F46260"/>
    <w:pPr>
      <w:keepNext/>
      <w:keepLines/>
      <w:spacing w:after="60" w:line="240" w:lineRule="auto"/>
      <w:jc w:val="right"/>
    </w:pPr>
    <w:rPr>
      <w:rFonts w:ascii="Cambria" w:eastAsia="Calibri" w:hAnsi="Cambria"/>
      <w:b/>
      <w:spacing w:val="2"/>
      <w:sz w:val="18"/>
      <w:szCs w:val="20"/>
    </w:rPr>
  </w:style>
  <w:style w:type="character" w:customStyle="1" w:styleId="TableUnitsChar">
    <w:name w:val="Table Units Char"/>
    <w:basedOn w:val="DefaultParagraphFont"/>
    <w:link w:val="TableUnits"/>
    <w:uiPriority w:val="50"/>
    <w:rsid w:val="00F46260"/>
    <w:rPr>
      <w:rFonts w:ascii="Cambria" w:eastAsia="Calibri" w:hAnsi="Cambria"/>
      <w:b/>
      <w:spacing w:val="2"/>
      <w:sz w:val="18"/>
      <w:szCs w:val="20"/>
    </w:rPr>
  </w:style>
  <w:style w:type="numbering" w:customStyle="1" w:styleId="ListBulletAlphaStyle">
    <w:name w:val="List Bullet/Alpha Style"/>
    <w:uiPriority w:val="99"/>
    <w:rsid w:val="00F46260"/>
    <w:pPr>
      <w:numPr>
        <w:numId w:val="41"/>
      </w:numPr>
    </w:pPr>
  </w:style>
  <w:style w:type="table" w:customStyle="1" w:styleId="DTFFinancialTable">
    <w:name w:val="DTF Financial Table"/>
    <w:basedOn w:val="DTFtexttable"/>
    <w:uiPriority w:val="99"/>
    <w:rsid w:val="00F46260"/>
    <w:pPr>
      <w:spacing w:before="20" w:after="20" w:line="240" w:lineRule="auto"/>
      <w:jc w:val="right"/>
    </w:pPr>
    <w:rPr>
      <w:spacing w:val="0"/>
      <w:sz w:val="17"/>
      <w:szCs w:val="22"/>
    </w:rPr>
    <w:tblPr>
      <w:tblStyleColBandSize w:val="0"/>
      <w:tblInd w:w="28" w:type="dxa"/>
    </w:tblPr>
    <w:tblStylePr w:type="firstRow">
      <w:pPr>
        <w:keepNext/>
        <w:keepLines/>
        <w:widowControl/>
        <w:wordWrap/>
        <w:spacing w:beforeLines="0" w:before="20" w:beforeAutospacing="0" w:afterLines="0" w:after="20" w:afterAutospacing="0" w:line="240" w:lineRule="auto"/>
        <w:ind w:leftChars="0" w:left="0" w:rightChars="0" w:right="0" w:firstLineChars="0" w:firstLine="0"/>
        <w:jc w:val="right"/>
      </w:pPr>
      <w:rPr>
        <w:b/>
        <w:i/>
        <w:color w:val="FFFFFF"/>
      </w:rPr>
      <w:tblPr/>
      <w:trPr>
        <w:cantSplit w:val="0"/>
        <w:tblHeader/>
      </w:trPr>
      <w:tcPr>
        <w:shd w:val="clear" w:color="auto" w:fill="000000"/>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shd w:val="clear" w:color="auto" w:fill="FFFFFF"/>
      </w:tcPr>
    </w:tblStylePr>
    <w:tblStylePr w:type="firstCol">
      <w:pPr>
        <w:wordWrap/>
        <w:spacing w:line="240" w:lineRule="auto"/>
        <w:ind w:leftChars="0" w:left="170" w:rightChars="0" w:right="0" w:firstLineChars="0" w:hanging="170"/>
        <w:mirrorIndents w:val="0"/>
        <w:jc w:val="left"/>
      </w:pPr>
      <w:tblPr/>
      <w:tcPr>
        <w:shd w:val="clear" w:color="auto" w:fill="FFFFFF"/>
      </w:tcPr>
    </w:tblStylePr>
    <w:tblStylePr w:type="lastCol">
      <w:pPr>
        <w:jc w:val="left"/>
      </w:pPr>
      <w:rPr>
        <w:b w:val="0"/>
      </w:rPr>
    </w:tblStylePr>
    <w:tblStylePr w:type="band1Vert">
      <w:pPr>
        <w:jc w:val="left"/>
      </w:pPr>
      <w:tblPr/>
      <w:tcPr>
        <w:shd w:val="clear" w:color="auto" w:fill="EEECE1"/>
      </w:tcPr>
    </w:tblStylePr>
    <w:tblStylePr w:type="band2Vert">
      <w:pPr>
        <w:jc w:val="left"/>
      </w:pPr>
    </w:tblStylePr>
    <w:tblStylePr w:type="band1Horz">
      <w:tblPr/>
      <w:tcPr>
        <w:shd w:val="clear" w:color="auto" w:fill="FFFFFF"/>
      </w:tcPr>
    </w:tblStylePr>
    <w:tblStylePr w:type="band2Horz">
      <w:tblPr/>
      <w:tcPr>
        <w:shd w:val="clear" w:color="auto" w:fill="F2F2F2"/>
      </w:tcPr>
    </w:tblStylePr>
    <w:tblStylePr w:type="neCell">
      <w:pPr>
        <w:jc w:val="left"/>
      </w:pPr>
    </w:tblStylePr>
    <w:tblStylePr w:type="nwCell">
      <w:pPr>
        <w:wordWrap/>
        <w:ind w:leftChars="0" w:left="0" w:rightChars="0" w:right="0"/>
        <w:jc w:val="left"/>
      </w:pPr>
    </w:tblStylePr>
    <w:tblStylePr w:type="seCell">
      <w:pPr>
        <w:jc w:val="left"/>
      </w:pPr>
    </w:tblStylePr>
    <w:tblStylePr w:type="swCell">
      <w:pPr>
        <w:jc w:val="left"/>
      </w:pPr>
    </w:tblStylePr>
  </w:style>
  <w:style w:type="character" w:customStyle="1" w:styleId="Heading3Char0">
    <w:name w:val="Heading 3 (#) Char"/>
    <w:basedOn w:val="DefaultParagraphFont"/>
    <w:link w:val="Heading3"/>
    <w:uiPriority w:val="14"/>
    <w:rsid w:val="00F46260"/>
    <w:rPr>
      <w:rFonts w:ascii="Cambria" w:eastAsia="Times New Roman" w:hAnsi="Cambria" w:cstheme="majorBidi"/>
      <w:b/>
      <w:bCs/>
      <w:spacing w:val="-2"/>
      <w:sz w:val="20"/>
      <w:szCs w:val="26"/>
      <w:lang w:eastAsia="en-AU"/>
    </w:rPr>
  </w:style>
  <w:style w:type="paragraph" w:customStyle="1" w:styleId="ListContinue1">
    <w:name w:val="List Continue1"/>
    <w:basedOn w:val="Normal"/>
    <w:next w:val="ListContinue"/>
    <w:uiPriority w:val="26"/>
    <w:semiHidden/>
    <w:unhideWhenUsed/>
    <w:rsid w:val="00F46260"/>
    <w:pPr>
      <w:keepLines/>
      <w:spacing w:before="40" w:after="80" w:line="264" w:lineRule="auto"/>
      <w:ind w:left="397"/>
    </w:pPr>
    <w:rPr>
      <w:rFonts w:ascii="Calibri" w:eastAsia="Calibri" w:hAnsi="Calibri"/>
      <w:sz w:val="18"/>
      <w:szCs w:val="18"/>
    </w:rPr>
  </w:style>
  <w:style w:type="paragraph" w:customStyle="1" w:styleId="ListBullet41">
    <w:name w:val="List Bullet 41"/>
    <w:basedOn w:val="ListContinue4"/>
    <w:next w:val="ListBullet4"/>
    <w:uiPriority w:val="24"/>
    <w:semiHidden/>
    <w:unhideWhenUsed/>
    <w:rsid w:val="00F46260"/>
    <w:pPr>
      <w:keepLines/>
      <w:tabs>
        <w:tab w:val="num" w:pos="360"/>
        <w:tab w:val="num" w:pos="2880"/>
      </w:tabs>
      <w:spacing w:before="40" w:line="264" w:lineRule="auto"/>
    </w:pPr>
    <w:rPr>
      <w:rFonts w:ascii="Calibri" w:eastAsia="Calibri" w:hAnsi="Calibri"/>
      <w:sz w:val="18"/>
      <w:szCs w:val="18"/>
      <w:lang w:eastAsia="en-US"/>
    </w:rPr>
  </w:style>
  <w:style w:type="paragraph" w:customStyle="1" w:styleId="ListBullet51">
    <w:name w:val="List Bullet 51"/>
    <w:basedOn w:val="ListContinue5"/>
    <w:next w:val="ListBullet5"/>
    <w:uiPriority w:val="24"/>
    <w:semiHidden/>
    <w:unhideWhenUsed/>
    <w:rsid w:val="00F46260"/>
    <w:pPr>
      <w:keepLines/>
      <w:tabs>
        <w:tab w:val="num" w:pos="360"/>
        <w:tab w:val="num" w:pos="3600"/>
      </w:tabs>
      <w:spacing w:before="40" w:line="264" w:lineRule="auto"/>
    </w:pPr>
    <w:rPr>
      <w:rFonts w:ascii="Calibri" w:eastAsia="Calibri" w:hAnsi="Calibri"/>
      <w:sz w:val="18"/>
      <w:szCs w:val="18"/>
      <w:lang w:eastAsia="en-US"/>
    </w:rPr>
  </w:style>
  <w:style w:type="numbering" w:customStyle="1" w:styleId="BulletListStyle">
    <w:name w:val="Bullet List Style"/>
    <w:uiPriority w:val="99"/>
    <w:rsid w:val="00F46260"/>
    <w:pPr>
      <w:numPr>
        <w:numId w:val="43"/>
      </w:numPr>
    </w:pPr>
  </w:style>
  <w:style w:type="paragraph" w:styleId="ListContinue4">
    <w:name w:val="List Continue 4"/>
    <w:basedOn w:val="Normal"/>
    <w:locked/>
    <w:rsid w:val="00F46260"/>
    <w:pPr>
      <w:spacing w:after="120" w:line="240" w:lineRule="auto"/>
      <w:ind w:left="1132"/>
      <w:contextualSpacing/>
    </w:pPr>
    <w:rPr>
      <w:rFonts w:ascii="Times New Roman" w:eastAsia="Times New Roman" w:hAnsi="Times New Roman"/>
      <w:sz w:val="20"/>
      <w:szCs w:val="20"/>
      <w:lang w:eastAsia="en-AU"/>
    </w:rPr>
  </w:style>
  <w:style w:type="paragraph" w:styleId="ListContinue5">
    <w:name w:val="List Continue 5"/>
    <w:basedOn w:val="Normal"/>
    <w:locked/>
    <w:rsid w:val="00F46260"/>
    <w:pPr>
      <w:spacing w:after="120" w:line="240" w:lineRule="auto"/>
      <w:ind w:left="1415"/>
      <w:contextualSpacing/>
    </w:pPr>
    <w:rPr>
      <w:rFonts w:ascii="Times New Roman" w:eastAsia="Times New Roman" w:hAnsi="Times New Roman"/>
      <w:sz w:val="20"/>
      <w:szCs w:val="20"/>
      <w:lang w:eastAsia="en-AU"/>
    </w:rPr>
  </w:style>
  <w:style w:type="paragraph" w:styleId="ListBullet">
    <w:name w:val="List Bullet"/>
    <w:basedOn w:val="Normal"/>
    <w:uiPriority w:val="99"/>
    <w:semiHidden/>
    <w:unhideWhenUsed/>
    <w:rsid w:val="00F46260"/>
    <w:pPr>
      <w:numPr>
        <w:numId w:val="15"/>
      </w:numPr>
      <w:contextualSpacing/>
    </w:pPr>
  </w:style>
  <w:style w:type="paragraph" w:styleId="ListBullet2">
    <w:name w:val="List Bullet 2"/>
    <w:basedOn w:val="Normal"/>
    <w:uiPriority w:val="99"/>
    <w:semiHidden/>
    <w:unhideWhenUsed/>
    <w:locked/>
    <w:rsid w:val="00F46260"/>
    <w:pPr>
      <w:numPr>
        <w:numId w:val="16"/>
      </w:numPr>
      <w:contextualSpacing/>
    </w:pPr>
  </w:style>
  <w:style w:type="paragraph" w:styleId="ListBullet3">
    <w:name w:val="List Bullet 3"/>
    <w:basedOn w:val="Normal"/>
    <w:uiPriority w:val="99"/>
    <w:semiHidden/>
    <w:unhideWhenUsed/>
    <w:locked/>
    <w:rsid w:val="00F46260"/>
    <w:pPr>
      <w:numPr>
        <w:numId w:val="17"/>
      </w:numPr>
      <w:contextualSpacing/>
    </w:pPr>
  </w:style>
  <w:style w:type="paragraph" w:styleId="NormalIndent">
    <w:name w:val="Normal Indent"/>
    <w:basedOn w:val="Normal"/>
    <w:uiPriority w:val="99"/>
    <w:semiHidden/>
    <w:unhideWhenUsed/>
    <w:locked/>
    <w:rsid w:val="00F46260"/>
    <w:pPr>
      <w:ind w:left="720"/>
    </w:pPr>
  </w:style>
  <w:style w:type="paragraph" w:styleId="ListContinue">
    <w:name w:val="List Continue"/>
    <w:basedOn w:val="Normal"/>
    <w:uiPriority w:val="99"/>
    <w:semiHidden/>
    <w:unhideWhenUsed/>
    <w:rsid w:val="00F46260"/>
    <w:pPr>
      <w:spacing w:after="120"/>
      <w:ind w:left="283"/>
      <w:contextualSpacing/>
    </w:pPr>
  </w:style>
  <w:style w:type="paragraph" w:styleId="ListBullet4">
    <w:name w:val="List Bullet 4"/>
    <w:basedOn w:val="Normal"/>
    <w:uiPriority w:val="99"/>
    <w:semiHidden/>
    <w:unhideWhenUsed/>
    <w:locked/>
    <w:rsid w:val="00F46260"/>
    <w:pPr>
      <w:numPr>
        <w:numId w:val="18"/>
      </w:numPr>
      <w:contextualSpacing/>
    </w:pPr>
  </w:style>
  <w:style w:type="paragraph" w:styleId="ListBullet5">
    <w:name w:val="List Bullet 5"/>
    <w:basedOn w:val="Normal"/>
    <w:uiPriority w:val="99"/>
    <w:semiHidden/>
    <w:unhideWhenUsed/>
    <w:locked/>
    <w:rsid w:val="00F46260"/>
    <w:pPr>
      <w:numPr>
        <w:numId w:val="19"/>
      </w:numPr>
      <w:contextualSpacing/>
    </w:pPr>
  </w:style>
  <w:style w:type="character" w:styleId="FollowedHyperlink">
    <w:name w:val="FollowedHyperlink"/>
    <w:basedOn w:val="DefaultParagraphFont"/>
    <w:uiPriority w:val="99"/>
    <w:semiHidden/>
    <w:unhideWhenUsed/>
    <w:rsid w:val="00121EF6"/>
    <w:rPr>
      <w:color w:val="64266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881108">
      <w:bodyDiv w:val="1"/>
      <w:marLeft w:val="0"/>
      <w:marRight w:val="0"/>
      <w:marTop w:val="0"/>
      <w:marBottom w:val="0"/>
      <w:divBdr>
        <w:top w:val="none" w:sz="0" w:space="0" w:color="auto"/>
        <w:left w:val="none" w:sz="0" w:space="0" w:color="auto"/>
        <w:bottom w:val="none" w:sz="0" w:space="0" w:color="auto"/>
        <w:right w:val="none" w:sz="0" w:space="0" w:color="auto"/>
      </w:divBdr>
    </w:div>
    <w:div w:id="273367607">
      <w:bodyDiv w:val="1"/>
      <w:marLeft w:val="0"/>
      <w:marRight w:val="0"/>
      <w:marTop w:val="0"/>
      <w:marBottom w:val="0"/>
      <w:divBdr>
        <w:top w:val="none" w:sz="0" w:space="0" w:color="auto"/>
        <w:left w:val="none" w:sz="0" w:space="0" w:color="auto"/>
        <w:bottom w:val="none" w:sz="0" w:space="0" w:color="auto"/>
        <w:right w:val="none" w:sz="0" w:space="0" w:color="auto"/>
      </w:divBdr>
    </w:div>
    <w:div w:id="496580404">
      <w:bodyDiv w:val="1"/>
      <w:marLeft w:val="0"/>
      <w:marRight w:val="0"/>
      <w:marTop w:val="0"/>
      <w:marBottom w:val="0"/>
      <w:divBdr>
        <w:top w:val="none" w:sz="0" w:space="0" w:color="auto"/>
        <w:left w:val="none" w:sz="0" w:space="0" w:color="auto"/>
        <w:bottom w:val="none" w:sz="0" w:space="0" w:color="auto"/>
        <w:right w:val="none" w:sz="0" w:space="0" w:color="auto"/>
      </w:divBdr>
    </w:div>
    <w:div w:id="1279800750">
      <w:bodyDiv w:val="1"/>
      <w:marLeft w:val="0"/>
      <w:marRight w:val="0"/>
      <w:marTop w:val="0"/>
      <w:marBottom w:val="0"/>
      <w:divBdr>
        <w:top w:val="none" w:sz="0" w:space="0" w:color="auto"/>
        <w:left w:val="none" w:sz="0" w:space="0" w:color="auto"/>
        <w:bottom w:val="none" w:sz="0" w:space="0" w:color="auto"/>
        <w:right w:val="none" w:sz="0" w:space="0" w:color="auto"/>
      </w:divBdr>
    </w:div>
    <w:div w:id="1284538366">
      <w:bodyDiv w:val="1"/>
      <w:marLeft w:val="0"/>
      <w:marRight w:val="0"/>
      <w:marTop w:val="0"/>
      <w:marBottom w:val="0"/>
      <w:divBdr>
        <w:top w:val="none" w:sz="0" w:space="0" w:color="auto"/>
        <w:left w:val="none" w:sz="0" w:space="0" w:color="auto"/>
        <w:bottom w:val="none" w:sz="0" w:space="0" w:color="auto"/>
        <w:right w:val="none" w:sz="0" w:space="0" w:color="auto"/>
      </w:divBdr>
    </w:div>
    <w:div w:id="1494835690">
      <w:bodyDiv w:val="1"/>
      <w:marLeft w:val="0"/>
      <w:marRight w:val="0"/>
      <w:marTop w:val="0"/>
      <w:marBottom w:val="0"/>
      <w:divBdr>
        <w:top w:val="none" w:sz="0" w:space="0" w:color="auto"/>
        <w:left w:val="none" w:sz="0" w:space="0" w:color="auto"/>
        <w:bottom w:val="none" w:sz="0" w:space="0" w:color="auto"/>
        <w:right w:val="none" w:sz="0" w:space="0" w:color="auto"/>
      </w:divBdr>
    </w:div>
    <w:div w:id="153164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c.gov.au/jobs-and-skills-exchange" TargetMode="External"/><Relationship Id="rId18" Type="http://schemas.openxmlformats.org/officeDocument/2006/relationships/hyperlink" Target="https://careers.vic.gov.au/" TargetMode="External"/><Relationship Id="rId26" Type="http://schemas.openxmlformats.org/officeDocument/2006/relationships/hyperlink" Target="https://vpsc.vic.gov.au/resources/public-entity-executive-pre-employment-misconduct-screening-policy-and-resources/model-policy-pre-employment-misconduct-screening-for-public-entity-executives/" TargetMode="External"/><Relationship Id="rId39" Type="http://schemas.openxmlformats.org/officeDocument/2006/relationships/footer" Target="footer1.xml"/><Relationship Id="rId21" Type="http://schemas.openxmlformats.org/officeDocument/2006/relationships/hyperlink" Target="https://vpsc.vic.gov.au/toolkits/wellbeing/" TargetMode="External"/><Relationship Id="rId34" Type="http://schemas.openxmlformats.org/officeDocument/2006/relationships/hyperlink" Target="http://www.ibac.vic.gov.au" TargetMode="External"/><Relationship Id="rId42" Type="http://schemas.openxmlformats.org/officeDocument/2006/relationships/header" Target="header2.xml"/><Relationship Id="rId47" Type="http://schemas.openxmlformats.org/officeDocument/2006/relationships/footer" Target="footer6.xml"/><Relationship Id="rId50" Type="http://schemas.openxmlformats.org/officeDocument/2006/relationships/footer" Target="footer7.xml"/><Relationship Id="rId55" Type="http://schemas.openxmlformats.org/officeDocument/2006/relationships/header" Target="header9.xml"/><Relationship Id="rId63" Type="http://schemas.openxmlformats.org/officeDocument/2006/relationships/footer" Target="footer14.xml"/><Relationship Id="rId68" Type="http://schemas.openxmlformats.org/officeDocument/2006/relationships/footer" Target="footer17.xml"/><Relationship Id="rId76" Type="http://schemas.openxmlformats.org/officeDocument/2006/relationships/header" Target="header18.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vpsc.vic.gov.au/resources/disability-employment-action-plan/" TargetMode="External"/><Relationship Id="rId29" Type="http://schemas.openxmlformats.org/officeDocument/2006/relationships/hyperlink" Target="https://vpsc.vic.gov.au/html-resources/integrity-guide-for-new-board-directors/" TargetMode="External"/><Relationship Id="rId11" Type="http://schemas.openxmlformats.org/officeDocument/2006/relationships/hyperlink" Target="https://vpsc.vic.gov.au/data-and-research/data-facts-visuals-state-of-the-sector/" TargetMode="External"/><Relationship Id="rId24" Type="http://schemas.openxmlformats.org/officeDocument/2006/relationships/hyperlink" Target="https://vpsc.vic.gov.au/ethics-behaviours-culture/employment-principles-and-standards/" TargetMode="External"/><Relationship Id="rId32" Type="http://schemas.openxmlformats.org/officeDocument/2006/relationships/image" Target="media/image1.png"/><Relationship Id="rId37" Type="http://schemas.openxmlformats.org/officeDocument/2006/relationships/chart" Target="charts/chart1.xml"/><Relationship Id="rId40" Type="http://schemas.openxmlformats.org/officeDocument/2006/relationships/footer" Target="footer2.xml"/><Relationship Id="rId45" Type="http://schemas.openxmlformats.org/officeDocument/2006/relationships/footer" Target="footer5.xml"/><Relationship Id="rId53" Type="http://schemas.openxmlformats.org/officeDocument/2006/relationships/footer" Target="footer9.xml"/><Relationship Id="rId58" Type="http://schemas.openxmlformats.org/officeDocument/2006/relationships/header" Target="header10.xml"/><Relationship Id="rId66" Type="http://schemas.openxmlformats.org/officeDocument/2006/relationships/header" Target="header14.xml"/><Relationship Id="rId74" Type="http://schemas.openxmlformats.org/officeDocument/2006/relationships/footer" Target="footer19.xml"/><Relationship Id="rId79" Type="http://schemas.openxmlformats.org/officeDocument/2006/relationships/hyperlink" Target="mailto:info@vpsc.vic.gov.au" TargetMode="External"/><Relationship Id="rId5" Type="http://schemas.openxmlformats.org/officeDocument/2006/relationships/settings" Target="settings.xml"/><Relationship Id="rId61" Type="http://schemas.openxmlformats.org/officeDocument/2006/relationships/header" Target="header12.xml"/><Relationship Id="rId82" Type="http://schemas.openxmlformats.org/officeDocument/2006/relationships/footer" Target="footer22.xml"/><Relationship Id="rId10" Type="http://schemas.openxmlformats.org/officeDocument/2006/relationships/hyperlink" Target="https://vpsc.vic.gov.au/about-vpsc/strategic-plan-to-2023/" TargetMode="External"/><Relationship Id="rId19" Type="http://schemas.openxmlformats.org/officeDocument/2006/relationships/hyperlink" Target="https://www.boards.vic.gov.au/" TargetMode="External"/><Relationship Id="rId31" Type="http://schemas.openxmlformats.org/officeDocument/2006/relationships/hyperlink" Target="https://vpsc.vic.gov.au/resources/victorian-public-entity-executive-employment/" TargetMode="External"/><Relationship Id="rId44" Type="http://schemas.openxmlformats.org/officeDocument/2006/relationships/footer" Target="footer4.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15.xml"/><Relationship Id="rId73" Type="http://schemas.openxmlformats.org/officeDocument/2006/relationships/header" Target="header17.xml"/><Relationship Id="rId78" Type="http://schemas.openxmlformats.org/officeDocument/2006/relationships/image" Target="media/image6.jpg"/><Relationship Id="rId81" Type="http://schemas.openxmlformats.org/officeDocument/2006/relationships/header" Target="header19.xml"/><Relationship Id="rId4" Type="http://schemas.openxmlformats.org/officeDocument/2006/relationships/styles" Target="styles.xml"/><Relationship Id="rId9" Type="http://schemas.openxmlformats.org/officeDocument/2006/relationships/hyperlink" Target="https://www.legislation.vic.gov.au/in-force/acts/public-administration-act-2004/079" TargetMode="External"/><Relationship Id="rId14" Type="http://schemas.openxmlformats.org/officeDocument/2006/relationships/hyperlink" Target="https://vpsc.vic.gov.au/resources/flexible-work-policy-and-resources/" TargetMode="External"/><Relationship Id="rId22" Type="http://schemas.openxmlformats.org/officeDocument/2006/relationships/hyperlink" Target="https://vpsc.vic.gov.au/resources/victorian-public-service-executive-employment/" TargetMode="External"/><Relationship Id="rId27" Type="http://schemas.openxmlformats.org/officeDocument/2006/relationships/hyperlink" Target="https://vpsc.vic.gov.au/maintaining-integrity-when-working-remotely/" TargetMode="External"/><Relationship Id="rId30" Type="http://schemas.openxmlformats.org/officeDocument/2006/relationships/hyperlink" Target="https://vpsc.vic.gov.au/html-resources/board-directors-induction-checklist-for-organisations/" TargetMode="External"/><Relationship Id="rId35" Type="http://schemas.openxmlformats.org/officeDocument/2006/relationships/hyperlink" Target="https://vpsc.vic.gov.au/resources/accessibility-action-plan-2019-2022/" TargetMode="External"/><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footer" Target="footer10.xml"/><Relationship Id="rId64" Type="http://schemas.openxmlformats.org/officeDocument/2006/relationships/header" Target="header13.xml"/><Relationship Id="rId69" Type="http://schemas.openxmlformats.org/officeDocument/2006/relationships/header" Target="header15.xml"/><Relationship Id="rId77"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header" Target="header16.xml"/><Relationship Id="rId80" Type="http://schemas.openxmlformats.org/officeDocument/2006/relationships/hyperlink" Target="https://vpsc.vic.gov.au/resources/annual-reports/" TargetMode="External"/><Relationship Id="rId3" Type="http://schemas.openxmlformats.org/officeDocument/2006/relationships/numbering" Target="numbering.xml"/><Relationship Id="rId12" Type="http://schemas.openxmlformats.org/officeDocument/2006/relationships/hyperlink" Target="https://vpsc.vic.gov.au/data-and-research/people-matter-survey/" TargetMode="External"/><Relationship Id="rId17" Type="http://schemas.openxmlformats.org/officeDocument/2006/relationships/hyperlink" Target="https://www.vic.gov.au/victorian-government-graduate-program" TargetMode="External"/><Relationship Id="rId25" Type="http://schemas.openxmlformats.org/officeDocument/2006/relationships/hyperlink" Target="https://www.lobbyistsregister.vic.gov.au/lobbyistsregister/main/index.htm" TargetMode="External"/><Relationship Id="rId33" Type="http://schemas.openxmlformats.org/officeDocument/2006/relationships/hyperlink" Target="https://vpsc.vic.gov.au/wp-content/uploads/2019/05/Mental-Health-and-Wellbeing-Charter-Leading-the-Way.pdf" TargetMode="External"/><Relationship Id="rId38" Type="http://schemas.openxmlformats.org/officeDocument/2006/relationships/header" Target="header1.xml"/><Relationship Id="rId46" Type="http://schemas.openxmlformats.org/officeDocument/2006/relationships/header" Target="header4.xml"/><Relationship Id="rId59" Type="http://schemas.openxmlformats.org/officeDocument/2006/relationships/footer" Target="footer12.xml"/><Relationship Id="rId67" Type="http://schemas.openxmlformats.org/officeDocument/2006/relationships/footer" Target="footer16.xml"/><Relationship Id="rId20" Type="http://schemas.openxmlformats.org/officeDocument/2006/relationships/hyperlink" Target="https://www.boards.vic.gov.au/" TargetMode="External"/><Relationship Id="rId41" Type="http://schemas.openxmlformats.org/officeDocument/2006/relationships/footer" Target="footer3.xml"/><Relationship Id="rId54" Type="http://schemas.openxmlformats.org/officeDocument/2006/relationships/header" Target="header8.xml"/><Relationship Id="rId62" Type="http://schemas.openxmlformats.org/officeDocument/2006/relationships/footer" Target="footer13.xml"/><Relationship Id="rId70" Type="http://schemas.openxmlformats.org/officeDocument/2006/relationships/footer" Target="footer18.xml"/><Relationship Id="rId75" Type="http://schemas.openxmlformats.org/officeDocument/2006/relationships/footer" Target="footer20.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psc.vic.gov.au/aboriginal-employment/barring-djinang/" TargetMode="External"/><Relationship Id="rId23" Type="http://schemas.openxmlformats.org/officeDocument/2006/relationships/hyperlink" Target="https://vpsc.vic.gov.au/ethics-behaviours-culture/codes-of-conduct/" TargetMode="External"/><Relationship Id="rId28" Type="http://schemas.openxmlformats.org/officeDocument/2006/relationships/hyperlink" Target="https://vpsc.vic.gov.au/resources/prevention-sexual-harassment-workplace/" TargetMode="External"/><Relationship Id="rId36" Type="http://schemas.openxmlformats.org/officeDocument/2006/relationships/hyperlink" Target="https://www.dtf.vic.gov.au/infrastructure-investment/asset-management-accountability-framework" TargetMode="External"/><Relationship Id="rId49" Type="http://schemas.openxmlformats.org/officeDocument/2006/relationships/header" Target="header6.xml"/><Relationship Id="rId57" Type="http://schemas.openxmlformats.org/officeDocument/2006/relationships/footer" Target="footer11.xml"/></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vicxz96\AppData\Local\Microsoft\Windows\INetCache\Content.Outlook\NMHPUHBV\VPSC%20AMAF%20Compliance%20tool.xlsx" TargetMode="External"/><Relationship Id="rId1" Type="http://schemas.openxmlformats.org/officeDocument/2006/relationships/image" Target="../media/image2.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881992833396"/>
          <c:y val="0.1459264027759451"/>
          <c:w val="0.69066701368254257"/>
          <c:h val="0.94074944446276465"/>
        </c:manualLayout>
      </c:layout>
      <c:radarChart>
        <c:radarStyle val="filled"/>
        <c:varyColors val="0"/>
        <c:ser>
          <c:idx val="2"/>
          <c:order val="0"/>
          <c:spPr>
            <a:solidFill>
              <a:srgbClr val="ABFF57"/>
            </a:solidFill>
          </c:spPr>
          <c:cat>
            <c:strRef>
              <c:f>'Progress Summary'!$AQ$77:$AQ$123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0-0EB1-455A-BFF2-D3D1F23B0228}"/>
            </c:ext>
          </c:extLst>
        </c:ser>
        <c:ser>
          <c:idx val="3"/>
          <c:order val="1"/>
          <c:spPr>
            <a:solidFill>
              <a:srgbClr val="FFFF00"/>
            </a:solidFill>
          </c:spPr>
          <c:cat>
            <c:strRef>
              <c:f>'Progress Summary'!$AQ$77:$AQ$123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1-0EB1-455A-BFF2-D3D1F23B0228}"/>
            </c:ext>
          </c:extLst>
        </c:ser>
        <c:ser>
          <c:idx val="4"/>
          <c:order val="2"/>
          <c:spPr>
            <a:solidFill>
              <a:srgbClr val="FFC000"/>
            </a:solidFill>
          </c:spPr>
          <c:cat>
            <c:strRef>
              <c:f>'Progress Summary'!$AQ$77:$AQ$123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2-0EB1-455A-BFF2-D3D1F23B0228}"/>
            </c:ext>
          </c:extLst>
        </c:ser>
        <c:ser>
          <c:idx val="5"/>
          <c:order val="3"/>
          <c:spPr>
            <a:solidFill>
              <a:srgbClr val="FF0000"/>
            </a:solidFill>
          </c:spPr>
          <c:cat>
            <c:strRef>
              <c:f>'Progress Summary'!$AQ$77:$AQ$123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3-0EB1-455A-BFF2-D3D1F23B0228}"/>
            </c:ext>
          </c:extLst>
        </c:ser>
        <c:ser>
          <c:idx val="6"/>
          <c:order val="4"/>
          <c:tx>
            <c:strRef>
              <c:f>'Progress Summary'!$AV$76</c:f>
              <c:strCache>
                <c:ptCount val="1"/>
                <c:pt idx="0">
                  <c:v>Target maturity</c:v>
                </c:pt>
              </c:strCache>
            </c:strRef>
          </c:tx>
          <c:spPr>
            <a:solidFill>
              <a:srgbClr val="FF0000">
                <a:alpha val="30980"/>
              </a:srgbClr>
            </a:solidFill>
            <a:ln w="31750">
              <a:solidFill>
                <a:srgbClr val="FF0000"/>
              </a:solidFill>
            </a:ln>
          </c:spPr>
          <c:cat>
            <c:strRef>
              <c:f>'Progress Summary'!$AQ$77:$AQ$123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Ref>
              <c:f>'Progress Summary'!$AV$77:$AV$123</c:f>
              <c:numCache>
                <c:formatCode>General</c:formatCode>
                <c:ptCount val="47"/>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numCache>
            </c:numRef>
          </c:val>
          <c:extLst>
            <c:ext xmlns:c16="http://schemas.microsoft.com/office/drawing/2014/chart" uri="{C3380CC4-5D6E-409C-BE32-E72D297353CC}">
              <c16:uniqueId val="{00000004-0EB1-455A-BFF2-D3D1F23B0228}"/>
            </c:ext>
          </c:extLst>
        </c:ser>
        <c:ser>
          <c:idx val="0"/>
          <c:order val="5"/>
          <c:tx>
            <c:strRef>
              <c:f>'Progress Summary'!$AU$76</c:f>
              <c:strCache>
                <c:ptCount val="1"/>
                <c:pt idx="0">
                  <c:v>Overall Assessment</c:v>
                </c:pt>
              </c:strCache>
            </c:strRef>
          </c:tx>
          <c:spPr>
            <a:solidFill>
              <a:srgbClr val="000000">
                <a:alpha val="27059"/>
              </a:srgbClr>
            </a:solidFill>
            <a:ln w="38100">
              <a:solidFill>
                <a:sysClr val="windowText" lastClr="000000"/>
              </a:solidFill>
            </a:ln>
          </c:spPr>
          <c:val>
            <c:numRef>
              <c:f>'Progress Summary'!$AU$77:$AU$123</c:f>
              <c:numCache>
                <c:formatCode>General</c:formatCode>
                <c:ptCount val="47"/>
                <c:pt idx="0">
                  <c:v>3</c:v>
                </c:pt>
                <c:pt idx="1">
                  <c:v>3</c:v>
                </c:pt>
                <c:pt idx="2">
                  <c:v>0</c:v>
                </c:pt>
                <c:pt idx="3">
                  <c:v>3</c:v>
                </c:pt>
                <c:pt idx="4">
                  <c:v>3</c:v>
                </c:pt>
                <c:pt idx="5">
                  <c:v>3</c:v>
                </c:pt>
                <c:pt idx="6">
                  <c:v>3</c:v>
                </c:pt>
                <c:pt idx="7">
                  <c:v>2</c:v>
                </c:pt>
                <c:pt idx="8">
                  <c:v>2</c:v>
                </c:pt>
                <c:pt idx="9">
                  <c:v>0</c:v>
                </c:pt>
                <c:pt idx="10">
                  <c:v>3</c:v>
                </c:pt>
                <c:pt idx="11">
                  <c:v>3</c:v>
                </c:pt>
                <c:pt idx="12">
                  <c:v>3</c:v>
                </c:pt>
                <c:pt idx="13">
                  <c:v>3</c:v>
                </c:pt>
                <c:pt idx="14">
                  <c:v>3</c:v>
                </c:pt>
                <c:pt idx="15">
                  <c:v>3</c:v>
                </c:pt>
                <c:pt idx="16">
                  <c:v>3</c:v>
                </c:pt>
                <c:pt idx="17">
                  <c:v>3</c:v>
                </c:pt>
                <c:pt idx="18">
                  <c:v>3</c:v>
                </c:pt>
                <c:pt idx="19">
                  <c:v>3</c:v>
                </c:pt>
                <c:pt idx="20">
                  <c:v>3</c:v>
                </c:pt>
                <c:pt idx="21">
                  <c:v>3</c:v>
                </c:pt>
                <c:pt idx="22">
                  <c:v>1</c:v>
                </c:pt>
                <c:pt idx="23">
                  <c:v>1</c:v>
                </c:pt>
                <c:pt idx="24">
                  <c:v>1</c:v>
                </c:pt>
                <c:pt idx="25">
                  <c:v>2</c:v>
                </c:pt>
                <c:pt idx="26">
                  <c:v>2</c:v>
                </c:pt>
                <c:pt idx="27">
                  <c:v>0</c:v>
                </c:pt>
                <c:pt idx="28">
                  <c:v>3</c:v>
                </c:pt>
                <c:pt idx="29">
                  <c:v>3</c:v>
                </c:pt>
                <c:pt idx="30">
                  <c:v>3</c:v>
                </c:pt>
                <c:pt idx="31">
                  <c:v>3</c:v>
                </c:pt>
                <c:pt idx="32">
                  <c:v>3</c:v>
                </c:pt>
                <c:pt idx="33">
                  <c:v>3</c:v>
                </c:pt>
                <c:pt idx="34">
                  <c:v>3</c:v>
                </c:pt>
                <c:pt idx="35">
                  <c:v>3</c:v>
                </c:pt>
                <c:pt idx="36">
                  <c:v>3</c:v>
                </c:pt>
                <c:pt idx="37">
                  <c:v>2</c:v>
                </c:pt>
                <c:pt idx="38">
                  <c:v>2</c:v>
                </c:pt>
                <c:pt idx="39">
                  <c:v>2</c:v>
                </c:pt>
                <c:pt idx="40">
                  <c:v>2</c:v>
                </c:pt>
                <c:pt idx="41">
                  <c:v>2</c:v>
                </c:pt>
                <c:pt idx="42">
                  <c:v>2</c:v>
                </c:pt>
                <c:pt idx="43">
                  <c:v>2</c:v>
                </c:pt>
                <c:pt idx="44">
                  <c:v>3</c:v>
                </c:pt>
                <c:pt idx="45">
                  <c:v>3</c:v>
                </c:pt>
                <c:pt idx="46">
                  <c:v>3</c:v>
                </c:pt>
              </c:numCache>
            </c:numRef>
          </c:val>
          <c:extLst>
            <c:ext xmlns:c16="http://schemas.microsoft.com/office/drawing/2014/chart" uri="{C3380CC4-5D6E-409C-BE32-E72D297353CC}">
              <c16:uniqueId val="{00000005-0EB1-455A-BFF2-D3D1F23B0228}"/>
            </c:ext>
          </c:extLst>
        </c:ser>
        <c:dLbls>
          <c:showLegendKey val="0"/>
          <c:showVal val="0"/>
          <c:showCatName val="0"/>
          <c:showSerName val="0"/>
          <c:showPercent val="0"/>
          <c:showBubbleSize val="0"/>
        </c:dLbls>
        <c:axId val="199192960"/>
        <c:axId val="199194496"/>
      </c:radarChart>
      <c:catAx>
        <c:axId val="199192960"/>
        <c:scaling>
          <c:orientation val="minMax"/>
        </c:scaling>
        <c:delete val="0"/>
        <c:axPos val="b"/>
        <c:majorGridlines/>
        <c:numFmt formatCode="General" sourceLinked="0"/>
        <c:majorTickMark val="out"/>
        <c:minorTickMark val="none"/>
        <c:tickLblPos val="nextTo"/>
        <c:crossAx val="199194496"/>
        <c:crosses val="autoZero"/>
        <c:auto val="1"/>
        <c:lblAlgn val="ctr"/>
        <c:lblOffset val="100"/>
        <c:noMultiLvlLbl val="0"/>
      </c:catAx>
      <c:valAx>
        <c:axId val="199194496"/>
        <c:scaling>
          <c:orientation val="minMax"/>
          <c:max val="4"/>
        </c:scaling>
        <c:delete val="0"/>
        <c:axPos val="l"/>
        <c:majorGridlines/>
        <c:numFmt formatCode="General" sourceLinked="1"/>
        <c:majorTickMark val="cross"/>
        <c:minorTickMark val="none"/>
        <c:tickLblPos val="nextTo"/>
        <c:spPr>
          <a:noFill/>
        </c:spPr>
        <c:crossAx val="199192960"/>
        <c:crosses val="autoZero"/>
        <c:crossBetween val="between"/>
        <c:majorUnit val="1"/>
        <c:minorUnit val="0.2"/>
      </c:valAx>
      <c:spPr>
        <a:blipFill dpi="0" rotWithShape="1">
          <a:blip xmlns:r="http://schemas.openxmlformats.org/officeDocument/2006/relationships" r:embed="rId1"/>
          <a:srcRect/>
          <a:stretch>
            <a:fillRect l="-2400" t="-1400" b="-1300"/>
          </a:stretch>
        </a:blipFill>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VPSC">
  <a:themeElements>
    <a:clrScheme name="VPSC">
      <a:dk1>
        <a:srgbClr val="000000"/>
      </a:dk1>
      <a:lt1>
        <a:srgbClr val="FFFFFF"/>
      </a:lt1>
      <a:dk2>
        <a:srgbClr val="00573F"/>
      </a:dk2>
      <a:lt2>
        <a:srgbClr val="FFFFFF"/>
      </a:lt2>
      <a:accent1>
        <a:srgbClr val="007B4B"/>
      </a:accent1>
      <a:accent2>
        <a:srgbClr val="78BE20"/>
      </a:accent2>
      <a:accent3>
        <a:srgbClr val="642667"/>
      </a:accent3>
      <a:accent4>
        <a:srgbClr val="00B2A9"/>
      </a:accent4>
      <a:accent5>
        <a:srgbClr val="004C97"/>
      </a:accent5>
      <a:accent6>
        <a:srgbClr val="201547"/>
      </a:accent6>
      <a:hlink>
        <a:srgbClr val="00573F"/>
      </a:hlink>
      <a:folHlink>
        <a:srgbClr val="642667"/>
      </a:folHlink>
    </a:clrScheme>
    <a:fontScheme name="VPS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891870D-6706-4E69-A3D7-7FBF1D545642}">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E64948-66CD-4688-A079-B3E43AC5AA6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16536</Words>
  <Characters>94256</Characters>
  <Application>Microsoft Office Word</Application>
  <DocSecurity>2</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2021-10-27T05:38:00Z</dcterms:created>
  <dcterms:modified xsi:type="dcterms:W3CDTF">2021-10-27T05:40:00Z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SetDate">
    <vt:lpwstr>2021-10-27T05:40:22Z</vt:lpwstr>
  </property>
  <property fmtid="{D5CDD505-2E9C-101B-9397-08002B2CF9AE}" pid="4" name="MSIP_Label_7158ebbd-6c5e-441f-bfc9-4eb8c11e3978_Method">
    <vt:lpwstr>Privileged</vt:lpwstr>
  </property>
  <property fmtid="{D5CDD505-2E9C-101B-9397-08002B2CF9AE}" pid="5" name="MSIP_Label_7158ebbd-6c5e-441f-bfc9-4eb8c11e3978_Name">
    <vt:lpwstr>7158ebbd-6c5e-441f-bfc9-4eb8c11e3978</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ActionId">
    <vt:lpwstr>851856eb-b317-4389-86b0-4ee108a9bc41</vt:lpwstr>
  </property>
  <property fmtid="{D5CDD505-2E9C-101B-9397-08002B2CF9AE}" pid="8" name="MSIP_Label_7158ebbd-6c5e-441f-bfc9-4eb8c11e3978_ContentBits">
    <vt:lpwstr>2</vt:lpwstr>
  </property>
</Properties>
</file>