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8CDBA" w14:textId="616B6951" w:rsidR="00151CF5" w:rsidRPr="00151CF5" w:rsidRDefault="00151CF5" w:rsidP="00151CF5">
      <w:pPr>
        <w:pStyle w:val="Heading1"/>
      </w:pPr>
      <w:bookmarkStart w:id="0" w:name="_Toc170466207"/>
      <w:r w:rsidRPr="00151CF5">
        <w:t>A</w:t>
      </w:r>
      <w:r w:rsidRPr="00151CF5">
        <w:t xml:space="preserve">ppendix </w:t>
      </w:r>
      <w:r w:rsidRPr="00151CF5">
        <w:t>2</w:t>
      </w:r>
      <w:r w:rsidRPr="00151CF5">
        <w:t xml:space="preserve"> - </w:t>
      </w:r>
      <w:r w:rsidRPr="00151CF5">
        <w:t>Work value stream descriptors by band</w:t>
      </w:r>
      <w:bookmarkEnd w:id="0"/>
    </w:p>
    <w:p w14:paraId="161915A4" w14:textId="77777777" w:rsidR="00151CF5" w:rsidRDefault="00151CF5" w:rsidP="00151CF5">
      <w:pPr>
        <w:pStyle w:val="Heading2"/>
      </w:pPr>
      <w:bookmarkStart w:id="1" w:name="_Toc170466208"/>
      <w:r>
        <w:t>Public Entity S</w:t>
      </w:r>
      <w:r w:rsidRPr="00242D90">
        <w:t>enior Executive Service Band 1</w:t>
      </w:r>
      <w:r>
        <w:t xml:space="preserve"> (PESES-1)</w:t>
      </w:r>
      <w:r w:rsidRPr="00242D90">
        <w:t xml:space="preserve"> </w:t>
      </w:r>
      <w:r>
        <w:t>work streams</w:t>
      </w:r>
      <w:bookmarkEnd w:id="1"/>
    </w:p>
    <w:p w14:paraId="5B5FE97A" w14:textId="77777777" w:rsidR="00151CF5" w:rsidRDefault="00151CF5" w:rsidP="00151CF5">
      <w:pPr>
        <w:pStyle w:val="Body"/>
      </w:pPr>
      <w:r>
        <w:t>Positions</w:t>
      </w:r>
      <w:r>
        <w:rPr>
          <w:spacing w:val="-3"/>
        </w:rPr>
        <w:t xml:space="preserve"> </w:t>
      </w:r>
      <w:r>
        <w:t>at</w:t>
      </w:r>
      <w:r>
        <w:rPr>
          <w:spacing w:val="-5"/>
        </w:rPr>
        <w:t xml:space="preserve"> </w:t>
      </w:r>
      <w:r>
        <w:t>this</w:t>
      </w:r>
      <w:r>
        <w:rPr>
          <w:spacing w:val="-5"/>
        </w:rPr>
        <w:t xml:space="preserve"> </w:t>
      </w:r>
      <w:r>
        <w:t>level</w:t>
      </w:r>
      <w:r>
        <w:rPr>
          <w:spacing w:val="-5"/>
        </w:rPr>
        <w:t xml:space="preserve"> </w:t>
      </w:r>
      <w:r>
        <w:t>lead</w:t>
      </w:r>
      <w:r>
        <w:rPr>
          <w:spacing w:val="-5"/>
        </w:rPr>
        <w:t xml:space="preserve"> </w:t>
      </w:r>
      <w:r>
        <w:t>and</w:t>
      </w:r>
      <w:r>
        <w:rPr>
          <w:spacing w:val="-4"/>
        </w:rPr>
        <w:t xml:space="preserve"> </w:t>
      </w:r>
      <w:r>
        <w:t>manage</w:t>
      </w:r>
      <w:r>
        <w:rPr>
          <w:spacing w:val="-6"/>
        </w:rPr>
        <w:t xml:space="preserve"> </w:t>
      </w:r>
      <w:r>
        <w:t>in</w:t>
      </w:r>
      <w:r>
        <w:rPr>
          <w:spacing w:val="-4"/>
        </w:rPr>
        <w:t xml:space="preserve"> </w:t>
      </w:r>
      <w:r>
        <w:t>one</w:t>
      </w:r>
      <w:r>
        <w:rPr>
          <w:spacing w:val="-4"/>
        </w:rPr>
        <w:t xml:space="preserve"> </w:t>
      </w:r>
      <w:r>
        <w:t>or</w:t>
      </w:r>
      <w:r>
        <w:rPr>
          <w:spacing w:val="-4"/>
        </w:rPr>
        <w:t xml:space="preserve"> </w:t>
      </w:r>
      <w:r>
        <w:t>more</w:t>
      </w:r>
      <w:r>
        <w:rPr>
          <w:spacing w:val="-6"/>
        </w:rPr>
        <w:t xml:space="preserve"> </w:t>
      </w:r>
      <w:r>
        <w:t>of</w:t>
      </w:r>
      <w:r>
        <w:rPr>
          <w:spacing w:val="-4"/>
        </w:rPr>
        <w:t xml:space="preserve"> </w:t>
      </w:r>
      <w:r>
        <w:t>the</w:t>
      </w:r>
      <w:r>
        <w:rPr>
          <w:spacing w:val="-6"/>
        </w:rPr>
        <w:t xml:space="preserve"> </w:t>
      </w:r>
      <w:r>
        <w:t>functional</w:t>
      </w:r>
      <w:r>
        <w:rPr>
          <w:spacing w:val="-6"/>
        </w:rPr>
        <w:t xml:space="preserve"> </w:t>
      </w:r>
      <w:r>
        <w:t>streams</w:t>
      </w:r>
      <w:r>
        <w:rPr>
          <w:spacing w:val="-5"/>
        </w:rPr>
        <w:t xml:space="preserve"> </w:t>
      </w:r>
      <w:r>
        <w:t>below</w:t>
      </w:r>
      <w:r>
        <w:rPr>
          <w:spacing w:val="-6"/>
        </w:rPr>
        <w:t xml:space="preserve"> </w:t>
      </w:r>
      <w:r>
        <w:t>and</w:t>
      </w:r>
      <w:r>
        <w:rPr>
          <w:spacing w:val="-3"/>
        </w:rPr>
        <w:t xml:space="preserve"> </w:t>
      </w:r>
      <w:r>
        <w:rPr>
          <w:spacing w:val="2"/>
        </w:rPr>
        <w:t>may</w:t>
      </w:r>
      <w:r>
        <w:rPr>
          <w:spacing w:val="-12"/>
        </w:rPr>
        <w:t xml:space="preserve"> </w:t>
      </w:r>
      <w:r>
        <w:t>undertake</w:t>
      </w:r>
      <w:r>
        <w:rPr>
          <w:spacing w:val="-5"/>
        </w:rPr>
        <w:t xml:space="preserve"> </w:t>
      </w:r>
      <w:r>
        <w:t>any</w:t>
      </w:r>
      <w:r>
        <w:rPr>
          <w:spacing w:val="-7"/>
        </w:rPr>
        <w:t xml:space="preserve"> </w:t>
      </w:r>
      <w:r>
        <w:t>of</w:t>
      </w:r>
      <w:r>
        <w:rPr>
          <w:spacing w:val="-4"/>
        </w:rPr>
        <w:t xml:space="preserve"> </w:t>
      </w:r>
      <w:r>
        <w:t>the</w:t>
      </w:r>
      <w:r>
        <w:rPr>
          <w:spacing w:val="-5"/>
        </w:rPr>
        <w:t xml:space="preserve"> </w:t>
      </w:r>
      <w:r>
        <w:t>following</w:t>
      </w:r>
      <w:r>
        <w:rPr>
          <w:spacing w:val="-6"/>
        </w:rPr>
        <w:t xml:space="preserve"> </w:t>
      </w:r>
      <w:r>
        <w:rPr>
          <w:spacing w:val="1"/>
        </w:rPr>
        <w:t>tasks</w:t>
      </w:r>
      <w:r>
        <w:rPr>
          <w:spacing w:val="-5"/>
        </w:rPr>
        <w:t xml:space="preserve"> </w:t>
      </w:r>
      <w:r>
        <w:t>and</w:t>
      </w:r>
      <w:r>
        <w:rPr>
          <w:spacing w:val="-6"/>
        </w:rPr>
        <w:t xml:space="preserve"> </w:t>
      </w:r>
      <w:r>
        <w:t>responsibilities:</w:t>
      </w:r>
    </w:p>
    <w:tbl>
      <w:tblPr>
        <w:tblStyle w:val="TableVPSC"/>
        <w:tblW w:w="0" w:type="auto"/>
        <w:tblInd w:w="0" w:type="dxa"/>
        <w:tblLook w:val="0420" w:firstRow="1" w:lastRow="0" w:firstColumn="0" w:lastColumn="0" w:noHBand="0" w:noVBand="1"/>
      </w:tblPr>
      <w:tblGrid>
        <w:gridCol w:w="2399"/>
        <w:gridCol w:w="10176"/>
      </w:tblGrid>
      <w:tr w:rsidR="00151CF5" w:rsidRPr="00233992" w14:paraId="368BA7BA" w14:textId="77777777" w:rsidTr="00151CF5">
        <w:trPr>
          <w:cnfStyle w:val="100000000000" w:firstRow="1" w:lastRow="0" w:firstColumn="0" w:lastColumn="0" w:oddVBand="0" w:evenVBand="0" w:oddHBand="0" w:evenHBand="0" w:firstRowFirstColumn="0" w:firstRowLastColumn="0" w:lastRowFirstColumn="0" w:lastRowLastColumn="0"/>
        </w:trPr>
        <w:tc>
          <w:tcPr>
            <w:tcW w:w="1555" w:type="dxa"/>
          </w:tcPr>
          <w:p w14:paraId="098CD04E" w14:textId="77777777" w:rsidR="00151CF5" w:rsidRPr="00233992" w:rsidRDefault="00151CF5" w:rsidP="00C4004A">
            <w:pPr>
              <w:pStyle w:val="TableHeader"/>
            </w:pPr>
            <w:r w:rsidRPr="00233992">
              <w:t>Stream</w:t>
            </w:r>
          </w:p>
        </w:tc>
        <w:tc>
          <w:tcPr>
            <w:tcW w:w="13608" w:type="dxa"/>
          </w:tcPr>
          <w:p w14:paraId="7A1FF1C9" w14:textId="77777777" w:rsidR="00151CF5" w:rsidRPr="00233992" w:rsidRDefault="00151CF5" w:rsidP="00C4004A">
            <w:pPr>
              <w:pStyle w:val="TableHeader"/>
            </w:pPr>
            <w:r w:rsidRPr="00233992">
              <w:t>Definition</w:t>
            </w:r>
          </w:p>
        </w:tc>
      </w:tr>
      <w:tr w:rsidR="00151CF5" w:rsidRPr="00233992" w14:paraId="714CFD53" w14:textId="77777777" w:rsidTr="00151CF5">
        <w:trPr>
          <w:cnfStyle w:val="000000100000" w:firstRow="0" w:lastRow="0" w:firstColumn="0" w:lastColumn="0" w:oddVBand="0" w:evenVBand="0" w:oddHBand="1" w:evenHBand="0" w:firstRowFirstColumn="0" w:firstRowLastColumn="0" w:lastRowFirstColumn="0" w:lastRowLastColumn="0"/>
        </w:trPr>
        <w:tc>
          <w:tcPr>
            <w:tcW w:w="1555" w:type="dxa"/>
          </w:tcPr>
          <w:p w14:paraId="26AE6037" w14:textId="77777777" w:rsidR="00151CF5" w:rsidRPr="00233992" w:rsidRDefault="00151CF5" w:rsidP="00C4004A">
            <w:pPr>
              <w:pStyle w:val="TableBody"/>
            </w:pPr>
            <w:r w:rsidRPr="00233992">
              <w:t>Delivery</w:t>
            </w:r>
          </w:p>
        </w:tc>
        <w:tc>
          <w:tcPr>
            <w:tcW w:w="13608" w:type="dxa"/>
          </w:tcPr>
          <w:p w14:paraId="0AADE910" w14:textId="77777777" w:rsidR="00151CF5" w:rsidRPr="00FB6202" w:rsidRDefault="00151CF5" w:rsidP="00C4004A">
            <w:pPr>
              <w:pStyle w:val="Bullet1"/>
            </w:pPr>
            <w:r w:rsidRPr="00FB6202">
              <w:t>Provide comprehensive, authoritative advice and expertise in relation to the effective delivery of services</w:t>
            </w:r>
            <w:r>
              <w:t>.</w:t>
            </w:r>
          </w:p>
          <w:p w14:paraId="4CD2BE70" w14:textId="77777777" w:rsidR="00151CF5" w:rsidRPr="00FB6202" w:rsidRDefault="00151CF5" w:rsidP="00C4004A">
            <w:pPr>
              <w:pStyle w:val="Bullet1"/>
            </w:pPr>
            <w:r w:rsidRPr="00FB6202">
              <w:t>Lead and manage a business unit responsible for effective delivery of services</w:t>
            </w:r>
            <w:r>
              <w:t>.</w:t>
            </w:r>
          </w:p>
          <w:p w14:paraId="4BE0AE4C" w14:textId="77777777" w:rsidR="00151CF5" w:rsidRPr="00FB6202" w:rsidRDefault="00151CF5" w:rsidP="00C4004A">
            <w:pPr>
              <w:pStyle w:val="Bullet1"/>
            </w:pPr>
            <w:r w:rsidRPr="00FB6202">
              <w:t xml:space="preserve">Oversee the management of contracts in relation to the delivery of services and provision of regular performance and compliance reports in accordance with specified standards, </w:t>
            </w:r>
            <w:proofErr w:type="gramStart"/>
            <w:r w:rsidRPr="00FB6202">
              <w:t>terms</w:t>
            </w:r>
            <w:proofErr w:type="gramEnd"/>
            <w:r w:rsidRPr="00FB6202">
              <w:t xml:space="preserve"> and conditions</w:t>
            </w:r>
            <w:r>
              <w:t>.</w:t>
            </w:r>
          </w:p>
          <w:p w14:paraId="058B6AC3" w14:textId="77777777" w:rsidR="00151CF5" w:rsidRPr="00FB6202" w:rsidRDefault="00151CF5" w:rsidP="00C4004A">
            <w:pPr>
              <w:pStyle w:val="Bullet1"/>
            </w:pPr>
            <w:r w:rsidRPr="00FB6202">
              <w:t>Manage one or more of a range of functions to deliver services to staff of an organisation, including HR services, financial services, and ICT services</w:t>
            </w:r>
            <w:r>
              <w:t>.</w:t>
            </w:r>
          </w:p>
          <w:p w14:paraId="508B6373" w14:textId="77777777" w:rsidR="00151CF5" w:rsidRPr="00FB6202" w:rsidRDefault="00151CF5" w:rsidP="00C4004A">
            <w:pPr>
              <w:pStyle w:val="Bullet1"/>
            </w:pPr>
            <w:r w:rsidRPr="00FB6202">
              <w:lastRenderedPageBreak/>
              <w:t>Ensure the effective delivery of services to a range of customer bases, including specialist services</w:t>
            </w:r>
            <w:r>
              <w:t>.</w:t>
            </w:r>
          </w:p>
          <w:p w14:paraId="0E731DDA" w14:textId="77777777" w:rsidR="00151CF5" w:rsidRPr="00233992" w:rsidRDefault="00151CF5" w:rsidP="00C4004A">
            <w:pPr>
              <w:pStyle w:val="Bullet1"/>
              <w:rPr>
                <w:rFonts w:asciiTheme="minorHAnsi" w:hAnsiTheme="minorHAnsi"/>
              </w:rPr>
            </w:pPr>
            <w:r w:rsidRPr="00FB6202">
              <w:t xml:space="preserve">Oversee the development, measurement and analysis of customer service standards, </w:t>
            </w:r>
            <w:proofErr w:type="gramStart"/>
            <w:r w:rsidRPr="00FB6202">
              <w:t>systems</w:t>
            </w:r>
            <w:proofErr w:type="gramEnd"/>
            <w:r w:rsidRPr="00FB6202">
              <w:t xml:space="preserve"> and processes to ensure continuation of a high-level service culture</w:t>
            </w:r>
            <w:r>
              <w:t>.</w:t>
            </w:r>
          </w:p>
        </w:tc>
      </w:tr>
      <w:tr w:rsidR="00151CF5" w:rsidRPr="00233992" w14:paraId="71CF15F9" w14:textId="77777777" w:rsidTr="00151CF5">
        <w:trPr>
          <w:cnfStyle w:val="000000010000" w:firstRow="0" w:lastRow="0" w:firstColumn="0" w:lastColumn="0" w:oddVBand="0" w:evenVBand="0" w:oddHBand="0" w:evenHBand="1" w:firstRowFirstColumn="0" w:firstRowLastColumn="0" w:lastRowFirstColumn="0" w:lastRowLastColumn="0"/>
        </w:trPr>
        <w:tc>
          <w:tcPr>
            <w:tcW w:w="1555" w:type="dxa"/>
          </w:tcPr>
          <w:p w14:paraId="319F3DC8" w14:textId="77777777" w:rsidR="00151CF5" w:rsidRPr="00233992" w:rsidRDefault="00151CF5" w:rsidP="00C4004A">
            <w:pPr>
              <w:pStyle w:val="TableBody"/>
            </w:pPr>
            <w:r w:rsidRPr="00233992">
              <w:lastRenderedPageBreak/>
              <w:t>Policy</w:t>
            </w:r>
          </w:p>
        </w:tc>
        <w:tc>
          <w:tcPr>
            <w:tcW w:w="13608" w:type="dxa"/>
          </w:tcPr>
          <w:p w14:paraId="4511F966" w14:textId="77777777" w:rsidR="00151CF5" w:rsidRPr="00403844" w:rsidRDefault="00151CF5" w:rsidP="00C4004A">
            <w:pPr>
              <w:pStyle w:val="Bullet1"/>
            </w:pPr>
            <w:r w:rsidRPr="00403844">
              <w:t>Lead the development and review of policy and implement policy frameworks within area of responsibility</w:t>
            </w:r>
            <w:r>
              <w:t>.</w:t>
            </w:r>
          </w:p>
          <w:p w14:paraId="5D998C6E" w14:textId="77777777" w:rsidR="00151CF5" w:rsidRPr="00403844" w:rsidRDefault="00151CF5" w:rsidP="00C4004A">
            <w:pPr>
              <w:pStyle w:val="Bullet1"/>
            </w:pPr>
            <w:r w:rsidRPr="00403844">
              <w:t>Review policy drafted by others for sign-off</w:t>
            </w:r>
            <w:r>
              <w:t>.</w:t>
            </w:r>
          </w:p>
          <w:p w14:paraId="66AD31A6" w14:textId="77777777" w:rsidR="00151CF5" w:rsidRPr="00403844" w:rsidRDefault="00151CF5" w:rsidP="00C4004A">
            <w:pPr>
              <w:pStyle w:val="Bullet1"/>
            </w:pPr>
            <w:r w:rsidRPr="00403844">
              <w:t>Maintain policy frameworks</w:t>
            </w:r>
            <w:r>
              <w:t>.</w:t>
            </w:r>
          </w:p>
          <w:p w14:paraId="1D569768" w14:textId="77777777" w:rsidR="00151CF5" w:rsidRPr="00403844" w:rsidRDefault="00151CF5" w:rsidP="00C4004A">
            <w:pPr>
              <w:pStyle w:val="Bullet1"/>
            </w:pPr>
            <w:r w:rsidRPr="00403844">
              <w:t>Monitor legislative context and ensure policies align with changes or implementation of new legislation</w:t>
            </w:r>
            <w:r>
              <w:t>.</w:t>
            </w:r>
          </w:p>
          <w:p w14:paraId="1DFB2C0D" w14:textId="77777777" w:rsidR="00151CF5" w:rsidRPr="00403844" w:rsidRDefault="00151CF5" w:rsidP="00C4004A">
            <w:pPr>
              <w:pStyle w:val="Bullet1"/>
            </w:pPr>
            <w:r w:rsidRPr="00403844">
              <w:t>Develop and review draft papers and briefs for presentation to more senior staff or organisation Chair for circulation outside the organisation and into the sector</w:t>
            </w:r>
            <w:r>
              <w:t>.</w:t>
            </w:r>
          </w:p>
          <w:p w14:paraId="47D5BC33" w14:textId="77777777" w:rsidR="00151CF5" w:rsidRPr="00403844" w:rsidRDefault="00151CF5" w:rsidP="00C4004A">
            <w:pPr>
              <w:pStyle w:val="Bullet1"/>
            </w:pPr>
            <w:r w:rsidRPr="00403844">
              <w:t xml:space="preserve">Liaise with government, industry sectors, </w:t>
            </w:r>
            <w:proofErr w:type="gramStart"/>
            <w:r w:rsidRPr="00403844">
              <w:t>community</w:t>
            </w:r>
            <w:proofErr w:type="gramEnd"/>
            <w:r w:rsidRPr="00403844">
              <w:t xml:space="preserve"> and other stakeholder groups in relation to legislative and policy direction and development</w:t>
            </w:r>
            <w:r>
              <w:t>.</w:t>
            </w:r>
          </w:p>
          <w:p w14:paraId="6DA1C352" w14:textId="77777777" w:rsidR="00151CF5" w:rsidRPr="00233992" w:rsidRDefault="00151CF5" w:rsidP="00C4004A">
            <w:pPr>
              <w:pStyle w:val="Bullet1"/>
            </w:pPr>
            <w:r w:rsidRPr="00403844">
              <w:t>Negotiate policy outcomes and options with a range of internal and external stakeholders</w:t>
            </w:r>
            <w:r>
              <w:t>.</w:t>
            </w:r>
          </w:p>
        </w:tc>
      </w:tr>
      <w:tr w:rsidR="00151CF5" w:rsidRPr="00233992" w14:paraId="7D2FA030" w14:textId="77777777" w:rsidTr="00151CF5">
        <w:trPr>
          <w:cnfStyle w:val="000000100000" w:firstRow="0" w:lastRow="0" w:firstColumn="0" w:lastColumn="0" w:oddVBand="0" w:evenVBand="0" w:oddHBand="1" w:evenHBand="0" w:firstRowFirstColumn="0" w:firstRowLastColumn="0" w:lastRowFirstColumn="0" w:lastRowLastColumn="0"/>
        </w:trPr>
        <w:tc>
          <w:tcPr>
            <w:tcW w:w="1555" w:type="dxa"/>
          </w:tcPr>
          <w:p w14:paraId="308AF4F5" w14:textId="77777777" w:rsidR="00151CF5" w:rsidRPr="00233992" w:rsidRDefault="00151CF5" w:rsidP="00C4004A">
            <w:pPr>
              <w:pStyle w:val="TableBody"/>
            </w:pPr>
            <w:r w:rsidRPr="00233992">
              <w:t>Project and Program</w:t>
            </w:r>
          </w:p>
        </w:tc>
        <w:tc>
          <w:tcPr>
            <w:tcW w:w="13608" w:type="dxa"/>
          </w:tcPr>
          <w:p w14:paraId="5DE42C73" w14:textId="77777777" w:rsidR="00151CF5" w:rsidRPr="00781C11" w:rsidRDefault="00151CF5" w:rsidP="00C4004A">
            <w:pPr>
              <w:pStyle w:val="Bullet1"/>
            </w:pPr>
            <w:r w:rsidRPr="00781C11">
              <w:t>Assume responsibility for a project of large scale or major program significance</w:t>
            </w:r>
            <w:r>
              <w:t>.</w:t>
            </w:r>
          </w:p>
          <w:p w14:paraId="158A22A1" w14:textId="77777777" w:rsidR="00151CF5" w:rsidRPr="00781C11" w:rsidRDefault="00151CF5" w:rsidP="00C4004A">
            <w:pPr>
              <w:pStyle w:val="Bullet1"/>
            </w:pPr>
            <w:r w:rsidRPr="00781C11">
              <w:t xml:space="preserve">Lead organisational business unit in implementing programs, major </w:t>
            </w:r>
            <w:proofErr w:type="gramStart"/>
            <w:r w:rsidRPr="00781C11">
              <w:t>projects</w:t>
            </w:r>
            <w:proofErr w:type="gramEnd"/>
            <w:r w:rsidRPr="00781C11">
              <w:t xml:space="preserve"> and initiatives</w:t>
            </w:r>
            <w:r>
              <w:t>.</w:t>
            </w:r>
          </w:p>
          <w:p w14:paraId="6F5F2EB6" w14:textId="77777777" w:rsidR="00151CF5" w:rsidRPr="00781C11" w:rsidRDefault="00151CF5" w:rsidP="00C4004A">
            <w:pPr>
              <w:pStyle w:val="Bullet1"/>
            </w:pPr>
            <w:r w:rsidRPr="00781C11">
              <w:t xml:space="preserve">Liaise across the organisation to build collaborative approaches to </w:t>
            </w:r>
            <w:r>
              <w:t xml:space="preserve">project </w:t>
            </w:r>
            <w:r w:rsidRPr="00781C11">
              <w:t>and program initiatives</w:t>
            </w:r>
            <w:r>
              <w:t>.</w:t>
            </w:r>
          </w:p>
          <w:p w14:paraId="318FED1C" w14:textId="77777777" w:rsidR="00151CF5" w:rsidRPr="00781C11" w:rsidRDefault="00151CF5" w:rsidP="00C4004A">
            <w:pPr>
              <w:pStyle w:val="Bullet1"/>
            </w:pPr>
            <w:r w:rsidRPr="00781C11">
              <w:lastRenderedPageBreak/>
              <w:t>Assume overall project/program delivery responsibility, including the co-ordination of resources and expertise and maintaining project/program within agreed policy, project specification and budgetary constraints.</w:t>
            </w:r>
          </w:p>
          <w:p w14:paraId="798821B6" w14:textId="77777777" w:rsidR="00151CF5" w:rsidRPr="00781C11" w:rsidRDefault="00151CF5" w:rsidP="00C4004A">
            <w:pPr>
              <w:pStyle w:val="Bullet1"/>
            </w:pPr>
            <w:r w:rsidRPr="00781C11">
              <w:t xml:space="preserve">Report regularly on progress of projects to </w:t>
            </w:r>
            <w:r>
              <w:t>the organisation Chair</w:t>
            </w:r>
            <w:r w:rsidRPr="00781C11">
              <w:t xml:space="preserve"> and relevant </w:t>
            </w:r>
            <w:r>
              <w:t>p</w:t>
            </w:r>
            <w:r w:rsidRPr="00781C11">
              <w:t xml:space="preserve">roject </w:t>
            </w:r>
            <w:r>
              <w:t>s</w:t>
            </w:r>
            <w:r w:rsidRPr="00781C11">
              <w:t xml:space="preserve">teering </w:t>
            </w:r>
            <w:r>
              <w:t>c</w:t>
            </w:r>
            <w:r w:rsidRPr="00781C11">
              <w:t>ommittees</w:t>
            </w:r>
            <w:r>
              <w:t>;</w:t>
            </w:r>
            <w:r w:rsidRPr="00781C11">
              <w:t xml:space="preserve"> recommend action, </w:t>
            </w:r>
            <w:proofErr w:type="gramStart"/>
            <w:r w:rsidRPr="00781C11">
              <w:t>identify</w:t>
            </w:r>
            <w:proofErr w:type="gramEnd"/>
            <w:r w:rsidRPr="00781C11">
              <w:t xml:space="preserve"> and refer major policy issues.</w:t>
            </w:r>
          </w:p>
          <w:p w14:paraId="76823B73" w14:textId="77777777" w:rsidR="00151CF5" w:rsidRPr="00233992" w:rsidRDefault="00151CF5" w:rsidP="00C4004A">
            <w:pPr>
              <w:pStyle w:val="Bullet1"/>
              <w:rPr>
                <w:rFonts w:asciiTheme="minorHAnsi" w:hAnsiTheme="minorHAnsi"/>
              </w:rPr>
            </w:pPr>
            <w:r w:rsidRPr="00781C11">
              <w:t xml:space="preserve">Ensure that each project complies at all stages of implementation with </w:t>
            </w:r>
            <w:r>
              <w:t xml:space="preserve">organisation </w:t>
            </w:r>
            <w:r w:rsidRPr="00781C11">
              <w:t>financial, social, budgetary, audit and procurement policies and probity requirements.</w:t>
            </w:r>
          </w:p>
        </w:tc>
      </w:tr>
      <w:tr w:rsidR="00151CF5" w:rsidRPr="00233992" w14:paraId="4BBC677F" w14:textId="77777777" w:rsidTr="00151CF5">
        <w:trPr>
          <w:cnfStyle w:val="000000010000" w:firstRow="0" w:lastRow="0" w:firstColumn="0" w:lastColumn="0" w:oddVBand="0" w:evenVBand="0" w:oddHBand="0" w:evenHBand="1" w:firstRowFirstColumn="0" w:firstRowLastColumn="0" w:lastRowFirstColumn="0" w:lastRowLastColumn="0"/>
        </w:trPr>
        <w:tc>
          <w:tcPr>
            <w:tcW w:w="1555" w:type="dxa"/>
          </w:tcPr>
          <w:p w14:paraId="2721438E" w14:textId="77777777" w:rsidR="00151CF5" w:rsidRPr="00233992" w:rsidRDefault="00151CF5" w:rsidP="00C4004A">
            <w:pPr>
              <w:pStyle w:val="TableBody"/>
            </w:pPr>
            <w:r w:rsidRPr="00233992">
              <w:lastRenderedPageBreak/>
              <w:t>Regulatory</w:t>
            </w:r>
          </w:p>
        </w:tc>
        <w:tc>
          <w:tcPr>
            <w:tcW w:w="13608" w:type="dxa"/>
          </w:tcPr>
          <w:p w14:paraId="42296AA3" w14:textId="77777777" w:rsidR="00151CF5" w:rsidRPr="00781C11" w:rsidRDefault="00151CF5" w:rsidP="00C4004A">
            <w:pPr>
              <w:pStyle w:val="Bullet1"/>
            </w:pPr>
            <w:r w:rsidRPr="00781C11">
              <w:t>Lead a business unit that is responsible for compliance, enforcement, audit, investigation and/or regulatory policy</w:t>
            </w:r>
            <w:r>
              <w:t>.</w:t>
            </w:r>
          </w:p>
          <w:p w14:paraId="49ECD711" w14:textId="77777777" w:rsidR="00151CF5" w:rsidRPr="00781C11" w:rsidRDefault="00151CF5" w:rsidP="00C4004A">
            <w:pPr>
              <w:pStyle w:val="Bullet1"/>
            </w:pPr>
            <w:r w:rsidRPr="00781C11">
              <w:t>Contribute to the development and maintenance of governance frameworks</w:t>
            </w:r>
            <w:r>
              <w:t>.</w:t>
            </w:r>
          </w:p>
          <w:p w14:paraId="1E037794" w14:textId="77777777" w:rsidR="00151CF5" w:rsidRPr="00781C11" w:rsidRDefault="00151CF5" w:rsidP="00C4004A">
            <w:pPr>
              <w:pStyle w:val="Bullet1"/>
            </w:pPr>
            <w:r w:rsidRPr="00781C11">
              <w:t>Oversee the implementation of compliance programs, including audit and investigation activities</w:t>
            </w:r>
            <w:r>
              <w:t>.</w:t>
            </w:r>
          </w:p>
          <w:p w14:paraId="060F186D" w14:textId="77777777" w:rsidR="00151CF5" w:rsidRPr="00781C11" w:rsidRDefault="00151CF5" w:rsidP="00C4004A">
            <w:pPr>
              <w:pStyle w:val="Bullet1"/>
            </w:pPr>
            <w:r w:rsidRPr="00781C11">
              <w:t>Oversee intelligence programs, managing risk and assessing threat</w:t>
            </w:r>
            <w:r>
              <w:t>.</w:t>
            </w:r>
          </w:p>
          <w:p w14:paraId="0C28AECB" w14:textId="77777777" w:rsidR="00151CF5" w:rsidRPr="00781C11" w:rsidRDefault="00151CF5" w:rsidP="00C4004A">
            <w:pPr>
              <w:pStyle w:val="Bullet1"/>
            </w:pPr>
            <w:r w:rsidRPr="00781C11">
              <w:t>Be responsible for high</w:t>
            </w:r>
            <w:r>
              <w:t>-</w:t>
            </w:r>
            <w:r w:rsidRPr="00781C11">
              <w:t>level delegations in relation to compliance and enforcement decisions</w:t>
            </w:r>
            <w:r>
              <w:t>.</w:t>
            </w:r>
          </w:p>
          <w:p w14:paraId="0FC66722" w14:textId="77777777" w:rsidR="00151CF5" w:rsidRPr="00781C11" w:rsidRDefault="00151CF5" w:rsidP="00C4004A">
            <w:pPr>
              <w:pStyle w:val="Bullet1"/>
            </w:pPr>
            <w:r w:rsidRPr="00781C11">
              <w:t xml:space="preserve">Oversee and manage complex compliance, </w:t>
            </w:r>
            <w:proofErr w:type="gramStart"/>
            <w:r w:rsidRPr="00781C11">
              <w:t>investigation</w:t>
            </w:r>
            <w:proofErr w:type="gramEnd"/>
            <w:r w:rsidRPr="00781C11">
              <w:t xml:space="preserve"> and enforcement activities, applying significant work knowledge and established legislation and policy to sensitive situations</w:t>
            </w:r>
            <w:r>
              <w:t>.</w:t>
            </w:r>
          </w:p>
          <w:p w14:paraId="496F3E78" w14:textId="77777777" w:rsidR="00151CF5" w:rsidRPr="00233992" w:rsidRDefault="00151CF5" w:rsidP="00C4004A">
            <w:pPr>
              <w:pStyle w:val="Bullet1"/>
              <w:rPr>
                <w:rFonts w:asciiTheme="minorHAnsi" w:hAnsiTheme="minorHAnsi"/>
              </w:rPr>
            </w:pPr>
            <w:r w:rsidRPr="00781C11">
              <w:t xml:space="preserve">Liaise, </w:t>
            </w:r>
            <w:proofErr w:type="gramStart"/>
            <w:r w:rsidRPr="00781C11">
              <w:t>engage</w:t>
            </w:r>
            <w:proofErr w:type="gramEnd"/>
            <w:r w:rsidRPr="00781C11">
              <w:t xml:space="preserve"> and negotiate with key stakeholders to establish standards, policy, and precedent in a regulatory environment</w:t>
            </w:r>
            <w:r>
              <w:t>.</w:t>
            </w:r>
          </w:p>
        </w:tc>
      </w:tr>
      <w:tr w:rsidR="00151CF5" w:rsidRPr="00233992" w14:paraId="77EFDCB9" w14:textId="77777777" w:rsidTr="00151CF5">
        <w:trPr>
          <w:cnfStyle w:val="000000100000" w:firstRow="0" w:lastRow="0" w:firstColumn="0" w:lastColumn="0" w:oddVBand="0" w:evenVBand="0" w:oddHBand="1" w:evenHBand="0" w:firstRowFirstColumn="0" w:firstRowLastColumn="0" w:lastRowFirstColumn="0" w:lastRowLastColumn="0"/>
        </w:trPr>
        <w:tc>
          <w:tcPr>
            <w:tcW w:w="1555" w:type="dxa"/>
          </w:tcPr>
          <w:p w14:paraId="15DB4E2D" w14:textId="77777777" w:rsidR="00151CF5" w:rsidRPr="00233992" w:rsidRDefault="00151CF5" w:rsidP="00C4004A">
            <w:pPr>
              <w:pStyle w:val="TableBody"/>
            </w:pPr>
            <w:r w:rsidRPr="00233992">
              <w:t>Professional/Specialist</w:t>
            </w:r>
          </w:p>
        </w:tc>
        <w:tc>
          <w:tcPr>
            <w:tcW w:w="13608" w:type="dxa"/>
          </w:tcPr>
          <w:p w14:paraId="1952E26D" w14:textId="77777777" w:rsidR="00151CF5" w:rsidRPr="00781C11" w:rsidRDefault="00151CF5" w:rsidP="00C4004A">
            <w:pPr>
              <w:pStyle w:val="Bullet1"/>
            </w:pPr>
            <w:r w:rsidRPr="00781C11">
              <w:t>Act as a chief point of professional advice to key stakeholders within and outside the organisation</w:t>
            </w:r>
            <w:r>
              <w:t>.</w:t>
            </w:r>
          </w:p>
          <w:p w14:paraId="1BC52D6B" w14:textId="77777777" w:rsidR="00151CF5" w:rsidRPr="00781C11" w:rsidRDefault="00151CF5" w:rsidP="00C4004A">
            <w:pPr>
              <w:pStyle w:val="Bullet1"/>
            </w:pPr>
            <w:r w:rsidRPr="00781C11">
              <w:lastRenderedPageBreak/>
              <w:t>Show intellectual leadership by providing specialist input to policies, new legislation, program reform and business improvement initiatives</w:t>
            </w:r>
            <w:r>
              <w:t>.</w:t>
            </w:r>
          </w:p>
          <w:p w14:paraId="766C0FB9" w14:textId="77777777" w:rsidR="00151CF5" w:rsidRPr="00781C11" w:rsidRDefault="00151CF5" w:rsidP="00C4004A">
            <w:pPr>
              <w:pStyle w:val="Bullet1"/>
            </w:pPr>
            <w:r w:rsidRPr="00781C11">
              <w:t>Provide specialist expertise and professional knowledge and skill in relation to specific areas of organisational responsibility</w:t>
            </w:r>
            <w:r>
              <w:t>.</w:t>
            </w:r>
          </w:p>
          <w:p w14:paraId="2AA432B4" w14:textId="77777777" w:rsidR="00151CF5" w:rsidRPr="00781C11" w:rsidRDefault="00151CF5" w:rsidP="00C4004A">
            <w:pPr>
              <w:pStyle w:val="Bullet1"/>
            </w:pPr>
            <w:r w:rsidRPr="00781C11">
              <w:t>Oversee a business unit performing specialist or technical work in a profession or area of practice</w:t>
            </w:r>
            <w:r>
              <w:t>.</w:t>
            </w:r>
          </w:p>
          <w:p w14:paraId="7839FF06" w14:textId="77777777" w:rsidR="00151CF5" w:rsidRPr="00781C11" w:rsidRDefault="00151CF5" w:rsidP="00C4004A">
            <w:pPr>
              <w:pStyle w:val="Bullet1"/>
            </w:pPr>
            <w:r w:rsidRPr="00781C11">
              <w:t>Engage with and participate in relevant professional bodies and associations to ensure information exchange and continuing professional development</w:t>
            </w:r>
            <w:r>
              <w:t>.</w:t>
            </w:r>
          </w:p>
          <w:p w14:paraId="63F98F00" w14:textId="77777777" w:rsidR="00151CF5" w:rsidRPr="00233992" w:rsidRDefault="00151CF5" w:rsidP="00C4004A">
            <w:pPr>
              <w:pStyle w:val="Bullet1"/>
              <w:rPr>
                <w:rFonts w:asciiTheme="minorHAnsi" w:hAnsiTheme="minorHAnsi"/>
              </w:rPr>
            </w:pPr>
            <w:r w:rsidRPr="00781C11">
              <w:t xml:space="preserve">Oversee the provision of specialist and technical training and the development of education products in a technical or specialist field, including guidelines, manuals, </w:t>
            </w:r>
            <w:proofErr w:type="gramStart"/>
            <w:r w:rsidRPr="00781C11">
              <w:t>policies</w:t>
            </w:r>
            <w:proofErr w:type="gramEnd"/>
            <w:r w:rsidRPr="00781C11">
              <w:t xml:space="preserve"> and processes</w:t>
            </w:r>
            <w:r>
              <w:t>.</w:t>
            </w:r>
          </w:p>
        </w:tc>
      </w:tr>
      <w:tr w:rsidR="00151CF5" w:rsidRPr="00233992" w14:paraId="2A515E87" w14:textId="77777777" w:rsidTr="00151CF5">
        <w:trPr>
          <w:cnfStyle w:val="000000010000" w:firstRow="0" w:lastRow="0" w:firstColumn="0" w:lastColumn="0" w:oddVBand="0" w:evenVBand="0" w:oddHBand="0" w:evenHBand="1" w:firstRowFirstColumn="0" w:firstRowLastColumn="0" w:lastRowFirstColumn="0" w:lastRowLastColumn="0"/>
        </w:trPr>
        <w:tc>
          <w:tcPr>
            <w:tcW w:w="1555" w:type="dxa"/>
          </w:tcPr>
          <w:p w14:paraId="47F38A5C" w14:textId="77777777" w:rsidR="00151CF5" w:rsidRPr="00233992" w:rsidRDefault="00151CF5" w:rsidP="00C4004A">
            <w:pPr>
              <w:pStyle w:val="TableBody"/>
            </w:pPr>
            <w:r w:rsidRPr="00A921D7">
              <w:lastRenderedPageBreak/>
              <w:t>End of table</w:t>
            </w:r>
          </w:p>
        </w:tc>
        <w:tc>
          <w:tcPr>
            <w:tcW w:w="13608" w:type="dxa"/>
          </w:tcPr>
          <w:p w14:paraId="650FCDA7" w14:textId="77777777" w:rsidR="00151CF5" w:rsidRPr="00781C11" w:rsidRDefault="00151CF5" w:rsidP="00C4004A">
            <w:pPr>
              <w:pStyle w:val="Bullet1"/>
              <w:numPr>
                <w:ilvl w:val="0"/>
                <w:numId w:val="0"/>
              </w:numPr>
              <w:ind w:left="567"/>
            </w:pPr>
          </w:p>
        </w:tc>
      </w:tr>
    </w:tbl>
    <w:p w14:paraId="0EA4393D" w14:textId="77777777" w:rsidR="00151CF5" w:rsidRDefault="00151CF5" w:rsidP="00151CF5">
      <w:pPr>
        <w:rPr>
          <w:rFonts w:asciiTheme="minorHAnsi" w:eastAsia="Arial" w:hAnsiTheme="minorHAnsi" w:cs="Arial"/>
        </w:rPr>
      </w:pPr>
    </w:p>
    <w:p w14:paraId="4D34849E" w14:textId="77777777" w:rsidR="00151CF5" w:rsidRPr="00151CF5" w:rsidRDefault="00151CF5" w:rsidP="00151CF5">
      <w:pPr>
        <w:pStyle w:val="Heading2"/>
      </w:pPr>
      <w:r w:rsidRPr="00151CF5">
        <w:br w:type="page"/>
      </w:r>
      <w:bookmarkStart w:id="2" w:name="_Toc170466209"/>
      <w:r w:rsidRPr="00151CF5">
        <w:lastRenderedPageBreak/>
        <w:t>Public Entity Senior Executive Service Band 2 (PESES-2) work streams</w:t>
      </w:r>
      <w:bookmarkEnd w:id="2"/>
    </w:p>
    <w:p w14:paraId="72D088B9" w14:textId="77777777" w:rsidR="00151CF5" w:rsidRDefault="00151CF5" w:rsidP="00151CF5">
      <w:pPr>
        <w:pStyle w:val="Body"/>
      </w:pPr>
      <w:r>
        <w:rPr>
          <w:spacing w:val="-1"/>
        </w:rPr>
        <w:t>Positions</w:t>
      </w:r>
      <w:r>
        <w:rPr>
          <w:spacing w:val="-3"/>
        </w:rPr>
        <w:t xml:space="preserve"> </w:t>
      </w:r>
      <w:r>
        <w:rPr>
          <w:spacing w:val="-1"/>
        </w:rPr>
        <w:t>at</w:t>
      </w:r>
      <w:r>
        <w:rPr>
          <w:spacing w:val="-5"/>
        </w:rPr>
        <w:t xml:space="preserve"> </w:t>
      </w:r>
      <w:r>
        <w:t>this</w:t>
      </w:r>
      <w:r>
        <w:rPr>
          <w:spacing w:val="-5"/>
        </w:rPr>
        <w:t xml:space="preserve"> </w:t>
      </w:r>
      <w:r>
        <w:t>level</w:t>
      </w:r>
      <w:r>
        <w:rPr>
          <w:spacing w:val="-5"/>
        </w:rPr>
        <w:t xml:space="preserve"> </w:t>
      </w:r>
      <w:r>
        <w:t>lead</w:t>
      </w:r>
      <w:r>
        <w:rPr>
          <w:spacing w:val="-6"/>
        </w:rPr>
        <w:t xml:space="preserve"> </w:t>
      </w:r>
      <w:r>
        <w:t>and</w:t>
      </w:r>
      <w:r>
        <w:rPr>
          <w:spacing w:val="-4"/>
        </w:rPr>
        <w:t xml:space="preserve"> </w:t>
      </w:r>
      <w:r>
        <w:rPr>
          <w:spacing w:val="-1"/>
        </w:rPr>
        <w:t>provide</w:t>
      </w:r>
      <w:r>
        <w:rPr>
          <w:spacing w:val="-3"/>
        </w:rPr>
        <w:t xml:space="preserve"> </w:t>
      </w:r>
      <w:r>
        <w:rPr>
          <w:spacing w:val="-1"/>
        </w:rPr>
        <w:t>direction</w:t>
      </w:r>
      <w:r>
        <w:rPr>
          <w:spacing w:val="-4"/>
        </w:rPr>
        <w:t xml:space="preserve"> </w:t>
      </w:r>
      <w:r>
        <w:t>in</w:t>
      </w:r>
      <w:r>
        <w:rPr>
          <w:spacing w:val="-5"/>
        </w:rPr>
        <w:t xml:space="preserve"> </w:t>
      </w:r>
      <w:r>
        <w:t>one</w:t>
      </w:r>
      <w:r>
        <w:rPr>
          <w:spacing w:val="-6"/>
        </w:rPr>
        <w:t xml:space="preserve"> </w:t>
      </w:r>
      <w:r>
        <w:rPr>
          <w:spacing w:val="-1"/>
        </w:rPr>
        <w:t>or</w:t>
      </w:r>
      <w:r>
        <w:rPr>
          <w:spacing w:val="-3"/>
        </w:rPr>
        <w:t xml:space="preserve"> </w:t>
      </w:r>
      <w:r>
        <w:t>more</w:t>
      </w:r>
      <w:r>
        <w:rPr>
          <w:spacing w:val="-6"/>
        </w:rPr>
        <w:t xml:space="preserve"> </w:t>
      </w:r>
      <w:r>
        <w:rPr>
          <w:spacing w:val="-1"/>
        </w:rPr>
        <w:t>of</w:t>
      </w:r>
      <w:r>
        <w:rPr>
          <w:spacing w:val="-4"/>
        </w:rPr>
        <w:t xml:space="preserve"> </w:t>
      </w:r>
      <w:r>
        <w:rPr>
          <w:spacing w:val="-1"/>
        </w:rPr>
        <w:t>the</w:t>
      </w:r>
      <w:r>
        <w:rPr>
          <w:spacing w:val="-6"/>
        </w:rPr>
        <w:t xml:space="preserve"> </w:t>
      </w:r>
      <w:r>
        <w:rPr>
          <w:spacing w:val="-1"/>
        </w:rPr>
        <w:t>functional</w:t>
      </w:r>
      <w:r>
        <w:rPr>
          <w:spacing w:val="-4"/>
        </w:rPr>
        <w:t xml:space="preserve"> </w:t>
      </w:r>
      <w:r>
        <w:t>streams</w:t>
      </w:r>
      <w:r>
        <w:rPr>
          <w:spacing w:val="-5"/>
        </w:rPr>
        <w:t xml:space="preserve"> </w:t>
      </w:r>
      <w:r>
        <w:rPr>
          <w:spacing w:val="-1"/>
        </w:rPr>
        <w:t>below</w:t>
      </w:r>
      <w:r>
        <w:rPr>
          <w:spacing w:val="-6"/>
        </w:rPr>
        <w:t xml:space="preserve"> </w:t>
      </w:r>
      <w:r>
        <w:rPr>
          <w:spacing w:val="-1"/>
        </w:rPr>
        <w:t>and</w:t>
      </w:r>
      <w:r>
        <w:rPr>
          <w:spacing w:val="-6"/>
        </w:rPr>
        <w:t xml:space="preserve"> </w:t>
      </w:r>
      <w:r>
        <w:rPr>
          <w:spacing w:val="2"/>
        </w:rPr>
        <w:t>may</w:t>
      </w:r>
      <w:r>
        <w:rPr>
          <w:spacing w:val="-9"/>
        </w:rPr>
        <w:t xml:space="preserve"> </w:t>
      </w:r>
      <w:r>
        <w:t>undertake</w:t>
      </w:r>
      <w:r>
        <w:rPr>
          <w:spacing w:val="-6"/>
        </w:rPr>
        <w:t xml:space="preserve"> </w:t>
      </w:r>
      <w:r>
        <w:t>any</w:t>
      </w:r>
      <w:r>
        <w:rPr>
          <w:spacing w:val="-9"/>
        </w:rPr>
        <w:t xml:space="preserve"> </w:t>
      </w:r>
      <w:r>
        <w:rPr>
          <w:spacing w:val="-1"/>
        </w:rPr>
        <w:t>of</w:t>
      </w:r>
      <w:r>
        <w:rPr>
          <w:spacing w:val="-4"/>
        </w:rPr>
        <w:t xml:space="preserve"> </w:t>
      </w:r>
      <w:r>
        <w:rPr>
          <w:spacing w:val="-1"/>
        </w:rPr>
        <w:t>the</w:t>
      </w:r>
      <w:r>
        <w:rPr>
          <w:spacing w:val="-6"/>
        </w:rPr>
        <w:t xml:space="preserve"> </w:t>
      </w:r>
      <w:r>
        <w:t>following</w:t>
      </w:r>
      <w:r>
        <w:rPr>
          <w:spacing w:val="-6"/>
        </w:rPr>
        <w:t xml:space="preserve"> </w:t>
      </w:r>
      <w:r>
        <w:t>tasks</w:t>
      </w:r>
      <w:r>
        <w:rPr>
          <w:spacing w:val="-5"/>
        </w:rPr>
        <w:t xml:space="preserve"> </w:t>
      </w:r>
      <w:r>
        <w:rPr>
          <w:spacing w:val="-1"/>
        </w:rPr>
        <w:t>and</w:t>
      </w:r>
      <w:r>
        <w:rPr>
          <w:spacing w:val="-5"/>
        </w:rPr>
        <w:t xml:space="preserve"> </w:t>
      </w:r>
      <w:r>
        <w:t>responsibilities:</w:t>
      </w:r>
    </w:p>
    <w:tbl>
      <w:tblPr>
        <w:tblStyle w:val="TableVPSC"/>
        <w:tblW w:w="0" w:type="auto"/>
        <w:tblInd w:w="0" w:type="dxa"/>
        <w:tblLook w:val="0420" w:firstRow="1" w:lastRow="0" w:firstColumn="0" w:lastColumn="0" w:noHBand="0" w:noVBand="1"/>
      </w:tblPr>
      <w:tblGrid>
        <w:gridCol w:w="2399"/>
        <w:gridCol w:w="10176"/>
      </w:tblGrid>
      <w:tr w:rsidR="00151CF5" w:rsidRPr="00233992" w14:paraId="357C7008" w14:textId="77777777" w:rsidTr="00151CF5">
        <w:trPr>
          <w:cnfStyle w:val="100000000000" w:firstRow="1" w:lastRow="0" w:firstColumn="0" w:lastColumn="0" w:oddVBand="0" w:evenVBand="0" w:oddHBand="0" w:evenHBand="0" w:firstRowFirstColumn="0" w:firstRowLastColumn="0" w:lastRowFirstColumn="0" w:lastRowLastColumn="0"/>
        </w:trPr>
        <w:tc>
          <w:tcPr>
            <w:tcW w:w="2001" w:type="dxa"/>
          </w:tcPr>
          <w:p w14:paraId="451A0D8E" w14:textId="77777777" w:rsidR="00151CF5" w:rsidRPr="00233992" w:rsidRDefault="00151CF5" w:rsidP="00C4004A">
            <w:pPr>
              <w:pStyle w:val="TableHeader"/>
            </w:pPr>
            <w:r w:rsidRPr="00233992">
              <w:t>Stream</w:t>
            </w:r>
          </w:p>
        </w:tc>
        <w:tc>
          <w:tcPr>
            <w:tcW w:w="13162" w:type="dxa"/>
          </w:tcPr>
          <w:p w14:paraId="1386CD3E" w14:textId="77777777" w:rsidR="00151CF5" w:rsidRPr="00233992" w:rsidRDefault="00151CF5" w:rsidP="00C4004A">
            <w:pPr>
              <w:pStyle w:val="TableHeader"/>
            </w:pPr>
            <w:r w:rsidRPr="00233992">
              <w:t>Definition</w:t>
            </w:r>
          </w:p>
        </w:tc>
      </w:tr>
      <w:tr w:rsidR="00151CF5" w:rsidRPr="00233992" w14:paraId="75F1AFC7" w14:textId="77777777" w:rsidTr="00151CF5">
        <w:trPr>
          <w:cnfStyle w:val="000000100000" w:firstRow="0" w:lastRow="0" w:firstColumn="0" w:lastColumn="0" w:oddVBand="0" w:evenVBand="0" w:oddHBand="1" w:evenHBand="0" w:firstRowFirstColumn="0" w:firstRowLastColumn="0" w:lastRowFirstColumn="0" w:lastRowLastColumn="0"/>
        </w:trPr>
        <w:tc>
          <w:tcPr>
            <w:tcW w:w="2001" w:type="dxa"/>
          </w:tcPr>
          <w:p w14:paraId="01E2B8B4" w14:textId="77777777" w:rsidR="00151CF5" w:rsidRPr="00233992" w:rsidRDefault="00151CF5" w:rsidP="00C4004A">
            <w:pPr>
              <w:pStyle w:val="TableBody"/>
            </w:pPr>
            <w:r w:rsidRPr="00233992">
              <w:t>Delivery</w:t>
            </w:r>
          </w:p>
        </w:tc>
        <w:tc>
          <w:tcPr>
            <w:tcW w:w="13162" w:type="dxa"/>
          </w:tcPr>
          <w:p w14:paraId="71D4840A" w14:textId="77777777" w:rsidR="00151CF5" w:rsidRPr="00781C11" w:rsidRDefault="00151CF5" w:rsidP="00C4004A">
            <w:pPr>
              <w:pStyle w:val="Bullet1"/>
              <w:rPr>
                <w:b/>
              </w:rPr>
            </w:pPr>
            <w:r w:rsidRPr="00781C11">
              <w:t xml:space="preserve">Provide expert, high level authoritative advice and expertise in relation to the planning, </w:t>
            </w:r>
            <w:proofErr w:type="gramStart"/>
            <w:r w:rsidRPr="00781C11">
              <w:t>establishment</w:t>
            </w:r>
            <w:proofErr w:type="gramEnd"/>
            <w:r w:rsidRPr="00781C11">
              <w:t xml:space="preserve"> and implementation of services</w:t>
            </w:r>
            <w:r>
              <w:t>.</w:t>
            </w:r>
          </w:p>
          <w:p w14:paraId="00DA6BC0" w14:textId="77777777" w:rsidR="00151CF5" w:rsidRPr="00781C11" w:rsidRDefault="00151CF5" w:rsidP="00C4004A">
            <w:pPr>
              <w:pStyle w:val="Bullet1"/>
              <w:rPr>
                <w:b/>
              </w:rPr>
            </w:pPr>
            <w:r w:rsidRPr="00781C11">
              <w:t xml:space="preserve">Establish, </w:t>
            </w:r>
            <w:proofErr w:type="gramStart"/>
            <w:r w:rsidRPr="00781C11">
              <w:t>lead</w:t>
            </w:r>
            <w:proofErr w:type="gramEnd"/>
            <w:r w:rsidRPr="00781C11">
              <w:t xml:space="preserve"> and direct the delivery of services, products and systems</w:t>
            </w:r>
            <w:r>
              <w:t>.</w:t>
            </w:r>
          </w:p>
          <w:p w14:paraId="56644F62" w14:textId="77777777" w:rsidR="00151CF5" w:rsidRPr="00781C11" w:rsidRDefault="00151CF5" w:rsidP="00C4004A">
            <w:pPr>
              <w:pStyle w:val="Bullet1"/>
              <w:rPr>
                <w:b/>
              </w:rPr>
            </w:pPr>
            <w:r w:rsidRPr="00781C11">
              <w:t>Lead and manage a group of business units that undertake service delivery in one or more specified areas</w:t>
            </w:r>
            <w:r>
              <w:t>.</w:t>
            </w:r>
          </w:p>
          <w:p w14:paraId="61464A01" w14:textId="77777777" w:rsidR="00151CF5" w:rsidRPr="00781C11" w:rsidRDefault="00151CF5" w:rsidP="00C4004A">
            <w:pPr>
              <w:pStyle w:val="Bullet1"/>
              <w:rPr>
                <w:b/>
              </w:rPr>
            </w:pPr>
            <w:r w:rsidRPr="00781C11">
              <w:t xml:space="preserve">Oversee one or more of a range of functions to deliver services to staff of an organisation, including </w:t>
            </w:r>
            <w:r>
              <w:t>human resources</w:t>
            </w:r>
            <w:r w:rsidRPr="00781C11">
              <w:t xml:space="preserve"> services, financial services, and </w:t>
            </w:r>
            <w:r>
              <w:t>information and communication technology</w:t>
            </w:r>
            <w:r w:rsidRPr="00781C11">
              <w:t xml:space="preserve"> services</w:t>
            </w:r>
            <w:r>
              <w:t>.</w:t>
            </w:r>
          </w:p>
          <w:p w14:paraId="6091E0C7" w14:textId="77777777" w:rsidR="00151CF5" w:rsidRPr="00781C11" w:rsidRDefault="00151CF5" w:rsidP="00C4004A">
            <w:pPr>
              <w:pStyle w:val="Bullet1"/>
              <w:rPr>
                <w:b/>
              </w:rPr>
            </w:pPr>
            <w:r w:rsidRPr="00781C11">
              <w:t>Provide strategic management and corporate direction to the provision of portfolio support and advice services, policy development and implementation and leadership in the delivery of services</w:t>
            </w:r>
            <w:r>
              <w:t>.</w:t>
            </w:r>
          </w:p>
          <w:p w14:paraId="57691905" w14:textId="77777777" w:rsidR="00151CF5" w:rsidRPr="00233992" w:rsidRDefault="00151CF5" w:rsidP="00C4004A">
            <w:pPr>
              <w:pStyle w:val="Bullet1"/>
              <w:rPr>
                <w:rFonts w:asciiTheme="minorHAnsi" w:hAnsiTheme="minorHAnsi"/>
              </w:rPr>
            </w:pPr>
            <w:r w:rsidRPr="00781C11">
              <w:t>Continually monitor and review current systems and practices and develop innovative strategies for the realisation of organisation priorities and goals</w:t>
            </w:r>
            <w:r>
              <w:t>.</w:t>
            </w:r>
          </w:p>
        </w:tc>
      </w:tr>
      <w:tr w:rsidR="00151CF5" w:rsidRPr="00233992" w14:paraId="02A1E369" w14:textId="77777777" w:rsidTr="00151CF5">
        <w:trPr>
          <w:cnfStyle w:val="000000010000" w:firstRow="0" w:lastRow="0" w:firstColumn="0" w:lastColumn="0" w:oddVBand="0" w:evenVBand="0" w:oddHBand="0" w:evenHBand="1" w:firstRowFirstColumn="0" w:firstRowLastColumn="0" w:lastRowFirstColumn="0" w:lastRowLastColumn="0"/>
        </w:trPr>
        <w:tc>
          <w:tcPr>
            <w:tcW w:w="2001" w:type="dxa"/>
          </w:tcPr>
          <w:p w14:paraId="53F152C3" w14:textId="77777777" w:rsidR="00151CF5" w:rsidRPr="00233992" w:rsidRDefault="00151CF5" w:rsidP="00C4004A">
            <w:pPr>
              <w:pStyle w:val="TableBody"/>
            </w:pPr>
            <w:r w:rsidRPr="00233992">
              <w:lastRenderedPageBreak/>
              <w:t>Policy</w:t>
            </w:r>
          </w:p>
        </w:tc>
        <w:tc>
          <w:tcPr>
            <w:tcW w:w="13162" w:type="dxa"/>
          </w:tcPr>
          <w:p w14:paraId="6C00EB36" w14:textId="77777777" w:rsidR="00151CF5" w:rsidRPr="00781C11" w:rsidRDefault="00151CF5" w:rsidP="00C4004A">
            <w:pPr>
              <w:pStyle w:val="Bullet1"/>
            </w:pPr>
            <w:r w:rsidRPr="00781C11">
              <w:t>Lead the development and review of policy frameworks over a range of policy areas, including highly complex and sensitive contexts</w:t>
            </w:r>
            <w:r>
              <w:t>.</w:t>
            </w:r>
          </w:p>
          <w:p w14:paraId="7A4C77CA" w14:textId="77777777" w:rsidR="00151CF5" w:rsidRPr="00781C11" w:rsidRDefault="00151CF5" w:rsidP="00C4004A">
            <w:pPr>
              <w:pStyle w:val="Bullet1"/>
            </w:pPr>
            <w:r w:rsidRPr="00781C11">
              <w:t xml:space="preserve">Ensure that policy frameworks and accompanying policy documents align with </w:t>
            </w:r>
            <w:r>
              <w:t>organisational plans and objectives.</w:t>
            </w:r>
          </w:p>
          <w:p w14:paraId="629C8647" w14:textId="77777777" w:rsidR="00151CF5" w:rsidRPr="00781C11" w:rsidRDefault="00151CF5" w:rsidP="00C4004A">
            <w:pPr>
              <w:pStyle w:val="Bullet1"/>
            </w:pPr>
            <w:r w:rsidRPr="00781C11">
              <w:t>Lead and manage a group of business units undertaking policy functions in a range of generalist or speciality areas</w:t>
            </w:r>
            <w:r>
              <w:t>.</w:t>
            </w:r>
          </w:p>
          <w:p w14:paraId="29D84269" w14:textId="77777777" w:rsidR="00151CF5" w:rsidRPr="009B648B" w:rsidRDefault="00151CF5" w:rsidP="00C4004A">
            <w:pPr>
              <w:pStyle w:val="Bullet1"/>
            </w:pPr>
            <w:r w:rsidRPr="00781C11">
              <w:t xml:space="preserve">Provide expert </w:t>
            </w:r>
            <w:r w:rsidRPr="009B648B">
              <w:t xml:space="preserve">and high-level advice to organisation chair, heads of other bodies </w:t>
            </w:r>
            <w:r w:rsidRPr="00A829D2">
              <w:t xml:space="preserve">and/or Ministers as appropriate, </w:t>
            </w:r>
            <w:r w:rsidRPr="009B648B">
              <w:t>in relation to a range of policy development and review</w:t>
            </w:r>
            <w:r>
              <w:t>.</w:t>
            </w:r>
          </w:p>
          <w:p w14:paraId="68789035" w14:textId="77777777" w:rsidR="00151CF5" w:rsidRPr="00781C11" w:rsidRDefault="00151CF5" w:rsidP="00C4004A">
            <w:pPr>
              <w:pStyle w:val="Bullet1"/>
            </w:pPr>
            <w:r w:rsidRPr="009B648B">
              <w:t xml:space="preserve">Engage and consult with senior </w:t>
            </w:r>
            <w:r>
              <w:t>sector and government stakeholders,</w:t>
            </w:r>
            <w:r w:rsidRPr="00781C11">
              <w:t xml:space="preserve"> </w:t>
            </w:r>
            <w:proofErr w:type="gramStart"/>
            <w:r w:rsidRPr="00781C11">
              <w:t>community</w:t>
            </w:r>
            <w:proofErr w:type="gramEnd"/>
            <w:r w:rsidRPr="00781C11">
              <w:t xml:space="preserve"> and other stakeholder representatives to achieve consensus in critical areas</w:t>
            </w:r>
            <w:r>
              <w:t>.</w:t>
            </w:r>
          </w:p>
          <w:p w14:paraId="744127D4" w14:textId="77777777" w:rsidR="00151CF5" w:rsidRPr="00233992" w:rsidRDefault="00151CF5" w:rsidP="00C4004A">
            <w:pPr>
              <w:pStyle w:val="Bullet1"/>
            </w:pPr>
            <w:r w:rsidRPr="00781C11">
              <w:t>Monitor and evaluate the effectiveness of policy initiatives and provide advice regarding social and economic impacts of policy changes or new policy</w:t>
            </w:r>
            <w:r>
              <w:t>.</w:t>
            </w:r>
          </w:p>
        </w:tc>
      </w:tr>
      <w:tr w:rsidR="00151CF5" w:rsidRPr="00233992" w14:paraId="109ED47F" w14:textId="77777777" w:rsidTr="00151CF5">
        <w:trPr>
          <w:cnfStyle w:val="000000100000" w:firstRow="0" w:lastRow="0" w:firstColumn="0" w:lastColumn="0" w:oddVBand="0" w:evenVBand="0" w:oddHBand="1" w:evenHBand="0" w:firstRowFirstColumn="0" w:firstRowLastColumn="0" w:lastRowFirstColumn="0" w:lastRowLastColumn="0"/>
        </w:trPr>
        <w:tc>
          <w:tcPr>
            <w:tcW w:w="2001" w:type="dxa"/>
          </w:tcPr>
          <w:p w14:paraId="179DDC22" w14:textId="77777777" w:rsidR="00151CF5" w:rsidRPr="00233992" w:rsidRDefault="00151CF5" w:rsidP="00C4004A">
            <w:pPr>
              <w:pStyle w:val="TableBody"/>
            </w:pPr>
            <w:r w:rsidRPr="00233992">
              <w:t>Project and Program</w:t>
            </w:r>
          </w:p>
        </w:tc>
        <w:tc>
          <w:tcPr>
            <w:tcW w:w="13162" w:type="dxa"/>
          </w:tcPr>
          <w:p w14:paraId="1E12C58B" w14:textId="77777777" w:rsidR="00151CF5" w:rsidRPr="00781C11" w:rsidRDefault="00151CF5" w:rsidP="00C4004A">
            <w:pPr>
              <w:pStyle w:val="Bullet1"/>
            </w:pPr>
            <w:r w:rsidRPr="00781C11">
              <w:t>Lead the strategic implementation of programs and initiatives</w:t>
            </w:r>
            <w:r>
              <w:t>.</w:t>
            </w:r>
          </w:p>
          <w:p w14:paraId="51313106" w14:textId="77777777" w:rsidR="00151CF5" w:rsidRPr="00781C11" w:rsidRDefault="00151CF5" w:rsidP="00C4004A">
            <w:pPr>
              <w:pStyle w:val="Bullet1"/>
            </w:pPr>
            <w:r w:rsidRPr="00781C11">
              <w:t>Take full accountability for major projects</w:t>
            </w:r>
            <w:r>
              <w:t>.</w:t>
            </w:r>
          </w:p>
          <w:p w14:paraId="6732909D" w14:textId="77777777" w:rsidR="00151CF5" w:rsidRPr="00781C11" w:rsidRDefault="00151CF5" w:rsidP="00C4004A">
            <w:pPr>
              <w:pStyle w:val="Bullet1"/>
            </w:pPr>
            <w:r w:rsidRPr="00781C11">
              <w:t>Undertake program development and planning, including resource negotiation</w:t>
            </w:r>
            <w:r>
              <w:t>.</w:t>
            </w:r>
          </w:p>
          <w:p w14:paraId="19E2C449" w14:textId="77777777" w:rsidR="00151CF5" w:rsidRPr="00781C11" w:rsidRDefault="00151CF5" w:rsidP="00C4004A">
            <w:pPr>
              <w:pStyle w:val="Bullet1"/>
            </w:pPr>
            <w:r w:rsidRPr="00781C11">
              <w:t>Initiate new programs and be responsible for major change initiatives</w:t>
            </w:r>
            <w:r>
              <w:t>.</w:t>
            </w:r>
          </w:p>
          <w:p w14:paraId="2B90D18E" w14:textId="77777777" w:rsidR="00151CF5" w:rsidRPr="00781C11" w:rsidRDefault="00151CF5" w:rsidP="00C4004A">
            <w:pPr>
              <w:pStyle w:val="Bullet1"/>
            </w:pPr>
            <w:r w:rsidRPr="00781C11">
              <w:t>Provide leadership on a range of cross-functional project teams and taskforces designed to deliver breakthrough outcomes critical to the integrated delivery of programs across an organisation</w:t>
            </w:r>
            <w:r>
              <w:t>.</w:t>
            </w:r>
          </w:p>
          <w:p w14:paraId="6DC3EE6E" w14:textId="77777777" w:rsidR="00151CF5" w:rsidRPr="00233992" w:rsidRDefault="00151CF5" w:rsidP="00C4004A">
            <w:pPr>
              <w:pStyle w:val="Bullet1"/>
              <w:rPr>
                <w:rFonts w:asciiTheme="minorHAnsi" w:hAnsiTheme="minorHAnsi"/>
              </w:rPr>
            </w:pPr>
            <w:r w:rsidRPr="00781C11">
              <w:lastRenderedPageBreak/>
              <w:t>Provide leadership and direction on matters associated with financial, budget and output management, strategic and business planning, particularly for evidence</w:t>
            </w:r>
            <w:r>
              <w:t>-</w:t>
            </w:r>
            <w:r w:rsidRPr="00781C11">
              <w:t>based new initiative proposals</w:t>
            </w:r>
            <w:r>
              <w:t>.</w:t>
            </w:r>
          </w:p>
        </w:tc>
      </w:tr>
      <w:tr w:rsidR="00151CF5" w:rsidRPr="00233992" w14:paraId="604AB5D2" w14:textId="77777777" w:rsidTr="00151CF5">
        <w:trPr>
          <w:cnfStyle w:val="000000010000" w:firstRow="0" w:lastRow="0" w:firstColumn="0" w:lastColumn="0" w:oddVBand="0" w:evenVBand="0" w:oddHBand="0" w:evenHBand="1" w:firstRowFirstColumn="0" w:firstRowLastColumn="0" w:lastRowFirstColumn="0" w:lastRowLastColumn="0"/>
        </w:trPr>
        <w:tc>
          <w:tcPr>
            <w:tcW w:w="2001" w:type="dxa"/>
          </w:tcPr>
          <w:p w14:paraId="384ABA38" w14:textId="77777777" w:rsidR="00151CF5" w:rsidRPr="00233992" w:rsidRDefault="00151CF5" w:rsidP="00C4004A">
            <w:pPr>
              <w:pStyle w:val="TableBody"/>
            </w:pPr>
            <w:r w:rsidRPr="00233992">
              <w:lastRenderedPageBreak/>
              <w:t>Regulatory</w:t>
            </w:r>
          </w:p>
        </w:tc>
        <w:tc>
          <w:tcPr>
            <w:tcW w:w="13162" w:type="dxa"/>
          </w:tcPr>
          <w:p w14:paraId="25D6C505" w14:textId="77777777" w:rsidR="00151CF5" w:rsidRPr="00781C11" w:rsidRDefault="00151CF5" w:rsidP="00C4004A">
            <w:pPr>
              <w:pStyle w:val="Bullet1"/>
            </w:pPr>
            <w:r w:rsidRPr="00781C11">
              <w:t>Establish and maintain strong and effective governance and regulatory frameworks</w:t>
            </w:r>
            <w:r>
              <w:t>.</w:t>
            </w:r>
          </w:p>
          <w:p w14:paraId="3B512004" w14:textId="77777777" w:rsidR="00151CF5" w:rsidRPr="00781C11" w:rsidRDefault="00151CF5" w:rsidP="00C4004A">
            <w:pPr>
              <w:pStyle w:val="Bullet1"/>
            </w:pPr>
            <w:r w:rsidRPr="00781C11">
              <w:t>Provide leadership and strategic management for a group of business units that are responsible for regulatory activities</w:t>
            </w:r>
            <w:r>
              <w:t>.</w:t>
            </w:r>
          </w:p>
          <w:p w14:paraId="32461312" w14:textId="77777777" w:rsidR="00151CF5" w:rsidRPr="00781C11" w:rsidRDefault="00151CF5" w:rsidP="00C4004A">
            <w:pPr>
              <w:pStyle w:val="Bullet1"/>
            </w:pPr>
            <w:r w:rsidRPr="00781C11">
              <w:t>Oversee the development and implementation of intelligence and compliance programs, including audit and investigation activities</w:t>
            </w:r>
            <w:r>
              <w:t>.</w:t>
            </w:r>
          </w:p>
          <w:p w14:paraId="4556564E" w14:textId="77777777" w:rsidR="00151CF5" w:rsidRPr="00781C11" w:rsidRDefault="00151CF5" w:rsidP="00C4004A">
            <w:pPr>
              <w:pStyle w:val="Bullet1"/>
            </w:pPr>
            <w:r w:rsidRPr="00781C11">
              <w:t xml:space="preserve">Oversee very complex compliance, </w:t>
            </w:r>
            <w:proofErr w:type="gramStart"/>
            <w:r w:rsidRPr="00781C11">
              <w:t>investigation</w:t>
            </w:r>
            <w:proofErr w:type="gramEnd"/>
            <w:r w:rsidRPr="00781C11">
              <w:t xml:space="preserve"> and enforcement activities, applying significant work knowledge and established legislation and policy to highly sensitive situations</w:t>
            </w:r>
            <w:r>
              <w:t>.</w:t>
            </w:r>
          </w:p>
          <w:p w14:paraId="1C39D417" w14:textId="77777777" w:rsidR="00151CF5" w:rsidRPr="00781C11" w:rsidRDefault="00151CF5" w:rsidP="00C4004A">
            <w:pPr>
              <w:pStyle w:val="Bullet1"/>
            </w:pPr>
            <w:r w:rsidRPr="00781C11">
              <w:t>Lead engagement and negotiation with non-government and government stakeholders to ensure regulatory objectives are met</w:t>
            </w:r>
            <w:r>
              <w:t>.</w:t>
            </w:r>
          </w:p>
          <w:p w14:paraId="718A4374" w14:textId="77777777" w:rsidR="00151CF5" w:rsidRPr="00233992" w:rsidRDefault="00151CF5" w:rsidP="00C4004A">
            <w:pPr>
              <w:pStyle w:val="Bullet1"/>
              <w:rPr>
                <w:rFonts w:asciiTheme="minorHAnsi" w:hAnsiTheme="minorHAnsi"/>
              </w:rPr>
            </w:pPr>
            <w:r w:rsidRPr="00781C11">
              <w:t>Provide leadership and strategic management for a diverse range of infringement and enforcement services</w:t>
            </w:r>
            <w:r>
              <w:t>.</w:t>
            </w:r>
          </w:p>
        </w:tc>
      </w:tr>
      <w:tr w:rsidR="00151CF5" w:rsidRPr="00233992" w14:paraId="27F56446" w14:textId="77777777" w:rsidTr="00151CF5">
        <w:trPr>
          <w:cnfStyle w:val="000000100000" w:firstRow="0" w:lastRow="0" w:firstColumn="0" w:lastColumn="0" w:oddVBand="0" w:evenVBand="0" w:oddHBand="1" w:evenHBand="0" w:firstRowFirstColumn="0" w:firstRowLastColumn="0" w:lastRowFirstColumn="0" w:lastRowLastColumn="0"/>
        </w:trPr>
        <w:tc>
          <w:tcPr>
            <w:tcW w:w="2001" w:type="dxa"/>
          </w:tcPr>
          <w:p w14:paraId="2D2E1CB8" w14:textId="77777777" w:rsidR="00151CF5" w:rsidRPr="00233992" w:rsidRDefault="00151CF5" w:rsidP="00C4004A">
            <w:pPr>
              <w:pStyle w:val="TableBody"/>
            </w:pPr>
            <w:r w:rsidRPr="00233992">
              <w:t>Professional/Specialist</w:t>
            </w:r>
          </w:p>
        </w:tc>
        <w:tc>
          <w:tcPr>
            <w:tcW w:w="13162" w:type="dxa"/>
          </w:tcPr>
          <w:p w14:paraId="5D109A1B" w14:textId="77777777" w:rsidR="00151CF5" w:rsidRPr="00781C11" w:rsidRDefault="00151CF5" w:rsidP="00C4004A">
            <w:pPr>
              <w:pStyle w:val="Bullet1"/>
            </w:pPr>
            <w:r w:rsidRPr="00781C11">
              <w:t>Act as the chief point of professional advice to critical stakeholders within and outside the organisation</w:t>
            </w:r>
            <w:r>
              <w:t>.</w:t>
            </w:r>
          </w:p>
          <w:p w14:paraId="60F4E0CA" w14:textId="77777777" w:rsidR="00151CF5" w:rsidRPr="00781C11" w:rsidRDefault="00151CF5" w:rsidP="00C4004A">
            <w:pPr>
              <w:pStyle w:val="Bullet1"/>
            </w:pPr>
            <w:r w:rsidRPr="00781C11">
              <w:t xml:space="preserve">Provide expert advice on specialist and technical issues to </w:t>
            </w:r>
            <w:r>
              <w:t>the</w:t>
            </w:r>
            <w:r w:rsidRPr="00781C11">
              <w:t xml:space="preserve"> </w:t>
            </w:r>
            <w:r>
              <w:t>organisation Chair</w:t>
            </w:r>
            <w:r w:rsidRPr="00781C11">
              <w:t>, requiring considerable depth and breadth of knowledge and experience in a complex, professional field</w:t>
            </w:r>
            <w:r>
              <w:t>.</w:t>
            </w:r>
          </w:p>
          <w:p w14:paraId="2D607D33" w14:textId="77777777" w:rsidR="00151CF5" w:rsidRPr="00781C11" w:rsidRDefault="00151CF5" w:rsidP="00C4004A">
            <w:pPr>
              <w:pStyle w:val="Bullet1"/>
            </w:pPr>
            <w:r w:rsidRPr="00781C11">
              <w:t>Show intellectual leadership by providing specialist input that shapes the development of policies, new legislation, program reform, and underlying infrastructure</w:t>
            </w:r>
            <w:r>
              <w:t>.</w:t>
            </w:r>
          </w:p>
          <w:p w14:paraId="69AFE2DE" w14:textId="77777777" w:rsidR="00151CF5" w:rsidRPr="00781C11" w:rsidRDefault="00151CF5" w:rsidP="00C4004A">
            <w:pPr>
              <w:pStyle w:val="Bullet1"/>
            </w:pPr>
            <w:r w:rsidRPr="00781C11">
              <w:lastRenderedPageBreak/>
              <w:t>Provide specialist expertise and professional knowledge and skill in relation to highly complex and critical areas of importance for the organisation</w:t>
            </w:r>
            <w:r>
              <w:t>.</w:t>
            </w:r>
          </w:p>
          <w:p w14:paraId="1B9F5A95" w14:textId="77777777" w:rsidR="00151CF5" w:rsidRPr="00781C11" w:rsidRDefault="00151CF5" w:rsidP="00C4004A">
            <w:pPr>
              <w:pStyle w:val="Bullet1"/>
            </w:pPr>
            <w:r w:rsidRPr="00781C11">
              <w:t>Oversee a group of business units performing specialist or technical work in a profession or area of practice</w:t>
            </w:r>
            <w:r>
              <w:t>.</w:t>
            </w:r>
          </w:p>
          <w:p w14:paraId="4B62CA3D" w14:textId="77777777" w:rsidR="00151CF5" w:rsidRPr="00233992" w:rsidRDefault="00151CF5" w:rsidP="00C4004A">
            <w:pPr>
              <w:pStyle w:val="Bullet1"/>
              <w:rPr>
                <w:rFonts w:asciiTheme="minorHAnsi" w:hAnsiTheme="minorHAnsi"/>
              </w:rPr>
            </w:pPr>
            <w:r w:rsidRPr="00781C11">
              <w:t>Engage with and participate in relevant professional bodies and associations to ensure information exchange and continuing professional development</w:t>
            </w:r>
            <w:r>
              <w:t>.</w:t>
            </w:r>
          </w:p>
        </w:tc>
      </w:tr>
      <w:tr w:rsidR="00151CF5" w:rsidRPr="00233992" w14:paraId="2CF5F729" w14:textId="77777777" w:rsidTr="00151CF5">
        <w:trPr>
          <w:cnfStyle w:val="000000010000" w:firstRow="0" w:lastRow="0" w:firstColumn="0" w:lastColumn="0" w:oddVBand="0" w:evenVBand="0" w:oddHBand="0" w:evenHBand="1" w:firstRowFirstColumn="0" w:firstRowLastColumn="0" w:lastRowFirstColumn="0" w:lastRowLastColumn="0"/>
        </w:trPr>
        <w:tc>
          <w:tcPr>
            <w:tcW w:w="2001" w:type="dxa"/>
          </w:tcPr>
          <w:p w14:paraId="0C148A4E" w14:textId="77777777" w:rsidR="00151CF5" w:rsidRPr="00233992" w:rsidRDefault="00151CF5" w:rsidP="00C4004A">
            <w:pPr>
              <w:pStyle w:val="TableBody"/>
            </w:pPr>
            <w:r w:rsidRPr="00A921D7">
              <w:lastRenderedPageBreak/>
              <w:t>End of table</w:t>
            </w:r>
          </w:p>
        </w:tc>
        <w:tc>
          <w:tcPr>
            <w:tcW w:w="13162" w:type="dxa"/>
          </w:tcPr>
          <w:p w14:paraId="0B0A80A5" w14:textId="77777777" w:rsidR="00151CF5" w:rsidRPr="00781C11" w:rsidRDefault="00151CF5" w:rsidP="00C4004A">
            <w:pPr>
              <w:pStyle w:val="Bullet1"/>
              <w:numPr>
                <w:ilvl w:val="0"/>
                <w:numId w:val="0"/>
              </w:numPr>
              <w:ind w:left="567" w:hanging="567"/>
            </w:pPr>
          </w:p>
        </w:tc>
      </w:tr>
    </w:tbl>
    <w:p w14:paraId="7317A2BA" w14:textId="77777777" w:rsidR="00151CF5" w:rsidRDefault="00151CF5" w:rsidP="00151CF5">
      <w:pPr>
        <w:spacing w:after="0" w:line="240" w:lineRule="auto"/>
        <w:rPr>
          <w:rFonts w:asciiTheme="minorHAnsi" w:eastAsia="Arial" w:hAnsiTheme="minorHAnsi" w:cs="Arial"/>
        </w:rPr>
      </w:pPr>
    </w:p>
    <w:p w14:paraId="6CCABAAB" w14:textId="77777777" w:rsidR="00151CF5" w:rsidRDefault="00151CF5" w:rsidP="00151CF5">
      <w:pPr>
        <w:spacing w:after="0" w:line="240" w:lineRule="auto"/>
        <w:rPr>
          <w:rFonts w:asciiTheme="minorHAnsi" w:eastAsia="Arial" w:hAnsiTheme="minorHAnsi" w:cs="Arial"/>
        </w:rPr>
      </w:pPr>
    </w:p>
    <w:p w14:paraId="38683120" w14:textId="77777777" w:rsidR="00151CF5" w:rsidRDefault="00151CF5" w:rsidP="00151CF5">
      <w:pPr>
        <w:spacing w:after="0" w:line="240" w:lineRule="auto"/>
        <w:rPr>
          <w:rFonts w:cstheme="majorBidi"/>
          <w:b/>
          <w:color w:val="00573F" w:themeColor="text2"/>
          <w:sz w:val="36"/>
          <w:szCs w:val="28"/>
        </w:rPr>
      </w:pPr>
      <w:r>
        <w:br w:type="page"/>
      </w:r>
    </w:p>
    <w:p w14:paraId="10316DF9" w14:textId="77777777" w:rsidR="00151CF5" w:rsidRDefault="00151CF5" w:rsidP="00151CF5">
      <w:pPr>
        <w:pStyle w:val="Heading2"/>
      </w:pPr>
      <w:bookmarkStart w:id="3" w:name="_Toc170466210"/>
      <w:r>
        <w:lastRenderedPageBreak/>
        <w:t>Public Entity S</w:t>
      </w:r>
      <w:r w:rsidRPr="00242D90">
        <w:t xml:space="preserve">enior Executive Service Band </w:t>
      </w:r>
      <w:r>
        <w:t>3 (PESES-3)</w:t>
      </w:r>
      <w:r w:rsidRPr="00242D90">
        <w:t xml:space="preserve"> </w:t>
      </w:r>
      <w:r>
        <w:t>work streams</w:t>
      </w:r>
      <w:bookmarkEnd w:id="3"/>
    </w:p>
    <w:p w14:paraId="535498A9" w14:textId="77777777" w:rsidR="00151CF5" w:rsidRDefault="00151CF5" w:rsidP="00151CF5">
      <w:pPr>
        <w:pStyle w:val="Body"/>
      </w:pPr>
      <w:r>
        <w:rPr>
          <w:spacing w:val="-1"/>
        </w:rPr>
        <w:t>Positions</w:t>
      </w:r>
      <w:r>
        <w:rPr>
          <w:spacing w:val="-3"/>
        </w:rPr>
        <w:t xml:space="preserve"> </w:t>
      </w:r>
      <w:r>
        <w:rPr>
          <w:spacing w:val="-1"/>
        </w:rPr>
        <w:t>at</w:t>
      </w:r>
      <w:r>
        <w:rPr>
          <w:spacing w:val="-6"/>
        </w:rPr>
        <w:t xml:space="preserve"> </w:t>
      </w:r>
      <w:r>
        <w:t>this</w:t>
      </w:r>
      <w:r>
        <w:rPr>
          <w:spacing w:val="-5"/>
        </w:rPr>
        <w:t xml:space="preserve"> </w:t>
      </w:r>
      <w:r>
        <w:t>level</w:t>
      </w:r>
      <w:r>
        <w:rPr>
          <w:spacing w:val="-5"/>
        </w:rPr>
        <w:t xml:space="preserve"> </w:t>
      </w:r>
      <w:r>
        <w:t>provide</w:t>
      </w:r>
      <w:r>
        <w:rPr>
          <w:spacing w:val="-6"/>
        </w:rPr>
        <w:t xml:space="preserve"> </w:t>
      </w:r>
      <w:r>
        <w:rPr>
          <w:spacing w:val="-1"/>
        </w:rPr>
        <w:t>leadership</w:t>
      </w:r>
      <w:r>
        <w:rPr>
          <w:spacing w:val="-4"/>
        </w:rPr>
        <w:t xml:space="preserve"> </w:t>
      </w:r>
      <w:r>
        <w:rPr>
          <w:spacing w:val="-1"/>
        </w:rPr>
        <w:t>and</w:t>
      </w:r>
      <w:r>
        <w:rPr>
          <w:spacing w:val="-6"/>
        </w:rPr>
        <w:t xml:space="preserve"> </w:t>
      </w:r>
      <w:r>
        <w:t>strategic</w:t>
      </w:r>
      <w:r>
        <w:rPr>
          <w:spacing w:val="-5"/>
        </w:rPr>
        <w:t xml:space="preserve"> </w:t>
      </w:r>
      <w:r>
        <w:t>vision</w:t>
      </w:r>
      <w:r>
        <w:rPr>
          <w:spacing w:val="-6"/>
        </w:rPr>
        <w:t xml:space="preserve"> </w:t>
      </w:r>
      <w:r>
        <w:t>in</w:t>
      </w:r>
      <w:r>
        <w:rPr>
          <w:spacing w:val="-6"/>
        </w:rPr>
        <w:t xml:space="preserve"> </w:t>
      </w:r>
      <w:r>
        <w:t>one</w:t>
      </w:r>
      <w:r>
        <w:rPr>
          <w:spacing w:val="-6"/>
        </w:rPr>
        <w:t xml:space="preserve"> </w:t>
      </w:r>
      <w:r>
        <w:rPr>
          <w:spacing w:val="-1"/>
        </w:rPr>
        <w:t>or</w:t>
      </w:r>
      <w:r>
        <w:rPr>
          <w:spacing w:val="-5"/>
        </w:rPr>
        <w:t xml:space="preserve"> </w:t>
      </w:r>
      <w:r>
        <w:t>more</w:t>
      </w:r>
      <w:r>
        <w:rPr>
          <w:spacing w:val="-6"/>
        </w:rPr>
        <w:t xml:space="preserve"> </w:t>
      </w:r>
      <w:r>
        <w:rPr>
          <w:spacing w:val="-1"/>
        </w:rPr>
        <w:t>of</w:t>
      </w:r>
      <w:r>
        <w:rPr>
          <w:spacing w:val="-4"/>
        </w:rPr>
        <w:t xml:space="preserve"> </w:t>
      </w:r>
      <w:r>
        <w:rPr>
          <w:spacing w:val="-1"/>
        </w:rPr>
        <w:t>the</w:t>
      </w:r>
      <w:r>
        <w:rPr>
          <w:spacing w:val="-6"/>
        </w:rPr>
        <w:t xml:space="preserve"> </w:t>
      </w:r>
      <w:r>
        <w:t>following</w:t>
      </w:r>
      <w:r>
        <w:rPr>
          <w:spacing w:val="-6"/>
        </w:rPr>
        <w:t xml:space="preserve"> </w:t>
      </w:r>
      <w:r>
        <w:t>functional</w:t>
      </w:r>
      <w:r>
        <w:rPr>
          <w:spacing w:val="-7"/>
        </w:rPr>
        <w:t xml:space="preserve"> </w:t>
      </w:r>
      <w:r>
        <w:t>streams:</w:t>
      </w:r>
    </w:p>
    <w:tbl>
      <w:tblPr>
        <w:tblStyle w:val="TableVPSC"/>
        <w:tblW w:w="0" w:type="auto"/>
        <w:tblInd w:w="0" w:type="dxa"/>
        <w:tblLook w:val="0420" w:firstRow="1" w:lastRow="0" w:firstColumn="0" w:lastColumn="0" w:noHBand="0" w:noVBand="1"/>
      </w:tblPr>
      <w:tblGrid>
        <w:gridCol w:w="2399"/>
        <w:gridCol w:w="10176"/>
      </w:tblGrid>
      <w:tr w:rsidR="00151CF5" w:rsidRPr="00233992" w14:paraId="626E28B5" w14:textId="77777777" w:rsidTr="00151CF5">
        <w:trPr>
          <w:cnfStyle w:val="100000000000" w:firstRow="1" w:lastRow="0" w:firstColumn="0" w:lastColumn="0" w:oddVBand="0" w:evenVBand="0" w:oddHBand="0" w:evenHBand="0" w:firstRowFirstColumn="0" w:firstRowLastColumn="0" w:lastRowFirstColumn="0" w:lastRowLastColumn="0"/>
        </w:trPr>
        <w:tc>
          <w:tcPr>
            <w:tcW w:w="2001" w:type="dxa"/>
          </w:tcPr>
          <w:p w14:paraId="6F7175DD" w14:textId="77777777" w:rsidR="00151CF5" w:rsidRPr="00233992" w:rsidRDefault="00151CF5" w:rsidP="00C4004A">
            <w:pPr>
              <w:pStyle w:val="TableHeader"/>
            </w:pPr>
            <w:r w:rsidRPr="00233992">
              <w:t>Stream</w:t>
            </w:r>
          </w:p>
        </w:tc>
        <w:tc>
          <w:tcPr>
            <w:tcW w:w="13162" w:type="dxa"/>
          </w:tcPr>
          <w:p w14:paraId="6EC3A3C1" w14:textId="77777777" w:rsidR="00151CF5" w:rsidRPr="00233992" w:rsidRDefault="00151CF5" w:rsidP="00C4004A">
            <w:pPr>
              <w:pStyle w:val="TableHeader"/>
            </w:pPr>
            <w:r w:rsidRPr="00233992">
              <w:t>Definition</w:t>
            </w:r>
          </w:p>
        </w:tc>
      </w:tr>
      <w:tr w:rsidR="00151CF5" w:rsidRPr="00233992" w14:paraId="54B3CBA0" w14:textId="77777777" w:rsidTr="00151CF5">
        <w:trPr>
          <w:cnfStyle w:val="000000100000" w:firstRow="0" w:lastRow="0" w:firstColumn="0" w:lastColumn="0" w:oddVBand="0" w:evenVBand="0" w:oddHBand="1" w:evenHBand="0" w:firstRowFirstColumn="0" w:firstRowLastColumn="0" w:lastRowFirstColumn="0" w:lastRowLastColumn="0"/>
        </w:trPr>
        <w:tc>
          <w:tcPr>
            <w:tcW w:w="2001" w:type="dxa"/>
          </w:tcPr>
          <w:p w14:paraId="371CA2DD" w14:textId="77777777" w:rsidR="00151CF5" w:rsidRPr="00233992" w:rsidRDefault="00151CF5" w:rsidP="00C4004A">
            <w:pPr>
              <w:pStyle w:val="TableBody"/>
            </w:pPr>
            <w:r w:rsidRPr="00233992">
              <w:t>Delivery</w:t>
            </w:r>
          </w:p>
        </w:tc>
        <w:tc>
          <w:tcPr>
            <w:tcW w:w="13162" w:type="dxa"/>
          </w:tcPr>
          <w:p w14:paraId="60A0BC78" w14:textId="77777777" w:rsidR="00151CF5" w:rsidRPr="00DA57E2" w:rsidRDefault="00151CF5" w:rsidP="00C4004A">
            <w:pPr>
              <w:pStyle w:val="Bullet1"/>
            </w:pPr>
            <w:r w:rsidRPr="00DA57E2">
              <w:t xml:space="preserve">Lead the development of service delivery strategy and new </w:t>
            </w:r>
            <w:proofErr w:type="gramStart"/>
            <w:r w:rsidRPr="00DA57E2">
              <w:t>initiatives, and</w:t>
            </w:r>
            <w:proofErr w:type="gramEnd"/>
            <w:r w:rsidRPr="00DA57E2">
              <w:t xml:space="preserve"> manage large</w:t>
            </w:r>
            <w:r>
              <w:t>-</w:t>
            </w:r>
            <w:r w:rsidRPr="00DA57E2">
              <w:t>scale strategic change with substantial impact on service delivery models and implementation</w:t>
            </w:r>
            <w:r>
              <w:t>.</w:t>
            </w:r>
          </w:p>
          <w:p w14:paraId="116B2CAD" w14:textId="77777777" w:rsidR="00151CF5" w:rsidRPr="00DA57E2" w:rsidRDefault="00151CF5" w:rsidP="00C4004A">
            <w:pPr>
              <w:pStyle w:val="Bullet1"/>
            </w:pPr>
            <w:r w:rsidRPr="00DA57E2">
              <w:t>Oversee and manage service delivery issues that are highly sensitive and extremely complex to ensure that critical risks are minimised</w:t>
            </w:r>
            <w:r>
              <w:t>.</w:t>
            </w:r>
          </w:p>
          <w:p w14:paraId="579D9D99" w14:textId="77777777" w:rsidR="00151CF5" w:rsidRPr="00233992" w:rsidRDefault="00151CF5" w:rsidP="00C4004A">
            <w:pPr>
              <w:pStyle w:val="Bullet1"/>
              <w:rPr>
                <w:rFonts w:asciiTheme="minorHAnsi" w:hAnsiTheme="minorHAnsi"/>
              </w:rPr>
            </w:pPr>
            <w:r w:rsidRPr="00DA57E2">
              <w:t xml:space="preserve">Lead and promote a culture of innovation and adaptability, </w:t>
            </w:r>
            <w:proofErr w:type="gramStart"/>
            <w:r w:rsidRPr="00DA57E2">
              <w:t>taking into account</w:t>
            </w:r>
            <w:proofErr w:type="gramEnd"/>
            <w:r w:rsidRPr="00DA57E2">
              <w:t xml:space="preserve"> leading edge technology, best practice approaches and key strategic service delivery outcomes</w:t>
            </w:r>
            <w:r>
              <w:t>.</w:t>
            </w:r>
          </w:p>
        </w:tc>
      </w:tr>
      <w:tr w:rsidR="00151CF5" w:rsidRPr="00233992" w14:paraId="50BA7F0D" w14:textId="77777777" w:rsidTr="00151CF5">
        <w:trPr>
          <w:cnfStyle w:val="000000010000" w:firstRow="0" w:lastRow="0" w:firstColumn="0" w:lastColumn="0" w:oddVBand="0" w:evenVBand="0" w:oddHBand="0" w:evenHBand="1" w:firstRowFirstColumn="0" w:firstRowLastColumn="0" w:lastRowFirstColumn="0" w:lastRowLastColumn="0"/>
        </w:trPr>
        <w:tc>
          <w:tcPr>
            <w:tcW w:w="2001" w:type="dxa"/>
          </w:tcPr>
          <w:p w14:paraId="10979930" w14:textId="77777777" w:rsidR="00151CF5" w:rsidRPr="00233992" w:rsidRDefault="00151CF5" w:rsidP="00C4004A">
            <w:pPr>
              <w:pStyle w:val="TableBody"/>
            </w:pPr>
            <w:r w:rsidRPr="00233992">
              <w:t>Policy</w:t>
            </w:r>
          </w:p>
        </w:tc>
        <w:tc>
          <w:tcPr>
            <w:tcW w:w="13162" w:type="dxa"/>
          </w:tcPr>
          <w:p w14:paraId="22DC74AC" w14:textId="77777777" w:rsidR="00151CF5" w:rsidRPr="00DA57E2" w:rsidRDefault="00151CF5" w:rsidP="00C4004A">
            <w:pPr>
              <w:pStyle w:val="Bullet1"/>
            </w:pPr>
            <w:r w:rsidRPr="00DA57E2">
              <w:t>Provide thought and corporate leadership to matters of strategic planning, quality management strategies, governance, establishing organisation</w:t>
            </w:r>
            <w:r>
              <w:t>al</w:t>
            </w:r>
            <w:r w:rsidRPr="00DA57E2">
              <w:t xml:space="preserve"> priorities and direction, and </w:t>
            </w:r>
            <w:r>
              <w:t xml:space="preserve">contribute as applicable to </w:t>
            </w:r>
            <w:r w:rsidRPr="00DA57E2">
              <w:t>the development of key government policies</w:t>
            </w:r>
            <w:r>
              <w:t>.</w:t>
            </w:r>
          </w:p>
          <w:p w14:paraId="7E74A0BB" w14:textId="77777777" w:rsidR="00151CF5" w:rsidRPr="00DA57E2" w:rsidRDefault="00151CF5" w:rsidP="00C4004A">
            <w:pPr>
              <w:pStyle w:val="Bullet1"/>
            </w:pPr>
            <w:r w:rsidRPr="00DA57E2">
              <w:t xml:space="preserve">Provide highly complex, strategic, expert advice to ensure the development of evidence-based policy frameworks, </w:t>
            </w:r>
            <w:proofErr w:type="gramStart"/>
            <w:r w:rsidRPr="00DA57E2">
              <w:t>recommendations</w:t>
            </w:r>
            <w:proofErr w:type="gramEnd"/>
            <w:r w:rsidRPr="00DA57E2">
              <w:t xml:space="preserve"> and decisions</w:t>
            </w:r>
            <w:r>
              <w:t>.</w:t>
            </w:r>
          </w:p>
          <w:p w14:paraId="5B471341" w14:textId="77777777" w:rsidR="00151CF5" w:rsidRPr="00233992" w:rsidRDefault="00151CF5" w:rsidP="00C4004A">
            <w:pPr>
              <w:pStyle w:val="Bullet1"/>
            </w:pPr>
            <w:r w:rsidRPr="00DA57E2">
              <w:t>Lead and maintain long</w:t>
            </w:r>
            <w:r>
              <w:t>-</w:t>
            </w:r>
            <w:r w:rsidRPr="00DA57E2">
              <w:t xml:space="preserve">term strategic partnerships with critical government, </w:t>
            </w:r>
            <w:proofErr w:type="gramStart"/>
            <w:r w:rsidRPr="00DA57E2">
              <w:t>industry</w:t>
            </w:r>
            <w:proofErr w:type="gramEnd"/>
            <w:r w:rsidRPr="00DA57E2">
              <w:t xml:space="preserve"> and community stakeholders at the highest level to inform policy construction</w:t>
            </w:r>
            <w:r>
              <w:t>.</w:t>
            </w:r>
          </w:p>
        </w:tc>
      </w:tr>
      <w:tr w:rsidR="00151CF5" w:rsidRPr="00233992" w14:paraId="38EA4DA6" w14:textId="77777777" w:rsidTr="00151CF5">
        <w:trPr>
          <w:cnfStyle w:val="000000100000" w:firstRow="0" w:lastRow="0" w:firstColumn="0" w:lastColumn="0" w:oddVBand="0" w:evenVBand="0" w:oddHBand="1" w:evenHBand="0" w:firstRowFirstColumn="0" w:firstRowLastColumn="0" w:lastRowFirstColumn="0" w:lastRowLastColumn="0"/>
        </w:trPr>
        <w:tc>
          <w:tcPr>
            <w:tcW w:w="2001" w:type="dxa"/>
          </w:tcPr>
          <w:p w14:paraId="1DA8F8C8" w14:textId="77777777" w:rsidR="00151CF5" w:rsidRPr="00233992" w:rsidRDefault="00151CF5" w:rsidP="00C4004A">
            <w:pPr>
              <w:pStyle w:val="TableBody"/>
            </w:pPr>
            <w:r w:rsidRPr="00233992">
              <w:t>Project and Program</w:t>
            </w:r>
          </w:p>
        </w:tc>
        <w:tc>
          <w:tcPr>
            <w:tcW w:w="13162" w:type="dxa"/>
          </w:tcPr>
          <w:p w14:paraId="765CC913" w14:textId="77777777" w:rsidR="00151CF5" w:rsidRPr="00DA57E2" w:rsidRDefault="00151CF5" w:rsidP="00C4004A">
            <w:pPr>
              <w:pStyle w:val="Bullet1"/>
            </w:pPr>
            <w:r w:rsidRPr="00DA57E2">
              <w:t>Lead the development of new program initiatives and manage large</w:t>
            </w:r>
            <w:r>
              <w:t>-</w:t>
            </w:r>
            <w:r w:rsidRPr="00DA57E2">
              <w:t>scale strategic change with substantial program impact</w:t>
            </w:r>
            <w:r>
              <w:t>.</w:t>
            </w:r>
          </w:p>
          <w:p w14:paraId="609AD57C" w14:textId="77777777" w:rsidR="00151CF5" w:rsidRPr="00DA57E2" w:rsidRDefault="00151CF5" w:rsidP="00C4004A">
            <w:pPr>
              <w:pStyle w:val="Bullet1"/>
            </w:pPr>
            <w:r w:rsidRPr="00DA57E2">
              <w:lastRenderedPageBreak/>
              <w:t xml:space="preserve">Direct the implementation, </w:t>
            </w:r>
            <w:proofErr w:type="gramStart"/>
            <w:r w:rsidRPr="00DA57E2">
              <w:t>review</w:t>
            </w:r>
            <w:proofErr w:type="gramEnd"/>
            <w:r w:rsidRPr="00DA57E2">
              <w:t xml:space="preserve"> and evaluation of programs, set expectations and performance standards at a whole-of-organisation level</w:t>
            </w:r>
            <w:r>
              <w:t>.</w:t>
            </w:r>
          </w:p>
          <w:p w14:paraId="2EFCF25B" w14:textId="77777777" w:rsidR="00151CF5" w:rsidRPr="00233992" w:rsidRDefault="00151CF5" w:rsidP="00C4004A">
            <w:pPr>
              <w:pStyle w:val="Bullet1"/>
              <w:rPr>
                <w:rFonts w:asciiTheme="minorHAnsi" w:hAnsiTheme="minorHAnsi"/>
              </w:rPr>
            </w:pPr>
            <w:r w:rsidRPr="00DA57E2">
              <w:t>Drive program evaluation frameworks and program planning to ensure return on investment at a financial, human resources and infrastructure level</w:t>
            </w:r>
            <w:r>
              <w:t>.</w:t>
            </w:r>
          </w:p>
        </w:tc>
      </w:tr>
      <w:tr w:rsidR="00151CF5" w:rsidRPr="00233992" w14:paraId="657F00A7" w14:textId="77777777" w:rsidTr="00151CF5">
        <w:trPr>
          <w:cnfStyle w:val="000000010000" w:firstRow="0" w:lastRow="0" w:firstColumn="0" w:lastColumn="0" w:oddVBand="0" w:evenVBand="0" w:oddHBand="0" w:evenHBand="1" w:firstRowFirstColumn="0" w:firstRowLastColumn="0" w:lastRowFirstColumn="0" w:lastRowLastColumn="0"/>
        </w:trPr>
        <w:tc>
          <w:tcPr>
            <w:tcW w:w="2001" w:type="dxa"/>
          </w:tcPr>
          <w:p w14:paraId="0FB1A2D0" w14:textId="77777777" w:rsidR="00151CF5" w:rsidRPr="00233992" w:rsidRDefault="00151CF5" w:rsidP="00C4004A">
            <w:pPr>
              <w:pStyle w:val="TableBody"/>
            </w:pPr>
            <w:r w:rsidRPr="00233992">
              <w:lastRenderedPageBreak/>
              <w:t>Regulatory</w:t>
            </w:r>
          </w:p>
        </w:tc>
        <w:tc>
          <w:tcPr>
            <w:tcW w:w="13162" w:type="dxa"/>
          </w:tcPr>
          <w:p w14:paraId="2CBFC04F" w14:textId="77777777" w:rsidR="00151CF5" w:rsidRPr="00DA57E2" w:rsidRDefault="00151CF5" w:rsidP="00C4004A">
            <w:pPr>
              <w:pStyle w:val="Bullet1"/>
            </w:pPr>
            <w:r>
              <w:t>Make</w:t>
            </w:r>
            <w:r w:rsidRPr="00DA57E2">
              <w:t xml:space="preserve"> determinations regarding the application of regulatory interpretations, ensuring the integrity of legislative systems</w:t>
            </w:r>
            <w:r>
              <w:t>.</w:t>
            </w:r>
          </w:p>
          <w:p w14:paraId="534159C2" w14:textId="77777777" w:rsidR="00151CF5" w:rsidRPr="00A829D2" w:rsidRDefault="00151CF5" w:rsidP="00C4004A">
            <w:pPr>
              <w:pStyle w:val="Bullet1"/>
            </w:pPr>
            <w:r w:rsidRPr="00DA57E2">
              <w:t xml:space="preserve">Drive the development and implementation of regulatory frameworks and substantial, highly </w:t>
            </w:r>
            <w:r w:rsidRPr="00A829D2">
              <w:t xml:space="preserve">complex regulatory programs, ensuring alignment with organisational vision and consistent with </w:t>
            </w:r>
            <w:r>
              <w:t xml:space="preserve">community and </w:t>
            </w:r>
            <w:r w:rsidRPr="00A829D2">
              <w:t>government expectations</w:t>
            </w:r>
            <w:r>
              <w:t>.</w:t>
            </w:r>
          </w:p>
          <w:p w14:paraId="0D1D5720" w14:textId="77777777" w:rsidR="00151CF5" w:rsidRPr="00DA57E2" w:rsidRDefault="00151CF5" w:rsidP="00C4004A">
            <w:pPr>
              <w:pStyle w:val="Bullet1"/>
            </w:pPr>
            <w:r w:rsidRPr="00DA57E2">
              <w:t>Lead and manage responses to highly complex regulatory, enforcement, and compliance issues, managing and mitigating risk, including financial, reputational, and safety risks</w:t>
            </w:r>
            <w:r>
              <w:t>.</w:t>
            </w:r>
          </w:p>
          <w:p w14:paraId="39A40C77" w14:textId="77777777" w:rsidR="00151CF5" w:rsidRPr="00233992" w:rsidRDefault="00151CF5" w:rsidP="00C4004A">
            <w:pPr>
              <w:pStyle w:val="Bullet1"/>
              <w:rPr>
                <w:rFonts w:asciiTheme="minorHAnsi" w:hAnsiTheme="minorHAnsi"/>
              </w:rPr>
            </w:pPr>
            <w:r w:rsidRPr="00DA57E2">
              <w:t>Oversee a substantial portion of an organisation, or whole organisation that is responsible for regulatory, compliance and/or enforcement activities, including policy and delivery</w:t>
            </w:r>
            <w:r>
              <w:t>.</w:t>
            </w:r>
          </w:p>
        </w:tc>
      </w:tr>
      <w:tr w:rsidR="00151CF5" w:rsidRPr="00233992" w14:paraId="1C6BA61B" w14:textId="77777777" w:rsidTr="00151CF5">
        <w:trPr>
          <w:cnfStyle w:val="000000100000" w:firstRow="0" w:lastRow="0" w:firstColumn="0" w:lastColumn="0" w:oddVBand="0" w:evenVBand="0" w:oddHBand="1" w:evenHBand="0" w:firstRowFirstColumn="0" w:firstRowLastColumn="0" w:lastRowFirstColumn="0" w:lastRowLastColumn="0"/>
        </w:trPr>
        <w:tc>
          <w:tcPr>
            <w:tcW w:w="2001" w:type="dxa"/>
          </w:tcPr>
          <w:p w14:paraId="5448F530" w14:textId="77777777" w:rsidR="00151CF5" w:rsidRPr="00233992" w:rsidRDefault="00151CF5" w:rsidP="00C4004A">
            <w:pPr>
              <w:pStyle w:val="TableBody"/>
            </w:pPr>
            <w:r w:rsidRPr="00233992">
              <w:t>Professional/Specialist</w:t>
            </w:r>
          </w:p>
        </w:tc>
        <w:tc>
          <w:tcPr>
            <w:tcW w:w="13162" w:type="dxa"/>
          </w:tcPr>
          <w:p w14:paraId="0DF30935" w14:textId="77777777" w:rsidR="00151CF5" w:rsidRPr="005A5BCE" w:rsidRDefault="00151CF5" w:rsidP="00C4004A">
            <w:pPr>
              <w:pStyle w:val="Bullet1"/>
              <w:rPr>
                <w:rFonts w:asciiTheme="minorHAnsi" w:hAnsiTheme="minorHAnsi"/>
              </w:rPr>
            </w:pPr>
            <w:r w:rsidRPr="005A5BCE">
              <w:rPr>
                <w:rFonts w:asciiTheme="minorHAnsi" w:hAnsiTheme="minorHAnsi"/>
              </w:rPr>
              <w:t>As a specialist, provide strategic and critical advice based on extensive and advanced professional and technical experience in a highly complex field</w:t>
            </w:r>
            <w:r>
              <w:rPr>
                <w:rFonts w:asciiTheme="minorHAnsi" w:hAnsiTheme="minorHAnsi"/>
              </w:rPr>
              <w:t>.</w:t>
            </w:r>
          </w:p>
          <w:p w14:paraId="3FB4F6C4" w14:textId="77777777" w:rsidR="00151CF5" w:rsidRPr="00233992" w:rsidRDefault="00151CF5" w:rsidP="00C4004A">
            <w:pPr>
              <w:pStyle w:val="Bullet1"/>
              <w:rPr>
                <w:rFonts w:asciiTheme="minorHAnsi" w:hAnsiTheme="minorHAnsi"/>
              </w:rPr>
            </w:pPr>
            <w:r w:rsidRPr="005A5BCE">
              <w:rPr>
                <w:rFonts w:asciiTheme="minorHAnsi" w:hAnsiTheme="minorHAnsi"/>
              </w:rPr>
              <w:t>Drive the development of specialist knowledge, through the leadership of a significant portion, or whole, of an organisation, undertaking specialist functions, including the delivery of professional services, education services, research and analysis, and the provision of highly complex professional advice and information</w:t>
            </w:r>
            <w:r>
              <w:rPr>
                <w:rFonts w:asciiTheme="minorHAnsi" w:hAnsiTheme="minorHAnsi"/>
              </w:rPr>
              <w:t>.</w:t>
            </w:r>
          </w:p>
        </w:tc>
      </w:tr>
      <w:tr w:rsidR="00151CF5" w:rsidRPr="00233992" w14:paraId="0B43BF93" w14:textId="77777777" w:rsidTr="00151CF5">
        <w:trPr>
          <w:cnfStyle w:val="000000010000" w:firstRow="0" w:lastRow="0" w:firstColumn="0" w:lastColumn="0" w:oddVBand="0" w:evenVBand="0" w:oddHBand="0" w:evenHBand="1" w:firstRowFirstColumn="0" w:firstRowLastColumn="0" w:lastRowFirstColumn="0" w:lastRowLastColumn="0"/>
        </w:trPr>
        <w:tc>
          <w:tcPr>
            <w:tcW w:w="2001" w:type="dxa"/>
          </w:tcPr>
          <w:p w14:paraId="68D018AC" w14:textId="77777777" w:rsidR="00151CF5" w:rsidRPr="00233992" w:rsidRDefault="00151CF5" w:rsidP="00C4004A">
            <w:pPr>
              <w:pStyle w:val="TableBody"/>
            </w:pPr>
            <w:r w:rsidRPr="00A921D7">
              <w:t>End of table</w:t>
            </w:r>
          </w:p>
        </w:tc>
        <w:tc>
          <w:tcPr>
            <w:tcW w:w="13162" w:type="dxa"/>
          </w:tcPr>
          <w:p w14:paraId="124F6789" w14:textId="77777777" w:rsidR="00151CF5" w:rsidRPr="005A5BCE" w:rsidRDefault="00151CF5" w:rsidP="00C4004A">
            <w:pPr>
              <w:pStyle w:val="Bullet1"/>
              <w:numPr>
                <w:ilvl w:val="0"/>
                <w:numId w:val="0"/>
              </w:numPr>
              <w:ind w:left="567" w:hanging="567"/>
              <w:rPr>
                <w:rFonts w:asciiTheme="minorHAnsi" w:hAnsiTheme="minorHAnsi"/>
              </w:rPr>
            </w:pPr>
          </w:p>
        </w:tc>
      </w:tr>
    </w:tbl>
    <w:p w14:paraId="588707A9" w14:textId="77777777" w:rsidR="006E2F6B" w:rsidRPr="007C698F" w:rsidRDefault="006E2F6B" w:rsidP="007C698F">
      <w:pPr>
        <w:pStyle w:val="Body"/>
      </w:pPr>
    </w:p>
    <w:sectPr w:rsidR="006E2F6B" w:rsidRPr="007C698F" w:rsidSect="00151CF5">
      <w:footerReference w:type="even" r:id="rId12"/>
      <w:footerReference w:type="default" r:id="rId13"/>
      <w:footerReference w:type="first" r:id="rId14"/>
      <w:pgSz w:w="16838" w:h="11906" w:orient="landscape" w:code="9"/>
      <w:pgMar w:top="1418" w:right="226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829A1" w14:textId="77777777" w:rsidR="00275CE2" w:rsidRPr="00973F22" w:rsidRDefault="00275CE2" w:rsidP="00973F22">
      <w:r>
        <w:separator/>
      </w:r>
    </w:p>
    <w:p w14:paraId="23D1EC38" w14:textId="77777777" w:rsidR="00275CE2" w:rsidRDefault="00275CE2"/>
  </w:endnote>
  <w:endnote w:type="continuationSeparator" w:id="0">
    <w:p w14:paraId="42790F05" w14:textId="77777777" w:rsidR="00275CE2" w:rsidRPr="00973F22" w:rsidRDefault="00275CE2" w:rsidP="00973F22">
      <w:r>
        <w:continuationSeparator/>
      </w:r>
    </w:p>
    <w:p w14:paraId="39421B1E" w14:textId="77777777" w:rsidR="00275CE2" w:rsidRDefault="00275CE2"/>
  </w:endnote>
  <w:endnote w:type="continuationNotice" w:id="1">
    <w:p w14:paraId="6A7659AD" w14:textId="77777777" w:rsidR="00275CE2" w:rsidRDefault="00275CE2" w:rsidP="00973F22"/>
    <w:p w14:paraId="595B3204" w14:textId="77777777" w:rsidR="00275CE2" w:rsidRDefault="00275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2002" w14:textId="7DA86E63" w:rsidR="0010603C" w:rsidRDefault="0010603C">
    <w:pPr>
      <w:pStyle w:val="Footer"/>
    </w:pPr>
    <w:r>
      <w:rPr>
        <w:noProof/>
      </w:rPr>
      <mc:AlternateContent>
        <mc:Choice Requires="wps">
          <w:drawing>
            <wp:anchor distT="0" distB="0" distL="0" distR="0" simplePos="0" relativeHeight="251659264" behindDoc="0" locked="0" layoutInCell="1" allowOverlap="1" wp14:anchorId="419FBE3B" wp14:editId="1515BA8D">
              <wp:simplePos x="635" y="635"/>
              <wp:positionH relativeFrom="page">
                <wp:align>left</wp:align>
              </wp:positionH>
              <wp:positionV relativeFrom="page">
                <wp:align>bottom</wp:align>
              </wp:positionV>
              <wp:extent cx="759460" cy="394970"/>
              <wp:effectExtent l="0" t="0" r="2540" b="0"/>
              <wp:wrapNone/>
              <wp:docPr id="89288480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4A12F49E" w14:textId="543F205F" w:rsidR="0010603C" w:rsidRPr="0010603C" w:rsidRDefault="0010603C" w:rsidP="0010603C">
                          <w:pPr>
                            <w:spacing w:after="0"/>
                            <w:rPr>
                              <w:rFonts w:ascii="Calibri" w:eastAsia="Calibri" w:hAnsi="Calibri" w:cs="Calibri"/>
                              <w:noProof/>
                              <w:color w:val="000000"/>
                            </w:rPr>
                          </w:pPr>
                          <w:r w:rsidRPr="0010603C">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9FBE3B"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4A12F49E" w14:textId="543F205F" w:rsidR="0010603C" w:rsidRPr="0010603C" w:rsidRDefault="0010603C" w:rsidP="0010603C">
                    <w:pPr>
                      <w:spacing w:after="0"/>
                      <w:rPr>
                        <w:rFonts w:ascii="Calibri" w:eastAsia="Calibri" w:hAnsi="Calibri" w:cs="Calibri"/>
                        <w:noProof/>
                        <w:color w:val="000000"/>
                      </w:rPr>
                    </w:pPr>
                    <w:r w:rsidRPr="0010603C">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FDBE" w14:textId="5B6FE582" w:rsidR="007C698F" w:rsidRDefault="0010603C">
    <w:pPr>
      <w:pStyle w:val="Footer"/>
    </w:pPr>
    <w:r>
      <w:rPr>
        <w:noProof/>
      </w:rPr>
      <mc:AlternateContent>
        <mc:Choice Requires="wps">
          <w:drawing>
            <wp:anchor distT="0" distB="0" distL="0" distR="0" simplePos="0" relativeHeight="251660288" behindDoc="0" locked="0" layoutInCell="1" allowOverlap="1" wp14:anchorId="6EC48743" wp14:editId="3B87C681">
              <wp:simplePos x="904875" y="10086975"/>
              <wp:positionH relativeFrom="page">
                <wp:align>left</wp:align>
              </wp:positionH>
              <wp:positionV relativeFrom="page">
                <wp:align>bottom</wp:align>
              </wp:positionV>
              <wp:extent cx="759460" cy="394970"/>
              <wp:effectExtent l="0" t="0" r="2540" b="0"/>
              <wp:wrapNone/>
              <wp:docPr id="188854523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098EE4EC" w14:textId="49F0E343" w:rsidR="0010603C" w:rsidRPr="0010603C" w:rsidRDefault="0010603C" w:rsidP="0010603C">
                          <w:pPr>
                            <w:spacing w:after="0"/>
                            <w:rPr>
                              <w:rFonts w:ascii="Calibri" w:eastAsia="Calibri" w:hAnsi="Calibri" w:cs="Calibri"/>
                              <w:noProof/>
                              <w:color w:val="000000"/>
                            </w:rPr>
                          </w:pPr>
                          <w:r w:rsidRPr="0010603C">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C48743" id="_x0000_t202" coordsize="21600,21600" o:spt="202" path="m,l,21600r21600,l21600,xe">
              <v:stroke joinstyle="miter"/>
              <v:path gradientshapeok="t" o:connecttype="rect"/>
            </v:shapetype>
            <v:shape id="Text Box 3" o:spid="_x0000_s1027"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098EE4EC" w14:textId="49F0E343" w:rsidR="0010603C" w:rsidRPr="0010603C" w:rsidRDefault="0010603C" w:rsidP="0010603C">
                    <w:pPr>
                      <w:spacing w:after="0"/>
                      <w:rPr>
                        <w:rFonts w:ascii="Calibri" w:eastAsia="Calibri" w:hAnsi="Calibri" w:cs="Calibri"/>
                        <w:noProof/>
                        <w:color w:val="000000"/>
                      </w:rPr>
                    </w:pPr>
                    <w:r w:rsidRPr="0010603C">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2F59" w14:textId="44947C79" w:rsidR="0010603C" w:rsidRDefault="0010603C">
    <w:pPr>
      <w:pStyle w:val="Footer"/>
    </w:pPr>
    <w:r>
      <w:rPr>
        <w:noProof/>
      </w:rPr>
      <mc:AlternateContent>
        <mc:Choice Requires="wps">
          <w:drawing>
            <wp:anchor distT="0" distB="0" distL="0" distR="0" simplePos="0" relativeHeight="251658240" behindDoc="0" locked="0" layoutInCell="1" allowOverlap="1" wp14:anchorId="0F780E8B" wp14:editId="36652613">
              <wp:simplePos x="635" y="635"/>
              <wp:positionH relativeFrom="page">
                <wp:align>left</wp:align>
              </wp:positionH>
              <wp:positionV relativeFrom="page">
                <wp:align>bottom</wp:align>
              </wp:positionV>
              <wp:extent cx="759460" cy="394970"/>
              <wp:effectExtent l="0" t="0" r="2540" b="0"/>
              <wp:wrapNone/>
              <wp:docPr id="30933065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2AC98235" w14:textId="0F94F4D6" w:rsidR="0010603C" w:rsidRPr="0010603C" w:rsidRDefault="0010603C" w:rsidP="0010603C">
                          <w:pPr>
                            <w:spacing w:after="0"/>
                            <w:rPr>
                              <w:rFonts w:ascii="Calibri" w:eastAsia="Calibri" w:hAnsi="Calibri" w:cs="Calibri"/>
                              <w:noProof/>
                              <w:color w:val="000000"/>
                            </w:rPr>
                          </w:pPr>
                          <w:r w:rsidRPr="0010603C">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780E8B" id="_x0000_t202" coordsize="21600,21600" o:spt="202" path="m,l,21600r21600,l21600,xe">
              <v:stroke joinstyle="miter"/>
              <v:path gradientshapeok="t" o:connecttype="rect"/>
            </v:shapetype>
            <v:shape id="Text Box 1" o:spid="_x0000_s1028" type="#_x0000_t202" alt="OFFICIAL" style="position:absolute;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2AC98235" w14:textId="0F94F4D6" w:rsidR="0010603C" w:rsidRPr="0010603C" w:rsidRDefault="0010603C" w:rsidP="0010603C">
                    <w:pPr>
                      <w:spacing w:after="0"/>
                      <w:rPr>
                        <w:rFonts w:ascii="Calibri" w:eastAsia="Calibri" w:hAnsi="Calibri" w:cs="Calibri"/>
                        <w:noProof/>
                        <w:color w:val="000000"/>
                      </w:rPr>
                    </w:pPr>
                    <w:r w:rsidRPr="0010603C">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F39A5" w14:textId="77777777" w:rsidR="00275CE2" w:rsidRPr="00973F22" w:rsidRDefault="00275CE2" w:rsidP="00973F22">
      <w:r>
        <w:separator/>
      </w:r>
    </w:p>
    <w:p w14:paraId="2E3341AA" w14:textId="77777777" w:rsidR="00275CE2" w:rsidRDefault="00275CE2"/>
  </w:footnote>
  <w:footnote w:type="continuationSeparator" w:id="0">
    <w:p w14:paraId="41EB0E4B" w14:textId="77777777" w:rsidR="00275CE2" w:rsidRPr="00973F22" w:rsidRDefault="00275CE2" w:rsidP="00973F22">
      <w:r>
        <w:continuationSeparator/>
      </w:r>
    </w:p>
    <w:p w14:paraId="71902464" w14:textId="77777777" w:rsidR="00275CE2" w:rsidRDefault="00275CE2"/>
  </w:footnote>
  <w:footnote w:type="continuationNotice" w:id="1">
    <w:p w14:paraId="0AD335FC" w14:textId="77777777" w:rsidR="00275CE2" w:rsidRDefault="00275CE2" w:rsidP="00973F22"/>
    <w:p w14:paraId="63CAB540" w14:textId="77777777" w:rsidR="00275CE2" w:rsidRDefault="00275C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3C"/>
    <w:rsid w:val="00002A3D"/>
    <w:rsid w:val="000147BB"/>
    <w:rsid w:val="00023994"/>
    <w:rsid w:val="00025978"/>
    <w:rsid w:val="000263C0"/>
    <w:rsid w:val="00032B0B"/>
    <w:rsid w:val="0003753D"/>
    <w:rsid w:val="000463BA"/>
    <w:rsid w:val="00046991"/>
    <w:rsid w:val="000617B4"/>
    <w:rsid w:val="00074864"/>
    <w:rsid w:val="0008087B"/>
    <w:rsid w:val="00083A4B"/>
    <w:rsid w:val="000944F1"/>
    <w:rsid w:val="000953ED"/>
    <w:rsid w:val="000A4349"/>
    <w:rsid w:val="000C630F"/>
    <w:rsid w:val="000C71C1"/>
    <w:rsid w:val="000D3A6B"/>
    <w:rsid w:val="000D4A7F"/>
    <w:rsid w:val="000D67A6"/>
    <w:rsid w:val="000E309F"/>
    <w:rsid w:val="000F7A17"/>
    <w:rsid w:val="0010603C"/>
    <w:rsid w:val="00112211"/>
    <w:rsid w:val="00114CC3"/>
    <w:rsid w:val="00120CFF"/>
    <w:rsid w:val="0012332F"/>
    <w:rsid w:val="00132C47"/>
    <w:rsid w:val="00133908"/>
    <w:rsid w:val="00135526"/>
    <w:rsid w:val="001375DC"/>
    <w:rsid w:val="001376FC"/>
    <w:rsid w:val="00141788"/>
    <w:rsid w:val="001471E8"/>
    <w:rsid w:val="00151CF5"/>
    <w:rsid w:val="00151F20"/>
    <w:rsid w:val="00152198"/>
    <w:rsid w:val="0015589C"/>
    <w:rsid w:val="00157891"/>
    <w:rsid w:val="00161386"/>
    <w:rsid w:val="0017079F"/>
    <w:rsid w:val="00171ED6"/>
    <w:rsid w:val="00172E36"/>
    <w:rsid w:val="00181163"/>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22804"/>
    <w:rsid w:val="00237C04"/>
    <w:rsid w:val="00242219"/>
    <w:rsid w:val="002427C3"/>
    <w:rsid w:val="00250476"/>
    <w:rsid w:val="00265143"/>
    <w:rsid w:val="002673D5"/>
    <w:rsid w:val="002734D1"/>
    <w:rsid w:val="00275CE2"/>
    <w:rsid w:val="00281C8F"/>
    <w:rsid w:val="00284CBD"/>
    <w:rsid w:val="002A6A13"/>
    <w:rsid w:val="002B450D"/>
    <w:rsid w:val="002B62A2"/>
    <w:rsid w:val="002C0246"/>
    <w:rsid w:val="002C23B5"/>
    <w:rsid w:val="002F2C1A"/>
    <w:rsid w:val="00302A41"/>
    <w:rsid w:val="0030584A"/>
    <w:rsid w:val="00313C36"/>
    <w:rsid w:val="00315C6C"/>
    <w:rsid w:val="003268F4"/>
    <w:rsid w:val="00342A62"/>
    <w:rsid w:val="00345485"/>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70ED3"/>
    <w:rsid w:val="00476676"/>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2FE"/>
    <w:rsid w:val="005854DB"/>
    <w:rsid w:val="00596A8A"/>
    <w:rsid w:val="005A5552"/>
    <w:rsid w:val="005C0578"/>
    <w:rsid w:val="005C3F87"/>
    <w:rsid w:val="005F78D8"/>
    <w:rsid w:val="006002E3"/>
    <w:rsid w:val="00607043"/>
    <w:rsid w:val="00617ED0"/>
    <w:rsid w:val="006200B2"/>
    <w:rsid w:val="00622554"/>
    <w:rsid w:val="00625E59"/>
    <w:rsid w:val="00627E74"/>
    <w:rsid w:val="006323DA"/>
    <w:rsid w:val="00642135"/>
    <w:rsid w:val="0064243B"/>
    <w:rsid w:val="00645BA2"/>
    <w:rsid w:val="00656282"/>
    <w:rsid w:val="0066274E"/>
    <w:rsid w:val="006704A0"/>
    <w:rsid w:val="006705C0"/>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31CF"/>
    <w:rsid w:val="0079503C"/>
    <w:rsid w:val="007C698F"/>
    <w:rsid w:val="007D1463"/>
    <w:rsid w:val="007E3BDF"/>
    <w:rsid w:val="008159B9"/>
    <w:rsid w:val="008240B2"/>
    <w:rsid w:val="008248B8"/>
    <w:rsid w:val="00845D38"/>
    <w:rsid w:val="00853478"/>
    <w:rsid w:val="0085680F"/>
    <w:rsid w:val="0086587B"/>
    <w:rsid w:val="00874A30"/>
    <w:rsid w:val="00876AEC"/>
    <w:rsid w:val="008A2A5E"/>
    <w:rsid w:val="008B47C6"/>
    <w:rsid w:val="008C26C0"/>
    <w:rsid w:val="008C547D"/>
    <w:rsid w:val="008C5E30"/>
    <w:rsid w:val="008D4329"/>
    <w:rsid w:val="008D585A"/>
    <w:rsid w:val="008D5EA3"/>
    <w:rsid w:val="008F416A"/>
    <w:rsid w:val="00910FE9"/>
    <w:rsid w:val="009307C8"/>
    <w:rsid w:val="00930EF1"/>
    <w:rsid w:val="009317A8"/>
    <w:rsid w:val="00933E01"/>
    <w:rsid w:val="009408BE"/>
    <w:rsid w:val="00947E08"/>
    <w:rsid w:val="00952D74"/>
    <w:rsid w:val="00973F22"/>
    <w:rsid w:val="009778A3"/>
    <w:rsid w:val="00981CBA"/>
    <w:rsid w:val="009A23EF"/>
    <w:rsid w:val="009A2ED6"/>
    <w:rsid w:val="009A4CBA"/>
    <w:rsid w:val="009A533A"/>
    <w:rsid w:val="009A5AE6"/>
    <w:rsid w:val="009B1A17"/>
    <w:rsid w:val="009D045A"/>
    <w:rsid w:val="009D46CE"/>
    <w:rsid w:val="009D5BEC"/>
    <w:rsid w:val="009D7454"/>
    <w:rsid w:val="009F000E"/>
    <w:rsid w:val="009F7D33"/>
    <w:rsid w:val="00A14C48"/>
    <w:rsid w:val="00A203FD"/>
    <w:rsid w:val="00A20919"/>
    <w:rsid w:val="00A22C86"/>
    <w:rsid w:val="00A262D0"/>
    <w:rsid w:val="00A3737E"/>
    <w:rsid w:val="00A442C3"/>
    <w:rsid w:val="00A537AE"/>
    <w:rsid w:val="00A54D98"/>
    <w:rsid w:val="00A73EF6"/>
    <w:rsid w:val="00A775A4"/>
    <w:rsid w:val="00A80F5C"/>
    <w:rsid w:val="00A838CE"/>
    <w:rsid w:val="00A921D7"/>
    <w:rsid w:val="00A92582"/>
    <w:rsid w:val="00A94E3B"/>
    <w:rsid w:val="00AB070F"/>
    <w:rsid w:val="00AB3220"/>
    <w:rsid w:val="00AC28DE"/>
    <w:rsid w:val="00AC7D5C"/>
    <w:rsid w:val="00AD1961"/>
    <w:rsid w:val="00AD7126"/>
    <w:rsid w:val="00AE3055"/>
    <w:rsid w:val="00AE5B4C"/>
    <w:rsid w:val="00AF3D16"/>
    <w:rsid w:val="00AF7301"/>
    <w:rsid w:val="00B1067A"/>
    <w:rsid w:val="00B11133"/>
    <w:rsid w:val="00B248E5"/>
    <w:rsid w:val="00B30F5B"/>
    <w:rsid w:val="00B31B05"/>
    <w:rsid w:val="00B51168"/>
    <w:rsid w:val="00B57F83"/>
    <w:rsid w:val="00B60A84"/>
    <w:rsid w:val="00B616A2"/>
    <w:rsid w:val="00B65F97"/>
    <w:rsid w:val="00B66D7A"/>
    <w:rsid w:val="00B750E2"/>
    <w:rsid w:val="00B878CD"/>
    <w:rsid w:val="00B87D73"/>
    <w:rsid w:val="00BB0A12"/>
    <w:rsid w:val="00BC0F5D"/>
    <w:rsid w:val="00BC6D05"/>
    <w:rsid w:val="00BD4414"/>
    <w:rsid w:val="00BE6683"/>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3532"/>
    <w:rsid w:val="00C36552"/>
    <w:rsid w:val="00C475C9"/>
    <w:rsid w:val="00C81618"/>
    <w:rsid w:val="00C92553"/>
    <w:rsid w:val="00C92FF3"/>
    <w:rsid w:val="00C93708"/>
    <w:rsid w:val="00C952B9"/>
    <w:rsid w:val="00CA75B5"/>
    <w:rsid w:val="00CA7D06"/>
    <w:rsid w:val="00CC20DA"/>
    <w:rsid w:val="00CC7DCE"/>
    <w:rsid w:val="00CD2196"/>
    <w:rsid w:val="00CD237D"/>
    <w:rsid w:val="00CD4138"/>
    <w:rsid w:val="00CE13DE"/>
    <w:rsid w:val="00D03B89"/>
    <w:rsid w:val="00D05BEB"/>
    <w:rsid w:val="00D27967"/>
    <w:rsid w:val="00D31117"/>
    <w:rsid w:val="00D3148B"/>
    <w:rsid w:val="00D37410"/>
    <w:rsid w:val="00D40007"/>
    <w:rsid w:val="00D4585B"/>
    <w:rsid w:val="00D46543"/>
    <w:rsid w:val="00D606CD"/>
    <w:rsid w:val="00D61DA6"/>
    <w:rsid w:val="00D63D79"/>
    <w:rsid w:val="00D8076E"/>
    <w:rsid w:val="00D80882"/>
    <w:rsid w:val="00D918B2"/>
    <w:rsid w:val="00D91C20"/>
    <w:rsid w:val="00DA08C3"/>
    <w:rsid w:val="00DA2856"/>
    <w:rsid w:val="00DB4224"/>
    <w:rsid w:val="00DD06DC"/>
    <w:rsid w:val="00DD544C"/>
    <w:rsid w:val="00DE3D94"/>
    <w:rsid w:val="00DE4237"/>
    <w:rsid w:val="00DE4B60"/>
    <w:rsid w:val="00E10249"/>
    <w:rsid w:val="00E11385"/>
    <w:rsid w:val="00E125F1"/>
    <w:rsid w:val="00E14E14"/>
    <w:rsid w:val="00E41388"/>
    <w:rsid w:val="00E46946"/>
    <w:rsid w:val="00E5129E"/>
    <w:rsid w:val="00E552AA"/>
    <w:rsid w:val="00E62139"/>
    <w:rsid w:val="00E6225F"/>
    <w:rsid w:val="00E63A0F"/>
    <w:rsid w:val="00E66DAD"/>
    <w:rsid w:val="00E6779C"/>
    <w:rsid w:val="00E715EF"/>
    <w:rsid w:val="00E763DC"/>
    <w:rsid w:val="00E82B11"/>
    <w:rsid w:val="00E87F58"/>
    <w:rsid w:val="00EA5147"/>
    <w:rsid w:val="00ED0E63"/>
    <w:rsid w:val="00EF1BBF"/>
    <w:rsid w:val="00EF401A"/>
    <w:rsid w:val="00F00288"/>
    <w:rsid w:val="00F05580"/>
    <w:rsid w:val="00F15AA8"/>
    <w:rsid w:val="00F15CCE"/>
    <w:rsid w:val="00F167C0"/>
    <w:rsid w:val="00F2177F"/>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591E"/>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13DB6"/>
  <w15:chartTrackingRefBased/>
  <w15:docId w15:val="{BBB7507A-917E-4E3D-B179-554F4051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51CF5"/>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1"/>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1"/>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paragraph" w:styleId="Heading6">
    <w:name w:val="heading 6"/>
    <w:basedOn w:val="Normal"/>
    <w:next w:val="Normal"/>
    <w:link w:val="Heading6Char"/>
    <w:uiPriority w:val="9"/>
    <w:semiHidden/>
    <w:qFormat/>
    <w:locked/>
    <w:rsid w:val="001060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locked/>
    <w:rsid w:val="0010603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locked/>
    <w:rsid w:val="0010603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locked/>
    <w:rsid w:val="0010603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1"/>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1"/>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character" w:customStyle="1" w:styleId="Heading6Char">
    <w:name w:val="Heading 6 Char"/>
    <w:basedOn w:val="DefaultParagraphFont"/>
    <w:link w:val="Heading6"/>
    <w:uiPriority w:val="9"/>
    <w:semiHidden/>
    <w:rsid w:val="001060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60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60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603C"/>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semiHidden/>
    <w:locked/>
    <w:rsid w:val="0010603C"/>
    <w:rPr>
      <w:i/>
      <w:iCs/>
      <w:color w:val="005C37" w:themeColor="accent1" w:themeShade="BF"/>
    </w:rPr>
  </w:style>
  <w:style w:type="paragraph" w:styleId="IntenseQuote">
    <w:name w:val="Intense Quote"/>
    <w:basedOn w:val="Normal"/>
    <w:next w:val="Normal"/>
    <w:link w:val="IntenseQuoteChar"/>
    <w:uiPriority w:val="30"/>
    <w:semiHidden/>
    <w:locked/>
    <w:rsid w:val="0010603C"/>
    <w:pPr>
      <w:pBdr>
        <w:top w:val="single" w:sz="4" w:space="10" w:color="005C37" w:themeColor="accent1" w:themeShade="BF"/>
        <w:bottom w:val="single" w:sz="4" w:space="10" w:color="005C37" w:themeColor="accent1" w:themeShade="BF"/>
      </w:pBdr>
      <w:spacing w:before="360" w:after="360"/>
      <w:ind w:left="864" w:right="864"/>
      <w:jc w:val="center"/>
    </w:pPr>
    <w:rPr>
      <w:i/>
      <w:iCs/>
      <w:color w:val="005C37" w:themeColor="accent1" w:themeShade="BF"/>
    </w:rPr>
  </w:style>
  <w:style w:type="character" w:customStyle="1" w:styleId="IntenseQuoteChar">
    <w:name w:val="Intense Quote Char"/>
    <w:basedOn w:val="DefaultParagraphFont"/>
    <w:link w:val="IntenseQuote"/>
    <w:uiPriority w:val="30"/>
    <w:semiHidden/>
    <w:rsid w:val="0010603C"/>
    <w:rPr>
      <w:i/>
      <w:iCs/>
      <w:color w:val="005C37" w:themeColor="accent1" w:themeShade="BF"/>
    </w:rPr>
  </w:style>
  <w:style w:type="character" w:styleId="IntenseReference">
    <w:name w:val="Intense Reference"/>
    <w:basedOn w:val="DefaultParagraphFont"/>
    <w:uiPriority w:val="32"/>
    <w:semiHidden/>
    <w:qFormat/>
    <w:locked/>
    <w:rsid w:val="0010603C"/>
    <w:rPr>
      <w:b/>
      <w:bCs/>
      <w:smallCaps/>
      <w:color w:val="005C37" w:themeColor="accent1" w:themeShade="BF"/>
      <w:spacing w:val="5"/>
    </w:rPr>
  </w:style>
  <w:style w:type="character" w:styleId="CommentReference">
    <w:name w:val="annotation reference"/>
    <w:basedOn w:val="DefaultParagraphFont"/>
    <w:uiPriority w:val="99"/>
    <w:semiHidden/>
    <w:unhideWhenUsed/>
    <w:rsid w:val="00151CF5"/>
    <w:rPr>
      <w:sz w:val="16"/>
      <w:szCs w:val="16"/>
    </w:rPr>
  </w:style>
  <w:style w:type="paragraph" w:styleId="CommentText">
    <w:name w:val="annotation text"/>
    <w:basedOn w:val="Normal"/>
    <w:link w:val="CommentTextChar"/>
    <w:uiPriority w:val="99"/>
    <w:unhideWhenUsed/>
    <w:rsid w:val="00151CF5"/>
    <w:pPr>
      <w:spacing w:after="120" w:line="276" w:lineRule="auto"/>
    </w:pPr>
    <w:rPr>
      <w:rFonts w:ascii="Arial" w:eastAsia="Times New Roman" w:hAnsi="Arial"/>
      <w:sz w:val="20"/>
      <w:szCs w:val="20"/>
    </w:rPr>
  </w:style>
  <w:style w:type="character" w:customStyle="1" w:styleId="CommentTextChar">
    <w:name w:val="Comment Text Char"/>
    <w:basedOn w:val="DefaultParagraphFont"/>
    <w:link w:val="CommentText"/>
    <w:uiPriority w:val="99"/>
    <w:rsid w:val="00151CF5"/>
    <w:rPr>
      <w:rFonts w:ascii="Arial" w:eastAsia="Times New Roman" w:hAnsi="Arial"/>
      <w:sz w:val="20"/>
      <w:szCs w:val="20"/>
    </w:rPr>
  </w:style>
  <w:style w:type="character" w:styleId="Mention">
    <w:name w:val="Mention"/>
    <w:basedOn w:val="DefaultParagraphFont"/>
    <w:uiPriority w:val="99"/>
    <w:unhideWhenUsed/>
    <w:rsid w:val="00151C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PSC Word template" ma:contentTypeID="0x010100CB613B0FA18194419A72D2EEC9C847C800E3A995F579F85E4AB3072197D0298B4D" ma:contentTypeVersion="6" ma:contentTypeDescription="" ma:contentTypeScope="" ma:versionID="07f053ae87bdc9c8c91158ce79b7ad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DE85985D-7F2A-4115-A224-13F1C4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AFC23F9C-8A71-4670-90A3-4DD0EFF64BD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Jill Clarke (VPSC)</dc:creator>
  <cp:keywords/>
  <dc:description/>
  <cp:lastModifiedBy>Jill Clarke (VPSC)</cp:lastModifiedBy>
  <cp:revision>2</cp:revision>
  <dcterms:created xsi:type="dcterms:W3CDTF">2024-07-16T06:47:00Z</dcterms:created>
  <dcterms:modified xsi:type="dcterms:W3CDTF">2024-07-16T06:50:00Z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127002db,35385747,7090e9cf</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2024-07-16T06:48:26Z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74a0dac3-3200-48a5-9b95-ed1c6643d070</vt:lpwstr>
  </property>
  <property fmtid="{D5CDD505-2E9C-101B-9397-08002B2CF9AE}" pid="11" name="MSIP_Label_7158ebbd-6c5e-441f-bfc9-4eb8c11e3978_ContentBits">
    <vt:lpwstr>2</vt:lpwstr>
  </property>
</Properties>
</file>