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EC3C1" w14:textId="77777777" w:rsidR="00B453F0" w:rsidRPr="00744F00" w:rsidRDefault="00B453F0" w:rsidP="00744F00">
      <w:pPr>
        <w:pStyle w:val="Title"/>
      </w:pPr>
      <w:r w:rsidRPr="00744F00">
        <w:t>Mental health and wellbeing:</w:t>
      </w:r>
    </w:p>
    <w:p w14:paraId="228D2DDB" w14:textId="7F688C9D" w:rsidR="00B60A84" w:rsidRPr="00744F00" w:rsidRDefault="00B453F0" w:rsidP="00744F00">
      <w:pPr>
        <w:pStyle w:val="Title"/>
      </w:pPr>
      <w:r w:rsidRPr="00744F00">
        <w:t>education and training framework</w:t>
      </w:r>
    </w:p>
    <w:p w14:paraId="1D24E767" w14:textId="77777777" w:rsidR="005461BF" w:rsidRPr="005461BF" w:rsidRDefault="005461BF" w:rsidP="00B453F0">
      <w:pPr>
        <w:pStyle w:val="Body"/>
        <w:spacing w:before="2400" w:after="2400" w:line="240" w:lineRule="auto"/>
      </w:pPr>
    </w:p>
    <w:p w14:paraId="1039E43B" w14:textId="77777777" w:rsidR="00B453F0" w:rsidRDefault="00B453F0" w:rsidP="00B453F0">
      <w:r>
        <w:t xml:space="preserve">To receive this document in an alternative accessible format, </w:t>
      </w:r>
      <w:hyperlink r:id="rId12" w:history="1">
        <w:r w:rsidRPr="00DD2AC3">
          <w:t>email the Victorian Public Sector Commission</w:t>
        </w:r>
      </w:hyperlink>
      <w:r>
        <w:t>: &lt;</w:t>
      </w:r>
      <w:hyperlink r:id="rId13" w:history="1">
        <w:r w:rsidRPr="00170459">
          <w:rPr>
            <w:rStyle w:val="Hyperlink"/>
          </w:rPr>
          <w:t>info@vpsc.vic.gov.au</w:t>
        </w:r>
      </w:hyperlink>
      <w:r>
        <w:t>&gt;.</w:t>
      </w:r>
    </w:p>
    <w:p w14:paraId="17F56AE7" w14:textId="77777777" w:rsidR="00B453F0" w:rsidRPr="00CD7B1E" w:rsidRDefault="00B453F0" w:rsidP="00B453F0">
      <w:r w:rsidRPr="00CD7B1E">
        <w:t>Authorised and published by the Victorian Government, 1 Treasury Place, Melbourne.</w:t>
      </w:r>
    </w:p>
    <w:p w14:paraId="3D12CDA0" w14:textId="77777777" w:rsidR="00B453F0" w:rsidRPr="00CD7B1E" w:rsidRDefault="00B453F0" w:rsidP="00B453F0">
      <w:r w:rsidRPr="00CD7B1E">
        <w:t xml:space="preserve">© State of Victoria, Australia, Department of </w:t>
      </w:r>
      <w:r>
        <w:t>Justice and Community Safety</w:t>
      </w:r>
      <w:r w:rsidRPr="00CD7B1E">
        <w:t>, May 2019.</w:t>
      </w:r>
    </w:p>
    <w:p w14:paraId="15674553" w14:textId="77777777" w:rsidR="00B453F0" w:rsidRDefault="00000000" w:rsidP="00B453F0">
      <w:hyperlink r:id="rId14" w:history="1">
        <w:r w:rsidR="00B453F0" w:rsidRPr="0054237E">
          <w:rPr>
            <w:rStyle w:val="Hyperlink"/>
          </w:rPr>
          <w:t>Email Occupational Health and Safety at the Department of Justice and Community Safety</w:t>
        </w:r>
      </w:hyperlink>
      <w:r w:rsidR="00B453F0">
        <w:t xml:space="preserve"> &lt;</w:t>
      </w:r>
      <w:hyperlink r:id="rId15" w:history="1">
        <w:r w:rsidR="00B453F0" w:rsidRPr="00170459">
          <w:rPr>
            <w:rStyle w:val="Hyperlink"/>
          </w:rPr>
          <w:t>OHS@justice.vic.gov.au</w:t>
        </w:r>
      </w:hyperlink>
      <w:r w:rsidR="00B453F0">
        <w:t>&gt;</w:t>
      </w:r>
      <w:r w:rsidR="00B453F0" w:rsidRPr="00CD7B1E">
        <w:t xml:space="preserve"> or phone </w:t>
      </w:r>
      <w:r w:rsidR="00B453F0">
        <w:t>(03) 8684 8000</w:t>
      </w:r>
      <w:r w:rsidR="00B453F0" w:rsidRPr="00CD7B1E">
        <w:t>.</w:t>
      </w:r>
    </w:p>
    <w:p w14:paraId="35DB3E98" w14:textId="77777777" w:rsidR="00B453F0" w:rsidRDefault="00B453F0" w:rsidP="00B453F0">
      <w:r w:rsidRPr="00CD7B1E">
        <w:t>If you print and store this document, you may be looking at an obsolete version. Always check the latest version of this document at</w:t>
      </w:r>
      <w:r>
        <w:t xml:space="preserve"> the </w:t>
      </w:r>
      <w:hyperlink r:id="rId16" w:history="1">
        <w:r w:rsidRPr="0054237E">
          <w:rPr>
            <w:rStyle w:val="Hyperlink"/>
          </w:rPr>
          <w:t>Victorian Public Sector Commission website</w:t>
        </w:r>
      </w:hyperlink>
      <w:r w:rsidRPr="00CD7B1E">
        <w:t xml:space="preserve"> </w:t>
      </w:r>
      <w:r>
        <w:t>&lt;</w:t>
      </w:r>
      <w:r w:rsidRPr="00F97C24">
        <w:rPr>
          <w:rStyle w:val="Hyperlink"/>
        </w:rPr>
        <w:t>https://vpsc.vic.gov.au</w:t>
      </w:r>
      <w:r>
        <w:t>&gt;.</w:t>
      </w:r>
    </w:p>
    <w:p w14:paraId="1DCC3B47" w14:textId="27128ED3" w:rsidR="00B60A84" w:rsidRPr="00973F22" w:rsidRDefault="00B453F0" w:rsidP="00744F00">
      <w:pPr>
        <w:pStyle w:val="Body"/>
      </w:pPr>
      <w:r>
        <w:t>Mental health and wellbeing: education and training framework</w:t>
      </w:r>
      <w:r w:rsidRPr="00CD7B1E">
        <w:t xml:space="preserve"> | Version </w:t>
      </w:r>
      <w:r>
        <w:t>2</w:t>
      </w:r>
      <w:r w:rsidRPr="00CD7B1E">
        <w:t>.</w:t>
      </w:r>
      <w:r>
        <w:t>1</w:t>
      </w:r>
      <w:r w:rsidRPr="00CD7B1E">
        <w:t xml:space="preserve"> | </w:t>
      </w:r>
      <w:r>
        <w:t>July</w:t>
      </w:r>
      <w:r>
        <w:rPr>
          <w:rFonts w:ascii="Cambria" w:hAnsi="Cambria"/>
        </w:rPr>
        <w:t> </w:t>
      </w:r>
      <w:r w:rsidRPr="00CD7B1E">
        <w:t>20</w:t>
      </w:r>
      <w:r>
        <w:t>24</w:t>
      </w:r>
      <w:r w:rsidR="00B60A84">
        <w:br w:type="page"/>
      </w:r>
    </w:p>
    <w:p w14:paraId="7A27DBA6" w14:textId="77777777" w:rsidR="00B453F0" w:rsidRPr="00ED4B86" w:rsidRDefault="00B453F0" w:rsidP="00B453F0">
      <w:pPr>
        <w:pStyle w:val="Heading2"/>
      </w:pPr>
      <w:bookmarkStart w:id="0" w:name="_Toc171947911"/>
      <w:r w:rsidRPr="00ED4B86">
        <w:lastRenderedPageBreak/>
        <w:t>Contents</w:t>
      </w:r>
      <w:bookmarkEnd w:id="0"/>
    </w:p>
    <w:p w14:paraId="52AF3974" w14:textId="3CFBD4DD" w:rsidR="00B453F0" w:rsidRPr="008410FD" w:rsidRDefault="00B453F0" w:rsidP="008410FD">
      <w:pPr>
        <w:pStyle w:val="TOC1"/>
        <w:rPr>
          <w:rStyle w:val="Hyperlink"/>
        </w:rPr>
      </w:pPr>
      <w:r>
        <w:rPr>
          <w:rFonts w:eastAsia="Times New Roman"/>
          <w:b/>
        </w:rPr>
        <w:fldChar w:fldCharType="begin"/>
      </w:r>
      <w:r>
        <w:rPr>
          <w:rFonts w:eastAsia="Times New Roman"/>
          <w:b/>
        </w:rPr>
        <w:instrText xml:space="preserve"> TOC \h \z \u \t "Heading 2,1,Heading 3,2,TOC,1,List Heading 1,1,Subtitle,2,List Heading 2,2,List Heading 3,3,TOC Heading,1,Title,1" </w:instrText>
      </w:r>
      <w:r>
        <w:rPr>
          <w:rFonts w:eastAsia="Times New Roman"/>
          <w:b/>
        </w:rPr>
        <w:fldChar w:fldCharType="separate"/>
      </w:r>
      <w:hyperlink w:anchor="_Toc171947912" w:history="1">
        <w:r w:rsidRPr="00780352">
          <w:rPr>
            <w:rStyle w:val="Hyperlink"/>
            <w:b/>
            <w:bCs/>
            <w:noProof/>
          </w:rPr>
          <w:t>1. Summary</w:t>
        </w:r>
        <w:r w:rsidRPr="008410FD">
          <w:rPr>
            <w:rStyle w:val="Hyperlink"/>
            <w:webHidden/>
          </w:rPr>
          <w:tab/>
        </w:r>
        <w:r w:rsidRPr="008410FD">
          <w:rPr>
            <w:rStyle w:val="Hyperlink"/>
            <w:b/>
            <w:bCs/>
            <w:webHidden/>
          </w:rPr>
          <w:fldChar w:fldCharType="begin"/>
        </w:r>
        <w:r w:rsidRPr="008410FD">
          <w:rPr>
            <w:rStyle w:val="Hyperlink"/>
            <w:b/>
            <w:bCs/>
            <w:webHidden/>
          </w:rPr>
          <w:instrText xml:space="preserve"> PAGEREF _Toc171947912 \h </w:instrText>
        </w:r>
        <w:r w:rsidRPr="008410FD">
          <w:rPr>
            <w:rStyle w:val="Hyperlink"/>
            <w:b/>
            <w:bCs/>
            <w:webHidden/>
          </w:rPr>
        </w:r>
        <w:r w:rsidRPr="008410FD">
          <w:rPr>
            <w:rStyle w:val="Hyperlink"/>
            <w:b/>
            <w:bCs/>
            <w:webHidden/>
          </w:rPr>
          <w:fldChar w:fldCharType="separate"/>
        </w:r>
        <w:r w:rsidR="00F97C24" w:rsidRPr="008410FD">
          <w:rPr>
            <w:rStyle w:val="Hyperlink"/>
            <w:b/>
            <w:bCs/>
            <w:webHidden/>
          </w:rPr>
          <w:t>3</w:t>
        </w:r>
        <w:r w:rsidRPr="008410FD">
          <w:rPr>
            <w:rStyle w:val="Hyperlink"/>
            <w:b/>
            <w:bCs/>
            <w:webHidden/>
          </w:rPr>
          <w:fldChar w:fldCharType="end"/>
        </w:r>
      </w:hyperlink>
    </w:p>
    <w:p w14:paraId="273BEC1C" w14:textId="363BD3A2" w:rsidR="00B453F0" w:rsidRDefault="00000000" w:rsidP="008410FD">
      <w:pPr>
        <w:pStyle w:val="TOC2"/>
        <w:ind w:left="567"/>
        <w:rPr>
          <w:rFonts w:asciiTheme="minorHAnsi" w:eastAsiaTheme="minorEastAsia" w:hAnsiTheme="minorHAnsi" w:cstheme="minorBidi"/>
          <w:noProof/>
          <w:lang w:eastAsia="en-AU"/>
        </w:rPr>
      </w:pPr>
      <w:hyperlink w:anchor="_Toc171947913" w:history="1">
        <w:r w:rsidR="00B453F0" w:rsidRPr="005535E6">
          <w:rPr>
            <w:rStyle w:val="Hyperlink"/>
            <w:noProof/>
          </w:rPr>
          <w:t>Our commitment</w:t>
        </w:r>
        <w:r w:rsidR="00B453F0">
          <w:rPr>
            <w:noProof/>
            <w:webHidden/>
          </w:rPr>
          <w:tab/>
        </w:r>
        <w:r w:rsidR="00B453F0">
          <w:rPr>
            <w:noProof/>
            <w:webHidden/>
          </w:rPr>
          <w:fldChar w:fldCharType="begin"/>
        </w:r>
        <w:r w:rsidR="00B453F0">
          <w:rPr>
            <w:noProof/>
            <w:webHidden/>
          </w:rPr>
          <w:instrText xml:space="preserve"> PAGEREF _Toc171947913 \h </w:instrText>
        </w:r>
        <w:r w:rsidR="00B453F0">
          <w:rPr>
            <w:noProof/>
            <w:webHidden/>
          </w:rPr>
        </w:r>
        <w:r w:rsidR="00B453F0">
          <w:rPr>
            <w:noProof/>
            <w:webHidden/>
          </w:rPr>
          <w:fldChar w:fldCharType="separate"/>
        </w:r>
        <w:r w:rsidR="00F97C24">
          <w:rPr>
            <w:noProof/>
            <w:webHidden/>
          </w:rPr>
          <w:t>3</w:t>
        </w:r>
        <w:r w:rsidR="00B453F0">
          <w:rPr>
            <w:noProof/>
            <w:webHidden/>
          </w:rPr>
          <w:fldChar w:fldCharType="end"/>
        </w:r>
      </w:hyperlink>
    </w:p>
    <w:p w14:paraId="40DDC743" w14:textId="67596BA4" w:rsidR="00B453F0" w:rsidRDefault="00000000" w:rsidP="008410FD">
      <w:pPr>
        <w:pStyle w:val="TOC2"/>
        <w:ind w:left="567"/>
        <w:rPr>
          <w:rFonts w:asciiTheme="minorHAnsi" w:eastAsiaTheme="minorEastAsia" w:hAnsiTheme="minorHAnsi" w:cstheme="minorBidi"/>
          <w:noProof/>
          <w:lang w:eastAsia="en-AU"/>
        </w:rPr>
      </w:pPr>
      <w:hyperlink w:anchor="_Toc171947914" w:history="1">
        <w:r w:rsidR="00B453F0" w:rsidRPr="005535E6">
          <w:rPr>
            <w:rStyle w:val="Hyperlink"/>
            <w:noProof/>
          </w:rPr>
          <w:t>Integrated approach</w:t>
        </w:r>
        <w:r w:rsidR="00B453F0">
          <w:rPr>
            <w:noProof/>
            <w:webHidden/>
          </w:rPr>
          <w:tab/>
        </w:r>
        <w:r w:rsidR="00B453F0">
          <w:rPr>
            <w:noProof/>
            <w:webHidden/>
          </w:rPr>
          <w:fldChar w:fldCharType="begin"/>
        </w:r>
        <w:r w:rsidR="00B453F0">
          <w:rPr>
            <w:noProof/>
            <w:webHidden/>
          </w:rPr>
          <w:instrText xml:space="preserve"> PAGEREF _Toc171947914 \h </w:instrText>
        </w:r>
        <w:r w:rsidR="00B453F0">
          <w:rPr>
            <w:noProof/>
            <w:webHidden/>
          </w:rPr>
        </w:r>
        <w:r w:rsidR="00B453F0">
          <w:rPr>
            <w:noProof/>
            <w:webHidden/>
          </w:rPr>
          <w:fldChar w:fldCharType="separate"/>
        </w:r>
        <w:r w:rsidR="00F97C24">
          <w:rPr>
            <w:noProof/>
            <w:webHidden/>
          </w:rPr>
          <w:t>3</w:t>
        </w:r>
        <w:r w:rsidR="00B453F0">
          <w:rPr>
            <w:noProof/>
            <w:webHidden/>
          </w:rPr>
          <w:fldChar w:fldCharType="end"/>
        </w:r>
      </w:hyperlink>
    </w:p>
    <w:p w14:paraId="17322E0F" w14:textId="36A93B9C" w:rsidR="00B453F0" w:rsidRPr="00780352" w:rsidRDefault="00000000" w:rsidP="008410FD">
      <w:pPr>
        <w:pStyle w:val="TOC1"/>
        <w:rPr>
          <w:rFonts w:asciiTheme="minorHAnsi" w:eastAsiaTheme="minorEastAsia" w:hAnsiTheme="minorHAnsi" w:cstheme="minorBidi"/>
          <w:b/>
          <w:bCs/>
          <w:noProof/>
          <w:lang w:eastAsia="en-AU"/>
        </w:rPr>
      </w:pPr>
      <w:hyperlink w:anchor="_Toc171947915" w:history="1">
        <w:r w:rsidR="00B453F0" w:rsidRPr="00780352">
          <w:rPr>
            <w:rStyle w:val="Hyperlink"/>
            <w:b/>
            <w:bCs/>
            <w:noProof/>
          </w:rPr>
          <w:t>2. Education and training framework principles</w:t>
        </w:r>
        <w:r w:rsidR="00B453F0" w:rsidRPr="00780352">
          <w:rPr>
            <w:b/>
            <w:bCs/>
            <w:noProof/>
            <w:webHidden/>
          </w:rPr>
          <w:tab/>
        </w:r>
        <w:r w:rsidR="00B453F0" w:rsidRPr="00780352">
          <w:rPr>
            <w:b/>
            <w:bCs/>
            <w:noProof/>
            <w:webHidden/>
          </w:rPr>
          <w:fldChar w:fldCharType="begin"/>
        </w:r>
        <w:r w:rsidR="00B453F0" w:rsidRPr="00780352">
          <w:rPr>
            <w:b/>
            <w:bCs/>
            <w:noProof/>
            <w:webHidden/>
          </w:rPr>
          <w:instrText xml:space="preserve"> PAGEREF _Toc171947915 \h </w:instrText>
        </w:r>
        <w:r w:rsidR="00B453F0" w:rsidRPr="00780352">
          <w:rPr>
            <w:b/>
            <w:bCs/>
            <w:noProof/>
            <w:webHidden/>
          </w:rPr>
        </w:r>
        <w:r w:rsidR="00B453F0" w:rsidRPr="00780352">
          <w:rPr>
            <w:b/>
            <w:bCs/>
            <w:noProof/>
            <w:webHidden/>
          </w:rPr>
          <w:fldChar w:fldCharType="separate"/>
        </w:r>
        <w:r w:rsidR="00F97C24" w:rsidRPr="00780352">
          <w:rPr>
            <w:b/>
            <w:bCs/>
            <w:noProof/>
            <w:webHidden/>
          </w:rPr>
          <w:t>5</w:t>
        </w:r>
        <w:r w:rsidR="00B453F0" w:rsidRPr="00780352">
          <w:rPr>
            <w:b/>
            <w:bCs/>
            <w:noProof/>
            <w:webHidden/>
          </w:rPr>
          <w:fldChar w:fldCharType="end"/>
        </w:r>
      </w:hyperlink>
    </w:p>
    <w:p w14:paraId="7B1DAB52" w14:textId="73935D97" w:rsidR="00B453F0" w:rsidRDefault="00000000" w:rsidP="008410FD">
      <w:pPr>
        <w:pStyle w:val="TOC2"/>
        <w:ind w:left="567"/>
        <w:rPr>
          <w:rFonts w:eastAsiaTheme="minorEastAsia" w:cstheme="minorBidi"/>
          <w:noProof/>
          <w:lang w:eastAsia="en-AU"/>
        </w:rPr>
      </w:pPr>
      <w:hyperlink w:anchor="_Toc171947916" w:history="1">
        <w:r w:rsidR="00B453F0" w:rsidRPr="005535E6">
          <w:rPr>
            <w:rStyle w:val="Hyperlink"/>
            <w:noProof/>
          </w:rPr>
          <w:t xml:space="preserve">Principle 1: Education and training offerings in the </w:t>
        </w:r>
        <w:r w:rsidR="00F97C24">
          <w:rPr>
            <w:rStyle w:val="Hyperlink"/>
            <w:noProof/>
          </w:rPr>
          <w:br/>
        </w:r>
        <w:r w:rsidR="00B453F0" w:rsidRPr="005535E6">
          <w:rPr>
            <w:rStyle w:val="Hyperlink"/>
            <w:noProof/>
          </w:rPr>
          <w:t xml:space="preserve">Victorian Public Service (VPS) support and advance the </w:t>
        </w:r>
        <w:r w:rsidR="00F97C24">
          <w:rPr>
            <w:rStyle w:val="Hyperlink"/>
            <w:noProof/>
          </w:rPr>
          <w:br/>
        </w:r>
        <w:r w:rsidR="00B453F0" w:rsidRPr="005535E6">
          <w:rPr>
            <w:rStyle w:val="Hyperlink"/>
            <w:noProof/>
          </w:rPr>
          <w:t>Mental Health and Wellbeing Charter for the Public Sector</w:t>
        </w:r>
        <w:r w:rsidR="00B453F0">
          <w:rPr>
            <w:noProof/>
            <w:webHidden/>
          </w:rPr>
          <w:tab/>
        </w:r>
        <w:r w:rsidR="00B453F0">
          <w:rPr>
            <w:noProof/>
            <w:webHidden/>
          </w:rPr>
          <w:fldChar w:fldCharType="begin"/>
        </w:r>
        <w:r w:rsidR="00B453F0">
          <w:rPr>
            <w:noProof/>
            <w:webHidden/>
          </w:rPr>
          <w:instrText xml:space="preserve"> PAGEREF _Toc171947916 \h </w:instrText>
        </w:r>
        <w:r w:rsidR="00B453F0">
          <w:rPr>
            <w:noProof/>
            <w:webHidden/>
          </w:rPr>
        </w:r>
        <w:r w:rsidR="00B453F0">
          <w:rPr>
            <w:noProof/>
            <w:webHidden/>
          </w:rPr>
          <w:fldChar w:fldCharType="separate"/>
        </w:r>
        <w:r w:rsidR="00F97C24">
          <w:rPr>
            <w:noProof/>
            <w:webHidden/>
          </w:rPr>
          <w:t>5</w:t>
        </w:r>
        <w:r w:rsidR="00B453F0">
          <w:rPr>
            <w:noProof/>
            <w:webHidden/>
          </w:rPr>
          <w:fldChar w:fldCharType="end"/>
        </w:r>
      </w:hyperlink>
    </w:p>
    <w:p w14:paraId="3C4259A2" w14:textId="2EAB0E8B" w:rsidR="00B453F0" w:rsidRDefault="00000000" w:rsidP="008410FD">
      <w:pPr>
        <w:pStyle w:val="TOC2"/>
        <w:ind w:left="567"/>
        <w:rPr>
          <w:rFonts w:eastAsiaTheme="minorEastAsia" w:cstheme="minorBidi"/>
          <w:noProof/>
          <w:lang w:eastAsia="en-AU"/>
        </w:rPr>
      </w:pPr>
      <w:hyperlink w:anchor="_Toc171947917" w:history="1">
        <w:r w:rsidR="00B453F0" w:rsidRPr="005535E6">
          <w:rPr>
            <w:rStyle w:val="Hyperlink"/>
            <w:noProof/>
          </w:rPr>
          <w:t xml:space="preserve">Principle 2: Education and training offerings are evidence-based, </w:t>
        </w:r>
        <w:r w:rsidR="00F97C24">
          <w:rPr>
            <w:rStyle w:val="Hyperlink"/>
            <w:noProof/>
          </w:rPr>
          <w:br/>
        </w:r>
        <w:r w:rsidR="00B453F0" w:rsidRPr="005535E6">
          <w:rPr>
            <w:rStyle w:val="Hyperlink"/>
            <w:noProof/>
          </w:rPr>
          <w:t xml:space="preserve">reflective of local needs, have defined learning objectives and </w:t>
        </w:r>
        <w:r w:rsidR="00F97C24">
          <w:rPr>
            <w:rStyle w:val="Hyperlink"/>
            <w:noProof/>
          </w:rPr>
          <w:br/>
        </w:r>
        <w:r w:rsidR="00B453F0" w:rsidRPr="005535E6">
          <w:rPr>
            <w:rStyle w:val="Hyperlink"/>
            <w:noProof/>
          </w:rPr>
          <w:t>are subject to evaluation and continuous improvement</w:t>
        </w:r>
        <w:r w:rsidR="00B453F0">
          <w:rPr>
            <w:noProof/>
            <w:webHidden/>
          </w:rPr>
          <w:tab/>
        </w:r>
        <w:r w:rsidR="00B453F0">
          <w:rPr>
            <w:noProof/>
            <w:webHidden/>
          </w:rPr>
          <w:fldChar w:fldCharType="begin"/>
        </w:r>
        <w:r w:rsidR="00B453F0">
          <w:rPr>
            <w:noProof/>
            <w:webHidden/>
          </w:rPr>
          <w:instrText xml:space="preserve"> PAGEREF _Toc171947917 \h </w:instrText>
        </w:r>
        <w:r w:rsidR="00B453F0">
          <w:rPr>
            <w:noProof/>
            <w:webHidden/>
          </w:rPr>
        </w:r>
        <w:r w:rsidR="00B453F0">
          <w:rPr>
            <w:noProof/>
            <w:webHidden/>
          </w:rPr>
          <w:fldChar w:fldCharType="separate"/>
        </w:r>
        <w:r w:rsidR="00F97C24">
          <w:rPr>
            <w:noProof/>
            <w:webHidden/>
          </w:rPr>
          <w:t>6</w:t>
        </w:r>
        <w:r w:rsidR="00B453F0">
          <w:rPr>
            <w:noProof/>
            <w:webHidden/>
          </w:rPr>
          <w:fldChar w:fldCharType="end"/>
        </w:r>
      </w:hyperlink>
    </w:p>
    <w:p w14:paraId="5875649B" w14:textId="7359A9A8" w:rsidR="00B453F0" w:rsidRDefault="00000000" w:rsidP="008410FD">
      <w:pPr>
        <w:pStyle w:val="TOC2"/>
        <w:ind w:left="567"/>
        <w:rPr>
          <w:rFonts w:eastAsiaTheme="minorEastAsia" w:cstheme="minorBidi"/>
          <w:noProof/>
          <w:lang w:eastAsia="en-AU"/>
        </w:rPr>
      </w:pPr>
      <w:hyperlink w:anchor="_Toc171947918" w:history="1">
        <w:r w:rsidR="00B453F0" w:rsidRPr="005535E6">
          <w:rPr>
            <w:rStyle w:val="Hyperlink"/>
            <w:noProof/>
          </w:rPr>
          <w:t xml:space="preserve">Principle 3: Education and training offerings are tailored to </w:t>
        </w:r>
        <w:r w:rsidR="00F97C24">
          <w:rPr>
            <w:rStyle w:val="Hyperlink"/>
            <w:noProof/>
          </w:rPr>
          <w:br/>
        </w:r>
        <w:r w:rsidR="00B453F0" w:rsidRPr="005535E6">
          <w:rPr>
            <w:rStyle w:val="Hyperlink"/>
            <w:noProof/>
          </w:rPr>
          <w:t>the requirements of different staff groups and levels</w:t>
        </w:r>
        <w:r w:rsidR="00B453F0">
          <w:rPr>
            <w:noProof/>
            <w:webHidden/>
          </w:rPr>
          <w:tab/>
        </w:r>
        <w:r w:rsidR="00B453F0">
          <w:rPr>
            <w:noProof/>
            <w:webHidden/>
          </w:rPr>
          <w:fldChar w:fldCharType="begin"/>
        </w:r>
        <w:r w:rsidR="00B453F0">
          <w:rPr>
            <w:noProof/>
            <w:webHidden/>
          </w:rPr>
          <w:instrText xml:space="preserve"> PAGEREF _Toc171947918 \h </w:instrText>
        </w:r>
        <w:r w:rsidR="00B453F0">
          <w:rPr>
            <w:noProof/>
            <w:webHidden/>
          </w:rPr>
        </w:r>
        <w:r w:rsidR="00B453F0">
          <w:rPr>
            <w:noProof/>
            <w:webHidden/>
          </w:rPr>
          <w:fldChar w:fldCharType="separate"/>
        </w:r>
        <w:r w:rsidR="00F97C24">
          <w:rPr>
            <w:noProof/>
            <w:webHidden/>
          </w:rPr>
          <w:t>7</w:t>
        </w:r>
        <w:r w:rsidR="00B453F0">
          <w:rPr>
            <w:noProof/>
            <w:webHidden/>
          </w:rPr>
          <w:fldChar w:fldCharType="end"/>
        </w:r>
      </w:hyperlink>
    </w:p>
    <w:p w14:paraId="2AA17676" w14:textId="7D81F178" w:rsidR="00B453F0" w:rsidRDefault="00000000" w:rsidP="008410FD">
      <w:pPr>
        <w:pStyle w:val="TOC2"/>
        <w:ind w:left="567"/>
        <w:rPr>
          <w:rFonts w:eastAsiaTheme="minorEastAsia" w:cstheme="minorBidi"/>
          <w:noProof/>
          <w:lang w:eastAsia="en-AU"/>
        </w:rPr>
      </w:pPr>
      <w:hyperlink w:anchor="_Toc171947919" w:history="1">
        <w:r w:rsidR="00B453F0" w:rsidRPr="005535E6">
          <w:rPr>
            <w:rStyle w:val="Hyperlink"/>
            <w:noProof/>
          </w:rPr>
          <w:t xml:space="preserve">Principle 4: Education and training offerings are embedded in, </w:t>
        </w:r>
        <w:r w:rsidR="00F97C24">
          <w:rPr>
            <w:rStyle w:val="Hyperlink"/>
            <w:noProof/>
          </w:rPr>
          <w:br/>
        </w:r>
        <w:r w:rsidR="00B453F0" w:rsidRPr="005535E6">
          <w:rPr>
            <w:rStyle w:val="Hyperlink"/>
            <w:noProof/>
          </w:rPr>
          <w:t xml:space="preserve">reference and / or integrate with other OHS and L&amp;D programs / </w:t>
        </w:r>
        <w:r w:rsidR="00F97C24">
          <w:rPr>
            <w:rStyle w:val="Hyperlink"/>
            <w:noProof/>
          </w:rPr>
          <w:br/>
        </w:r>
        <w:r w:rsidR="00B453F0" w:rsidRPr="005535E6">
          <w:rPr>
            <w:rStyle w:val="Hyperlink"/>
            <w:noProof/>
          </w:rPr>
          <w:t>offerings / support structures and mechanisms</w:t>
        </w:r>
        <w:r w:rsidR="00B453F0">
          <w:rPr>
            <w:noProof/>
            <w:webHidden/>
          </w:rPr>
          <w:tab/>
        </w:r>
        <w:r w:rsidR="00B453F0">
          <w:rPr>
            <w:noProof/>
            <w:webHidden/>
          </w:rPr>
          <w:fldChar w:fldCharType="begin"/>
        </w:r>
        <w:r w:rsidR="00B453F0">
          <w:rPr>
            <w:noProof/>
            <w:webHidden/>
          </w:rPr>
          <w:instrText xml:space="preserve"> PAGEREF _Toc171947919 \h </w:instrText>
        </w:r>
        <w:r w:rsidR="00B453F0">
          <w:rPr>
            <w:noProof/>
            <w:webHidden/>
          </w:rPr>
        </w:r>
        <w:r w:rsidR="00B453F0">
          <w:rPr>
            <w:noProof/>
            <w:webHidden/>
          </w:rPr>
          <w:fldChar w:fldCharType="separate"/>
        </w:r>
        <w:r w:rsidR="00F97C24">
          <w:rPr>
            <w:noProof/>
            <w:webHidden/>
          </w:rPr>
          <w:t>10</w:t>
        </w:r>
        <w:r w:rsidR="00B453F0">
          <w:rPr>
            <w:noProof/>
            <w:webHidden/>
          </w:rPr>
          <w:fldChar w:fldCharType="end"/>
        </w:r>
      </w:hyperlink>
    </w:p>
    <w:p w14:paraId="0F4A52C7" w14:textId="7D1978D5" w:rsidR="00B453F0" w:rsidRDefault="00000000" w:rsidP="008410FD">
      <w:pPr>
        <w:pStyle w:val="TOC2"/>
        <w:ind w:left="567"/>
        <w:rPr>
          <w:rFonts w:eastAsiaTheme="minorEastAsia" w:cstheme="minorBidi"/>
          <w:noProof/>
          <w:lang w:eastAsia="en-AU"/>
        </w:rPr>
      </w:pPr>
      <w:hyperlink w:anchor="_Toc171947920" w:history="1">
        <w:r w:rsidR="00B453F0" w:rsidRPr="005535E6">
          <w:rPr>
            <w:rStyle w:val="Hyperlink"/>
            <w:noProof/>
          </w:rPr>
          <w:t xml:space="preserve">Principle 5: Education and training offerings are supplemented </w:t>
        </w:r>
        <w:r w:rsidR="00F97C24">
          <w:rPr>
            <w:rStyle w:val="Hyperlink"/>
            <w:noProof/>
          </w:rPr>
          <w:br/>
        </w:r>
        <w:r w:rsidR="00B453F0" w:rsidRPr="005535E6">
          <w:rPr>
            <w:rStyle w:val="Hyperlink"/>
            <w:noProof/>
          </w:rPr>
          <w:t>by mental health promotion activities and events</w:t>
        </w:r>
        <w:r w:rsidR="00B453F0">
          <w:rPr>
            <w:noProof/>
            <w:webHidden/>
          </w:rPr>
          <w:tab/>
        </w:r>
        <w:r w:rsidR="00B453F0">
          <w:rPr>
            <w:noProof/>
            <w:webHidden/>
          </w:rPr>
          <w:fldChar w:fldCharType="begin"/>
        </w:r>
        <w:r w:rsidR="00B453F0">
          <w:rPr>
            <w:noProof/>
            <w:webHidden/>
          </w:rPr>
          <w:instrText xml:space="preserve"> PAGEREF _Toc171947920 \h </w:instrText>
        </w:r>
        <w:r w:rsidR="00B453F0">
          <w:rPr>
            <w:noProof/>
            <w:webHidden/>
          </w:rPr>
        </w:r>
        <w:r w:rsidR="00B453F0">
          <w:rPr>
            <w:noProof/>
            <w:webHidden/>
          </w:rPr>
          <w:fldChar w:fldCharType="separate"/>
        </w:r>
        <w:r w:rsidR="00F97C24">
          <w:rPr>
            <w:noProof/>
            <w:webHidden/>
          </w:rPr>
          <w:t>11</w:t>
        </w:r>
        <w:r w:rsidR="00B453F0">
          <w:rPr>
            <w:noProof/>
            <w:webHidden/>
          </w:rPr>
          <w:fldChar w:fldCharType="end"/>
        </w:r>
      </w:hyperlink>
    </w:p>
    <w:p w14:paraId="315661D4" w14:textId="2761A420" w:rsidR="00B453F0" w:rsidRPr="00780352" w:rsidRDefault="00000000" w:rsidP="008410FD">
      <w:pPr>
        <w:pStyle w:val="TOC1"/>
        <w:rPr>
          <w:rFonts w:asciiTheme="minorHAnsi" w:eastAsiaTheme="minorEastAsia" w:hAnsiTheme="minorHAnsi" w:cstheme="minorBidi"/>
          <w:b/>
          <w:bCs/>
          <w:noProof/>
          <w:lang w:eastAsia="en-AU"/>
        </w:rPr>
      </w:pPr>
      <w:hyperlink w:anchor="_Toc171947921" w:history="1">
        <w:r w:rsidR="00B453F0" w:rsidRPr="00780352">
          <w:rPr>
            <w:rStyle w:val="Hyperlink"/>
            <w:b/>
            <w:bCs/>
            <w:noProof/>
          </w:rPr>
          <w:t>3. Implementation plan</w:t>
        </w:r>
        <w:r w:rsidR="00B453F0" w:rsidRPr="00780352">
          <w:rPr>
            <w:b/>
            <w:bCs/>
            <w:noProof/>
            <w:webHidden/>
          </w:rPr>
          <w:tab/>
        </w:r>
        <w:r w:rsidR="00B453F0" w:rsidRPr="00780352">
          <w:rPr>
            <w:b/>
            <w:bCs/>
            <w:noProof/>
            <w:webHidden/>
          </w:rPr>
          <w:fldChar w:fldCharType="begin"/>
        </w:r>
        <w:r w:rsidR="00B453F0" w:rsidRPr="00780352">
          <w:rPr>
            <w:b/>
            <w:bCs/>
            <w:noProof/>
            <w:webHidden/>
          </w:rPr>
          <w:instrText xml:space="preserve"> PAGEREF _Toc171947921 \h </w:instrText>
        </w:r>
        <w:r w:rsidR="00B453F0" w:rsidRPr="00780352">
          <w:rPr>
            <w:b/>
            <w:bCs/>
            <w:noProof/>
            <w:webHidden/>
          </w:rPr>
        </w:r>
        <w:r w:rsidR="00B453F0" w:rsidRPr="00780352">
          <w:rPr>
            <w:b/>
            <w:bCs/>
            <w:noProof/>
            <w:webHidden/>
          </w:rPr>
          <w:fldChar w:fldCharType="separate"/>
        </w:r>
        <w:r w:rsidR="00F97C24" w:rsidRPr="00780352">
          <w:rPr>
            <w:b/>
            <w:bCs/>
            <w:noProof/>
            <w:webHidden/>
          </w:rPr>
          <w:t>12</w:t>
        </w:r>
        <w:r w:rsidR="00B453F0" w:rsidRPr="00780352">
          <w:rPr>
            <w:b/>
            <w:bCs/>
            <w:noProof/>
            <w:webHidden/>
          </w:rPr>
          <w:fldChar w:fldCharType="end"/>
        </w:r>
      </w:hyperlink>
    </w:p>
    <w:p w14:paraId="59F3CB12" w14:textId="1AFAACCA" w:rsidR="00B453F0" w:rsidRDefault="00000000" w:rsidP="008410FD">
      <w:pPr>
        <w:pStyle w:val="TOC2"/>
        <w:ind w:left="567"/>
        <w:rPr>
          <w:rFonts w:asciiTheme="minorHAnsi" w:eastAsiaTheme="minorEastAsia" w:hAnsiTheme="minorHAnsi" w:cstheme="minorBidi"/>
          <w:noProof/>
          <w:lang w:eastAsia="en-AU"/>
        </w:rPr>
      </w:pPr>
      <w:hyperlink w:anchor="_Toc171947922" w:history="1">
        <w:r w:rsidR="00B453F0" w:rsidRPr="005535E6">
          <w:rPr>
            <w:rStyle w:val="Hyperlink"/>
            <w:noProof/>
          </w:rPr>
          <w:t>Introduction</w:t>
        </w:r>
        <w:r w:rsidR="00B453F0">
          <w:rPr>
            <w:noProof/>
            <w:webHidden/>
          </w:rPr>
          <w:tab/>
        </w:r>
        <w:r w:rsidR="00B453F0">
          <w:rPr>
            <w:noProof/>
            <w:webHidden/>
          </w:rPr>
          <w:fldChar w:fldCharType="begin"/>
        </w:r>
        <w:r w:rsidR="00B453F0">
          <w:rPr>
            <w:noProof/>
            <w:webHidden/>
          </w:rPr>
          <w:instrText xml:space="preserve"> PAGEREF _Toc171947922 \h </w:instrText>
        </w:r>
        <w:r w:rsidR="00B453F0">
          <w:rPr>
            <w:noProof/>
            <w:webHidden/>
          </w:rPr>
        </w:r>
        <w:r w:rsidR="00B453F0">
          <w:rPr>
            <w:noProof/>
            <w:webHidden/>
          </w:rPr>
          <w:fldChar w:fldCharType="separate"/>
        </w:r>
        <w:r w:rsidR="00F97C24">
          <w:rPr>
            <w:noProof/>
            <w:webHidden/>
          </w:rPr>
          <w:t>12</w:t>
        </w:r>
        <w:r w:rsidR="00B453F0">
          <w:rPr>
            <w:noProof/>
            <w:webHidden/>
          </w:rPr>
          <w:fldChar w:fldCharType="end"/>
        </w:r>
      </w:hyperlink>
    </w:p>
    <w:p w14:paraId="78C24F32" w14:textId="306142DA" w:rsidR="00B453F0" w:rsidRDefault="00000000" w:rsidP="008410FD">
      <w:pPr>
        <w:pStyle w:val="TOC2"/>
        <w:ind w:left="567"/>
        <w:rPr>
          <w:rFonts w:asciiTheme="minorHAnsi" w:eastAsiaTheme="minorEastAsia" w:hAnsiTheme="minorHAnsi" w:cstheme="minorBidi"/>
          <w:noProof/>
          <w:lang w:eastAsia="en-AU"/>
        </w:rPr>
      </w:pPr>
      <w:hyperlink w:anchor="_Toc171947923" w:history="1">
        <w:r w:rsidR="00B453F0" w:rsidRPr="005535E6">
          <w:rPr>
            <w:rStyle w:val="Hyperlink"/>
            <w:noProof/>
          </w:rPr>
          <w:t>Approach</w:t>
        </w:r>
        <w:r w:rsidR="00B453F0">
          <w:rPr>
            <w:noProof/>
            <w:webHidden/>
          </w:rPr>
          <w:tab/>
        </w:r>
        <w:r w:rsidR="00B453F0">
          <w:rPr>
            <w:noProof/>
            <w:webHidden/>
          </w:rPr>
          <w:fldChar w:fldCharType="begin"/>
        </w:r>
        <w:r w:rsidR="00B453F0">
          <w:rPr>
            <w:noProof/>
            <w:webHidden/>
          </w:rPr>
          <w:instrText xml:space="preserve"> PAGEREF _Toc171947923 \h </w:instrText>
        </w:r>
        <w:r w:rsidR="00B453F0">
          <w:rPr>
            <w:noProof/>
            <w:webHidden/>
          </w:rPr>
        </w:r>
        <w:r w:rsidR="00B453F0">
          <w:rPr>
            <w:noProof/>
            <w:webHidden/>
          </w:rPr>
          <w:fldChar w:fldCharType="separate"/>
        </w:r>
        <w:r w:rsidR="00F97C24">
          <w:rPr>
            <w:noProof/>
            <w:webHidden/>
          </w:rPr>
          <w:t>13</w:t>
        </w:r>
        <w:r w:rsidR="00B453F0">
          <w:rPr>
            <w:noProof/>
            <w:webHidden/>
          </w:rPr>
          <w:fldChar w:fldCharType="end"/>
        </w:r>
      </w:hyperlink>
    </w:p>
    <w:p w14:paraId="51653350" w14:textId="3E0EF5C8" w:rsidR="00B453F0" w:rsidRDefault="00000000" w:rsidP="008410FD">
      <w:pPr>
        <w:pStyle w:val="TOC2"/>
        <w:ind w:left="567"/>
        <w:rPr>
          <w:rFonts w:asciiTheme="minorHAnsi" w:eastAsiaTheme="minorEastAsia" w:hAnsiTheme="minorHAnsi" w:cstheme="minorBidi"/>
          <w:noProof/>
          <w:lang w:eastAsia="en-AU"/>
        </w:rPr>
      </w:pPr>
      <w:hyperlink w:anchor="_Toc171947924" w:history="1">
        <w:r w:rsidR="00B453F0" w:rsidRPr="005535E6">
          <w:rPr>
            <w:rStyle w:val="Hyperlink"/>
            <w:noProof/>
          </w:rPr>
          <w:t>Accountabilities</w:t>
        </w:r>
        <w:r w:rsidR="00B453F0">
          <w:rPr>
            <w:noProof/>
            <w:webHidden/>
          </w:rPr>
          <w:tab/>
        </w:r>
        <w:r w:rsidR="00B453F0">
          <w:rPr>
            <w:noProof/>
            <w:webHidden/>
          </w:rPr>
          <w:fldChar w:fldCharType="begin"/>
        </w:r>
        <w:r w:rsidR="00B453F0">
          <w:rPr>
            <w:noProof/>
            <w:webHidden/>
          </w:rPr>
          <w:instrText xml:space="preserve"> PAGEREF _Toc171947924 \h </w:instrText>
        </w:r>
        <w:r w:rsidR="00B453F0">
          <w:rPr>
            <w:noProof/>
            <w:webHidden/>
          </w:rPr>
        </w:r>
        <w:r w:rsidR="00B453F0">
          <w:rPr>
            <w:noProof/>
            <w:webHidden/>
          </w:rPr>
          <w:fldChar w:fldCharType="separate"/>
        </w:r>
        <w:r w:rsidR="00F97C24">
          <w:rPr>
            <w:noProof/>
            <w:webHidden/>
          </w:rPr>
          <w:t>14</w:t>
        </w:r>
        <w:r w:rsidR="00B453F0">
          <w:rPr>
            <w:noProof/>
            <w:webHidden/>
          </w:rPr>
          <w:fldChar w:fldCharType="end"/>
        </w:r>
      </w:hyperlink>
    </w:p>
    <w:p w14:paraId="39DFBB1E" w14:textId="571A3D79" w:rsidR="00B453F0" w:rsidRDefault="00B453F0" w:rsidP="008410FD">
      <w:pPr>
        <w:pStyle w:val="Body"/>
        <w:tabs>
          <w:tab w:val="right" w:pos="9070"/>
        </w:tabs>
        <w:ind w:left="567"/>
      </w:pPr>
      <w:r>
        <w:fldChar w:fldCharType="end"/>
      </w:r>
      <w:bookmarkStart w:id="1" w:name="_Toc171947912"/>
      <w:r>
        <w:br w:type="page"/>
      </w:r>
    </w:p>
    <w:p w14:paraId="58393199" w14:textId="381C89D0" w:rsidR="00B453F0" w:rsidRPr="00B453F0" w:rsidRDefault="00B453F0" w:rsidP="00B453F0">
      <w:pPr>
        <w:pStyle w:val="Heading2"/>
      </w:pPr>
      <w:r w:rsidRPr="00B453F0">
        <w:t>1. Summary</w:t>
      </w:r>
      <w:bookmarkEnd w:id="1"/>
    </w:p>
    <w:p w14:paraId="25309E3D" w14:textId="77777777" w:rsidR="00B453F0" w:rsidRPr="00B453F0" w:rsidRDefault="00B453F0" w:rsidP="00B453F0">
      <w:pPr>
        <w:pStyle w:val="Heading3"/>
      </w:pPr>
      <w:bookmarkStart w:id="2" w:name="_Toc171947913"/>
      <w:r w:rsidRPr="00B453F0">
        <w:t>Our commitment</w:t>
      </w:r>
      <w:bookmarkEnd w:id="2"/>
    </w:p>
    <w:p w14:paraId="553353F7" w14:textId="77777777" w:rsidR="00B453F0" w:rsidRPr="00B453F0" w:rsidRDefault="00B453F0" w:rsidP="00B453F0">
      <w:pPr>
        <w:pStyle w:val="Body"/>
      </w:pPr>
      <w:r w:rsidRPr="00B453F0">
        <w:t>The Victorian public sector is committed to achieving the vision of the Mental Health and Wellbeing Charter (charter) by taking a holistic and inclusive approach to supporting mental health at work; promoting positive mental wellbeing, preventing mental injury and illness and where mental injury and illness occurs, taking action to support recovery.</w:t>
      </w:r>
    </w:p>
    <w:p w14:paraId="2D290159" w14:textId="77777777" w:rsidR="00B453F0" w:rsidRPr="00B453F0" w:rsidRDefault="00B453F0" w:rsidP="00B453F0">
      <w:pPr>
        <w:pStyle w:val="Body"/>
      </w:pPr>
      <w:r w:rsidRPr="00B453F0">
        <w:t xml:space="preserve">The charter has a fundamental requirement for the delivery of evidence-based training programs that support the capability of managers, Health and Safety Representatives and workers in identifying, preventing, </w:t>
      </w:r>
      <w:proofErr w:type="gramStart"/>
      <w:r w:rsidRPr="00B453F0">
        <w:t>protecting</w:t>
      </w:r>
      <w:proofErr w:type="gramEnd"/>
      <w:r w:rsidRPr="00B453F0">
        <w:t xml:space="preserve"> and addressing mental injury and illness as well as promoting positive mental wellbeing.</w:t>
      </w:r>
    </w:p>
    <w:p w14:paraId="19258C46" w14:textId="77777777" w:rsidR="00B453F0" w:rsidRPr="00B453F0" w:rsidRDefault="00B453F0" w:rsidP="00B453F0">
      <w:pPr>
        <w:pStyle w:val="Body"/>
      </w:pPr>
      <w:r w:rsidRPr="00B453F0">
        <w:t>The implementation of the charter in the Victorian Public Service (VPS) is occurring through the work of the Interdepartmental Committee (IDC), the IDC Sub-Committee and the department-led working groups.</w:t>
      </w:r>
    </w:p>
    <w:p w14:paraId="50832435" w14:textId="77777777" w:rsidR="00B453F0" w:rsidRPr="00B453F0" w:rsidRDefault="00B453F0" w:rsidP="00B453F0">
      <w:pPr>
        <w:pStyle w:val="Heading3"/>
      </w:pPr>
      <w:bookmarkStart w:id="3" w:name="_Toc171947914"/>
      <w:r w:rsidRPr="00B453F0">
        <w:t>Integrated approach</w:t>
      </w:r>
      <w:bookmarkEnd w:id="3"/>
    </w:p>
    <w:p w14:paraId="5210E9BB" w14:textId="77777777" w:rsidR="00B453F0" w:rsidRPr="00BB085F" w:rsidRDefault="00B453F0" w:rsidP="00B453F0">
      <w:pPr>
        <w:pStyle w:val="Body"/>
      </w:pPr>
      <w:r w:rsidRPr="00BB085F">
        <w:t>An integrated approach to mental health covers the spectrum of mental health and wellbeing at work:</w:t>
      </w:r>
    </w:p>
    <w:p w14:paraId="6DE39B06" w14:textId="77777777" w:rsidR="00B453F0" w:rsidRPr="00BB085F" w:rsidRDefault="00B453F0" w:rsidP="00B453F0">
      <w:pPr>
        <w:pStyle w:val="NumberedList1"/>
      </w:pPr>
      <w:r w:rsidRPr="00DD2AC3">
        <w:rPr>
          <w:b/>
        </w:rPr>
        <w:t>Promoting positive mental health</w:t>
      </w:r>
      <w:r w:rsidRPr="00BB085F">
        <w:t>: by developing positive aspects of work and worker strengths</w:t>
      </w:r>
      <w:r>
        <w:t xml:space="preserve"> </w:t>
      </w:r>
      <w:r w:rsidRPr="00BB085F">
        <w:t>/</w:t>
      </w:r>
      <w:r>
        <w:t xml:space="preserve"> </w:t>
      </w:r>
      <w:r w:rsidRPr="00BB085F">
        <w:t>capacities through reward and recognition programs and positive leadership.</w:t>
      </w:r>
    </w:p>
    <w:p w14:paraId="4FBF2B31" w14:textId="77777777" w:rsidR="00B453F0" w:rsidRPr="00BB085F" w:rsidRDefault="00B453F0" w:rsidP="00B453F0">
      <w:pPr>
        <w:pStyle w:val="NumberedList1"/>
      </w:pPr>
      <w:r w:rsidRPr="00DD2AC3">
        <w:rPr>
          <w:b/>
        </w:rPr>
        <w:t>Protecting mental health</w:t>
      </w:r>
      <w:r w:rsidRPr="00BB085F">
        <w:t>: by identifying and reducing work-related risk factors, e.g. job design, work overload and how this is managed, policy and procedure to prevent and address workplace bullying, etc.</w:t>
      </w:r>
    </w:p>
    <w:p w14:paraId="73E8D3EF" w14:textId="77777777" w:rsidR="00B453F0" w:rsidRPr="00BB085F" w:rsidRDefault="00B453F0" w:rsidP="00B453F0">
      <w:pPr>
        <w:pStyle w:val="NumberedList1"/>
      </w:pPr>
      <w:r w:rsidRPr="00DD2AC3">
        <w:rPr>
          <w:b/>
        </w:rPr>
        <w:t>Addressing mental health injury or illness</w:t>
      </w:r>
      <w:r w:rsidRPr="00BB085F">
        <w:t>: by providing pathways to appropriate support, promoting recovery and return to work (LaMontagne et al. 2014).</w:t>
      </w:r>
    </w:p>
    <w:p w14:paraId="46176F8F" w14:textId="77777777" w:rsidR="00B453F0" w:rsidRDefault="00B453F0" w:rsidP="00B453F0">
      <w:pPr>
        <w:pStyle w:val="Body"/>
      </w:pPr>
      <w:r w:rsidRPr="00BB085F">
        <w:t>The mental health and wellbeing training and service offerings listed in this document have been classified as belonging to one or more of these three above approaches to supporting mental health at work.</w:t>
      </w:r>
    </w:p>
    <w:p w14:paraId="3508F778" w14:textId="77777777" w:rsidR="00B453F0" w:rsidRDefault="00B453F0" w:rsidP="00543EC2">
      <w:pPr>
        <w:pStyle w:val="TablechartfigureHeading"/>
      </w:pPr>
      <w:r w:rsidRPr="00D00893">
        <w:t>Figure 1: The integrated approach to mental health</w:t>
      </w:r>
    </w:p>
    <w:p w14:paraId="7A6B25C3" w14:textId="77777777" w:rsidR="00543EC2" w:rsidRPr="00D00893" w:rsidRDefault="00543EC2" w:rsidP="00543EC2">
      <w:pPr>
        <w:pStyle w:val="Body"/>
      </w:pPr>
    </w:p>
    <w:p w14:paraId="340A789B" w14:textId="77777777" w:rsidR="00B453F0" w:rsidRDefault="00B453F0" w:rsidP="00B453F0">
      <w:pPr>
        <w:jc w:val="center"/>
      </w:pPr>
      <w:r>
        <w:rPr>
          <w:noProof/>
          <w:lang w:eastAsia="en-AU"/>
        </w:rPr>
        <w:drawing>
          <wp:inline distT="0" distB="0" distL="0" distR="0" wp14:anchorId="5C751853" wp14:editId="5DBA072B">
            <wp:extent cx="5400000" cy="5346387"/>
            <wp:effectExtent l="0" t="0" r="0" b="6985"/>
            <wp:docPr id="7" name="Picture 7" descr="The integrated approach to mental health: Promote positive mental wellbeing: Supporting organisations to build more engaging, cohesive and effective workplaces. Protect from mental injury and illness: Preventing and responding to harm via compliance and increasing awareness and capacity. Address mental injury and illness: Providing access to mental health services and R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00" cy="5346387"/>
                    </a:xfrm>
                    <a:prstGeom prst="rect">
                      <a:avLst/>
                    </a:prstGeom>
                    <a:noFill/>
                  </pic:spPr>
                </pic:pic>
              </a:graphicData>
            </a:graphic>
          </wp:inline>
        </w:drawing>
      </w:r>
    </w:p>
    <w:p w14:paraId="10C1AD20" w14:textId="77777777" w:rsidR="00B453F0" w:rsidRPr="00B453F0" w:rsidRDefault="00B453F0" w:rsidP="00B453F0">
      <w:pPr>
        <w:pStyle w:val="Heading2"/>
      </w:pPr>
      <w:bookmarkStart w:id="4" w:name="_Toc171947915"/>
      <w:r w:rsidRPr="00B453F0">
        <w:t>2. Education and training framework principles</w:t>
      </w:r>
      <w:bookmarkEnd w:id="4"/>
    </w:p>
    <w:p w14:paraId="711B5DCB" w14:textId="77777777" w:rsidR="00B453F0" w:rsidRPr="00ED4B86" w:rsidRDefault="00B453F0" w:rsidP="00B453F0">
      <w:pPr>
        <w:pStyle w:val="Heading3"/>
      </w:pPr>
      <w:bookmarkStart w:id="5" w:name="_Toc171947916"/>
      <w:r w:rsidRPr="00ED4B86">
        <w:t>Principle 1: Education and training offerings in the Victorian Public Service (VPS) support and advance the Mental Health and Wellbeing Charter for the Public Sector</w:t>
      </w:r>
      <w:bookmarkEnd w:id="5"/>
    </w:p>
    <w:p w14:paraId="41EA254A" w14:textId="77777777" w:rsidR="00B453F0" w:rsidRPr="00ED4B86" w:rsidRDefault="00B453F0" w:rsidP="00B453F0">
      <w:pPr>
        <w:pStyle w:val="Heading4"/>
      </w:pPr>
      <w:r w:rsidRPr="00ED4B86">
        <w:t>Description</w:t>
      </w:r>
    </w:p>
    <w:p w14:paraId="4EA55B21" w14:textId="755EC1D3" w:rsidR="00B453F0" w:rsidRPr="00543EC2" w:rsidRDefault="00543EC2" w:rsidP="00543EC2">
      <w:pPr>
        <w:pStyle w:val="Quote"/>
        <w:rPr>
          <w:b w:val="0"/>
          <w:bCs/>
        </w:rPr>
      </w:pPr>
      <w:r w:rsidRPr="00543EC2">
        <w:rPr>
          <w:b w:val="0"/>
          <w:bCs/>
        </w:rPr>
        <w:t>‘</w:t>
      </w:r>
      <w:r w:rsidR="00B453F0" w:rsidRPr="00543EC2">
        <w:rPr>
          <w:b w:val="0"/>
          <w:bCs/>
        </w:rPr>
        <w:t>Our commitment:</w:t>
      </w:r>
    </w:p>
    <w:p w14:paraId="38A5D343" w14:textId="1D0C211B" w:rsidR="00B453F0" w:rsidRPr="00543EC2" w:rsidRDefault="00B453F0" w:rsidP="00543EC2">
      <w:pPr>
        <w:pStyle w:val="Quote"/>
        <w:rPr>
          <w:b w:val="0"/>
          <w:bCs/>
        </w:rPr>
      </w:pPr>
      <w:r w:rsidRPr="00543EC2">
        <w:rPr>
          <w:b w:val="0"/>
          <w:bCs/>
        </w:rPr>
        <w:t>The Victorian Public Sector is committed to achieving the vision of the VPS Mental Health and Wellbeing Charter by taking a holistic and inclusive approach to supporting mental health at work; promoting positive mental wellbeing, preventing mental injury and illness and where mental injury and illness occurs, taking action to support recovery.’</w:t>
      </w:r>
    </w:p>
    <w:p w14:paraId="4CA675C0" w14:textId="77777777" w:rsidR="00B453F0" w:rsidRPr="00ED4B86" w:rsidRDefault="00B453F0" w:rsidP="00B453F0">
      <w:pPr>
        <w:pStyle w:val="Heading4"/>
      </w:pPr>
      <w:r w:rsidRPr="00ED4B86">
        <w:t>Elements</w:t>
      </w:r>
    </w:p>
    <w:p w14:paraId="29001A5F" w14:textId="752F8CC0" w:rsidR="00B453F0" w:rsidRPr="001F5798" w:rsidRDefault="00B453F0" w:rsidP="00DD7788">
      <w:pPr>
        <w:pStyle w:val="NumberedList2"/>
        <w:ind w:left="567" w:hanging="567"/>
      </w:pPr>
      <w:r w:rsidRPr="001F5798">
        <w:t xml:space="preserve">Education and training </w:t>
      </w:r>
      <w:proofErr w:type="gramStart"/>
      <w:r w:rsidRPr="001F5798">
        <w:t>includes</w:t>
      </w:r>
      <w:proofErr w:type="gramEnd"/>
      <w:r w:rsidRPr="001F5798">
        <w:t xml:space="preserve"> reference to, and information about the charter. </w:t>
      </w:r>
    </w:p>
    <w:p w14:paraId="04007D44" w14:textId="58148CA5" w:rsidR="00B453F0" w:rsidRPr="001F5798" w:rsidRDefault="00B453F0" w:rsidP="00DD7788">
      <w:pPr>
        <w:pStyle w:val="NumberedList2"/>
        <w:ind w:left="567" w:hanging="567"/>
      </w:pPr>
      <w:r w:rsidRPr="001F5798">
        <w:t>Education and training offerings are grounded in and focused on one or more of the three elements of the integrated approach to supporting mental health at work:</w:t>
      </w:r>
    </w:p>
    <w:p w14:paraId="21D24982" w14:textId="0880124E" w:rsidR="00B453F0" w:rsidRPr="00543EC2" w:rsidRDefault="00543EC2" w:rsidP="00543EC2">
      <w:pPr>
        <w:pStyle w:val="BodyIndent"/>
      </w:pPr>
      <w:r>
        <w:rPr>
          <w:b/>
        </w:rPr>
        <w:t>P</w:t>
      </w:r>
      <w:r w:rsidR="00B453F0" w:rsidRPr="00543EC2">
        <w:rPr>
          <w:b/>
        </w:rPr>
        <w:t>romoting positive mental health</w:t>
      </w:r>
      <w:r w:rsidR="00B453F0" w:rsidRPr="00543EC2">
        <w:t xml:space="preserve">: by developing positive aspects of work and worker strengths / capacities through reward and recognition programs and positive </w:t>
      </w:r>
      <w:proofErr w:type="gramStart"/>
      <w:r w:rsidR="00B453F0" w:rsidRPr="00543EC2">
        <w:t>leadership;</w:t>
      </w:r>
      <w:proofErr w:type="gramEnd"/>
    </w:p>
    <w:p w14:paraId="1B5AD5B9" w14:textId="3C4F76AE" w:rsidR="00B453F0" w:rsidRPr="00543EC2" w:rsidRDefault="00543EC2" w:rsidP="00543EC2">
      <w:pPr>
        <w:pStyle w:val="BodyIndent"/>
      </w:pPr>
      <w:r>
        <w:rPr>
          <w:b/>
        </w:rPr>
        <w:t>P</w:t>
      </w:r>
      <w:r w:rsidR="00B453F0" w:rsidRPr="00543EC2">
        <w:rPr>
          <w:b/>
        </w:rPr>
        <w:t>rotecting mental health</w:t>
      </w:r>
      <w:r w:rsidR="00B453F0" w:rsidRPr="00543EC2">
        <w:t xml:space="preserve">: by identifying and reducing work-related risk factors, e.g. job design, work overload and how this is managed, policy and procedure to prevent and address workplace bullying </w:t>
      </w:r>
      <w:proofErr w:type="gramStart"/>
      <w:r w:rsidR="00B453F0" w:rsidRPr="00543EC2">
        <w:t>etc.;</w:t>
      </w:r>
      <w:proofErr w:type="gramEnd"/>
    </w:p>
    <w:p w14:paraId="06C5D75A" w14:textId="4C9AD223" w:rsidR="00B453F0" w:rsidRPr="00543EC2" w:rsidRDefault="00543EC2" w:rsidP="00543EC2">
      <w:pPr>
        <w:pStyle w:val="BodyIndent"/>
      </w:pPr>
      <w:r>
        <w:rPr>
          <w:b/>
        </w:rPr>
        <w:t>A</w:t>
      </w:r>
      <w:r w:rsidR="00B453F0" w:rsidRPr="00543EC2">
        <w:rPr>
          <w:b/>
        </w:rPr>
        <w:t>ddressing mental health injury or illness</w:t>
      </w:r>
      <w:r w:rsidR="00B453F0" w:rsidRPr="00543EC2">
        <w:t>: by providing pathways to appropriate support, promoting recovery and return to work.</w:t>
      </w:r>
    </w:p>
    <w:p w14:paraId="6EE3538F" w14:textId="77777777" w:rsidR="00B453F0" w:rsidRPr="00ED4B86" w:rsidRDefault="00B453F0" w:rsidP="00B453F0">
      <w:pPr>
        <w:pStyle w:val="Heading3"/>
      </w:pPr>
      <w:bookmarkStart w:id="6" w:name="_Toc171947917"/>
      <w:r w:rsidRPr="00ED4B86">
        <w:t xml:space="preserve">Principle 2: Education and training offerings are evidence-based, reflective of local needs, have defined learning objectives and are subject to evaluation and continuous </w:t>
      </w:r>
      <w:proofErr w:type="gramStart"/>
      <w:r w:rsidRPr="00ED4B86">
        <w:t>improvement</w:t>
      </w:r>
      <w:bookmarkEnd w:id="6"/>
      <w:proofErr w:type="gramEnd"/>
    </w:p>
    <w:p w14:paraId="22099A2D" w14:textId="77777777" w:rsidR="00B453F0" w:rsidRPr="00ED4B86" w:rsidRDefault="00B453F0" w:rsidP="00B453F0">
      <w:pPr>
        <w:pStyle w:val="Heading4"/>
      </w:pPr>
      <w:r w:rsidRPr="00ED4B86">
        <w:t>Description</w:t>
      </w:r>
    </w:p>
    <w:p w14:paraId="656C6253" w14:textId="77777777" w:rsidR="00B453F0" w:rsidRPr="00543EC2" w:rsidRDefault="00B453F0" w:rsidP="00543EC2">
      <w:pPr>
        <w:pStyle w:val="Quote"/>
        <w:rPr>
          <w:b w:val="0"/>
          <w:bCs/>
        </w:rPr>
      </w:pPr>
      <w:r w:rsidRPr="00543EC2">
        <w:rPr>
          <w:b w:val="0"/>
          <w:bCs/>
        </w:rPr>
        <w:t>‘We will [fulfil the education and training commitment] by:</w:t>
      </w:r>
    </w:p>
    <w:p w14:paraId="0A04E9EA" w14:textId="77777777" w:rsidR="00B453F0" w:rsidRPr="00543EC2" w:rsidRDefault="00B453F0" w:rsidP="00543EC2">
      <w:pPr>
        <w:pStyle w:val="Quote"/>
        <w:rPr>
          <w:b w:val="0"/>
          <w:bCs/>
        </w:rPr>
      </w:pPr>
      <w:r w:rsidRPr="00543EC2">
        <w:rPr>
          <w:b w:val="0"/>
          <w:bCs/>
        </w:rPr>
        <w:t xml:space="preserve">Delivering evidence-based training programs that support the capability of managers, Health and Safety Representatives and workers in identifying, preventing, </w:t>
      </w:r>
      <w:proofErr w:type="gramStart"/>
      <w:r w:rsidRPr="00543EC2">
        <w:rPr>
          <w:b w:val="0"/>
          <w:bCs/>
        </w:rPr>
        <w:t>protecting</w:t>
      </w:r>
      <w:proofErr w:type="gramEnd"/>
      <w:r w:rsidRPr="00543EC2">
        <w:rPr>
          <w:b w:val="0"/>
          <w:bCs/>
        </w:rPr>
        <w:t xml:space="preserve"> and addressing mental injury and illness as well as promoting positive mental wellbeing.’</w:t>
      </w:r>
    </w:p>
    <w:p w14:paraId="798E6EBA" w14:textId="77777777" w:rsidR="00B453F0" w:rsidRPr="000331D4" w:rsidRDefault="00B453F0" w:rsidP="00543EC2">
      <w:pPr>
        <w:pStyle w:val="Body"/>
      </w:pPr>
      <w:r w:rsidRPr="001F5798">
        <w:t>A system of review is in place to ensure education and training offerings continue to meet the objectives of the Mental Health and Wellbeing Charter.</w:t>
      </w:r>
    </w:p>
    <w:p w14:paraId="683AC2AA" w14:textId="77777777" w:rsidR="00B453F0" w:rsidRPr="00543EC2" w:rsidRDefault="00B453F0" w:rsidP="00543EC2">
      <w:pPr>
        <w:pStyle w:val="Heading4"/>
      </w:pPr>
      <w:r w:rsidRPr="00543EC2">
        <w:t>Elements</w:t>
      </w:r>
    </w:p>
    <w:p w14:paraId="314ADF95" w14:textId="2495AAD6" w:rsidR="00B453F0" w:rsidRPr="00DD7788" w:rsidRDefault="00B453F0" w:rsidP="00461445">
      <w:pPr>
        <w:pStyle w:val="NumberedList2"/>
        <w:numPr>
          <w:ilvl w:val="1"/>
          <w:numId w:val="35"/>
        </w:numPr>
        <w:ind w:left="567" w:hanging="567"/>
      </w:pPr>
      <w:r w:rsidRPr="00DD7788">
        <w:t xml:space="preserve">Education and training offerings comprise content and delivery modes that are evidence-based. Delivery can be via a blended combination of </w:t>
      </w:r>
      <w:proofErr w:type="gramStart"/>
      <w:r w:rsidRPr="00DD7788">
        <w:t>face to face</w:t>
      </w:r>
      <w:proofErr w:type="gramEnd"/>
      <w:r w:rsidRPr="00DD7788">
        <w:t xml:space="preserve"> programs and: </w:t>
      </w:r>
    </w:p>
    <w:p w14:paraId="20701938" w14:textId="77777777" w:rsidR="00B453F0" w:rsidRPr="00461445" w:rsidRDefault="00B453F0" w:rsidP="00BE4B89">
      <w:pPr>
        <w:pStyle w:val="Bullet2"/>
        <w:numPr>
          <w:ilvl w:val="1"/>
          <w:numId w:val="47"/>
        </w:numPr>
        <w:ind w:left="1134" w:hanging="567"/>
      </w:pPr>
      <w:r w:rsidRPr="00461445">
        <w:t xml:space="preserve">E-learning modules </w:t>
      </w:r>
    </w:p>
    <w:p w14:paraId="078434C4" w14:textId="77777777" w:rsidR="00B453F0" w:rsidRPr="00461445" w:rsidRDefault="00B453F0" w:rsidP="00BE4B89">
      <w:pPr>
        <w:pStyle w:val="Bullet2"/>
        <w:numPr>
          <w:ilvl w:val="1"/>
          <w:numId w:val="47"/>
        </w:numPr>
        <w:ind w:left="1134" w:hanging="567"/>
      </w:pPr>
      <w:r w:rsidRPr="00461445">
        <w:t xml:space="preserve">Individual study materials </w:t>
      </w:r>
    </w:p>
    <w:p w14:paraId="75E8F840" w14:textId="77777777" w:rsidR="00B453F0" w:rsidRPr="00461445" w:rsidRDefault="00B453F0" w:rsidP="00BE4B89">
      <w:pPr>
        <w:pStyle w:val="Bullet2"/>
        <w:numPr>
          <w:ilvl w:val="1"/>
          <w:numId w:val="47"/>
        </w:numPr>
        <w:ind w:left="1134" w:hanging="567"/>
      </w:pPr>
      <w:r w:rsidRPr="00461445">
        <w:t xml:space="preserve">Group / peer learning </w:t>
      </w:r>
      <w:proofErr w:type="gramStart"/>
      <w:r w:rsidRPr="00461445">
        <w:t>processes</w:t>
      </w:r>
      <w:proofErr w:type="gramEnd"/>
    </w:p>
    <w:p w14:paraId="0588A02C" w14:textId="77777777" w:rsidR="00B453F0" w:rsidRPr="00461445" w:rsidRDefault="00B453F0" w:rsidP="00BE4B89">
      <w:pPr>
        <w:pStyle w:val="Bullet2"/>
        <w:numPr>
          <w:ilvl w:val="1"/>
          <w:numId w:val="47"/>
        </w:numPr>
        <w:ind w:left="1134" w:hanging="567"/>
      </w:pPr>
      <w:r w:rsidRPr="00461445">
        <w:t>Other effective modes</w:t>
      </w:r>
    </w:p>
    <w:p w14:paraId="65756145" w14:textId="1CC7A5CB" w:rsidR="00B453F0" w:rsidRPr="00DD7788" w:rsidRDefault="00B453F0" w:rsidP="00461445">
      <w:pPr>
        <w:pStyle w:val="NumberedList2"/>
        <w:numPr>
          <w:ilvl w:val="1"/>
          <w:numId w:val="35"/>
        </w:numPr>
        <w:ind w:left="567" w:hanging="567"/>
      </w:pPr>
      <w:r w:rsidRPr="00DD7788">
        <w:t>Education and training offerings may be delivered in different ways to different groups of staff at different locations.</w:t>
      </w:r>
    </w:p>
    <w:p w14:paraId="63217120" w14:textId="32300C40" w:rsidR="00B453F0" w:rsidRPr="00DD7788" w:rsidRDefault="00B453F0" w:rsidP="00461445">
      <w:pPr>
        <w:pStyle w:val="NumberedList2"/>
        <w:numPr>
          <w:ilvl w:val="1"/>
          <w:numId w:val="35"/>
        </w:numPr>
        <w:ind w:left="567" w:hanging="567"/>
      </w:pPr>
      <w:r w:rsidRPr="00DD7788">
        <w:t xml:space="preserve">Education and training offerings may be delivered by internal or external providers who possess relevant and appropriate qualifications and experience to deliver the content consistent with the </w:t>
      </w:r>
      <w:proofErr w:type="gramStart"/>
      <w:r w:rsidRPr="00DD7788">
        <w:t>Principles</w:t>
      </w:r>
      <w:proofErr w:type="gramEnd"/>
      <w:r w:rsidRPr="00DD7788">
        <w:t xml:space="preserve"> and the charter.</w:t>
      </w:r>
    </w:p>
    <w:p w14:paraId="14FDC965" w14:textId="7852D33B" w:rsidR="00B453F0" w:rsidRPr="00DD7788" w:rsidRDefault="00B453F0" w:rsidP="00461445">
      <w:pPr>
        <w:pStyle w:val="NumberedList2"/>
        <w:numPr>
          <w:ilvl w:val="1"/>
          <w:numId w:val="35"/>
        </w:numPr>
        <w:ind w:left="567" w:hanging="567"/>
      </w:pPr>
      <w:r w:rsidRPr="00DD7788">
        <w:t xml:space="preserve">Learning objectives are specified for all education and training offerings. </w:t>
      </w:r>
    </w:p>
    <w:p w14:paraId="72A43C92" w14:textId="77777777" w:rsidR="00461445" w:rsidRDefault="00B453F0" w:rsidP="00461445">
      <w:pPr>
        <w:pStyle w:val="NumberedList2"/>
        <w:numPr>
          <w:ilvl w:val="1"/>
          <w:numId w:val="35"/>
        </w:numPr>
        <w:ind w:left="567" w:hanging="567"/>
      </w:pPr>
      <w:r w:rsidRPr="00DD7788">
        <w:t>Consistent with each organisation’s policies processes, knowledge and skills evaluations are conducted before, during and after education and training offerings to measure achievement of learning objectives.</w:t>
      </w:r>
    </w:p>
    <w:p w14:paraId="3A86B722" w14:textId="77777777" w:rsidR="00461445" w:rsidRDefault="00B453F0" w:rsidP="00461445">
      <w:pPr>
        <w:pStyle w:val="NumberedList2"/>
        <w:numPr>
          <w:ilvl w:val="1"/>
          <w:numId w:val="35"/>
        </w:numPr>
        <w:ind w:left="567" w:hanging="567"/>
      </w:pPr>
      <w:r w:rsidRPr="00DD7788">
        <w:t xml:space="preserve">Education and training offerings are reviewed </w:t>
      </w:r>
      <w:proofErr w:type="gramStart"/>
      <w:r w:rsidRPr="00DD7788">
        <w:t>regularly, and</w:t>
      </w:r>
      <w:proofErr w:type="gramEnd"/>
      <w:r w:rsidRPr="00DD7788">
        <w:t xml:space="preserve"> updated and improved as required.</w:t>
      </w:r>
    </w:p>
    <w:p w14:paraId="0FDB8DF9" w14:textId="19E9D46A" w:rsidR="00B453F0" w:rsidRPr="00DD7788" w:rsidRDefault="00B453F0" w:rsidP="00461445">
      <w:pPr>
        <w:pStyle w:val="NumberedList2"/>
        <w:numPr>
          <w:ilvl w:val="1"/>
          <w:numId w:val="35"/>
        </w:numPr>
        <w:ind w:left="567" w:hanging="567"/>
      </w:pPr>
      <w:r w:rsidRPr="00DD7788">
        <w:t>Responsibility for the evaluation of education and training offerings is located with the relevant organisational committee / body (e.g. OHS / WHS committee; L&amp;D committee, etc.). Note that this may be in addition to evaluation by any central independent body authorised by the Victorian Government to audit and / or oversee mental health and wellbeing education and training.</w:t>
      </w:r>
    </w:p>
    <w:p w14:paraId="74E251C3" w14:textId="77777777" w:rsidR="00B453F0" w:rsidRPr="00ED4B86" w:rsidRDefault="00B453F0" w:rsidP="00B453F0">
      <w:pPr>
        <w:pStyle w:val="Heading3"/>
      </w:pPr>
      <w:bookmarkStart w:id="7" w:name="_Toc171947918"/>
      <w:r w:rsidRPr="00ED4B86">
        <w:t xml:space="preserve">Principle 3: Education and training offerings are tailored to the requirements of different staff groups and </w:t>
      </w:r>
      <w:proofErr w:type="gramStart"/>
      <w:r w:rsidRPr="00ED4B86">
        <w:t>levels</w:t>
      </w:r>
      <w:bookmarkEnd w:id="7"/>
      <w:proofErr w:type="gramEnd"/>
    </w:p>
    <w:p w14:paraId="29678A8C" w14:textId="77777777" w:rsidR="00B453F0" w:rsidRPr="00ED4B86" w:rsidRDefault="00B453F0" w:rsidP="00B453F0">
      <w:pPr>
        <w:pStyle w:val="Heading4"/>
      </w:pPr>
      <w:r w:rsidRPr="00ED4B86">
        <w:t>Description</w:t>
      </w:r>
    </w:p>
    <w:p w14:paraId="043AD522" w14:textId="77777777" w:rsidR="00B453F0" w:rsidRPr="001F5798" w:rsidRDefault="00B453F0" w:rsidP="00461445">
      <w:pPr>
        <w:pStyle w:val="Body"/>
      </w:pPr>
      <w:r w:rsidRPr="001F5798">
        <w:t>The baseline requirement is for each department / organisation to deliver education and training offerings to staff; managers and supervisors; and executives.</w:t>
      </w:r>
    </w:p>
    <w:p w14:paraId="600F3CA3" w14:textId="77777777" w:rsidR="00B453F0" w:rsidRDefault="00B453F0" w:rsidP="00461445">
      <w:pPr>
        <w:pStyle w:val="Body"/>
      </w:pPr>
      <w:r w:rsidRPr="001F5798">
        <w:t>Specialised workplaces such as custodial or other secure settings, call centres and public-facing facilities, emergency response functions, etc., require tailored education and training content and delivery approaches.</w:t>
      </w:r>
    </w:p>
    <w:p w14:paraId="43961766" w14:textId="77777777" w:rsidR="00B453F0" w:rsidRPr="00ED4B86" w:rsidRDefault="00B453F0" w:rsidP="00B453F0">
      <w:pPr>
        <w:pStyle w:val="Heading4"/>
      </w:pPr>
      <w:r w:rsidRPr="00ED4B86">
        <w:t>Elements</w:t>
      </w:r>
    </w:p>
    <w:p w14:paraId="700C8A41" w14:textId="77777777" w:rsidR="00B453F0" w:rsidRPr="00FB0E6E" w:rsidRDefault="00B453F0" w:rsidP="00B453F0">
      <w:pPr>
        <w:pStyle w:val="Heading5"/>
      </w:pPr>
      <w:r w:rsidRPr="00FB0E6E">
        <w:t>Staff</w:t>
      </w:r>
    </w:p>
    <w:p w14:paraId="2C20D687" w14:textId="0DB93DE9" w:rsidR="00B453F0" w:rsidRPr="00461445" w:rsidRDefault="00B453F0" w:rsidP="00461445">
      <w:pPr>
        <w:pStyle w:val="NumberedList2"/>
        <w:numPr>
          <w:ilvl w:val="1"/>
          <w:numId w:val="38"/>
        </w:numPr>
        <w:ind w:left="567" w:hanging="567"/>
      </w:pPr>
      <w:r w:rsidRPr="00461445">
        <w:t xml:space="preserve">Education and training for staff to include: </w:t>
      </w:r>
    </w:p>
    <w:p w14:paraId="02D2B6B7" w14:textId="77777777" w:rsidR="00B453F0" w:rsidRPr="001F5798" w:rsidRDefault="00B453F0" w:rsidP="00461445">
      <w:pPr>
        <w:pStyle w:val="Bullet2"/>
        <w:numPr>
          <w:ilvl w:val="1"/>
          <w:numId w:val="40"/>
        </w:numPr>
        <w:ind w:left="1134" w:hanging="567"/>
      </w:pPr>
      <w:r w:rsidRPr="001F5798">
        <w:t>the importance of workplace mental health and wellbeing</w:t>
      </w:r>
    </w:p>
    <w:p w14:paraId="68B82A66" w14:textId="77777777" w:rsidR="00B453F0" w:rsidRPr="001F5798" w:rsidRDefault="00B453F0" w:rsidP="00461445">
      <w:pPr>
        <w:pStyle w:val="Bullet2"/>
        <w:numPr>
          <w:ilvl w:val="1"/>
          <w:numId w:val="40"/>
        </w:numPr>
        <w:ind w:left="1134" w:hanging="567"/>
      </w:pPr>
      <w:r w:rsidRPr="001F5798">
        <w:t xml:space="preserve">common workplace mental health conditions (depression, suicide, </w:t>
      </w:r>
      <w:proofErr w:type="gramStart"/>
      <w:r w:rsidRPr="001F5798">
        <w:t>anxiety</w:t>
      </w:r>
      <w:proofErr w:type="gramEnd"/>
      <w:r w:rsidRPr="001F5798">
        <w:t xml:space="preserve"> and trauma)</w:t>
      </w:r>
    </w:p>
    <w:p w14:paraId="7C3F736E" w14:textId="77777777" w:rsidR="00B453F0" w:rsidRPr="001F5798" w:rsidRDefault="00B453F0" w:rsidP="00461445">
      <w:pPr>
        <w:pStyle w:val="Bullet2"/>
        <w:numPr>
          <w:ilvl w:val="1"/>
          <w:numId w:val="40"/>
        </w:numPr>
        <w:ind w:left="1134" w:hanging="567"/>
      </w:pPr>
      <w:r w:rsidRPr="001F5798">
        <w:t>how to recognise early warning signs</w:t>
      </w:r>
    </w:p>
    <w:p w14:paraId="293C34C7" w14:textId="77777777" w:rsidR="00B453F0" w:rsidRPr="001F5798" w:rsidRDefault="00B453F0" w:rsidP="00461445">
      <w:pPr>
        <w:pStyle w:val="Bullet2"/>
        <w:numPr>
          <w:ilvl w:val="1"/>
          <w:numId w:val="40"/>
        </w:numPr>
        <w:ind w:left="1134" w:hanging="567"/>
      </w:pPr>
      <w:r w:rsidRPr="001F5798">
        <w:t>practical intervention and support strategies</w:t>
      </w:r>
    </w:p>
    <w:p w14:paraId="05C18CD7" w14:textId="77777777" w:rsidR="00B453F0" w:rsidRPr="001F5798" w:rsidRDefault="00B453F0" w:rsidP="00461445">
      <w:pPr>
        <w:pStyle w:val="Bullet2"/>
        <w:numPr>
          <w:ilvl w:val="1"/>
          <w:numId w:val="40"/>
        </w:numPr>
        <w:ind w:left="1134" w:hanging="567"/>
      </w:pPr>
      <w:r w:rsidRPr="001F5798">
        <w:t>introduction to more complex mental health conditions in the workplace (psychosis, drug and alcohol issues and personality disorders)</w:t>
      </w:r>
    </w:p>
    <w:p w14:paraId="6D44BFB6" w14:textId="77777777" w:rsidR="00B453F0" w:rsidRPr="001F5798" w:rsidRDefault="00B453F0" w:rsidP="00461445">
      <w:pPr>
        <w:pStyle w:val="Bullet2"/>
        <w:numPr>
          <w:ilvl w:val="1"/>
          <w:numId w:val="40"/>
        </w:numPr>
        <w:ind w:left="1134" w:hanging="567"/>
      </w:pPr>
      <w:r w:rsidRPr="001F5798">
        <w:t xml:space="preserve">the impact mental health has on the individual, their family, workplace and </w:t>
      </w:r>
      <w:proofErr w:type="gramStart"/>
      <w:r w:rsidRPr="001F5798">
        <w:t>community</w:t>
      </w:r>
      <w:proofErr w:type="gramEnd"/>
    </w:p>
    <w:p w14:paraId="017B9E62" w14:textId="77777777" w:rsidR="00B453F0" w:rsidRPr="001F5798" w:rsidRDefault="00B453F0" w:rsidP="00461445">
      <w:pPr>
        <w:pStyle w:val="Bullet2"/>
        <w:numPr>
          <w:ilvl w:val="1"/>
          <w:numId w:val="40"/>
        </w:numPr>
        <w:ind w:left="1134" w:hanging="567"/>
      </w:pPr>
      <w:r w:rsidRPr="001F5798">
        <w:t>promoting and contributing to improved individual and organisational resilience and wellbeing</w:t>
      </w:r>
    </w:p>
    <w:p w14:paraId="7E77D36A" w14:textId="77777777" w:rsidR="00B453F0" w:rsidRPr="001F5798" w:rsidRDefault="00B453F0" w:rsidP="00461445">
      <w:pPr>
        <w:pStyle w:val="Bullet2"/>
        <w:numPr>
          <w:ilvl w:val="1"/>
          <w:numId w:val="40"/>
        </w:numPr>
        <w:ind w:left="1134" w:hanging="567"/>
      </w:pPr>
      <w:r w:rsidRPr="001F5798">
        <w:t>the relationship between workplace behaviour and mental health and wellbeing, and the impact of appropriate and inappropriate workplace behaviour</w:t>
      </w:r>
    </w:p>
    <w:p w14:paraId="55F68417" w14:textId="77777777" w:rsidR="00B453F0" w:rsidRPr="001F5798" w:rsidRDefault="00B453F0" w:rsidP="00461445">
      <w:pPr>
        <w:pStyle w:val="Bullet2"/>
        <w:numPr>
          <w:ilvl w:val="1"/>
          <w:numId w:val="40"/>
        </w:numPr>
        <w:ind w:left="1134" w:hanging="567"/>
      </w:pPr>
      <w:r w:rsidRPr="001F5798">
        <w:t>case studies and additional resources</w:t>
      </w:r>
    </w:p>
    <w:p w14:paraId="6D365206" w14:textId="77777777" w:rsidR="00B453F0" w:rsidRPr="0054237E" w:rsidRDefault="00B453F0" w:rsidP="00461445">
      <w:pPr>
        <w:pStyle w:val="Bullet2"/>
        <w:numPr>
          <w:ilvl w:val="1"/>
          <w:numId w:val="40"/>
        </w:numPr>
        <w:ind w:left="1134" w:hanging="567"/>
      </w:pPr>
      <w:r w:rsidRPr="001F5798">
        <w:t xml:space="preserve">internal and external support services and resources available to help you and your </w:t>
      </w:r>
      <w:proofErr w:type="gramStart"/>
      <w:r w:rsidRPr="001F5798">
        <w:t>colleagues</w:t>
      </w:r>
      <w:proofErr w:type="gramEnd"/>
    </w:p>
    <w:p w14:paraId="57F5B10E" w14:textId="77777777" w:rsidR="00B453F0" w:rsidRPr="00FB0E6E" w:rsidRDefault="00B453F0" w:rsidP="00B453F0">
      <w:pPr>
        <w:pStyle w:val="Heading5"/>
      </w:pPr>
      <w:r w:rsidRPr="00FB0E6E">
        <w:t>Managers and supervisors</w:t>
      </w:r>
    </w:p>
    <w:p w14:paraId="0796501D" w14:textId="72E36D28" w:rsidR="00B453F0" w:rsidRPr="001F5798" w:rsidRDefault="00B453F0" w:rsidP="00461445">
      <w:pPr>
        <w:pStyle w:val="NumberedList2"/>
        <w:numPr>
          <w:ilvl w:val="1"/>
          <w:numId w:val="38"/>
        </w:numPr>
        <w:ind w:left="567" w:hanging="567"/>
      </w:pPr>
      <w:r w:rsidRPr="001F5798">
        <w:t xml:space="preserve">Education and training for </w:t>
      </w:r>
      <w:r w:rsidRPr="00461445">
        <w:rPr>
          <w:rStyle w:val="Strong"/>
        </w:rPr>
        <w:t>managers and supervisors</w:t>
      </w:r>
      <w:r w:rsidRPr="001F5798">
        <w:t xml:space="preserve"> to include:</w:t>
      </w:r>
    </w:p>
    <w:p w14:paraId="2C8C1CD6" w14:textId="77777777" w:rsidR="00B453F0" w:rsidRPr="001F5798" w:rsidRDefault="00B453F0" w:rsidP="00461445">
      <w:pPr>
        <w:pStyle w:val="Bullet2"/>
        <w:numPr>
          <w:ilvl w:val="1"/>
          <w:numId w:val="41"/>
        </w:numPr>
        <w:ind w:left="1134" w:hanging="567"/>
      </w:pPr>
      <w:r w:rsidRPr="001F5798">
        <w:t xml:space="preserve">the role of the manager – what to do and what not to </w:t>
      </w:r>
      <w:proofErr w:type="gramStart"/>
      <w:r w:rsidRPr="001F5798">
        <w:t>do</w:t>
      </w:r>
      <w:proofErr w:type="gramEnd"/>
    </w:p>
    <w:p w14:paraId="163B0F58" w14:textId="77777777" w:rsidR="00B453F0" w:rsidRPr="001F5798" w:rsidRDefault="00B453F0" w:rsidP="00461445">
      <w:pPr>
        <w:pStyle w:val="Bullet2"/>
        <w:numPr>
          <w:ilvl w:val="1"/>
          <w:numId w:val="41"/>
        </w:numPr>
        <w:ind w:left="1134" w:hanging="567"/>
      </w:pPr>
      <w:r w:rsidRPr="001F5798">
        <w:t xml:space="preserve">the impact mental illness has in the workplace and </w:t>
      </w:r>
      <w:proofErr w:type="gramStart"/>
      <w:r w:rsidRPr="001F5798">
        <w:t>community</w:t>
      </w:r>
      <w:proofErr w:type="gramEnd"/>
    </w:p>
    <w:p w14:paraId="72C84F06" w14:textId="77777777" w:rsidR="00B453F0" w:rsidRPr="001F5798" w:rsidRDefault="00B453F0" w:rsidP="00461445">
      <w:pPr>
        <w:pStyle w:val="Bullet2"/>
        <w:numPr>
          <w:ilvl w:val="1"/>
          <w:numId w:val="41"/>
        </w:numPr>
        <w:ind w:left="1134" w:hanging="567"/>
      </w:pPr>
      <w:r w:rsidRPr="001F5798">
        <w:t>how to protect worker mental health and wellbeing</w:t>
      </w:r>
    </w:p>
    <w:p w14:paraId="098C91E5" w14:textId="77777777" w:rsidR="00B453F0" w:rsidRPr="001F5798" w:rsidRDefault="00B453F0" w:rsidP="00461445">
      <w:pPr>
        <w:pStyle w:val="Bullet2"/>
        <w:numPr>
          <w:ilvl w:val="1"/>
          <w:numId w:val="41"/>
        </w:numPr>
        <w:ind w:left="1134" w:hanging="567"/>
      </w:pPr>
      <w:r w:rsidRPr="001F5798">
        <w:t>the benefits of work for mental health and wellbeing</w:t>
      </w:r>
    </w:p>
    <w:p w14:paraId="70C5A347" w14:textId="77777777" w:rsidR="00B453F0" w:rsidRPr="001F5798" w:rsidRDefault="00B453F0" w:rsidP="00461445">
      <w:pPr>
        <w:pStyle w:val="Bullet2"/>
        <w:numPr>
          <w:ilvl w:val="1"/>
          <w:numId w:val="41"/>
        </w:numPr>
        <w:ind w:left="1134" w:hanging="567"/>
      </w:pPr>
      <w:r w:rsidRPr="001F5798">
        <w:t xml:space="preserve">more complex mental health conditions in the </w:t>
      </w:r>
      <w:r w:rsidRPr="001F5798">
        <w:rPr>
          <w:color w:val="1A1A1A" w:themeColor="background2" w:themeShade="1A"/>
        </w:rPr>
        <w:t>workplace</w:t>
      </w:r>
      <w:r w:rsidRPr="001F5798">
        <w:t xml:space="preserve"> (psychosis, drug and alcohol issues and personality disorders)</w:t>
      </w:r>
    </w:p>
    <w:p w14:paraId="6915D79F" w14:textId="77777777" w:rsidR="00B453F0" w:rsidRPr="001F5798" w:rsidRDefault="00B453F0" w:rsidP="00461445">
      <w:pPr>
        <w:pStyle w:val="Bullet2"/>
        <w:numPr>
          <w:ilvl w:val="1"/>
          <w:numId w:val="41"/>
        </w:numPr>
        <w:ind w:left="1134" w:hanging="567"/>
      </w:pPr>
      <w:r w:rsidRPr="001F5798">
        <w:t>how to recognise early warning signs</w:t>
      </w:r>
    </w:p>
    <w:p w14:paraId="05FDE048" w14:textId="77777777" w:rsidR="00B453F0" w:rsidRPr="001F5798" w:rsidRDefault="00B453F0" w:rsidP="00461445">
      <w:pPr>
        <w:pStyle w:val="Bullet2"/>
        <w:numPr>
          <w:ilvl w:val="1"/>
          <w:numId w:val="41"/>
        </w:numPr>
        <w:ind w:left="1134" w:hanging="567"/>
      </w:pPr>
      <w:r w:rsidRPr="001F5798">
        <w:t>the relationship between workplace behaviour and mental health and wellbeing, and the impact of appropriate and inappropriate workplace behaviour</w:t>
      </w:r>
    </w:p>
    <w:p w14:paraId="7791E4BF" w14:textId="77777777" w:rsidR="00B453F0" w:rsidRPr="001F5798" w:rsidRDefault="00B453F0" w:rsidP="00461445">
      <w:pPr>
        <w:pStyle w:val="Bullet2"/>
        <w:numPr>
          <w:ilvl w:val="1"/>
          <w:numId w:val="41"/>
        </w:numPr>
        <w:ind w:left="1134" w:hanging="567"/>
      </w:pPr>
      <w:r w:rsidRPr="001F5798">
        <w:t xml:space="preserve">other factors impacting on workplace mental health and wellbeing; for </w:t>
      </w:r>
      <w:proofErr w:type="gramStart"/>
      <w:r w:rsidRPr="001F5798">
        <w:t>example</w:t>
      </w:r>
      <w:proofErr w:type="gramEnd"/>
      <w:r w:rsidRPr="001F5798">
        <w:t xml:space="preserve"> job design, workloads, fatigue, trauma and vicarious trauma, domestic violence, etc.</w:t>
      </w:r>
    </w:p>
    <w:p w14:paraId="3301753D" w14:textId="77777777" w:rsidR="00B453F0" w:rsidRPr="001F5798" w:rsidRDefault="00B453F0" w:rsidP="00461445">
      <w:pPr>
        <w:pStyle w:val="Bullet2"/>
        <w:numPr>
          <w:ilvl w:val="1"/>
          <w:numId w:val="41"/>
        </w:numPr>
        <w:ind w:left="1134" w:hanging="567"/>
      </w:pPr>
      <w:r w:rsidRPr="001F5798">
        <w:t>how to support employees with recognised pre-existing mental health conditions</w:t>
      </w:r>
    </w:p>
    <w:p w14:paraId="59FB76C1" w14:textId="77777777" w:rsidR="00B453F0" w:rsidRPr="001F5798" w:rsidRDefault="00B453F0" w:rsidP="00461445">
      <w:pPr>
        <w:pStyle w:val="Bullet2"/>
        <w:numPr>
          <w:ilvl w:val="1"/>
          <w:numId w:val="41"/>
        </w:numPr>
        <w:ind w:left="1134" w:hanging="567"/>
      </w:pPr>
      <w:r w:rsidRPr="001F5798">
        <w:t>accessing available support and emergency contact information</w:t>
      </w:r>
    </w:p>
    <w:p w14:paraId="1F07C2E6" w14:textId="77777777" w:rsidR="00B453F0" w:rsidRPr="001F5798" w:rsidRDefault="00B453F0" w:rsidP="00461445">
      <w:pPr>
        <w:pStyle w:val="Bullet2"/>
        <w:numPr>
          <w:ilvl w:val="1"/>
          <w:numId w:val="41"/>
        </w:numPr>
        <w:ind w:left="1134" w:hanging="567"/>
      </w:pPr>
      <w:r w:rsidRPr="001F5798">
        <w:t xml:space="preserve">effectively manage return to work situations for workers with mental health </w:t>
      </w:r>
      <w:proofErr w:type="gramStart"/>
      <w:r w:rsidRPr="001F5798">
        <w:t>conditions</w:t>
      </w:r>
      <w:proofErr w:type="gramEnd"/>
    </w:p>
    <w:p w14:paraId="07CCC3E8" w14:textId="77777777" w:rsidR="00B453F0" w:rsidRPr="001F5798" w:rsidRDefault="00B453F0" w:rsidP="00461445">
      <w:pPr>
        <w:pStyle w:val="Bullet2"/>
        <w:numPr>
          <w:ilvl w:val="1"/>
          <w:numId w:val="41"/>
        </w:numPr>
        <w:ind w:left="1134" w:hanging="567"/>
      </w:pPr>
      <w:r w:rsidRPr="001F5798">
        <w:t xml:space="preserve">improving the psychological and physical workplace environment so all individuals and those at risk of mental illness or who have a mental illness can </w:t>
      </w:r>
      <w:proofErr w:type="gramStart"/>
      <w:r w:rsidRPr="001F5798">
        <w:t>flourish</w:t>
      </w:r>
      <w:proofErr w:type="gramEnd"/>
    </w:p>
    <w:p w14:paraId="5584404B" w14:textId="77777777" w:rsidR="00B453F0" w:rsidRPr="001F5798" w:rsidRDefault="00B453F0" w:rsidP="00461445">
      <w:pPr>
        <w:pStyle w:val="Bullet2"/>
        <w:numPr>
          <w:ilvl w:val="1"/>
          <w:numId w:val="41"/>
        </w:numPr>
        <w:ind w:left="1134" w:hanging="567"/>
      </w:pPr>
      <w:r w:rsidRPr="001F5798">
        <w:t>managerial case studies and role plays</w:t>
      </w:r>
    </w:p>
    <w:p w14:paraId="4DA3731C" w14:textId="77777777" w:rsidR="00B453F0" w:rsidRPr="001F5798" w:rsidRDefault="00B453F0" w:rsidP="00461445">
      <w:pPr>
        <w:pStyle w:val="Bullet2"/>
        <w:numPr>
          <w:ilvl w:val="1"/>
          <w:numId w:val="41"/>
        </w:numPr>
        <w:ind w:left="1134" w:hanging="567"/>
      </w:pPr>
      <w:r w:rsidRPr="001F5798">
        <w:t>internal and external support services and resources available (see above for staff)</w:t>
      </w:r>
    </w:p>
    <w:p w14:paraId="1283C84D" w14:textId="0A6C9564" w:rsidR="00B453F0" w:rsidRPr="001F5798" w:rsidRDefault="00B453F0" w:rsidP="00461445">
      <w:pPr>
        <w:pStyle w:val="NumberedList2"/>
        <w:numPr>
          <w:ilvl w:val="1"/>
          <w:numId w:val="38"/>
        </w:numPr>
        <w:ind w:left="567" w:hanging="567"/>
      </w:pPr>
      <w:r w:rsidRPr="001F5798">
        <w:t>People &amp; Culture (HR) staff training aligned to that for managers and supervisors.</w:t>
      </w:r>
    </w:p>
    <w:p w14:paraId="64A7DE41" w14:textId="77777777" w:rsidR="00B453F0" w:rsidRPr="00FB0E6E" w:rsidRDefault="00B453F0" w:rsidP="00B453F0">
      <w:pPr>
        <w:pStyle w:val="Heading5"/>
      </w:pPr>
      <w:r w:rsidRPr="00FB0E6E">
        <w:t>Executives</w:t>
      </w:r>
    </w:p>
    <w:p w14:paraId="17064ADE" w14:textId="36DF4838" w:rsidR="00B453F0" w:rsidRPr="001F5798" w:rsidRDefault="00B453F0" w:rsidP="00461445">
      <w:pPr>
        <w:pStyle w:val="NumberedList2"/>
        <w:numPr>
          <w:ilvl w:val="1"/>
          <w:numId w:val="38"/>
        </w:numPr>
        <w:ind w:left="567" w:hanging="567"/>
      </w:pPr>
      <w:r w:rsidRPr="001F5798">
        <w:t xml:space="preserve">Education and training for </w:t>
      </w:r>
      <w:r w:rsidRPr="00461445">
        <w:rPr>
          <w:rStyle w:val="Strong"/>
        </w:rPr>
        <w:t>executives</w:t>
      </w:r>
      <w:r w:rsidRPr="001F5798">
        <w:t xml:space="preserve"> to include: </w:t>
      </w:r>
    </w:p>
    <w:p w14:paraId="6772E5A9" w14:textId="77777777" w:rsidR="00B453F0" w:rsidRPr="001F5798" w:rsidRDefault="00B453F0" w:rsidP="00E2339F">
      <w:pPr>
        <w:pStyle w:val="Bullet2"/>
        <w:numPr>
          <w:ilvl w:val="1"/>
          <w:numId w:val="42"/>
        </w:numPr>
        <w:ind w:left="1134" w:hanging="567"/>
      </w:pPr>
      <w:r w:rsidRPr="001F5798">
        <w:t xml:space="preserve">why it matters – the human and financial cost, productivity and </w:t>
      </w:r>
      <w:proofErr w:type="gramStart"/>
      <w:r w:rsidRPr="001F5798">
        <w:t>engagement</w:t>
      </w:r>
      <w:proofErr w:type="gramEnd"/>
    </w:p>
    <w:p w14:paraId="3DE17B62" w14:textId="77777777" w:rsidR="00B453F0" w:rsidRPr="001F5798" w:rsidRDefault="00B453F0" w:rsidP="00E2339F">
      <w:pPr>
        <w:pStyle w:val="Bullet2"/>
        <w:numPr>
          <w:ilvl w:val="1"/>
          <w:numId w:val="42"/>
        </w:numPr>
        <w:ind w:left="1134" w:hanging="567"/>
      </w:pPr>
      <w:r w:rsidRPr="001F5798">
        <w:t xml:space="preserve">the impact mental illness has in the workplace and the </w:t>
      </w:r>
      <w:proofErr w:type="gramStart"/>
      <w:r w:rsidRPr="001F5798">
        <w:t>community</w:t>
      </w:r>
      <w:proofErr w:type="gramEnd"/>
    </w:p>
    <w:p w14:paraId="0E47232A" w14:textId="77777777" w:rsidR="00B453F0" w:rsidRPr="001F5798" w:rsidRDefault="00B453F0" w:rsidP="00E2339F">
      <w:pPr>
        <w:pStyle w:val="Bullet2"/>
        <w:numPr>
          <w:ilvl w:val="1"/>
          <w:numId w:val="42"/>
        </w:numPr>
        <w:ind w:left="1134" w:hanging="567"/>
      </w:pPr>
      <w:r w:rsidRPr="001F5798">
        <w:t xml:space="preserve">your responsibilities to manage psychological </w:t>
      </w:r>
      <w:proofErr w:type="gramStart"/>
      <w:r w:rsidRPr="001F5798">
        <w:t>harm</w:t>
      </w:r>
      <w:proofErr w:type="gramEnd"/>
    </w:p>
    <w:p w14:paraId="5A1CBD73" w14:textId="77777777" w:rsidR="00B453F0" w:rsidRPr="001F5798" w:rsidRDefault="00B453F0" w:rsidP="00E2339F">
      <w:pPr>
        <w:pStyle w:val="Bullet2"/>
        <w:numPr>
          <w:ilvl w:val="1"/>
          <w:numId w:val="42"/>
        </w:numPr>
        <w:ind w:left="1134" w:hanging="567"/>
      </w:pPr>
      <w:r w:rsidRPr="001F5798">
        <w:t>the importance of promoting workplace mental health and wellbeing</w:t>
      </w:r>
    </w:p>
    <w:p w14:paraId="1B9CD1A7" w14:textId="77777777" w:rsidR="00B453F0" w:rsidRPr="001F5798" w:rsidRDefault="00B453F0" w:rsidP="00E2339F">
      <w:pPr>
        <w:pStyle w:val="Bullet2"/>
        <w:numPr>
          <w:ilvl w:val="1"/>
          <w:numId w:val="42"/>
        </w:numPr>
        <w:ind w:left="1134" w:hanging="567"/>
      </w:pPr>
      <w:r w:rsidRPr="001F5798">
        <w:t>the importance of senior leadership in creating a psychologically safe culture</w:t>
      </w:r>
    </w:p>
    <w:p w14:paraId="6A23A438" w14:textId="77777777" w:rsidR="00B453F0" w:rsidRPr="003D2787" w:rsidRDefault="00B453F0" w:rsidP="00E2339F">
      <w:pPr>
        <w:pStyle w:val="Bullet2"/>
        <w:numPr>
          <w:ilvl w:val="1"/>
          <w:numId w:val="42"/>
        </w:numPr>
        <w:ind w:left="1134" w:hanging="567"/>
      </w:pPr>
      <w:r w:rsidRPr="001F5798">
        <w:t xml:space="preserve">how to support employees – early intervention and support strategies; including how to support employees with recognised pre-existing mental health </w:t>
      </w:r>
      <w:proofErr w:type="gramStart"/>
      <w:r w:rsidRPr="001F5798">
        <w:t>conditions</w:t>
      </w:r>
      <w:proofErr w:type="gramEnd"/>
    </w:p>
    <w:p w14:paraId="745FED27" w14:textId="77777777" w:rsidR="00B453F0" w:rsidRPr="00ED4B86" w:rsidRDefault="00B453F0" w:rsidP="00B453F0">
      <w:pPr>
        <w:pStyle w:val="Heading3"/>
      </w:pPr>
      <w:bookmarkStart w:id="8" w:name="_Toc171947919"/>
      <w:r w:rsidRPr="00ED4B86">
        <w:t xml:space="preserve">Principle 4: Education and training offerings are embedded in, reference and / or integrate with other OHS and L&amp;D programs / offerings / support structures and </w:t>
      </w:r>
      <w:proofErr w:type="gramStart"/>
      <w:r w:rsidRPr="00ED4B86">
        <w:t>mechanisms</w:t>
      </w:r>
      <w:bookmarkEnd w:id="8"/>
      <w:proofErr w:type="gramEnd"/>
    </w:p>
    <w:p w14:paraId="1F19F831" w14:textId="77777777" w:rsidR="00B453F0" w:rsidRPr="00ED4B86" w:rsidRDefault="00B453F0" w:rsidP="00B453F0">
      <w:pPr>
        <w:pStyle w:val="Heading4"/>
      </w:pPr>
      <w:r w:rsidRPr="00ED4B86">
        <w:t>Description</w:t>
      </w:r>
    </w:p>
    <w:p w14:paraId="42532F91" w14:textId="77777777" w:rsidR="00B453F0" w:rsidRDefault="00B453F0" w:rsidP="00BE4B89">
      <w:pPr>
        <w:pStyle w:val="Body"/>
      </w:pPr>
      <w:r w:rsidRPr="001F5798">
        <w:t>Education and training offerings are integrated with existing programs / offerings / structures and mechanisms supporting mental and physical health in the workplace, and with learning and development programs.</w:t>
      </w:r>
    </w:p>
    <w:p w14:paraId="0C549742" w14:textId="77777777" w:rsidR="00B453F0" w:rsidRPr="00ED4B86" w:rsidRDefault="00B453F0" w:rsidP="00B453F0">
      <w:pPr>
        <w:pStyle w:val="Heading4"/>
      </w:pPr>
      <w:r w:rsidRPr="00ED4B86">
        <w:t>Elements</w:t>
      </w:r>
    </w:p>
    <w:p w14:paraId="243B80B1" w14:textId="2BBDE391" w:rsidR="00B453F0" w:rsidRPr="001F5798" w:rsidRDefault="00B453F0" w:rsidP="00BE4B89">
      <w:pPr>
        <w:pStyle w:val="NumberedList2"/>
        <w:numPr>
          <w:ilvl w:val="1"/>
          <w:numId w:val="43"/>
        </w:numPr>
        <w:ind w:left="567" w:hanging="567"/>
      </w:pPr>
      <w:r w:rsidRPr="001F5798">
        <w:t xml:space="preserve">Existing programs / offerings / structures and mechanisms supporting mental health in the workplace include: </w:t>
      </w:r>
    </w:p>
    <w:p w14:paraId="19C4C53E" w14:textId="77777777" w:rsidR="00B453F0" w:rsidRPr="001F5798" w:rsidRDefault="00B453F0" w:rsidP="00BE4B89">
      <w:pPr>
        <w:pStyle w:val="Bullet2"/>
        <w:numPr>
          <w:ilvl w:val="1"/>
          <w:numId w:val="44"/>
        </w:numPr>
        <w:ind w:left="1134" w:hanging="567"/>
      </w:pPr>
      <w:r w:rsidRPr="001F5798">
        <w:t>learning and development (L&amp;D) programs include programs about / related to:</w:t>
      </w:r>
    </w:p>
    <w:p w14:paraId="2CCFA52E" w14:textId="77777777" w:rsidR="00B453F0" w:rsidRPr="001F5798" w:rsidRDefault="00B453F0" w:rsidP="00BE4B89">
      <w:pPr>
        <w:pStyle w:val="Bullet2"/>
        <w:numPr>
          <w:ilvl w:val="2"/>
          <w:numId w:val="45"/>
        </w:numPr>
        <w:ind w:left="1701" w:hanging="567"/>
      </w:pPr>
      <w:r w:rsidRPr="001F5798">
        <w:t>leadership</w:t>
      </w:r>
    </w:p>
    <w:p w14:paraId="35009E64" w14:textId="77777777" w:rsidR="00B453F0" w:rsidRPr="001F5798" w:rsidRDefault="00B453F0" w:rsidP="00BE4B89">
      <w:pPr>
        <w:pStyle w:val="Bullet2"/>
        <w:numPr>
          <w:ilvl w:val="2"/>
          <w:numId w:val="45"/>
        </w:numPr>
        <w:ind w:left="1701" w:hanging="567"/>
      </w:pPr>
      <w:r w:rsidRPr="001F5798">
        <w:t>management / supervision / team leadership</w:t>
      </w:r>
    </w:p>
    <w:p w14:paraId="73C94382" w14:textId="77777777" w:rsidR="00B453F0" w:rsidRPr="001F5798" w:rsidRDefault="00B453F0" w:rsidP="00BE4B89">
      <w:pPr>
        <w:pStyle w:val="Bullet2"/>
        <w:numPr>
          <w:ilvl w:val="2"/>
          <w:numId w:val="45"/>
        </w:numPr>
        <w:ind w:left="1701" w:hanging="567"/>
      </w:pPr>
      <w:r w:rsidRPr="001F5798">
        <w:t xml:space="preserve">team and </w:t>
      </w:r>
      <w:proofErr w:type="spellStart"/>
      <w:r w:rsidRPr="001F5798">
        <w:t xml:space="preserve">self </w:t>
      </w:r>
      <w:proofErr w:type="gramStart"/>
      <w:r w:rsidRPr="001F5798">
        <w:t>development</w:t>
      </w:r>
      <w:proofErr w:type="spellEnd"/>
      <w:proofErr w:type="gramEnd"/>
    </w:p>
    <w:p w14:paraId="0B2FC29F" w14:textId="77777777" w:rsidR="00B453F0" w:rsidRPr="001F5798" w:rsidRDefault="00B453F0" w:rsidP="00BE4B89">
      <w:pPr>
        <w:pStyle w:val="Bullet2"/>
        <w:numPr>
          <w:ilvl w:val="2"/>
          <w:numId w:val="45"/>
        </w:numPr>
        <w:ind w:left="1701" w:hanging="567"/>
      </w:pPr>
      <w:r w:rsidRPr="001F5798">
        <w:t>appropriate workplace behaviours</w:t>
      </w:r>
    </w:p>
    <w:p w14:paraId="424A12EC" w14:textId="77777777" w:rsidR="00B453F0" w:rsidRPr="001F5798" w:rsidRDefault="00B453F0" w:rsidP="00BE4B89">
      <w:pPr>
        <w:pStyle w:val="Bullet2"/>
        <w:numPr>
          <w:ilvl w:val="1"/>
          <w:numId w:val="44"/>
        </w:numPr>
        <w:ind w:left="1134" w:hanging="567"/>
        <w:rPr>
          <w:i/>
        </w:rPr>
      </w:pPr>
      <w:r w:rsidRPr="001F5798">
        <w:t>People &amp; Culture staff with specific wellbeing-related responsibilities (e.g. health and safety staff, L&amp;D staff with this focus in their roles, employee relations staff with this focus in their roles, etc.), who have attended awareness programs on the Mental Health Charter and associated activities.</w:t>
      </w:r>
    </w:p>
    <w:p w14:paraId="2EC4B450" w14:textId="77777777" w:rsidR="00B453F0" w:rsidRPr="001F5798" w:rsidRDefault="00B453F0" w:rsidP="00BE4B89">
      <w:pPr>
        <w:pStyle w:val="Bullet2"/>
        <w:numPr>
          <w:ilvl w:val="1"/>
          <w:numId w:val="44"/>
        </w:numPr>
        <w:ind w:left="1134" w:hanging="567"/>
      </w:pPr>
      <w:r w:rsidRPr="001F5798">
        <w:t>Health and Safety Representatives (HSRs)</w:t>
      </w:r>
    </w:p>
    <w:p w14:paraId="4B462CF7" w14:textId="77777777" w:rsidR="00B453F0" w:rsidRPr="001F5798" w:rsidRDefault="00B453F0" w:rsidP="00BE4B89">
      <w:pPr>
        <w:pStyle w:val="Bullet2"/>
        <w:numPr>
          <w:ilvl w:val="1"/>
          <w:numId w:val="44"/>
        </w:numPr>
        <w:ind w:left="1134" w:hanging="567"/>
      </w:pPr>
      <w:r w:rsidRPr="001F5798">
        <w:t xml:space="preserve">Peer Support Program: a confidential service offered by volunteer staff, trained in Psychological / Mental Health First Aid principles to support staff. The program promotes positive mental health and wellbeing for work-related matters by providing local, trained and trusted peers (who are themselves supported) that can listen and link staff into professional </w:t>
      </w:r>
      <w:proofErr w:type="gramStart"/>
      <w:r w:rsidRPr="001F5798">
        <w:t>services</w:t>
      </w:r>
      <w:proofErr w:type="gramEnd"/>
    </w:p>
    <w:p w14:paraId="5E37D9A5" w14:textId="77777777" w:rsidR="00B453F0" w:rsidRPr="001F5798" w:rsidRDefault="00B453F0" w:rsidP="00BE4B89">
      <w:pPr>
        <w:pStyle w:val="Bullet2"/>
        <w:numPr>
          <w:ilvl w:val="1"/>
          <w:numId w:val="44"/>
        </w:numPr>
        <w:ind w:left="1134" w:hanging="567"/>
      </w:pPr>
      <w:r w:rsidRPr="001F5798">
        <w:t xml:space="preserve">Employee Assistance Program (EAP): a professional counselling service offering confidential, </w:t>
      </w:r>
      <w:proofErr w:type="gramStart"/>
      <w:r w:rsidRPr="001F5798">
        <w:t>short-term</w:t>
      </w:r>
      <w:proofErr w:type="gramEnd"/>
      <w:r w:rsidRPr="001F5798">
        <w:t xml:space="preserve"> and solution-focused support. The service is independent, </w:t>
      </w:r>
      <w:proofErr w:type="gramStart"/>
      <w:r w:rsidRPr="001F5798">
        <w:t>impartial</w:t>
      </w:r>
      <w:proofErr w:type="gramEnd"/>
      <w:r w:rsidRPr="001F5798">
        <w:t xml:space="preserve"> and confidential. EAP can be provided over the phone or in person off-site.</w:t>
      </w:r>
    </w:p>
    <w:p w14:paraId="1FA56795" w14:textId="77777777" w:rsidR="00B453F0" w:rsidRPr="00806E97" w:rsidRDefault="00B453F0" w:rsidP="00BE4B89">
      <w:pPr>
        <w:pStyle w:val="BodyIndent"/>
      </w:pPr>
      <w:r w:rsidRPr="00806E97">
        <w:t>(Additional to be added by departments/agencies relevant to own offerings.)</w:t>
      </w:r>
    </w:p>
    <w:p w14:paraId="27839466" w14:textId="77777777" w:rsidR="00B453F0" w:rsidRPr="00ED4B86" w:rsidRDefault="00B453F0" w:rsidP="00B453F0">
      <w:pPr>
        <w:pStyle w:val="Heading3"/>
      </w:pPr>
      <w:bookmarkStart w:id="9" w:name="_Toc171947920"/>
      <w:r w:rsidRPr="00ED4B86">
        <w:t xml:space="preserve">Principle 5: Education and training offerings are supplemented by mental health promotion activities and </w:t>
      </w:r>
      <w:proofErr w:type="gramStart"/>
      <w:r w:rsidRPr="00ED4B86">
        <w:t>events</w:t>
      </w:r>
      <w:bookmarkEnd w:id="9"/>
      <w:proofErr w:type="gramEnd"/>
    </w:p>
    <w:p w14:paraId="7DE0DBA7" w14:textId="77777777" w:rsidR="00B453F0" w:rsidRPr="00ED4B86" w:rsidRDefault="00B453F0" w:rsidP="00B453F0">
      <w:pPr>
        <w:pStyle w:val="Heading4"/>
      </w:pPr>
      <w:r w:rsidRPr="00ED4B86">
        <w:t>Description</w:t>
      </w:r>
    </w:p>
    <w:p w14:paraId="36578443" w14:textId="77777777" w:rsidR="00B453F0" w:rsidRDefault="00B453F0" w:rsidP="00BE4B89">
      <w:pPr>
        <w:pStyle w:val="Body"/>
      </w:pPr>
      <w:r w:rsidRPr="001F5798">
        <w:t>Education and training offerings are supplemented by mental health promotion events.</w:t>
      </w:r>
    </w:p>
    <w:p w14:paraId="5679DC13" w14:textId="77777777" w:rsidR="00B453F0" w:rsidRPr="00ED4B86" w:rsidRDefault="00B453F0" w:rsidP="00B453F0">
      <w:pPr>
        <w:pStyle w:val="Heading4"/>
      </w:pPr>
      <w:r w:rsidRPr="00ED4B86">
        <w:t>Elements</w:t>
      </w:r>
    </w:p>
    <w:p w14:paraId="1BFCA7A9" w14:textId="13632C15" w:rsidR="00B453F0" w:rsidRPr="001F5798" w:rsidRDefault="00B453F0" w:rsidP="00BE4B89">
      <w:pPr>
        <w:pStyle w:val="NumberedList2"/>
        <w:numPr>
          <w:ilvl w:val="1"/>
          <w:numId w:val="46"/>
        </w:numPr>
        <w:ind w:left="567" w:hanging="567"/>
      </w:pPr>
      <w:r w:rsidRPr="001F5798">
        <w:t>Hold a minimum of one health promotion event per year, such as</w:t>
      </w:r>
      <w:r w:rsidRPr="001F5798">
        <w:rPr>
          <w:b/>
        </w:rPr>
        <w:t>:</w:t>
      </w:r>
    </w:p>
    <w:p w14:paraId="46B8C14E" w14:textId="77777777" w:rsidR="00B453F0" w:rsidRPr="001F5798" w:rsidRDefault="00B453F0" w:rsidP="00BE4B89">
      <w:pPr>
        <w:pStyle w:val="BodyIndent"/>
      </w:pPr>
      <w:r w:rsidRPr="00BE4B89">
        <w:rPr>
          <w:rStyle w:val="Strong"/>
        </w:rPr>
        <w:t xml:space="preserve">Go Home </w:t>
      </w:r>
      <w:proofErr w:type="gramStart"/>
      <w:r w:rsidRPr="00BE4B89">
        <w:rPr>
          <w:rStyle w:val="Strong"/>
        </w:rPr>
        <w:t>On</w:t>
      </w:r>
      <w:proofErr w:type="gramEnd"/>
      <w:r w:rsidRPr="00BE4B89">
        <w:rPr>
          <w:rStyle w:val="Strong"/>
        </w:rPr>
        <w:t xml:space="preserve"> Time Day</w:t>
      </w:r>
      <w:r w:rsidRPr="001F5798">
        <w:t xml:space="preserve"> –awareness of work hours, overwork and work / life balance. </w:t>
      </w:r>
    </w:p>
    <w:p w14:paraId="38DCAF0B" w14:textId="77777777" w:rsidR="00B453F0" w:rsidRPr="001F5798" w:rsidRDefault="00B453F0" w:rsidP="00BE4B89">
      <w:pPr>
        <w:pStyle w:val="BodyIndent"/>
      </w:pPr>
      <w:r w:rsidRPr="00BE4B89">
        <w:rPr>
          <w:rStyle w:val="Strong"/>
        </w:rPr>
        <w:t>Mental Health Week</w:t>
      </w:r>
      <w:r w:rsidRPr="001F5798">
        <w:t xml:space="preserve"> – aims to activate, </w:t>
      </w:r>
      <w:proofErr w:type="gramStart"/>
      <w:r w:rsidRPr="001F5798">
        <w:t>educate</w:t>
      </w:r>
      <w:proofErr w:type="gramEnd"/>
      <w:r w:rsidRPr="001F5798">
        <w:t xml:space="preserve"> and engage Victorians about mental health through a week of interactive events across the state including an official launch, community festivals, art exhibitions, music, theatre and seminars. </w:t>
      </w:r>
    </w:p>
    <w:p w14:paraId="05340D72" w14:textId="77777777" w:rsidR="00B453F0" w:rsidRPr="001F5798" w:rsidRDefault="00B453F0" w:rsidP="00BE4B89">
      <w:pPr>
        <w:pStyle w:val="BodyIndent"/>
      </w:pPr>
      <w:r w:rsidRPr="00BE4B89">
        <w:rPr>
          <w:rStyle w:val="Strong"/>
        </w:rPr>
        <w:t>Men’s Health Week</w:t>
      </w:r>
      <w:r w:rsidRPr="001F5798">
        <w:t xml:space="preserve"> –platform for challenging and debating key issues in men’s health and to raise the profile of men, their health outcomes and health needs. Celebrate the strengths of men, the contributions they make and the role they play in society. </w:t>
      </w:r>
    </w:p>
    <w:p w14:paraId="38F476BA" w14:textId="77777777" w:rsidR="00B453F0" w:rsidRPr="001F5798" w:rsidRDefault="00B453F0" w:rsidP="00BE4B89">
      <w:pPr>
        <w:pStyle w:val="BodyIndent"/>
      </w:pPr>
      <w:proofErr w:type="spellStart"/>
      <w:r w:rsidRPr="00BE4B89">
        <w:rPr>
          <w:rStyle w:val="Strong"/>
        </w:rPr>
        <w:t>Movember</w:t>
      </w:r>
      <w:proofErr w:type="spellEnd"/>
      <w:r w:rsidRPr="001F5798">
        <w:t xml:space="preserve"> – focuses awareness on men’s health, in particular, prostate cancer, testicular cancer and mental health through various challenges and fundraising events. </w:t>
      </w:r>
    </w:p>
    <w:p w14:paraId="157B8CC6" w14:textId="77777777" w:rsidR="00B453F0" w:rsidRPr="001F5798" w:rsidRDefault="00B453F0" w:rsidP="00BE4B89">
      <w:pPr>
        <w:pStyle w:val="BodyIndent"/>
      </w:pPr>
      <w:r w:rsidRPr="00BE4B89">
        <w:rPr>
          <w:rStyle w:val="Strong"/>
        </w:rPr>
        <w:t xml:space="preserve">R </w:t>
      </w:r>
      <w:proofErr w:type="gramStart"/>
      <w:r w:rsidRPr="00BE4B89">
        <w:rPr>
          <w:rStyle w:val="Strong"/>
        </w:rPr>
        <w:t>U</w:t>
      </w:r>
      <w:proofErr w:type="gramEnd"/>
      <w:r w:rsidRPr="00BE4B89">
        <w:rPr>
          <w:rStyle w:val="Strong"/>
        </w:rPr>
        <w:t xml:space="preserve"> OK? Day</w:t>
      </w:r>
      <w:r w:rsidRPr="001F5798">
        <w:t xml:space="preserve"> – promotes suicide prevention and awareness that a small question can make a big difference to those people struggling with life. </w:t>
      </w:r>
    </w:p>
    <w:p w14:paraId="3FD43B2E" w14:textId="77777777" w:rsidR="00B453F0" w:rsidRPr="001F5798" w:rsidRDefault="00B453F0" w:rsidP="00BE4B89">
      <w:pPr>
        <w:pStyle w:val="BodyIndent"/>
      </w:pPr>
      <w:r w:rsidRPr="00BE4B89">
        <w:rPr>
          <w:rStyle w:val="Strong"/>
        </w:rPr>
        <w:t>Women’s Health Week</w:t>
      </w:r>
      <w:r w:rsidRPr="001F5798">
        <w:t xml:space="preserve"> – a week dedicated to all women across Australia to make good health a priority, through various events and activities around Australia. </w:t>
      </w:r>
    </w:p>
    <w:p w14:paraId="4BEF36D7" w14:textId="77777777" w:rsidR="00B453F0" w:rsidRPr="001F5798" w:rsidRDefault="00B453F0" w:rsidP="00BE4B89">
      <w:pPr>
        <w:pStyle w:val="BodyIndent"/>
      </w:pPr>
      <w:r w:rsidRPr="00BE4B89">
        <w:rPr>
          <w:rStyle w:val="Strong"/>
        </w:rPr>
        <w:t>World Health Day</w:t>
      </w:r>
      <w:r w:rsidRPr="001F5798">
        <w:t xml:space="preserve"> – each year a theme is selected that highlights a priority area of public health. The day provides an opportunity for individuals in every community to get involved in activities that can lead to better health. </w:t>
      </w:r>
    </w:p>
    <w:p w14:paraId="3317BBDC" w14:textId="77777777" w:rsidR="00B453F0" w:rsidRDefault="00B453F0" w:rsidP="00BE4B89">
      <w:pPr>
        <w:pStyle w:val="BodyIndent"/>
      </w:pPr>
      <w:r w:rsidRPr="00BE4B89">
        <w:rPr>
          <w:rStyle w:val="Strong"/>
        </w:rPr>
        <w:t>White Ribbon Day</w:t>
      </w:r>
      <w:r w:rsidRPr="001F5798">
        <w:t xml:space="preserve"> – world’s largest movement of men and boys working to end men’s violence against women and girls, promote gender equality, healthy </w:t>
      </w:r>
      <w:proofErr w:type="gramStart"/>
      <w:r w:rsidRPr="001F5798">
        <w:t>relationships</w:t>
      </w:r>
      <w:proofErr w:type="gramEnd"/>
      <w:r w:rsidRPr="001F5798">
        <w:t xml:space="preserve"> and a new vision of masculinity.</w:t>
      </w:r>
    </w:p>
    <w:p w14:paraId="308EB406" w14:textId="77777777" w:rsidR="00B453F0" w:rsidRPr="00B453F0" w:rsidRDefault="00B453F0" w:rsidP="00B453F0">
      <w:pPr>
        <w:pStyle w:val="Heading2"/>
      </w:pPr>
      <w:bookmarkStart w:id="10" w:name="_Toc171947921"/>
      <w:r w:rsidRPr="00B453F0">
        <w:t>3. Implementation plan</w:t>
      </w:r>
      <w:bookmarkEnd w:id="10"/>
    </w:p>
    <w:p w14:paraId="6D9D207F" w14:textId="77777777" w:rsidR="00B453F0" w:rsidRPr="00ED4B86" w:rsidRDefault="00B453F0" w:rsidP="00B453F0">
      <w:pPr>
        <w:pStyle w:val="Heading3"/>
      </w:pPr>
      <w:bookmarkStart w:id="11" w:name="_Toc171947922"/>
      <w:r w:rsidRPr="00ED4B86">
        <w:t>Introduction</w:t>
      </w:r>
      <w:bookmarkEnd w:id="11"/>
    </w:p>
    <w:p w14:paraId="3FF48B91" w14:textId="77777777" w:rsidR="00B453F0" w:rsidRPr="00BB085F" w:rsidRDefault="00B453F0" w:rsidP="00BE4B89">
      <w:pPr>
        <w:pStyle w:val="Body"/>
      </w:pPr>
      <w:r w:rsidRPr="00BB085F">
        <w:t>The Education and Training Working Group (E&amp;TWG</w:t>
      </w:r>
      <w:r>
        <w:t xml:space="preserve">) </w:t>
      </w:r>
      <w:r w:rsidRPr="00BB085F">
        <w:t xml:space="preserve">delivered the Education and Training Framework (ETF) that sets out the core elements of a training program aimed at all VPS staff, </w:t>
      </w:r>
      <w:proofErr w:type="gramStart"/>
      <w:r w:rsidRPr="00BB085F">
        <w:t>managers</w:t>
      </w:r>
      <w:proofErr w:type="gramEnd"/>
      <w:r w:rsidRPr="00BB085F">
        <w:t xml:space="preserve"> and executives. The Framework was the basis for further work to develop this implementation plan.</w:t>
      </w:r>
    </w:p>
    <w:p w14:paraId="239B1504" w14:textId="77777777" w:rsidR="00B453F0" w:rsidRPr="00BB085F" w:rsidRDefault="00B453F0" w:rsidP="00BE4B89">
      <w:pPr>
        <w:pStyle w:val="Body"/>
      </w:pPr>
      <w:r w:rsidRPr="00BB085F">
        <w:t>This implementation plan sets out the agreed approach to Mental Health and Wellbeing (MHW) Education and Training (E&amp;T) in the VPS.</w:t>
      </w:r>
    </w:p>
    <w:p w14:paraId="0F81FE0B" w14:textId="77777777" w:rsidR="00B453F0" w:rsidRPr="00BE4B89" w:rsidRDefault="00B453F0" w:rsidP="00BE4B89">
      <w:pPr>
        <w:pStyle w:val="Heading3"/>
      </w:pPr>
      <w:bookmarkStart w:id="12" w:name="_Toc171947923"/>
      <w:r w:rsidRPr="00BE4B89">
        <w:t>Approach</w:t>
      </w:r>
      <w:bookmarkEnd w:id="12"/>
    </w:p>
    <w:p w14:paraId="08FB9955" w14:textId="77777777" w:rsidR="00B453F0" w:rsidRDefault="00B453F0" w:rsidP="00BE4B89">
      <w:pPr>
        <w:pStyle w:val="Body"/>
      </w:pPr>
      <w:r w:rsidRPr="00BB085F">
        <w:t>The agreed approach to MHW E&amp;T in the VPS is flexible and able to meet the specific needs of departments and agencies, and of different workplace types within departments and agencies, while including a VPS-spe</w:t>
      </w:r>
      <w:r>
        <w:t>cific tailored MHW E&amp;T package.</w:t>
      </w:r>
      <w:r w:rsidRPr="00BB085F">
        <w:t xml:space="preserve"> The approach recognises the significant E&amp;T effort underway in many departments and </w:t>
      </w:r>
      <w:proofErr w:type="gramStart"/>
      <w:r w:rsidRPr="00BB085F">
        <w:t>agencies, and</w:t>
      </w:r>
      <w:proofErr w:type="gramEnd"/>
      <w:r w:rsidRPr="00BB085F">
        <w:t xml:space="preserve"> incorporates and builds on that effort </w:t>
      </w:r>
      <w:r>
        <w:t>to meet the commitments in the c</w:t>
      </w:r>
      <w:r w:rsidRPr="00BB085F">
        <w:t>harter.</w:t>
      </w:r>
    </w:p>
    <w:p w14:paraId="3736013C" w14:textId="77777777" w:rsidR="00B453F0" w:rsidRPr="00BB085F" w:rsidRDefault="00B453F0" w:rsidP="00BE4B89">
      <w:pPr>
        <w:pStyle w:val="Body"/>
      </w:pPr>
      <w:r w:rsidRPr="00BB085F">
        <w:t>Departments and agencies will:</w:t>
      </w:r>
    </w:p>
    <w:p w14:paraId="2DDA2CD8" w14:textId="77777777" w:rsidR="00B453F0" w:rsidRPr="00BB085F" w:rsidRDefault="00B453F0" w:rsidP="00BE4B89">
      <w:pPr>
        <w:pStyle w:val="Bullet1"/>
      </w:pPr>
      <w:r w:rsidRPr="00BB085F">
        <w:t>utilise the Principles for Mental Health and Wellbeing Education and Training in the</w:t>
      </w:r>
      <w:r>
        <w:t xml:space="preserve"> Victorian Public Service (the p</w:t>
      </w:r>
      <w:r w:rsidRPr="00BB085F">
        <w:t xml:space="preserve">rinciples) to guide the delivery of MHW E&amp;T </w:t>
      </w:r>
      <w:proofErr w:type="gramStart"/>
      <w:r w:rsidRPr="00BB085F">
        <w:t>programs</w:t>
      </w:r>
      <w:proofErr w:type="gramEnd"/>
      <w:r w:rsidRPr="00BB085F">
        <w:t xml:space="preserve"> </w:t>
      </w:r>
    </w:p>
    <w:p w14:paraId="25F73057" w14:textId="77777777" w:rsidR="00B453F0" w:rsidRPr="00BB085F" w:rsidRDefault="00B453F0" w:rsidP="00BE4B89">
      <w:pPr>
        <w:pStyle w:val="Bullet1"/>
      </w:pPr>
      <w:r w:rsidRPr="00BB085F">
        <w:t>self-assess their MHW E&amp;T off</w:t>
      </w:r>
      <w:r>
        <w:t xml:space="preserve">erings against the </w:t>
      </w:r>
      <w:proofErr w:type="gramStart"/>
      <w:r>
        <w:t>Principles</w:t>
      </w:r>
      <w:proofErr w:type="gramEnd"/>
      <w:r>
        <w:t xml:space="preserve">; </w:t>
      </w:r>
      <w:r w:rsidRPr="00BB085F">
        <w:t>and</w:t>
      </w:r>
    </w:p>
    <w:p w14:paraId="1706333A" w14:textId="77777777" w:rsidR="00B453F0" w:rsidRDefault="00B453F0" w:rsidP="00BE4B89">
      <w:pPr>
        <w:pStyle w:val="Bullet1"/>
      </w:pPr>
      <w:r w:rsidRPr="00BB085F">
        <w:t>identify levels of compliance w</w:t>
      </w:r>
      <w:r>
        <w:t>ith the p</w:t>
      </w:r>
      <w:r w:rsidRPr="00BB085F">
        <w:t>rinciples, and any gaps in current offerings where revised, updated, additional or new MHW E&amp;T offerings need to be put in place</w:t>
      </w:r>
      <w:r>
        <w:t xml:space="preserve"> to ensure compliance with the p</w:t>
      </w:r>
      <w:r w:rsidRPr="00BB085F">
        <w:t>rinciples.</w:t>
      </w:r>
    </w:p>
    <w:p w14:paraId="63E805B2" w14:textId="77777777" w:rsidR="00B453F0" w:rsidRPr="00BB085F" w:rsidRDefault="00B453F0" w:rsidP="00BE4B89">
      <w:pPr>
        <w:pStyle w:val="Body"/>
      </w:pPr>
      <w:r w:rsidRPr="00BB085F">
        <w:t xml:space="preserve">Where departments and agencies assess their MHW E&amp;T offerings comply with the </w:t>
      </w:r>
      <w:r>
        <w:t>p</w:t>
      </w:r>
      <w:r w:rsidRPr="00BB085F">
        <w:t>rinciples:</w:t>
      </w:r>
    </w:p>
    <w:p w14:paraId="572F5E65" w14:textId="77777777" w:rsidR="00B453F0" w:rsidRPr="00BB085F" w:rsidRDefault="00B453F0" w:rsidP="00BE4B89">
      <w:pPr>
        <w:pStyle w:val="Bullet1"/>
      </w:pPr>
      <w:r w:rsidRPr="00BB085F">
        <w:t>those programs continue to be offered, subject to con</w:t>
      </w:r>
      <w:r>
        <w:t xml:space="preserve">tinuous improvement processes; </w:t>
      </w:r>
      <w:r w:rsidRPr="00BB085F">
        <w:t>and</w:t>
      </w:r>
    </w:p>
    <w:p w14:paraId="4F4535A3" w14:textId="77777777" w:rsidR="00B453F0" w:rsidRDefault="00B453F0" w:rsidP="00BE4B89">
      <w:pPr>
        <w:pStyle w:val="Bullet1"/>
      </w:pPr>
      <w:r w:rsidRPr="00BB085F">
        <w:t>attendance is reported against the departmental targets.</w:t>
      </w:r>
    </w:p>
    <w:p w14:paraId="2D278C1A" w14:textId="77777777" w:rsidR="00B453F0" w:rsidRPr="00BB085F" w:rsidRDefault="00B453F0" w:rsidP="00BE4B89">
      <w:pPr>
        <w:pStyle w:val="Body"/>
      </w:pPr>
      <w:r w:rsidRPr="00BB085F">
        <w:t>Where departments and agencies identify gaps in their MHW E&amp;T offerings, they may augment their offerings by one or more of the following actions:</w:t>
      </w:r>
    </w:p>
    <w:p w14:paraId="61368BC6" w14:textId="77777777" w:rsidR="00B453F0" w:rsidRPr="00BB085F" w:rsidRDefault="00B453F0" w:rsidP="00BE4B89">
      <w:pPr>
        <w:pStyle w:val="Bullet1"/>
      </w:pPr>
      <w:r w:rsidRPr="00BB085F">
        <w:t xml:space="preserve">revise, extend or update existing </w:t>
      </w:r>
      <w:proofErr w:type="gramStart"/>
      <w:r w:rsidRPr="00BB085F">
        <w:t>offerings;</w:t>
      </w:r>
      <w:proofErr w:type="gramEnd"/>
    </w:p>
    <w:p w14:paraId="049D0BF7" w14:textId="77777777" w:rsidR="00B453F0" w:rsidRPr="00BB085F" w:rsidRDefault="00B453F0" w:rsidP="00BE4B89">
      <w:pPr>
        <w:pStyle w:val="Bullet1"/>
      </w:pPr>
      <w:r w:rsidRPr="00BB085F">
        <w:t>utilise existing available offerings (free or fee for</w:t>
      </w:r>
      <w:r>
        <w:t xml:space="preserve"> service) that comply with the </w:t>
      </w:r>
      <w:proofErr w:type="gramStart"/>
      <w:r>
        <w:t>principles;</w:t>
      </w:r>
      <w:proofErr w:type="gramEnd"/>
      <w:r>
        <w:t xml:space="preserve"> </w:t>
      </w:r>
    </w:p>
    <w:p w14:paraId="17E0BED3" w14:textId="77777777" w:rsidR="00B453F0" w:rsidRPr="00BB085F" w:rsidRDefault="00B453F0" w:rsidP="00BE4B89">
      <w:pPr>
        <w:pStyle w:val="Bullet1"/>
      </w:pPr>
      <w:r w:rsidRPr="00BB085F">
        <w:t>seek to share / participate in compliant offerings delivered by</w:t>
      </w:r>
      <w:r>
        <w:t xml:space="preserve"> another department or agency; </w:t>
      </w:r>
      <w:r w:rsidRPr="00BB085F">
        <w:t>and</w:t>
      </w:r>
      <w:r>
        <w:t xml:space="preserve"> </w:t>
      </w:r>
      <w:r w:rsidRPr="00BB085F">
        <w:t>/</w:t>
      </w:r>
      <w:r>
        <w:t xml:space="preserve"> </w:t>
      </w:r>
      <w:r w:rsidRPr="00BB085F">
        <w:t>or</w:t>
      </w:r>
    </w:p>
    <w:p w14:paraId="2405720E" w14:textId="77777777" w:rsidR="00B453F0" w:rsidRDefault="00B453F0" w:rsidP="00BE4B89">
      <w:pPr>
        <w:pStyle w:val="Bullet1"/>
      </w:pPr>
      <w:r w:rsidRPr="00BB085F">
        <w:t>when available – utilise a VPS-specific tailored MHW E&amp;T package, delivered by either in</w:t>
      </w:r>
      <w:r>
        <w:t>ternal or contracted resources.</w:t>
      </w:r>
    </w:p>
    <w:p w14:paraId="7FF54EE9" w14:textId="77777777" w:rsidR="00B453F0" w:rsidRPr="00BB085F" w:rsidRDefault="00B453F0" w:rsidP="00BE4B89">
      <w:pPr>
        <w:pStyle w:val="Body"/>
      </w:pPr>
      <w:r w:rsidRPr="00BB085F">
        <w:t xml:space="preserve">A VPS-specific tailored MHW E&amp;T </w:t>
      </w:r>
      <w:r>
        <w:t>package that complies with the p</w:t>
      </w:r>
      <w:r w:rsidRPr="00BB085F">
        <w:t>rinciples (including being auditable by a central independent body) will be developed under the directi</w:t>
      </w:r>
      <w:r>
        <w:t xml:space="preserve">on of a Project Control Board. </w:t>
      </w:r>
      <w:r w:rsidRPr="00BB085F">
        <w:t>The package will address the executiv</w:t>
      </w:r>
      <w:r>
        <w:t xml:space="preserve">e level as the </w:t>
      </w:r>
      <w:proofErr w:type="gramStart"/>
      <w:r>
        <w:t>first priority</w:t>
      </w:r>
      <w:proofErr w:type="gramEnd"/>
      <w:r>
        <w:t xml:space="preserve">. </w:t>
      </w:r>
      <w:r w:rsidRPr="00BB085F">
        <w:t>The package will include as a minimum:</w:t>
      </w:r>
    </w:p>
    <w:p w14:paraId="00E139F5" w14:textId="77777777" w:rsidR="00B453F0" w:rsidRPr="00BB085F" w:rsidRDefault="00B453F0" w:rsidP="00BE4B89">
      <w:pPr>
        <w:pStyle w:val="Bullet1"/>
      </w:pPr>
      <w:r w:rsidRPr="00BB085F">
        <w:t>detailed session plans</w:t>
      </w:r>
    </w:p>
    <w:p w14:paraId="5B79227A" w14:textId="77777777" w:rsidR="00B453F0" w:rsidRPr="00BB085F" w:rsidRDefault="00B453F0" w:rsidP="00BE4B89">
      <w:pPr>
        <w:pStyle w:val="Bullet1"/>
      </w:pPr>
      <w:r w:rsidRPr="00BB085F">
        <w:t>presentation materials (slides etc.)</w:t>
      </w:r>
    </w:p>
    <w:p w14:paraId="512C7E2F" w14:textId="77777777" w:rsidR="00B453F0" w:rsidRPr="00BB085F" w:rsidRDefault="00B453F0" w:rsidP="00BE4B89">
      <w:pPr>
        <w:pStyle w:val="Bullet1"/>
      </w:pPr>
      <w:r w:rsidRPr="00BB085F">
        <w:t>supporting materials (handouts, notes, etc.)</w:t>
      </w:r>
    </w:p>
    <w:p w14:paraId="32F1AA8A" w14:textId="77777777" w:rsidR="00B453F0" w:rsidRPr="00BB085F" w:rsidRDefault="00B453F0" w:rsidP="00BE4B89">
      <w:pPr>
        <w:pStyle w:val="Bullet1"/>
      </w:pPr>
      <w:r w:rsidRPr="00BB085F">
        <w:t>delivery mode flexibility (face to face, blended, etc.)</w:t>
      </w:r>
    </w:p>
    <w:p w14:paraId="7C284553" w14:textId="77777777" w:rsidR="00B453F0" w:rsidRPr="00BB085F" w:rsidRDefault="00B453F0" w:rsidP="00BE4B89">
      <w:pPr>
        <w:pStyle w:val="Bullet1"/>
      </w:pPr>
      <w:r w:rsidRPr="00BB085F">
        <w:t xml:space="preserve">defined learning </w:t>
      </w:r>
      <w:r w:rsidRPr="00D948B8">
        <w:t>outcomes</w:t>
      </w:r>
      <w:r w:rsidRPr="00BB085F">
        <w:t xml:space="preserve"> based on the </w:t>
      </w:r>
      <w:proofErr w:type="gramStart"/>
      <w:r>
        <w:t>p</w:t>
      </w:r>
      <w:r w:rsidRPr="00BB085F">
        <w:t>rinciples</w:t>
      </w:r>
      <w:proofErr w:type="gramEnd"/>
    </w:p>
    <w:p w14:paraId="2FF86F26" w14:textId="77777777" w:rsidR="00B453F0" w:rsidRPr="00BB085F" w:rsidRDefault="00B453F0" w:rsidP="00BE4B89">
      <w:pPr>
        <w:pStyle w:val="Bullet1"/>
      </w:pPr>
      <w:r w:rsidRPr="00BB085F">
        <w:t>feedback sheets / response forms etc.</w:t>
      </w:r>
    </w:p>
    <w:p w14:paraId="68CCD128" w14:textId="77777777" w:rsidR="00B453F0" w:rsidRPr="00BB085F" w:rsidRDefault="00B453F0" w:rsidP="00BE4B89">
      <w:pPr>
        <w:pStyle w:val="Body"/>
      </w:pPr>
      <w:r w:rsidRPr="00BB085F">
        <w:t>The package will be owned by the Victorian Government and enable departments and agencies to use the training materials for delivery internally or sourced through an external provider.</w:t>
      </w:r>
    </w:p>
    <w:p w14:paraId="1480C8E5" w14:textId="77777777" w:rsidR="00B453F0" w:rsidRPr="00ED4B86" w:rsidRDefault="00B453F0" w:rsidP="00B453F0">
      <w:pPr>
        <w:pStyle w:val="Heading3"/>
      </w:pPr>
      <w:bookmarkStart w:id="13" w:name="_Toc171947924"/>
      <w:r w:rsidRPr="00ED4B86">
        <w:t>Accountabilities</w:t>
      </w:r>
      <w:bookmarkEnd w:id="13"/>
    </w:p>
    <w:p w14:paraId="2BA7B91B" w14:textId="77777777" w:rsidR="00B453F0" w:rsidRDefault="00B453F0" w:rsidP="00BE4B89">
      <w:pPr>
        <w:pStyle w:val="Body"/>
      </w:pPr>
      <w:r w:rsidRPr="00D40007">
        <w:t>The agreed app</w:t>
      </w:r>
      <w:r>
        <w:t xml:space="preserve">roach acknowledges the overall </w:t>
      </w:r>
      <w:r w:rsidRPr="00D40007">
        <w:t>responsibility of each Secretary (and equivalent)</w:t>
      </w:r>
      <w:r>
        <w:t xml:space="preserve"> for the implementation of the c</w:t>
      </w:r>
      <w:r w:rsidRPr="00D40007">
        <w:t>harter, including the implementation of compliant E&amp;T, within their respec</w:t>
      </w:r>
      <w:r>
        <w:t xml:space="preserve">tive departments and agencies. </w:t>
      </w:r>
      <w:r w:rsidRPr="00D40007">
        <w:t xml:space="preserve">Secretaries will ensure that clear responsibilities and accountability for compliance, delivery, </w:t>
      </w:r>
      <w:proofErr w:type="gramStart"/>
      <w:r w:rsidRPr="00D40007">
        <w:t>reporting</w:t>
      </w:r>
      <w:proofErr w:type="gramEnd"/>
      <w:r w:rsidRPr="00D40007">
        <w:t xml:space="preserve"> and continuo</w:t>
      </w:r>
      <w:r>
        <w:t xml:space="preserve">us improvement are identified. </w:t>
      </w:r>
      <w:r w:rsidRPr="00D40007">
        <w:t xml:space="preserve">The </w:t>
      </w:r>
      <w:r>
        <w:t>p</w:t>
      </w:r>
      <w:r w:rsidRPr="00D40007">
        <w:t>rinciples (see Principle 2.7) envisage specific responsibility for E&amp;T to lodge with the relevant departmental committee (e.g. OHS, L&amp;D).</w:t>
      </w:r>
    </w:p>
    <w:sectPr w:rsidR="00B453F0" w:rsidSect="00B453F0">
      <w:headerReference w:type="default" r:id="rId18"/>
      <w:footerReference w:type="default" r:id="rId19"/>
      <w:footerReference w:type="first" r:id="rId20"/>
      <w:type w:val="continuous"/>
      <w:pgSz w:w="11906" w:h="16838" w:code="9"/>
      <w:pgMar w:top="2268"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97134" w14:textId="77777777" w:rsidR="0016176D" w:rsidRPr="00973F22" w:rsidRDefault="0016176D" w:rsidP="00973F22">
      <w:r>
        <w:separator/>
      </w:r>
    </w:p>
    <w:p w14:paraId="7F08A7B0" w14:textId="77777777" w:rsidR="0016176D" w:rsidRDefault="0016176D"/>
  </w:endnote>
  <w:endnote w:type="continuationSeparator" w:id="0">
    <w:p w14:paraId="094086A4" w14:textId="77777777" w:rsidR="0016176D" w:rsidRPr="00973F22" w:rsidRDefault="0016176D" w:rsidP="00973F22">
      <w:r>
        <w:continuationSeparator/>
      </w:r>
    </w:p>
    <w:p w14:paraId="0B79FA3A" w14:textId="77777777" w:rsidR="0016176D" w:rsidRDefault="0016176D"/>
  </w:endnote>
  <w:endnote w:type="continuationNotice" w:id="1">
    <w:p w14:paraId="36EDD553" w14:textId="77777777" w:rsidR="0016176D" w:rsidRDefault="0016176D" w:rsidP="00973F22"/>
    <w:p w14:paraId="5D1D92DD" w14:textId="77777777" w:rsidR="0016176D" w:rsidRDefault="00161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F1D86" w14:textId="72628B34" w:rsidR="000C630F" w:rsidRPr="006954C8" w:rsidRDefault="006838F7" w:rsidP="000C630F">
    <w:pPr>
      <w:pStyle w:val="Footer"/>
      <w:tabs>
        <w:tab w:val="clear" w:pos="4513"/>
        <w:tab w:val="left" w:pos="0"/>
      </w:tabs>
      <w:jc w:val="right"/>
    </w:pPr>
    <w:r w:rsidRPr="006954C8">
      <w:rPr>
        <w:noProof/>
      </w:rPr>
      <mc:AlternateContent>
        <mc:Choice Requires="wps">
          <w:drawing>
            <wp:anchor distT="0" distB="0" distL="114300" distR="114300" simplePos="0" relativeHeight="251885568" behindDoc="0" locked="0" layoutInCell="0" allowOverlap="1" wp14:anchorId="051FF312" wp14:editId="35BCA3BA">
              <wp:simplePos x="0" y="0"/>
              <wp:positionH relativeFrom="page">
                <wp:align>left</wp:align>
              </wp:positionH>
              <wp:positionV relativeFrom="page">
                <wp:align>bottom</wp:align>
              </wp:positionV>
              <wp:extent cx="7772400" cy="463550"/>
              <wp:effectExtent l="0" t="0" r="0" b="12700"/>
              <wp:wrapNone/>
              <wp:docPr id="13" name="MSIPCM0d18450c9fa936d56b592452"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4EFC0C" w14:textId="77777777" w:rsidR="006838F7" w:rsidRPr="00E5129E" w:rsidRDefault="00E5129E" w:rsidP="00E5129E">
                          <w:pPr>
                            <w:spacing w:after="0"/>
                            <w:rPr>
                              <w:rFonts w:ascii="Calibri" w:hAnsi="Calibri" w:cs="Calibri"/>
                              <w:color w:val="000000"/>
                            </w:rPr>
                          </w:pPr>
                          <w:r w:rsidRPr="00E5129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51FF312" id="_x0000_t202" coordsize="21600,21600" o:spt="202" path="m,l,21600r21600,l21600,xe">
              <v:stroke joinstyle="miter"/>
              <v:path gradientshapeok="t" o:connecttype="rect"/>
            </v:shapetype>
            <v:shape id="MSIPCM0d18450c9fa936d56b592452" o:spid="_x0000_s1026" type="#_x0000_t202" alt="{&quot;HashCode&quot;:-1267603503,&quot;Height&quot;:9999999.0,&quot;Width&quot;:9999999.0,&quot;Placement&quot;:&quot;Footer&quot;,&quot;Index&quot;:&quot;Primary&quot;,&quot;Section&quot;:3,&quot;Top&quot;:0.0,&quot;Left&quot;:0.0}" style="position:absolute;left:0;text-align:left;margin-left:0;margin-top:0;width:612pt;height:36.5pt;z-index:25188556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304EFC0C" w14:textId="77777777" w:rsidR="006838F7" w:rsidRPr="00E5129E" w:rsidRDefault="00E5129E" w:rsidP="00E5129E">
                    <w:pPr>
                      <w:spacing w:after="0"/>
                      <w:rPr>
                        <w:rFonts w:ascii="Calibri" w:hAnsi="Calibri" w:cs="Calibri"/>
                        <w:color w:val="000000"/>
                      </w:rPr>
                    </w:pPr>
                    <w:r w:rsidRPr="00E5129E">
                      <w:rPr>
                        <w:rFonts w:ascii="Calibri" w:hAnsi="Calibri" w:cs="Calibri"/>
                        <w:color w:val="000000"/>
                      </w:rPr>
                      <w:t>OFFICIAL</w:t>
                    </w:r>
                  </w:p>
                </w:txbxContent>
              </v:textbox>
              <w10:wrap anchorx="page" anchory="page"/>
            </v:shape>
          </w:pict>
        </mc:Fallback>
      </mc:AlternateContent>
    </w:r>
    <w:r w:rsidR="00B37DA5">
      <w:t xml:space="preserve">Page </w:t>
    </w:r>
    <w:sdt>
      <w:sdtPr>
        <w:id w:val="1072784263"/>
        <w:docPartObj>
          <w:docPartGallery w:val="Page Numbers (Bottom of Page)"/>
          <w:docPartUnique/>
        </w:docPartObj>
      </w:sdtPr>
      <w:sdtContent>
        <w:r w:rsidR="000C630F" w:rsidRPr="006954C8">
          <w:fldChar w:fldCharType="begin"/>
        </w:r>
        <w:r w:rsidR="000C630F" w:rsidRPr="006954C8">
          <w:instrText xml:space="preserve"> PAGE   \* MERGEFORMAT </w:instrText>
        </w:r>
        <w:r w:rsidR="000C630F" w:rsidRPr="006954C8">
          <w:fldChar w:fldCharType="separate"/>
        </w:r>
        <w:r w:rsidR="000C630F" w:rsidRPr="006954C8">
          <w:t>3</w:t>
        </w:r>
        <w:r w:rsidR="000C630F" w:rsidRPr="006954C8">
          <w:fldChar w:fldCharType="end"/>
        </w:r>
      </w:sdtContent>
    </w:sdt>
    <w:r w:rsidR="000C630F" w:rsidRPr="006954C8">
      <w:tab/>
    </w:r>
    <w:r w:rsidR="000C630F" w:rsidRPr="006954C8">
      <w:rPr>
        <w:noProof/>
      </w:rPr>
      <w:drawing>
        <wp:inline distT="0" distB="0" distL="0" distR="0" wp14:anchorId="20E1D42A" wp14:editId="12950E93">
          <wp:extent cx="943666" cy="540000"/>
          <wp:effectExtent l="0" t="0" r="8890" b="0"/>
          <wp:docPr id="21" name="Picture 2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88AEE" w14:textId="77777777" w:rsidR="00744F00" w:rsidRPr="00973F22" w:rsidRDefault="00744F00" w:rsidP="00744F00">
    <w:pPr>
      <w:pStyle w:val="Footer"/>
      <w:tabs>
        <w:tab w:val="clear" w:pos="4513"/>
        <w:tab w:val="left" w:pos="0"/>
      </w:tabs>
      <w:jc w:val="right"/>
    </w:pPr>
    <w:r>
      <w:rPr>
        <w:noProof/>
      </w:rPr>
      <mc:AlternateContent>
        <mc:Choice Requires="wps">
          <w:drawing>
            <wp:anchor distT="0" distB="0" distL="114300" distR="114300" simplePos="0" relativeHeight="251887616" behindDoc="0" locked="0" layoutInCell="0" allowOverlap="1" wp14:anchorId="1F86CB64" wp14:editId="113589A2">
              <wp:simplePos x="0" y="0"/>
              <wp:positionH relativeFrom="page">
                <wp:align>left</wp:align>
              </wp:positionH>
              <wp:positionV relativeFrom="page">
                <wp:align>bottom</wp:align>
              </wp:positionV>
              <wp:extent cx="7772400" cy="463550"/>
              <wp:effectExtent l="0" t="0" r="0" b="12700"/>
              <wp:wrapNone/>
              <wp:docPr id="2" name="MSIPCM31ff4ac7a65883345e6a2fd9" descr="{&quot;HashCode&quot;:-126760350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8F39E4" w14:textId="77777777" w:rsidR="00744F00" w:rsidRPr="00E5129E" w:rsidRDefault="00744F00" w:rsidP="00744F00">
                          <w:pPr>
                            <w:spacing w:after="0"/>
                            <w:rPr>
                              <w:rFonts w:ascii="Calibri" w:hAnsi="Calibri" w:cs="Calibri"/>
                              <w:color w:val="000000"/>
                            </w:rPr>
                          </w:pPr>
                          <w:r w:rsidRPr="00E5129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F86CB64" id="_x0000_t202" coordsize="21600,21600" o:spt="202" path="m,l,21600r21600,l21600,xe">
              <v:stroke joinstyle="miter"/>
              <v:path gradientshapeok="t" o:connecttype="rect"/>
            </v:shapetype>
            <v:shape id="MSIPCM31ff4ac7a65883345e6a2fd9" o:spid="_x0000_s1027" type="#_x0000_t202" alt="{&quot;HashCode&quot;:-1267603503,&quot;Height&quot;:9999999.0,&quot;Width&quot;:9999999.0,&quot;Placement&quot;:&quot;Footer&quot;,&quot;Index&quot;:&quot;FirstPage&quot;,&quot;Section&quot;:1,&quot;Top&quot;:0.0,&quot;Left&quot;:0.0}" style="position:absolute;left:0;text-align:left;margin-left:0;margin-top:0;width:612pt;height:36.5pt;z-index:25188761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7F8F39E4" w14:textId="77777777" w:rsidR="00744F00" w:rsidRPr="00E5129E" w:rsidRDefault="00744F00" w:rsidP="00744F00">
                    <w:pPr>
                      <w:spacing w:after="0"/>
                      <w:rPr>
                        <w:rFonts w:ascii="Calibri" w:hAnsi="Calibri" w:cs="Calibri"/>
                        <w:color w:val="000000"/>
                      </w:rPr>
                    </w:pPr>
                    <w:r w:rsidRPr="00E5129E">
                      <w:rPr>
                        <w:rFonts w:ascii="Calibri" w:hAnsi="Calibri" w:cs="Calibri"/>
                        <w:color w:val="000000"/>
                      </w:rPr>
                      <w:t>OFFICIAL</w:t>
                    </w:r>
                  </w:p>
                </w:txbxContent>
              </v:textbox>
              <w10:wrap anchorx="page" anchory="page"/>
            </v:shape>
          </w:pict>
        </mc:Fallback>
      </mc:AlternateContent>
    </w:r>
    <w:r w:rsidRPr="00973F22">
      <w:rPr>
        <w:noProof/>
      </w:rPr>
      <w:drawing>
        <wp:inline distT="0" distB="0" distL="0" distR="0" wp14:anchorId="4DEDB835" wp14:editId="33C0B779">
          <wp:extent cx="1538037" cy="540000"/>
          <wp:effectExtent l="0" t="0" r="5080" b="0"/>
          <wp:docPr id="9" name="Picture 9"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7" cy="540000"/>
                  </a:xfrm>
                  <a:prstGeom prst="rect">
                    <a:avLst/>
                  </a:prstGeom>
                </pic:spPr>
              </pic:pic>
            </a:graphicData>
          </a:graphic>
        </wp:inline>
      </w:drawing>
    </w:r>
    <w:r w:rsidRPr="00973F22">
      <w:t xml:space="preserve">          </w:t>
    </w:r>
    <w:r w:rsidRPr="00973F22">
      <w:rPr>
        <w:noProof/>
      </w:rPr>
      <w:drawing>
        <wp:inline distT="0" distB="0" distL="0" distR="0" wp14:anchorId="034B7E38" wp14:editId="0235D4FB">
          <wp:extent cx="943667" cy="540000"/>
          <wp:effectExtent l="0" t="0" r="8890" b="0"/>
          <wp:docPr id="10" name="Picture 10"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ictoria-State-Government-logo-black.png"/>
                  <pic:cNvPicPr/>
                </pic:nvPicPr>
                <pic:blipFill>
                  <a:blip r:embed="rId2">
                    <a:extLst>
                      <a:ext uri="{28A0092B-C50C-407E-A947-70E740481C1C}">
                        <a14:useLocalDpi xmlns:a14="http://schemas.microsoft.com/office/drawing/2010/main" val="0"/>
                      </a:ext>
                    </a:extLst>
                  </a:blip>
                  <a:stretch>
                    <a:fillRect/>
                  </a:stretch>
                </pic:blipFill>
                <pic:spPr>
                  <a:xfrm>
                    <a:off x="0" y="0"/>
                    <a:ext cx="943667"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3019A" w14:textId="77777777" w:rsidR="0016176D" w:rsidRPr="00973F22" w:rsidRDefault="0016176D" w:rsidP="00973F22">
      <w:r>
        <w:separator/>
      </w:r>
    </w:p>
    <w:p w14:paraId="052152CE" w14:textId="77777777" w:rsidR="0016176D" w:rsidRDefault="0016176D"/>
  </w:footnote>
  <w:footnote w:type="continuationSeparator" w:id="0">
    <w:p w14:paraId="4193EBFE" w14:textId="77777777" w:rsidR="0016176D" w:rsidRPr="00973F22" w:rsidRDefault="0016176D" w:rsidP="00973F22">
      <w:r>
        <w:continuationSeparator/>
      </w:r>
    </w:p>
    <w:p w14:paraId="62D13F38" w14:textId="77777777" w:rsidR="0016176D" w:rsidRDefault="0016176D"/>
  </w:footnote>
  <w:footnote w:type="continuationNotice" w:id="1">
    <w:p w14:paraId="3075C414" w14:textId="77777777" w:rsidR="0016176D" w:rsidRDefault="0016176D" w:rsidP="00973F22"/>
    <w:p w14:paraId="30EFF667" w14:textId="77777777" w:rsidR="0016176D" w:rsidRDefault="001617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53774" w14:textId="77777777" w:rsidR="000C630F" w:rsidRDefault="000C630F" w:rsidP="000C630F">
    <w:pPr>
      <w:pStyle w:val="Header"/>
      <w:tabs>
        <w:tab w:val="clear" w:pos="4513"/>
        <w:tab w:val="left" w:pos="0"/>
      </w:tabs>
    </w:pPr>
    <w:r w:rsidRPr="00973F22">
      <w:rPr>
        <w:noProof/>
      </w:rPr>
      <w:drawing>
        <wp:inline distT="0" distB="0" distL="0" distR="0" wp14:anchorId="48E09A7A" wp14:editId="6B931881">
          <wp:extent cx="1538035" cy="540000"/>
          <wp:effectExtent l="0" t="0" r="5080" b="0"/>
          <wp:docPr id="22" name="Picture 22"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81570"/>
    <w:multiLevelType w:val="hybridMultilevel"/>
    <w:tmpl w:val="86A633F2"/>
    <w:lvl w:ilvl="0" w:tplc="FFFFFFFF">
      <w:start w:val="1"/>
      <w:numFmt w:val="bullet"/>
      <w:lvlText w:val=""/>
      <w:lvlJc w:val="left"/>
      <w:pPr>
        <w:ind w:left="567" w:hanging="567"/>
      </w:pPr>
      <w:rPr>
        <w:rFonts w:ascii="Symbol" w:hAnsi="Symbol" w:hint="default"/>
      </w:rPr>
    </w:lvl>
    <w:lvl w:ilvl="1" w:tplc="57C8187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1391078"/>
    <w:multiLevelType w:val="multilevel"/>
    <w:tmpl w:val="CAAA6990"/>
    <w:lvl w:ilvl="0">
      <w:start w:val="1"/>
      <w:numFmt w:val="decimal"/>
      <w:pStyle w:val="NumberedList2"/>
      <w:lvlText w:val="1.%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 w15:restartNumberingAfterBreak="0">
    <w:nsid w:val="0F0E42DC"/>
    <w:multiLevelType w:val="hybridMultilevel"/>
    <w:tmpl w:val="69F6706A"/>
    <w:lvl w:ilvl="0" w:tplc="57C818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2A7A23"/>
    <w:multiLevelType w:val="hybridMultilevel"/>
    <w:tmpl w:val="F8EAF47C"/>
    <w:lvl w:ilvl="0" w:tplc="FFFFFFFF">
      <w:start w:val="1"/>
      <w:numFmt w:val="bullet"/>
      <w:lvlText w:val=""/>
      <w:lvlJc w:val="left"/>
      <w:pPr>
        <w:ind w:left="567" w:hanging="567"/>
      </w:pPr>
      <w:rPr>
        <w:rFonts w:ascii="Symbol" w:hAnsi="Symbol" w:hint="default"/>
      </w:rPr>
    </w:lvl>
    <w:lvl w:ilvl="1" w:tplc="57C8187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6C2982"/>
    <w:multiLevelType w:val="hybridMultilevel"/>
    <w:tmpl w:val="18442F66"/>
    <w:lvl w:ilvl="0" w:tplc="FFFFFFFF">
      <w:start w:val="1"/>
      <w:numFmt w:val="bullet"/>
      <w:lvlText w:val=""/>
      <w:lvlJc w:val="left"/>
      <w:pPr>
        <w:ind w:left="567" w:hanging="567"/>
      </w:pPr>
      <w:rPr>
        <w:rFonts w:ascii="Symbol" w:hAnsi="Symbol" w:hint="default"/>
      </w:rPr>
    </w:lvl>
    <w:lvl w:ilvl="1" w:tplc="57C8187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904AD3"/>
    <w:multiLevelType w:val="multilevel"/>
    <w:tmpl w:val="6DA81E8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500912"/>
    <w:multiLevelType w:val="multilevel"/>
    <w:tmpl w:val="5A6C4012"/>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2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4E23E4"/>
    <w:multiLevelType w:val="hybridMultilevel"/>
    <w:tmpl w:val="26C23652"/>
    <w:lvl w:ilvl="0" w:tplc="FFFFFFFF">
      <w:start w:val="1"/>
      <w:numFmt w:val="bullet"/>
      <w:lvlText w:val=""/>
      <w:lvlJc w:val="left"/>
      <w:pPr>
        <w:ind w:left="567" w:hanging="567"/>
      </w:pPr>
      <w:rPr>
        <w:rFonts w:ascii="Symbol" w:hAnsi="Symbol" w:hint="default"/>
      </w:rPr>
    </w:lvl>
    <w:lvl w:ilvl="1" w:tplc="FFFFFFFF">
      <w:start w:val="1"/>
      <w:numFmt w:val="bullet"/>
      <w:lvlText w:val=""/>
      <w:lvlJc w:val="left"/>
      <w:pPr>
        <w:ind w:left="1440" w:hanging="360"/>
      </w:pPr>
      <w:rPr>
        <w:rFonts w:ascii="Symbol" w:hAnsi="Symbol" w:hint="default"/>
      </w:rPr>
    </w:lvl>
    <w:lvl w:ilvl="2" w:tplc="D69CD62C">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FA3F90"/>
    <w:multiLevelType w:val="multilevel"/>
    <w:tmpl w:val="FC2009C0"/>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7EA6C93"/>
    <w:multiLevelType w:val="hybridMultilevel"/>
    <w:tmpl w:val="0D34C662"/>
    <w:lvl w:ilvl="0" w:tplc="FFFFFFFF">
      <w:start w:val="1"/>
      <w:numFmt w:val="bullet"/>
      <w:lvlText w:val=""/>
      <w:lvlJc w:val="left"/>
      <w:pPr>
        <w:ind w:left="567" w:hanging="567"/>
      </w:pPr>
      <w:rPr>
        <w:rFonts w:ascii="Symbol" w:hAnsi="Symbol" w:hint="default"/>
      </w:rPr>
    </w:lvl>
    <w:lvl w:ilvl="1" w:tplc="57C8187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B74075"/>
    <w:multiLevelType w:val="multilevel"/>
    <w:tmpl w:val="F78666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B0400E"/>
    <w:multiLevelType w:val="hybridMultilevel"/>
    <w:tmpl w:val="F17A725C"/>
    <w:lvl w:ilvl="0" w:tplc="C9764924">
      <w:start w:val="1"/>
      <w:numFmt w:val="decimal"/>
      <w:pStyle w:val="ListNumb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5EF815E9"/>
    <w:multiLevelType w:val="multilevel"/>
    <w:tmpl w:val="67E4F12C"/>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9FE70C2"/>
    <w:multiLevelType w:val="hybridMultilevel"/>
    <w:tmpl w:val="064624EC"/>
    <w:lvl w:ilvl="0" w:tplc="FFFFFFFF">
      <w:start w:val="1"/>
      <w:numFmt w:val="bullet"/>
      <w:lvlText w:val=""/>
      <w:lvlJc w:val="left"/>
      <w:pPr>
        <w:ind w:left="567" w:hanging="567"/>
      </w:pPr>
      <w:rPr>
        <w:rFonts w:ascii="Symbol" w:hAnsi="Symbol" w:hint="default"/>
      </w:rPr>
    </w:lvl>
    <w:lvl w:ilvl="1" w:tplc="57C81876">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6D4FDD"/>
    <w:multiLevelType w:val="multilevel"/>
    <w:tmpl w:val="0EBEDDA2"/>
    <w:lvl w:ilvl="0">
      <w:start w:val="5"/>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34" w15:restartNumberingAfterBreak="0">
    <w:nsid w:val="7C826D54"/>
    <w:multiLevelType w:val="multilevel"/>
    <w:tmpl w:val="E758A4B8"/>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num w:numId="1" w16cid:durableId="2034990809">
    <w:abstractNumId w:val="22"/>
  </w:num>
  <w:num w:numId="2" w16cid:durableId="394932319">
    <w:abstractNumId w:val="17"/>
  </w:num>
  <w:num w:numId="3" w16cid:durableId="874736201">
    <w:abstractNumId w:val="24"/>
  </w:num>
  <w:num w:numId="4" w16cid:durableId="1586065099">
    <w:abstractNumId w:val="19"/>
  </w:num>
  <w:num w:numId="5" w16cid:durableId="424807313">
    <w:abstractNumId w:val="25"/>
  </w:num>
  <w:num w:numId="6" w16cid:durableId="312494192">
    <w:abstractNumId w:val="16"/>
  </w:num>
  <w:num w:numId="7" w16cid:durableId="1872186206">
    <w:abstractNumId w:val="31"/>
  </w:num>
  <w:num w:numId="8" w16cid:durableId="11878279">
    <w:abstractNumId w:val="16"/>
  </w:num>
  <w:num w:numId="9" w16cid:durableId="1458177934">
    <w:abstractNumId w:val="9"/>
  </w:num>
  <w:num w:numId="10" w16cid:durableId="1973438059">
    <w:abstractNumId w:val="7"/>
  </w:num>
  <w:num w:numId="11" w16cid:durableId="1446384177">
    <w:abstractNumId w:val="6"/>
  </w:num>
  <w:num w:numId="12" w16cid:durableId="1494103290">
    <w:abstractNumId w:val="5"/>
  </w:num>
  <w:num w:numId="13" w16cid:durableId="562913083">
    <w:abstractNumId w:val="4"/>
  </w:num>
  <w:num w:numId="14" w16cid:durableId="194929600">
    <w:abstractNumId w:val="8"/>
  </w:num>
  <w:num w:numId="15" w16cid:durableId="486673476">
    <w:abstractNumId w:val="3"/>
  </w:num>
  <w:num w:numId="16" w16cid:durableId="1369795116">
    <w:abstractNumId w:val="2"/>
  </w:num>
  <w:num w:numId="17" w16cid:durableId="1243418992">
    <w:abstractNumId w:val="1"/>
  </w:num>
  <w:num w:numId="18" w16cid:durableId="292447200">
    <w:abstractNumId w:val="0"/>
  </w:num>
  <w:num w:numId="19" w16cid:durableId="1246113308">
    <w:abstractNumId w:val="14"/>
  </w:num>
  <w:num w:numId="20" w16cid:durableId="421491632">
    <w:abstractNumId w:val="20"/>
  </w:num>
  <w:num w:numId="21" w16cid:durableId="799307053">
    <w:abstractNumId w:val="32"/>
  </w:num>
  <w:num w:numId="22" w16cid:durableId="15609425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0712333">
    <w:abstractNumId w:val="28"/>
  </w:num>
  <w:num w:numId="24" w16cid:durableId="1678727250">
    <w:abstractNumId w:val="12"/>
  </w:num>
  <w:num w:numId="25" w16cid:durableId="11529141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67270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8033716">
    <w:abstractNumId w:val="29"/>
  </w:num>
  <w:num w:numId="28" w16cid:durableId="1779910179">
    <w:abstractNumId w:val="11"/>
  </w:num>
  <w:num w:numId="29" w16cid:durableId="1528982746">
    <w:abstractNumId w:val="11"/>
    <w:lvlOverride w:ilvl="0">
      <w:startOverride w:val="1"/>
    </w:lvlOverride>
  </w:num>
  <w:num w:numId="30" w16cid:durableId="2117020205">
    <w:abstractNumId w:val="11"/>
    <w:lvlOverride w:ilvl="0">
      <w:startOverride w:val="1"/>
    </w:lvlOverride>
  </w:num>
  <w:num w:numId="31" w16cid:durableId="847403201">
    <w:abstractNumId w:val="11"/>
    <w:lvlOverride w:ilvl="0">
      <w:startOverride w:val="1"/>
    </w:lvlOverride>
  </w:num>
  <w:num w:numId="32" w16cid:durableId="655572486">
    <w:abstractNumId w:val="11"/>
    <w:lvlOverride w:ilvl="0">
      <w:startOverride w:val="1"/>
    </w:lvlOverride>
  </w:num>
  <w:num w:numId="33" w16cid:durableId="15393220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08345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6409831">
    <w:abstractNumId w:val="34"/>
  </w:num>
  <w:num w:numId="36" w16cid:durableId="1231424923">
    <w:abstractNumId w:val="18"/>
  </w:num>
  <w:num w:numId="37" w16cid:durableId="16655454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0521723">
    <w:abstractNumId w:val="27"/>
  </w:num>
  <w:num w:numId="39" w16cid:durableId="1735657537">
    <w:abstractNumId w:val="11"/>
  </w:num>
  <w:num w:numId="40" w16cid:durableId="40204582">
    <w:abstractNumId w:val="26"/>
  </w:num>
  <w:num w:numId="41" w16cid:durableId="709960472">
    <w:abstractNumId w:val="15"/>
  </w:num>
  <w:num w:numId="42" w16cid:durableId="430205493">
    <w:abstractNumId w:val="10"/>
  </w:num>
  <w:num w:numId="43" w16cid:durableId="1089614525">
    <w:abstractNumId w:val="21"/>
  </w:num>
  <w:num w:numId="44" w16cid:durableId="16737039">
    <w:abstractNumId w:val="30"/>
  </w:num>
  <w:num w:numId="45" w16cid:durableId="537208407">
    <w:abstractNumId w:val="23"/>
  </w:num>
  <w:num w:numId="46" w16cid:durableId="123085415">
    <w:abstractNumId w:val="33"/>
  </w:num>
  <w:num w:numId="47" w16cid:durableId="155203547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F0"/>
    <w:rsid w:val="00002A3D"/>
    <w:rsid w:val="000147BB"/>
    <w:rsid w:val="00023994"/>
    <w:rsid w:val="00025978"/>
    <w:rsid w:val="000263C0"/>
    <w:rsid w:val="00032B0B"/>
    <w:rsid w:val="0003753D"/>
    <w:rsid w:val="000463BA"/>
    <w:rsid w:val="00046991"/>
    <w:rsid w:val="000617B4"/>
    <w:rsid w:val="00074864"/>
    <w:rsid w:val="0008087B"/>
    <w:rsid w:val="00083A4B"/>
    <w:rsid w:val="000944F1"/>
    <w:rsid w:val="000953ED"/>
    <w:rsid w:val="000A4349"/>
    <w:rsid w:val="000C630F"/>
    <w:rsid w:val="000C71C1"/>
    <w:rsid w:val="000D3A6B"/>
    <w:rsid w:val="000D4A7F"/>
    <w:rsid w:val="000D67A6"/>
    <w:rsid w:val="000E309F"/>
    <w:rsid w:val="000F7A17"/>
    <w:rsid w:val="00112211"/>
    <w:rsid w:val="00114CC3"/>
    <w:rsid w:val="00120CFF"/>
    <w:rsid w:val="0012332F"/>
    <w:rsid w:val="00132C47"/>
    <w:rsid w:val="00133908"/>
    <w:rsid w:val="00135526"/>
    <w:rsid w:val="001375DC"/>
    <w:rsid w:val="001376FC"/>
    <w:rsid w:val="00141788"/>
    <w:rsid w:val="001471E8"/>
    <w:rsid w:val="00151F20"/>
    <w:rsid w:val="00152198"/>
    <w:rsid w:val="0015589C"/>
    <w:rsid w:val="00157891"/>
    <w:rsid w:val="00161386"/>
    <w:rsid w:val="0016176D"/>
    <w:rsid w:val="0017079F"/>
    <w:rsid w:val="00171ED6"/>
    <w:rsid w:val="00172E36"/>
    <w:rsid w:val="00181163"/>
    <w:rsid w:val="001A421E"/>
    <w:rsid w:val="001B4E83"/>
    <w:rsid w:val="001C34A5"/>
    <w:rsid w:val="001C5327"/>
    <w:rsid w:val="001C6026"/>
    <w:rsid w:val="001C77EE"/>
    <w:rsid w:val="001D10C2"/>
    <w:rsid w:val="001D2013"/>
    <w:rsid w:val="001E1EF8"/>
    <w:rsid w:val="001E2943"/>
    <w:rsid w:val="001E53A9"/>
    <w:rsid w:val="001E5B51"/>
    <w:rsid w:val="001F07CB"/>
    <w:rsid w:val="001F792E"/>
    <w:rsid w:val="001F7EDC"/>
    <w:rsid w:val="002023FC"/>
    <w:rsid w:val="00222804"/>
    <w:rsid w:val="00237C04"/>
    <w:rsid w:val="00242219"/>
    <w:rsid w:val="002427C3"/>
    <w:rsid w:val="00250476"/>
    <w:rsid w:val="00265143"/>
    <w:rsid w:val="002673D5"/>
    <w:rsid w:val="002734D1"/>
    <w:rsid w:val="00281C8F"/>
    <w:rsid w:val="00284CBD"/>
    <w:rsid w:val="002A6A13"/>
    <w:rsid w:val="002B450D"/>
    <w:rsid w:val="002B62A2"/>
    <w:rsid w:val="002C0246"/>
    <w:rsid w:val="002C23B5"/>
    <w:rsid w:val="002C2C6B"/>
    <w:rsid w:val="002F2C1A"/>
    <w:rsid w:val="00302A41"/>
    <w:rsid w:val="0030584A"/>
    <w:rsid w:val="00313C36"/>
    <w:rsid w:val="00315C6C"/>
    <w:rsid w:val="003268F4"/>
    <w:rsid w:val="00342A62"/>
    <w:rsid w:val="00345485"/>
    <w:rsid w:val="00350B6C"/>
    <w:rsid w:val="003539E8"/>
    <w:rsid w:val="00357F70"/>
    <w:rsid w:val="003703A9"/>
    <w:rsid w:val="00374E86"/>
    <w:rsid w:val="00377CDB"/>
    <w:rsid w:val="00384A0A"/>
    <w:rsid w:val="00384FC2"/>
    <w:rsid w:val="00391E99"/>
    <w:rsid w:val="003A0024"/>
    <w:rsid w:val="003A7606"/>
    <w:rsid w:val="003A7DD6"/>
    <w:rsid w:val="003C0873"/>
    <w:rsid w:val="003C0A0C"/>
    <w:rsid w:val="003E7A91"/>
    <w:rsid w:val="003F3939"/>
    <w:rsid w:val="00401538"/>
    <w:rsid w:val="00422A85"/>
    <w:rsid w:val="00423272"/>
    <w:rsid w:val="00432757"/>
    <w:rsid w:val="004341A1"/>
    <w:rsid w:val="004361D6"/>
    <w:rsid w:val="004406D6"/>
    <w:rsid w:val="0044102A"/>
    <w:rsid w:val="00444368"/>
    <w:rsid w:val="00445C91"/>
    <w:rsid w:val="00447349"/>
    <w:rsid w:val="00451BB0"/>
    <w:rsid w:val="00461445"/>
    <w:rsid w:val="00470ED3"/>
    <w:rsid w:val="00476676"/>
    <w:rsid w:val="00477EA8"/>
    <w:rsid w:val="00485846"/>
    <w:rsid w:val="004878B8"/>
    <w:rsid w:val="004B3BF3"/>
    <w:rsid w:val="004C6E47"/>
    <w:rsid w:val="004D24ED"/>
    <w:rsid w:val="004D5640"/>
    <w:rsid w:val="004E2748"/>
    <w:rsid w:val="004F04BA"/>
    <w:rsid w:val="004F1336"/>
    <w:rsid w:val="004F22BD"/>
    <w:rsid w:val="004F4103"/>
    <w:rsid w:val="004F4C79"/>
    <w:rsid w:val="004F4DE3"/>
    <w:rsid w:val="004F7042"/>
    <w:rsid w:val="004F7E29"/>
    <w:rsid w:val="00505259"/>
    <w:rsid w:val="00506A73"/>
    <w:rsid w:val="00515BD2"/>
    <w:rsid w:val="005200E2"/>
    <w:rsid w:val="00523850"/>
    <w:rsid w:val="00524605"/>
    <w:rsid w:val="00531BCD"/>
    <w:rsid w:val="00531CCA"/>
    <w:rsid w:val="00537699"/>
    <w:rsid w:val="00543EC2"/>
    <w:rsid w:val="005461BF"/>
    <w:rsid w:val="00552DAF"/>
    <w:rsid w:val="00554F78"/>
    <w:rsid w:val="005656DE"/>
    <w:rsid w:val="005670B4"/>
    <w:rsid w:val="00572075"/>
    <w:rsid w:val="00573679"/>
    <w:rsid w:val="00577CAA"/>
    <w:rsid w:val="00581449"/>
    <w:rsid w:val="00583BB7"/>
    <w:rsid w:val="005852FE"/>
    <w:rsid w:val="005854DB"/>
    <w:rsid w:val="00596A8A"/>
    <w:rsid w:val="005A5552"/>
    <w:rsid w:val="005C0578"/>
    <w:rsid w:val="005C3F87"/>
    <w:rsid w:val="005F410D"/>
    <w:rsid w:val="005F78D8"/>
    <w:rsid w:val="006002E3"/>
    <w:rsid w:val="00607043"/>
    <w:rsid w:val="00617ED0"/>
    <w:rsid w:val="006200B2"/>
    <w:rsid w:val="00622554"/>
    <w:rsid w:val="00625E59"/>
    <w:rsid w:val="00627E74"/>
    <w:rsid w:val="006323DA"/>
    <w:rsid w:val="00642135"/>
    <w:rsid w:val="0064243B"/>
    <w:rsid w:val="00645BA2"/>
    <w:rsid w:val="00656282"/>
    <w:rsid w:val="0066274E"/>
    <w:rsid w:val="006704A0"/>
    <w:rsid w:val="006705C0"/>
    <w:rsid w:val="00675DC9"/>
    <w:rsid w:val="00676589"/>
    <w:rsid w:val="0067675C"/>
    <w:rsid w:val="006838F7"/>
    <w:rsid w:val="00687131"/>
    <w:rsid w:val="00694370"/>
    <w:rsid w:val="006954C8"/>
    <w:rsid w:val="006A0D99"/>
    <w:rsid w:val="006B1228"/>
    <w:rsid w:val="006B3762"/>
    <w:rsid w:val="006C1A60"/>
    <w:rsid w:val="006E2F6B"/>
    <w:rsid w:val="006E5E4E"/>
    <w:rsid w:val="00705218"/>
    <w:rsid w:val="007249BE"/>
    <w:rsid w:val="00726646"/>
    <w:rsid w:val="00743170"/>
    <w:rsid w:val="00743359"/>
    <w:rsid w:val="00744F00"/>
    <w:rsid w:val="00767AC6"/>
    <w:rsid w:val="0077071F"/>
    <w:rsid w:val="00771616"/>
    <w:rsid w:val="00772285"/>
    <w:rsid w:val="00775F6A"/>
    <w:rsid w:val="00776053"/>
    <w:rsid w:val="007774BF"/>
    <w:rsid w:val="00780352"/>
    <w:rsid w:val="007829C7"/>
    <w:rsid w:val="007838C0"/>
    <w:rsid w:val="007931CF"/>
    <w:rsid w:val="0079503C"/>
    <w:rsid w:val="007D1463"/>
    <w:rsid w:val="007E3BDF"/>
    <w:rsid w:val="007E7252"/>
    <w:rsid w:val="008159B9"/>
    <w:rsid w:val="008212DC"/>
    <w:rsid w:val="008240B2"/>
    <w:rsid w:val="008248B8"/>
    <w:rsid w:val="008410FD"/>
    <w:rsid w:val="00845D38"/>
    <w:rsid w:val="00853478"/>
    <w:rsid w:val="0085680F"/>
    <w:rsid w:val="0086587B"/>
    <w:rsid w:val="00874A30"/>
    <w:rsid w:val="00876AEC"/>
    <w:rsid w:val="008A2A5E"/>
    <w:rsid w:val="008B47C6"/>
    <w:rsid w:val="008C26C0"/>
    <w:rsid w:val="008C547D"/>
    <w:rsid w:val="008C5E30"/>
    <w:rsid w:val="008D00CE"/>
    <w:rsid w:val="008D4329"/>
    <w:rsid w:val="008D585A"/>
    <w:rsid w:val="008D5EA3"/>
    <w:rsid w:val="008F416A"/>
    <w:rsid w:val="00910FE9"/>
    <w:rsid w:val="009307C8"/>
    <w:rsid w:val="00930EF1"/>
    <w:rsid w:val="009317A8"/>
    <w:rsid w:val="00933E01"/>
    <w:rsid w:val="009408BE"/>
    <w:rsid w:val="00947E08"/>
    <w:rsid w:val="00952D74"/>
    <w:rsid w:val="00973F22"/>
    <w:rsid w:val="009778A3"/>
    <w:rsid w:val="00981CBA"/>
    <w:rsid w:val="009A23EF"/>
    <w:rsid w:val="009A2ED6"/>
    <w:rsid w:val="009A4CBA"/>
    <w:rsid w:val="009A533A"/>
    <w:rsid w:val="009A5AE6"/>
    <w:rsid w:val="009B1A17"/>
    <w:rsid w:val="009D045A"/>
    <w:rsid w:val="009D46CE"/>
    <w:rsid w:val="009D5BEC"/>
    <w:rsid w:val="009D7454"/>
    <w:rsid w:val="009F000E"/>
    <w:rsid w:val="009F7D33"/>
    <w:rsid w:val="00A14C48"/>
    <w:rsid w:val="00A203FD"/>
    <w:rsid w:val="00A20919"/>
    <w:rsid w:val="00A22C86"/>
    <w:rsid w:val="00A262D0"/>
    <w:rsid w:val="00A3737E"/>
    <w:rsid w:val="00A442C3"/>
    <w:rsid w:val="00A5140E"/>
    <w:rsid w:val="00A537AE"/>
    <w:rsid w:val="00A54D98"/>
    <w:rsid w:val="00A73EF6"/>
    <w:rsid w:val="00A775A4"/>
    <w:rsid w:val="00A80F5C"/>
    <w:rsid w:val="00A838CE"/>
    <w:rsid w:val="00A921D7"/>
    <w:rsid w:val="00A92582"/>
    <w:rsid w:val="00A94E3B"/>
    <w:rsid w:val="00AB070F"/>
    <w:rsid w:val="00AB3220"/>
    <w:rsid w:val="00AC28DE"/>
    <w:rsid w:val="00AC7D5C"/>
    <w:rsid w:val="00AD7126"/>
    <w:rsid w:val="00AE3055"/>
    <w:rsid w:val="00AE5B4C"/>
    <w:rsid w:val="00AF3D16"/>
    <w:rsid w:val="00AF7301"/>
    <w:rsid w:val="00B1067A"/>
    <w:rsid w:val="00B11133"/>
    <w:rsid w:val="00B248E5"/>
    <w:rsid w:val="00B30F5B"/>
    <w:rsid w:val="00B31B05"/>
    <w:rsid w:val="00B37DA5"/>
    <w:rsid w:val="00B453F0"/>
    <w:rsid w:val="00B51168"/>
    <w:rsid w:val="00B57F83"/>
    <w:rsid w:val="00B60A84"/>
    <w:rsid w:val="00B616A2"/>
    <w:rsid w:val="00B65F97"/>
    <w:rsid w:val="00B66D7A"/>
    <w:rsid w:val="00B750E2"/>
    <w:rsid w:val="00B7598E"/>
    <w:rsid w:val="00B878CD"/>
    <w:rsid w:val="00B87D73"/>
    <w:rsid w:val="00BB0A12"/>
    <w:rsid w:val="00BC0F5D"/>
    <w:rsid w:val="00BC6D05"/>
    <w:rsid w:val="00BD4414"/>
    <w:rsid w:val="00BE4B89"/>
    <w:rsid w:val="00BE6683"/>
    <w:rsid w:val="00BF3973"/>
    <w:rsid w:val="00BF44BF"/>
    <w:rsid w:val="00BF4FB3"/>
    <w:rsid w:val="00BF71B4"/>
    <w:rsid w:val="00C06146"/>
    <w:rsid w:val="00C064EC"/>
    <w:rsid w:val="00C0651A"/>
    <w:rsid w:val="00C10202"/>
    <w:rsid w:val="00C12C05"/>
    <w:rsid w:val="00C15EFE"/>
    <w:rsid w:val="00C17C91"/>
    <w:rsid w:val="00C2047D"/>
    <w:rsid w:val="00C21EFA"/>
    <w:rsid w:val="00C31276"/>
    <w:rsid w:val="00C33532"/>
    <w:rsid w:val="00C36552"/>
    <w:rsid w:val="00C475C9"/>
    <w:rsid w:val="00C81618"/>
    <w:rsid w:val="00C835F9"/>
    <w:rsid w:val="00C92553"/>
    <w:rsid w:val="00C92FF3"/>
    <w:rsid w:val="00C93708"/>
    <w:rsid w:val="00C952B9"/>
    <w:rsid w:val="00CA56FB"/>
    <w:rsid w:val="00CA75B5"/>
    <w:rsid w:val="00CA7D06"/>
    <w:rsid w:val="00CC20DA"/>
    <w:rsid w:val="00CC7DCE"/>
    <w:rsid w:val="00CD2196"/>
    <w:rsid w:val="00CD237D"/>
    <w:rsid w:val="00CD4138"/>
    <w:rsid w:val="00CE13DE"/>
    <w:rsid w:val="00D03B89"/>
    <w:rsid w:val="00D041C6"/>
    <w:rsid w:val="00D05BEB"/>
    <w:rsid w:val="00D27967"/>
    <w:rsid w:val="00D31117"/>
    <w:rsid w:val="00D3148B"/>
    <w:rsid w:val="00D37410"/>
    <w:rsid w:val="00D40007"/>
    <w:rsid w:val="00D4585B"/>
    <w:rsid w:val="00D46543"/>
    <w:rsid w:val="00D606CD"/>
    <w:rsid w:val="00D61DA6"/>
    <w:rsid w:val="00D63D79"/>
    <w:rsid w:val="00D8076E"/>
    <w:rsid w:val="00D80882"/>
    <w:rsid w:val="00D918B2"/>
    <w:rsid w:val="00D91C20"/>
    <w:rsid w:val="00DA08C3"/>
    <w:rsid w:val="00DA2856"/>
    <w:rsid w:val="00DB4224"/>
    <w:rsid w:val="00DD06DC"/>
    <w:rsid w:val="00DD544C"/>
    <w:rsid w:val="00DD7788"/>
    <w:rsid w:val="00DE3D94"/>
    <w:rsid w:val="00DE4237"/>
    <w:rsid w:val="00DE4B60"/>
    <w:rsid w:val="00E10249"/>
    <w:rsid w:val="00E11385"/>
    <w:rsid w:val="00E125F1"/>
    <w:rsid w:val="00E14E14"/>
    <w:rsid w:val="00E2339F"/>
    <w:rsid w:val="00E41388"/>
    <w:rsid w:val="00E46946"/>
    <w:rsid w:val="00E5129E"/>
    <w:rsid w:val="00E552AA"/>
    <w:rsid w:val="00E62139"/>
    <w:rsid w:val="00E6225F"/>
    <w:rsid w:val="00E63A0F"/>
    <w:rsid w:val="00E66DAD"/>
    <w:rsid w:val="00E6779C"/>
    <w:rsid w:val="00E715EF"/>
    <w:rsid w:val="00E763DC"/>
    <w:rsid w:val="00E82B11"/>
    <w:rsid w:val="00E87F58"/>
    <w:rsid w:val="00EA5147"/>
    <w:rsid w:val="00ED0E63"/>
    <w:rsid w:val="00EF1BBF"/>
    <w:rsid w:val="00EF401A"/>
    <w:rsid w:val="00F00288"/>
    <w:rsid w:val="00F05580"/>
    <w:rsid w:val="00F15AA8"/>
    <w:rsid w:val="00F15CCE"/>
    <w:rsid w:val="00F2177F"/>
    <w:rsid w:val="00F22CD5"/>
    <w:rsid w:val="00F23675"/>
    <w:rsid w:val="00F25A60"/>
    <w:rsid w:val="00F27ABB"/>
    <w:rsid w:val="00F470B0"/>
    <w:rsid w:val="00F50D92"/>
    <w:rsid w:val="00F51250"/>
    <w:rsid w:val="00F54336"/>
    <w:rsid w:val="00F61A2A"/>
    <w:rsid w:val="00F70660"/>
    <w:rsid w:val="00F70F95"/>
    <w:rsid w:val="00F71309"/>
    <w:rsid w:val="00F73696"/>
    <w:rsid w:val="00F7370B"/>
    <w:rsid w:val="00F75942"/>
    <w:rsid w:val="00F863E7"/>
    <w:rsid w:val="00F96AA7"/>
    <w:rsid w:val="00F971ED"/>
    <w:rsid w:val="00F97C24"/>
    <w:rsid w:val="00FA0706"/>
    <w:rsid w:val="00FA711A"/>
    <w:rsid w:val="00FB0CCF"/>
    <w:rsid w:val="00FB6C01"/>
    <w:rsid w:val="00FC591E"/>
    <w:rsid w:val="00FD7CDA"/>
    <w:rsid w:val="00FF1BC2"/>
    <w:rsid w:val="0574FB5D"/>
    <w:rsid w:val="6FC9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10273"/>
  <w15:chartTrackingRefBased/>
  <w15:docId w15:val="{879C135A-FF39-4809-A412-DC6818E7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83A4B"/>
    <w:pPr>
      <w:spacing w:after="160" w:line="288" w:lineRule="auto"/>
    </w:pPr>
  </w:style>
  <w:style w:type="paragraph" w:styleId="Heading1">
    <w:name w:val="heading 1"/>
    <w:link w:val="Heading1Char"/>
    <w:uiPriority w:val="9"/>
    <w:qFormat/>
    <w:rsid w:val="0086587B"/>
    <w:pPr>
      <w:keepNext/>
      <w:keepLines/>
      <w:spacing w:before="320" w:after="160"/>
      <w:contextualSpacing/>
      <w:outlineLvl w:val="0"/>
    </w:pPr>
    <w:rPr>
      <w:rFonts w:cstheme="majorBidi"/>
      <w:b/>
      <w:color w:val="00573F" w:themeColor="text2"/>
      <w:sz w:val="52"/>
      <w:szCs w:val="36"/>
    </w:rPr>
  </w:style>
  <w:style w:type="paragraph" w:styleId="Heading2">
    <w:name w:val="heading 2"/>
    <w:link w:val="Heading2Char"/>
    <w:uiPriority w:val="9"/>
    <w:qFormat/>
    <w:rsid w:val="0086587B"/>
    <w:pPr>
      <w:keepNext/>
      <w:keepLines/>
      <w:spacing w:before="320" w:after="160"/>
      <w:contextualSpacing/>
      <w:outlineLvl w:val="1"/>
    </w:pPr>
    <w:rPr>
      <w:rFonts w:cstheme="majorBidi"/>
      <w:b/>
      <w:color w:val="00573F" w:themeColor="text2"/>
      <w:sz w:val="44"/>
      <w:szCs w:val="32"/>
    </w:rPr>
  </w:style>
  <w:style w:type="paragraph" w:styleId="Heading3">
    <w:name w:val="heading 3"/>
    <w:link w:val="Heading3Char"/>
    <w:uiPriority w:val="9"/>
    <w:qFormat/>
    <w:rsid w:val="0086587B"/>
    <w:pPr>
      <w:keepNext/>
      <w:keepLines/>
      <w:spacing w:before="280" w:after="120"/>
      <w:contextualSpacing/>
      <w:outlineLvl w:val="2"/>
    </w:pPr>
    <w:rPr>
      <w:rFonts w:cstheme="majorBidi"/>
      <w:b/>
      <w:color w:val="00573F" w:themeColor="text2"/>
      <w:sz w:val="36"/>
      <w:szCs w:val="28"/>
    </w:rPr>
  </w:style>
  <w:style w:type="paragraph" w:styleId="Heading4">
    <w:name w:val="heading 4"/>
    <w:link w:val="Heading4Char"/>
    <w:uiPriority w:val="9"/>
    <w:qFormat/>
    <w:locked/>
    <w:rsid w:val="0086587B"/>
    <w:pPr>
      <w:keepNext/>
      <w:keepLines/>
      <w:spacing w:before="240" w:after="120"/>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86587B"/>
    <w:pPr>
      <w:keepNext/>
      <w:keepLines/>
      <w:spacing w:before="160" w:after="80"/>
      <w:contextualSpacing/>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587B"/>
    <w:rPr>
      <w:rFonts w:cstheme="majorBidi"/>
      <w:b/>
      <w:color w:val="00573F" w:themeColor="text2"/>
      <w:sz w:val="52"/>
      <w:szCs w:val="36"/>
    </w:rPr>
  </w:style>
  <w:style w:type="character" w:customStyle="1" w:styleId="Heading2Char">
    <w:name w:val="Heading 2 Char"/>
    <w:link w:val="Heading2"/>
    <w:uiPriority w:val="9"/>
    <w:rsid w:val="0086587B"/>
    <w:rPr>
      <w:rFonts w:cstheme="majorBidi"/>
      <w:b/>
      <w:color w:val="00573F" w:themeColor="text2"/>
      <w:sz w:val="44"/>
      <w:szCs w:val="32"/>
    </w:rPr>
  </w:style>
  <w:style w:type="paragraph" w:styleId="Title">
    <w:name w:val="Title"/>
    <w:basedOn w:val="Normal"/>
    <w:next w:val="Normal"/>
    <w:link w:val="TitleChar"/>
    <w:uiPriority w:val="10"/>
    <w:qFormat/>
    <w:rsid w:val="00345485"/>
    <w:pPr>
      <w:keepNext/>
      <w:keepLines/>
      <w:spacing w:before="960" w:after="480" w:line="240" w:lineRule="auto"/>
      <w:contextualSpacing/>
      <w:outlineLvl w:val="0"/>
    </w:pPr>
    <w:rPr>
      <w:rFonts w:cstheme="majorBidi"/>
      <w:b/>
      <w:bCs/>
      <w:color w:val="00573F" w:themeColor="text2"/>
      <w:sz w:val="52"/>
      <w:szCs w:val="52"/>
    </w:rPr>
  </w:style>
  <w:style w:type="character" w:customStyle="1" w:styleId="TitleChar">
    <w:name w:val="Title Char"/>
    <w:link w:val="Title"/>
    <w:uiPriority w:val="10"/>
    <w:rsid w:val="00345485"/>
    <w:rPr>
      <w:rFonts w:cstheme="majorBidi"/>
      <w:b/>
      <w:bCs/>
      <w:color w:val="00573F" w:themeColor="text2"/>
      <w:sz w:val="52"/>
      <w:szCs w:val="52"/>
    </w:rPr>
  </w:style>
  <w:style w:type="paragraph" w:customStyle="1" w:styleId="TOC">
    <w:name w:val="TOC"/>
    <w:qFormat/>
    <w:rsid w:val="000E309F"/>
    <w:pPr>
      <w:keepLines/>
      <w:spacing w:before="280" w:after="120" w:line="288" w:lineRule="auto"/>
      <w:contextualSpacing/>
      <w:outlineLvl w:val="0"/>
    </w:pPr>
    <w:rPr>
      <w:b/>
      <w:color w:val="00573F" w:themeColor="text2"/>
      <w:sz w:val="36"/>
      <w:szCs w:val="28"/>
    </w:rPr>
  </w:style>
  <w:style w:type="paragraph" w:customStyle="1" w:styleId="Separator">
    <w:name w:val="Separator"/>
    <w:basedOn w:val="Body"/>
    <w:link w:val="SeparatorChar"/>
    <w:qFormat/>
    <w:rsid w:val="00A94E3B"/>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A94E3B"/>
  </w:style>
  <w:style w:type="character" w:customStyle="1" w:styleId="SeparatorChar">
    <w:name w:val="Separator Char"/>
    <w:basedOn w:val="BodyChar"/>
    <w:link w:val="Separator"/>
    <w:rsid w:val="00A94E3B"/>
    <w:rPr>
      <w:color w:val="00573F" w:themeColor="text2"/>
    </w:rPr>
  </w:style>
  <w:style w:type="character" w:customStyle="1" w:styleId="Heading3Char">
    <w:name w:val="Heading 3 Char"/>
    <w:link w:val="Heading3"/>
    <w:uiPriority w:val="9"/>
    <w:rsid w:val="0086587B"/>
    <w:rPr>
      <w:rFonts w:cstheme="majorBidi"/>
      <w:b/>
      <w:color w:val="00573F" w:themeColor="text2"/>
      <w:sz w:val="36"/>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B31B05"/>
    <w:pPr>
      <w:keepNext/>
      <w:keepLines/>
      <w:spacing w:before="60" w:after="60" w:line="288" w:lineRule="auto"/>
    </w:pPr>
    <w:rPr>
      <w:rFonts w:asciiTheme="minorHAnsi" w:hAnsiTheme="minorHAnsi"/>
      <w:b/>
      <w:color w:val="FFFFFF" w:themeColor="background1"/>
      <w:sz w:val="20"/>
    </w:rPr>
  </w:style>
  <w:style w:type="paragraph" w:customStyle="1" w:styleId="Bullet1">
    <w:name w:val="Bullet 1"/>
    <w:basedOn w:val="Normal"/>
    <w:qFormat/>
    <w:rsid w:val="00A94E3B"/>
    <w:pPr>
      <w:keepLines/>
      <w:numPr>
        <w:numId w:val="4"/>
      </w:numPr>
    </w:pPr>
  </w:style>
  <w:style w:type="paragraph" w:customStyle="1" w:styleId="TableBody">
    <w:name w:val="Table Body"/>
    <w:basedOn w:val="Body"/>
    <w:qFormat/>
    <w:rsid w:val="00B31B05"/>
    <w:pPr>
      <w:spacing w:before="60" w:after="60"/>
    </w:pPr>
    <w:rPr>
      <w:sz w:val="20"/>
    </w:rPr>
  </w:style>
  <w:style w:type="paragraph" w:styleId="ListParagraph">
    <w:name w:val="List Paragraph"/>
    <w:basedOn w:val="Normal"/>
    <w:uiPriority w:val="34"/>
    <w:rsid w:val="005A5552"/>
    <w:pPr>
      <w:ind w:left="567" w:hanging="567"/>
      <w:contextualSpacing/>
    </w:pPr>
  </w:style>
  <w:style w:type="paragraph" w:customStyle="1" w:styleId="NumberedList1">
    <w:name w:val="Numbered List 1"/>
    <w:basedOn w:val="Normal"/>
    <w:qFormat/>
    <w:rsid w:val="00A94E3B"/>
    <w:pPr>
      <w:keepLines/>
      <w:numPr>
        <w:numId w:val="5"/>
      </w:numPr>
    </w:pPr>
  </w:style>
  <w:style w:type="paragraph" w:customStyle="1" w:styleId="TableBullet1">
    <w:name w:val="Table Bullet 1"/>
    <w:basedOn w:val="TableBody"/>
    <w:qFormat/>
    <w:rsid w:val="00B31B05"/>
    <w:pPr>
      <w:numPr>
        <w:numId w:val="8"/>
      </w:numPr>
      <w:ind w:left="357" w:hanging="357"/>
    </w:pPr>
  </w:style>
  <w:style w:type="paragraph" w:customStyle="1" w:styleId="TableListing1">
    <w:name w:val="Table Listing 1"/>
    <w:basedOn w:val="TableBody"/>
    <w:qFormat/>
    <w:rsid w:val="00B31B05"/>
    <w:pPr>
      <w:numPr>
        <w:numId w:val="7"/>
      </w:numPr>
      <w:ind w:left="357" w:hanging="357"/>
    </w:pPr>
  </w:style>
  <w:style w:type="paragraph" w:customStyle="1" w:styleId="TablechartfigureHeading">
    <w:name w:val="Table/chart/figure Heading"/>
    <w:basedOn w:val="Normal"/>
    <w:qFormat/>
    <w:rsid w:val="00A94E3B"/>
    <w:pPr>
      <w:keepLines/>
      <w:spacing w:before="120" w:after="120"/>
    </w:pPr>
    <w:rPr>
      <w:b/>
    </w:rPr>
  </w:style>
  <w:style w:type="paragraph" w:customStyle="1" w:styleId="Body">
    <w:name w:val="Body"/>
    <w:basedOn w:val="Normal"/>
    <w:link w:val="BodyChar"/>
    <w:qFormat/>
    <w:rsid w:val="00A94E3B"/>
    <w:pPr>
      <w:keepLines/>
    </w:pPr>
  </w:style>
  <w:style w:type="paragraph" w:customStyle="1" w:styleId="BodyIndent">
    <w:name w:val="Body Indent"/>
    <w:basedOn w:val="Body"/>
    <w:qFormat/>
    <w:rsid w:val="00A94E3B"/>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A94E3B"/>
    <w:pPr>
      <w:keepLines/>
    </w:pPr>
    <w:rPr>
      <w:color w:val="000000" w:themeColor="text1"/>
      <w:sz w:val="20"/>
      <w:szCs w:val="20"/>
      <w:lang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573F"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A94E3B"/>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A94E3B"/>
    <w:rPr>
      <w:color w:val="000000" w:themeColor="text1"/>
      <w:sz w:val="18"/>
      <w:szCs w:val="18"/>
    </w:rPr>
  </w:style>
  <w:style w:type="paragraph" w:styleId="Subtitle">
    <w:name w:val="Subtitle"/>
    <w:basedOn w:val="Normal"/>
    <w:next w:val="Normal"/>
    <w:link w:val="SubtitleChar"/>
    <w:uiPriority w:val="11"/>
    <w:qFormat/>
    <w:rsid w:val="00345485"/>
    <w:pPr>
      <w:keepNext/>
      <w:keepLines/>
      <w:spacing w:before="280" w:after="120" w:line="240" w:lineRule="auto"/>
      <w:contextualSpacing/>
      <w:outlineLvl w:val="1"/>
    </w:pPr>
    <w:rPr>
      <w:b/>
      <w:color w:val="00573F" w:themeColor="text2"/>
      <w:sz w:val="36"/>
      <w:szCs w:val="28"/>
    </w:rPr>
  </w:style>
  <w:style w:type="character" w:customStyle="1" w:styleId="SubtitleChar">
    <w:name w:val="Subtitle Char"/>
    <w:link w:val="Subtitle"/>
    <w:uiPriority w:val="11"/>
    <w:rsid w:val="00345485"/>
    <w:rPr>
      <w:b/>
      <w:color w:val="00573F" w:themeColor="text2"/>
      <w:sz w:val="36"/>
      <w:szCs w:val="28"/>
    </w:rPr>
  </w:style>
  <w:style w:type="character" w:styleId="Hyperlink">
    <w:name w:val="Hyperlink"/>
    <w:uiPriority w:val="99"/>
    <w:qFormat/>
    <w:rsid w:val="00132C47"/>
    <w:rPr>
      <w:rFonts w:asciiTheme="minorHAnsi" w:hAnsiTheme="minorHAnsi"/>
      <w:b w:val="0"/>
      <w:color w:val="007B4B" w:themeColor="accent1"/>
      <w:u w:val="single"/>
    </w:rPr>
  </w:style>
  <w:style w:type="character" w:styleId="Strong">
    <w:name w:val="Strong"/>
    <w:uiPriority w:val="22"/>
    <w:qFormat/>
    <w:rsid w:val="00476676"/>
    <w:rPr>
      <w:rFonts w:asciiTheme="minorHAnsi" w:hAnsiTheme="minorHAnsi"/>
      <w:b/>
    </w:rPr>
  </w:style>
  <w:style w:type="paragraph" w:styleId="Footer">
    <w:name w:val="footer"/>
    <w:basedOn w:val="Normal"/>
    <w:link w:val="FooterChar"/>
    <w:uiPriority w:val="99"/>
    <w:qFormat/>
    <w:rsid w:val="00A94E3B"/>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476676"/>
    <w:pPr>
      <w:keepNext/>
      <w:keepLines/>
      <w:ind w:left="567" w:right="567"/>
    </w:pPr>
    <w:rPr>
      <w:rFonts w:asciiTheme="minorHAnsi" w:hAnsiTheme="minorHAnsi"/>
      <w:b/>
      <w:color w:val="00573F" w:themeColor="text2"/>
    </w:rPr>
  </w:style>
  <w:style w:type="character" w:customStyle="1" w:styleId="QuoteChar">
    <w:name w:val="Quote Char"/>
    <w:basedOn w:val="DefaultParagraphFont"/>
    <w:link w:val="Quote"/>
    <w:uiPriority w:val="29"/>
    <w:rsid w:val="00476676"/>
    <w:rPr>
      <w:rFonts w:asciiTheme="minorHAnsi" w:hAnsiTheme="minorHAnsi"/>
      <w:b/>
      <w:color w:val="00573F" w:themeColor="text2"/>
    </w:rPr>
  </w:style>
  <w:style w:type="character" w:customStyle="1" w:styleId="FooterChar">
    <w:name w:val="Footer Char"/>
    <w:basedOn w:val="DefaultParagraphFont"/>
    <w:link w:val="Footer"/>
    <w:uiPriority w:val="99"/>
    <w:rsid w:val="00A94E3B"/>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86587B"/>
    <w:rPr>
      <w:rFonts w:eastAsiaTheme="majorEastAsia" w:cstheme="majorBidi"/>
      <w:b/>
      <w:iCs/>
      <w:color w:val="00573F" w:themeColor="text2"/>
      <w:sz w:val="28"/>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A94E3B"/>
  </w:style>
  <w:style w:type="paragraph" w:styleId="TOC1">
    <w:name w:val="toc 1"/>
    <w:basedOn w:val="Normal"/>
    <w:next w:val="Normal"/>
    <w:autoRedefine/>
    <w:uiPriority w:val="39"/>
    <w:unhideWhenUsed/>
    <w:qFormat/>
    <w:rsid w:val="00F97C24"/>
    <w:pPr>
      <w:keepLines/>
      <w:tabs>
        <w:tab w:val="right" w:pos="9070"/>
        <w:tab w:val="right" w:leader="dot" w:pos="9288"/>
      </w:tab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qFormat/>
    <w:rsid w:val="00A94E3B"/>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20"/>
      </w:numPr>
      <w:ind w:left="567" w:hanging="567"/>
    </w:pPr>
  </w:style>
  <w:style w:type="character" w:customStyle="1" w:styleId="Heading5Char">
    <w:name w:val="Heading 5 Char"/>
    <w:basedOn w:val="DefaultParagraphFont"/>
    <w:link w:val="Heading5"/>
    <w:uiPriority w:val="9"/>
    <w:rsid w:val="0086587B"/>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21"/>
      </w:numPr>
      <w:ind w:left="567" w:hanging="567"/>
    </w:pPr>
  </w:style>
  <w:style w:type="paragraph" w:customStyle="1" w:styleId="Bullet2">
    <w:name w:val="Bullet 2"/>
    <w:basedOn w:val="Bullet1"/>
    <w:qFormat/>
    <w:rsid w:val="00A94E3B"/>
    <w:pPr>
      <w:numPr>
        <w:ilvl w:val="1"/>
      </w:numPr>
      <w:ind w:left="1134" w:hanging="567"/>
    </w:pPr>
  </w:style>
  <w:style w:type="paragraph" w:customStyle="1" w:styleId="NumberedList2">
    <w:name w:val="Numbered List 2"/>
    <w:basedOn w:val="NumberedList1"/>
    <w:qFormat/>
    <w:rsid w:val="00DD7788"/>
    <w:pPr>
      <w:numPr>
        <w:numId w:val="28"/>
      </w:numPr>
    </w:pPr>
  </w:style>
  <w:style w:type="paragraph" w:customStyle="1" w:styleId="TableColumn">
    <w:name w:val="Table Column"/>
    <w:basedOn w:val="TableBody"/>
    <w:qFormat/>
    <w:rsid w:val="00B31B05"/>
    <w:rPr>
      <w:rFonts w:asciiTheme="minorHAnsi" w:hAnsiTheme="minorHAnsi"/>
      <w:b/>
    </w:rPr>
  </w:style>
  <w:style w:type="paragraph" w:styleId="ListNumber">
    <w:name w:val="List Number"/>
    <w:basedOn w:val="ListParagraph"/>
    <w:uiPriority w:val="99"/>
    <w:unhideWhenUsed/>
    <w:rsid w:val="00B453F0"/>
    <w:pPr>
      <w:numPr>
        <w:numId w:val="23"/>
      </w:numPr>
      <w:spacing w:line="276" w:lineRule="auto"/>
      <w:ind w:left="284" w:hanging="284"/>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vpsc.vic.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email%20the%20Victorian%20Public%20Sector%20Commission"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vpsc.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HS@justice.vic.gov.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HS@justice.vi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3ek3\Downloads\Projects\00-VPSC%20Templates\uploaded-final\2023-AUG\VPSC%20-%20Generic%20Vic.dotx" TargetMode="External"/></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PSC Word template" ma:contentTypeID="0x010100CB613B0FA18194419A72D2EEC9C847C800E3A995F579F85E4AB3072197D0298B4D" ma:contentTypeVersion="6" ma:contentTypeDescription="" ma:contentTypeScope="" ma:versionID="07f053ae87bdc9c8c91158ce79b7add9">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5985D-7F2A-4115-A224-13F1C466E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AE4437-B5EF-41BF-8858-F59E842D6F4C}">
  <ds:schemaRefs>
    <ds:schemaRef ds:uri="http://www.w3.org/2001/XMLSchema"/>
  </ds:schemaRefs>
</ds:datastoreItem>
</file>

<file path=customXml/itemProps3.xml><?xml version="1.0" encoding="utf-8"?>
<ds:datastoreItem xmlns:ds="http://schemas.openxmlformats.org/officeDocument/2006/customXml" ds:itemID="{759EA6D0-F62C-4E53-BC86-A0A734E697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5.xml><?xml version="1.0" encoding="utf-8"?>
<ds:datastoreItem xmlns:ds="http://schemas.openxmlformats.org/officeDocument/2006/customXml" ds:itemID="{3D863722-0248-425A-9702-123719806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VPSC - Generic Vic.dotx</Template>
  <TotalTime>67</TotalTime>
  <Pages>14</Pages>
  <Words>2734</Words>
  <Characters>15589</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Mental health and wellbeing: education and training framework</vt:lpstr>
      <vt:lpstr>Mental health and wellbeing:</vt:lpstr>
      <vt:lpstr>education and training framework</vt:lpstr>
      <vt:lpstr>    Contents</vt:lpstr>
      <vt:lpstr>    1. Summary</vt:lpstr>
      <vt:lpstr>        Our commitment</vt:lpstr>
      <vt:lpstr>        Integrated approach</vt:lpstr>
      <vt:lpstr>    2. Education and training framework principles</vt:lpstr>
      <vt:lpstr>        Principle 1: Education and training offerings in the Victorian Public Service (V</vt:lpstr>
      <vt:lpstr>        Principle 2: Education and training offerings are evidence-based, reflective of </vt:lpstr>
      <vt:lpstr>        Principle 3: Education and training offerings are tailored to the requirements o</vt:lpstr>
      <vt:lpstr>        Principle 4: Education and training offerings are embedded in, reference and / o</vt:lpstr>
      <vt:lpstr>        Principle 5: Education and training offerings are supplemented by mental health </vt:lpstr>
      <vt:lpstr>    3. Implementation plan</vt:lpstr>
      <vt:lpstr>        Introduction</vt:lpstr>
      <vt:lpstr>        Approach</vt:lpstr>
      <vt:lpstr>        Accountabilities</vt:lpstr>
    </vt:vector>
  </TitlesOfParts>
  <Manager/>
  <Company>Department of Justice and Community Safety</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and wellbeing: education and training framework</dc:title>
  <dc:subject>Mental health and wellbeing: education and training framework</dc:subject>
  <dc:creator>Department of Justice and Community Safety</dc:creator>
  <cp:keywords/>
  <dc:description/>
  <cp:lastModifiedBy>Staphenie S Yau (VPSC)</cp:lastModifiedBy>
  <cp:revision>18</cp:revision>
  <dcterms:created xsi:type="dcterms:W3CDTF">2024-07-18T00:07:00Z</dcterms:created>
  <dcterms:modified xsi:type="dcterms:W3CDTF">2024-07-18T05:09:00Z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0x010100CB613B0FA18194419A72D2EEC9C847C800E3A995F579F85E4AB3072197D0298B4D</vt:lpwstr>
  </property>
  <property fmtid="{D5CDD505-2E9C-101B-9397-08002B2CF9AE}" pid="3" name="MSIP_Label_7158ebbd-6c5e-441f-bfc9-4eb8c11e3978_Enabled">
    <vt:lpwstr>true</vt:lpwstr>
  </property>
  <property fmtid="{D5CDD505-2E9C-101B-9397-08002B2CF9AE}" pid="4" name="MSIP_Label_7158ebbd-6c5e-441f-bfc9-4eb8c11e3978_SetDate">
    <vt:lpwstr>2023-09-06T00:18:59Z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ac0b8919-3e67-490b-a9fd-0027cdfa6db1</vt:lpwstr>
  </property>
  <property fmtid="{D5CDD505-2E9C-101B-9397-08002B2CF9AE}" pid="9" name="MSIP_Label_7158ebbd-6c5e-441f-bfc9-4eb8c11e3978_ContentBits">
    <vt:lpwstr>2</vt:lpwstr>
  </property>
</Properties>
</file>